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73292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073294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073296_2142443653">
            <w:r>
              <w:rPr>
                <w:webHidden/>
                <w:rStyle w:val="IndexLink"/>
                <w:rtl w:val="true"/>
              </w:rPr>
              <w:t>فهرس الإجمالى</w:t>
            </w:r>
            <w:r>
              <w:rPr>
                <w:rStyle w:val="IndexLink"/>
                <w:rtl w:val="true"/>
              </w:rPr>
              <w:tab/>
            </w:r>
            <w:r>
              <w:rPr>
                <w:rStyle w:val="IndexLink"/>
              </w:rPr>
              <w:t>10</w:t>
            </w:r>
          </w:hyperlink>
        </w:p>
        <w:p>
          <w:pPr>
            <w:pStyle w:val="Contents2"/>
            <w:tabs>
              <w:tab w:val="clear" w:pos="8743"/>
              <w:tab w:val="right" w:pos="9026" w:leader="dot"/>
            </w:tabs>
            <w:rPr/>
          </w:pPr>
          <w:hyperlink w:anchor="__RefHeading___Toc16073298_2142443653">
            <w:r>
              <w:rPr>
                <w:webHidden/>
                <w:rStyle w:val="IndexLink"/>
              </w:rPr>
              <w:t>36</w:t>
            </w:r>
            <w:r>
              <w:rPr>
                <w:rStyle w:val="IndexLink"/>
                <w:rtl w:val="true"/>
              </w:rPr>
              <w:t xml:space="preserve"> - </w:t>
            </w:r>
            <w:r>
              <w:rPr>
                <w:rStyle w:val="IndexLink"/>
                <w:rtl w:val="true"/>
              </w:rPr>
              <w:t>قاعدة الإحسان</w:t>
            </w:r>
            <w:r>
              <w:rPr>
                <w:rStyle w:val="IndexLink"/>
                <w:rtl w:val="true"/>
              </w:rPr>
              <w:tab/>
            </w:r>
            <w:r>
              <w:rPr>
                <w:rStyle w:val="IndexLink"/>
              </w:rPr>
              <w:t>12</w:t>
            </w:r>
          </w:hyperlink>
        </w:p>
        <w:p>
          <w:pPr>
            <w:pStyle w:val="Contents3"/>
            <w:tabs>
              <w:tab w:val="clear" w:pos="8459"/>
              <w:tab w:val="right" w:pos="9026" w:leader="dot"/>
            </w:tabs>
            <w:rPr/>
          </w:pPr>
          <w:hyperlink w:anchor="__RefHeading___Toc16073300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073302_2142443653">
            <w:r>
              <w:rPr>
                <w:webHidden/>
                <w:rStyle w:val="IndexLink"/>
                <w:rtl w:val="true"/>
              </w:rPr>
              <w:t xml:space="preserve">الجهة الأولى </w:t>
            </w:r>
            <w:r>
              <w:rPr>
                <w:rStyle w:val="IndexLink"/>
                <w:rtl w:val="true"/>
              </w:rPr>
              <w:t xml:space="preserve">: </w:t>
            </w:r>
            <w:r>
              <w:rPr>
                <w:rStyle w:val="IndexLink"/>
                <w:rtl w:val="true"/>
              </w:rPr>
              <w:t>في مدركها</w:t>
            </w:r>
            <w:r>
              <w:rPr>
                <w:rStyle w:val="IndexLink"/>
                <w:rtl w:val="true"/>
              </w:rPr>
              <w:tab/>
            </w:r>
            <w:r>
              <w:rPr>
                <w:rStyle w:val="IndexLink"/>
              </w:rPr>
              <w:t>14</w:t>
            </w:r>
          </w:hyperlink>
        </w:p>
        <w:p>
          <w:pPr>
            <w:pStyle w:val="Contents3"/>
            <w:tabs>
              <w:tab w:val="clear" w:pos="8459"/>
              <w:tab w:val="right" w:pos="9026" w:leader="dot"/>
            </w:tabs>
            <w:rPr/>
          </w:pPr>
          <w:hyperlink w:anchor="__RefHeading___Toc16073304_2142443653">
            <w:r>
              <w:rPr>
                <w:webHidden/>
                <w:rStyle w:val="IndexLink"/>
                <w:rtl w:val="true"/>
              </w:rPr>
              <w:t xml:space="preserve">الجهة الثانية </w:t>
            </w:r>
            <w:r>
              <w:rPr>
                <w:rStyle w:val="IndexLink"/>
                <w:rtl w:val="true"/>
              </w:rPr>
              <w:t xml:space="preserve">: </w:t>
            </w:r>
            <w:r>
              <w:rPr>
                <w:rStyle w:val="IndexLink"/>
                <w:rtl w:val="true"/>
              </w:rPr>
              <w:t>في بيان المراد من هذه القاعدة</w:t>
            </w:r>
            <w:r>
              <w:rPr>
                <w:rStyle w:val="IndexLink"/>
                <w:rtl w:val="true"/>
              </w:rPr>
              <w:tab/>
            </w:r>
            <w:r>
              <w:rPr>
                <w:rStyle w:val="IndexLink"/>
              </w:rPr>
              <w:t>19</w:t>
            </w:r>
          </w:hyperlink>
        </w:p>
        <w:p>
          <w:pPr>
            <w:pStyle w:val="Contents3"/>
            <w:tabs>
              <w:tab w:val="clear" w:pos="8459"/>
              <w:tab w:val="right" w:pos="9026" w:leader="dot"/>
            </w:tabs>
            <w:rPr/>
          </w:pPr>
          <w:hyperlink w:anchor="__RefHeading___Toc16073306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21</w:t>
            </w:r>
          </w:hyperlink>
        </w:p>
        <w:p>
          <w:pPr>
            <w:pStyle w:val="Contents2"/>
            <w:tabs>
              <w:tab w:val="clear" w:pos="8743"/>
              <w:tab w:val="right" w:pos="9026" w:leader="dot"/>
            </w:tabs>
            <w:rPr/>
          </w:pPr>
          <w:hyperlink w:anchor="__RefHeading___Toc16073308_2142443653">
            <w:r>
              <w:rPr>
                <w:webHidden/>
                <w:rStyle w:val="IndexLink"/>
              </w:rPr>
              <w:t>37</w:t>
            </w:r>
            <w:r>
              <w:rPr>
                <w:rStyle w:val="IndexLink"/>
                <w:rtl w:val="true"/>
              </w:rPr>
              <w:t xml:space="preserve"> - </w:t>
            </w:r>
            <w:r>
              <w:rPr>
                <w:rStyle w:val="IndexLink"/>
                <w:rtl w:val="true"/>
              </w:rPr>
              <w:t>قاعدة الفراش</w:t>
            </w:r>
            <w:r>
              <w:rPr>
                <w:rStyle w:val="IndexLink"/>
                <w:rtl w:val="true"/>
              </w:rPr>
              <w:tab/>
            </w:r>
            <w:r>
              <w:rPr>
                <w:rStyle w:val="IndexLink"/>
              </w:rPr>
              <w:t>26</w:t>
            </w:r>
          </w:hyperlink>
        </w:p>
        <w:p>
          <w:pPr>
            <w:pStyle w:val="Contents3"/>
            <w:tabs>
              <w:tab w:val="clear" w:pos="8459"/>
              <w:tab w:val="right" w:pos="9026" w:leader="dot"/>
            </w:tabs>
            <w:rPr/>
          </w:pPr>
          <w:hyperlink w:anchor="__RefHeading___Toc16073310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607331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بيان مدلول هذا الحديث والمتفاهم العرفي منه</w:t>
            </w:r>
            <w:r>
              <w:rPr>
                <w:rStyle w:val="IndexLink"/>
                <w:rtl w:val="true"/>
              </w:rPr>
              <w:tab/>
            </w:r>
            <w:r>
              <w:rPr>
                <w:rStyle w:val="IndexLink"/>
              </w:rPr>
              <w:t>30</w:t>
            </w:r>
          </w:hyperlink>
        </w:p>
        <w:p>
          <w:pPr>
            <w:pStyle w:val="Contents4"/>
            <w:tabs>
              <w:tab w:val="clear" w:pos="8176"/>
              <w:tab w:val="right" w:pos="9026" w:leader="dot"/>
            </w:tabs>
            <w:rPr/>
          </w:pPr>
          <w:hyperlink w:anchor="__RefHeading___Toc16073314_2142443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6073316_2142443653">
            <w:r>
              <w:rPr>
                <w:webHidden/>
                <w:rStyle w:val="IndexLink"/>
                <w:rtl w:val="true"/>
              </w:rPr>
              <w:t xml:space="preserve">وأمّا المتفاهم العرفي من هاتين الجملتين </w:t>
            </w:r>
            <w:r>
              <w:rPr>
                <w:rStyle w:val="IndexLink"/>
                <w:rtl w:val="true"/>
              </w:rPr>
              <w:t>:</w:t>
              <w:tab/>
            </w:r>
            <w:r>
              <w:rPr>
                <w:rStyle w:val="IndexLink"/>
              </w:rPr>
              <w:t>32</w:t>
            </w:r>
          </w:hyperlink>
        </w:p>
        <w:p>
          <w:pPr>
            <w:pStyle w:val="Contents3"/>
            <w:tabs>
              <w:tab w:val="clear" w:pos="8459"/>
              <w:tab w:val="right" w:pos="9026" w:leader="dot"/>
            </w:tabs>
            <w:rPr/>
          </w:pPr>
          <w:hyperlink w:anchor="__RefHeading___Toc1607331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في بيان جملة من موارد تطبيقها</w:t>
            </w:r>
            <w:r>
              <w:rPr>
                <w:rStyle w:val="IndexLink"/>
                <w:rtl w:val="true"/>
              </w:rPr>
              <w:tab/>
            </w:r>
            <w:r>
              <w:rPr>
                <w:rStyle w:val="IndexLink"/>
              </w:rPr>
              <w:t>36</w:t>
            </w:r>
          </w:hyperlink>
        </w:p>
        <w:p>
          <w:pPr>
            <w:pStyle w:val="Contents4"/>
            <w:tabs>
              <w:tab w:val="clear" w:pos="8176"/>
              <w:tab w:val="right" w:pos="9026" w:leader="dot"/>
            </w:tabs>
            <w:rPr/>
          </w:pPr>
          <w:hyperlink w:anchor="__RefHeading___Toc16073320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6073322_2142443653">
            <w:r>
              <w:rPr>
                <w:webHidden/>
                <w:rStyle w:val="IndexLink"/>
                <w:rtl w:val="true"/>
              </w:rPr>
              <w:t>تنبيه</w:t>
            </w:r>
            <w:r>
              <w:rPr>
                <w:rStyle w:val="IndexLink"/>
                <w:rtl w:val="true"/>
              </w:rPr>
              <w:tab/>
            </w:r>
            <w:r>
              <w:rPr>
                <w:rStyle w:val="IndexLink"/>
              </w:rPr>
              <w:t>53</w:t>
            </w:r>
          </w:hyperlink>
        </w:p>
        <w:p>
          <w:pPr>
            <w:pStyle w:val="Contents2"/>
            <w:tabs>
              <w:tab w:val="clear" w:pos="8743"/>
              <w:tab w:val="right" w:pos="9026" w:leader="dot"/>
            </w:tabs>
            <w:rPr/>
          </w:pPr>
          <w:hyperlink w:anchor="__RefHeading___Toc16073324_2142443653">
            <w:r>
              <w:rPr>
                <w:webHidden/>
                <w:rStyle w:val="IndexLink"/>
              </w:rPr>
              <w:t>38</w:t>
            </w:r>
            <w:r>
              <w:rPr>
                <w:rStyle w:val="IndexLink"/>
                <w:rtl w:val="true"/>
              </w:rPr>
              <w:t xml:space="preserve"> - </w:t>
            </w:r>
            <w:r>
              <w:rPr>
                <w:rStyle w:val="IndexLink"/>
                <w:rtl w:val="true"/>
              </w:rPr>
              <w:t>قاعدة وعلى اليد ما أخذت حتى تؤدّيه</w:t>
            </w:r>
            <w:r>
              <w:rPr>
                <w:rStyle w:val="IndexLink"/>
                <w:rtl w:val="true"/>
              </w:rPr>
              <w:tab/>
            </w:r>
            <w:r>
              <w:rPr>
                <w:rStyle w:val="IndexLink"/>
              </w:rPr>
              <w:t>56</w:t>
            </w:r>
          </w:hyperlink>
        </w:p>
        <w:p>
          <w:pPr>
            <w:pStyle w:val="Contents3"/>
            <w:tabs>
              <w:tab w:val="clear" w:pos="8459"/>
              <w:tab w:val="right" w:pos="9026" w:leader="dot"/>
            </w:tabs>
            <w:rPr/>
          </w:pPr>
          <w:hyperlink w:anchor="__RefHeading___Toc16073326_2142443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6073328_2142443653">
            <w:r>
              <w:rPr>
                <w:webHidden/>
                <w:rStyle w:val="IndexLink"/>
                <w:rtl w:val="true"/>
              </w:rPr>
              <w:t xml:space="preserve">الجهة الأولى </w:t>
            </w:r>
            <w:r>
              <w:rPr>
                <w:rStyle w:val="IndexLink"/>
                <w:rtl w:val="true"/>
              </w:rPr>
              <w:t xml:space="preserve">: </w:t>
            </w:r>
            <w:r>
              <w:rPr>
                <w:rStyle w:val="IndexLink"/>
                <w:rtl w:val="true"/>
              </w:rPr>
              <w:t>الفرق بين هذه القاعدة وقاعدة اليد</w:t>
            </w:r>
            <w:r>
              <w:rPr>
                <w:rStyle w:val="IndexLink"/>
                <w:rtl w:val="true"/>
              </w:rPr>
              <w:tab/>
            </w:r>
            <w:r>
              <w:rPr>
                <w:rStyle w:val="IndexLink"/>
              </w:rPr>
              <w:t>58</w:t>
            </w:r>
          </w:hyperlink>
        </w:p>
        <w:p>
          <w:pPr>
            <w:pStyle w:val="Contents3"/>
            <w:tabs>
              <w:tab w:val="clear" w:pos="8459"/>
              <w:tab w:val="right" w:pos="9026" w:leader="dot"/>
            </w:tabs>
            <w:rPr/>
          </w:pPr>
          <w:hyperlink w:anchor="__RefHeading___Toc16073330_2142443653">
            <w:r>
              <w:rPr>
                <w:webHidden/>
                <w:rStyle w:val="IndexLink"/>
                <w:rtl w:val="true"/>
              </w:rPr>
              <w:t xml:space="preserve">الجهة الثانية </w:t>
            </w:r>
            <w:r>
              <w:rPr>
                <w:rStyle w:val="IndexLink"/>
                <w:rtl w:val="true"/>
              </w:rPr>
              <w:t xml:space="preserve">: </w:t>
            </w:r>
            <w:r>
              <w:rPr>
                <w:rStyle w:val="IndexLink"/>
                <w:rtl w:val="true"/>
              </w:rPr>
              <w:t>في مدرك هذه القاعد</w:t>
            </w:r>
            <w:r>
              <w:rPr>
                <w:rStyle w:val="IndexLink"/>
                <w:rtl w:val="true"/>
              </w:rPr>
              <w:tab/>
            </w:r>
            <w:r>
              <w:rPr>
                <w:rStyle w:val="IndexLink"/>
              </w:rPr>
              <w:t>59</w:t>
            </w:r>
          </w:hyperlink>
        </w:p>
        <w:p>
          <w:pPr>
            <w:pStyle w:val="Contents4"/>
            <w:tabs>
              <w:tab w:val="clear" w:pos="8176"/>
              <w:tab w:val="right" w:pos="9026" w:leader="dot"/>
            </w:tabs>
            <w:rPr/>
          </w:pPr>
          <w:hyperlink w:anchor="__RefHeading___Toc16073332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6073334_2142443653">
            <w:r>
              <w:rPr>
                <w:webHidden/>
                <w:rStyle w:val="IndexLink"/>
                <w:rtl w:val="true"/>
              </w:rPr>
              <w:t>إنّ ها هنا أمور يجب ذكرها والتنبيه عليها</w:t>
            </w:r>
            <w:r>
              <w:rPr>
                <w:rStyle w:val="IndexLink"/>
                <w:rtl w:val="true"/>
              </w:rPr>
              <w:tab/>
            </w:r>
            <w:r>
              <w:rPr>
                <w:rStyle w:val="IndexLink"/>
              </w:rPr>
              <w:t>75</w:t>
            </w:r>
          </w:hyperlink>
        </w:p>
        <w:p>
          <w:pPr>
            <w:pStyle w:val="Contents4"/>
            <w:tabs>
              <w:tab w:val="clear" w:pos="8176"/>
              <w:tab w:val="right" w:pos="9026" w:leader="dot"/>
            </w:tabs>
            <w:rPr/>
          </w:pPr>
          <w:hyperlink w:anchor="__RefHeading___Toc16073336_2142443653">
            <w:r>
              <w:rPr>
                <w:webHidden/>
                <w:rStyle w:val="IndexLink"/>
                <w:rtl w:val="true"/>
              </w:rPr>
              <w:t xml:space="preserve">ولتوضيح المقام وتنقيحه نقدّم أمورا </w:t>
            </w:r>
            <w:r>
              <w:rPr>
                <w:rStyle w:val="IndexLink"/>
                <w:rtl w:val="true"/>
              </w:rPr>
              <w:t>:</w:t>
              <w:tab/>
            </w:r>
            <w:r>
              <w:rPr>
                <w:rStyle w:val="IndexLink"/>
              </w:rPr>
              <w:t>77</w:t>
            </w:r>
          </w:hyperlink>
        </w:p>
        <w:p>
          <w:pPr>
            <w:pStyle w:val="Contents4"/>
            <w:tabs>
              <w:tab w:val="clear" w:pos="8176"/>
              <w:tab w:val="right" w:pos="9026" w:leader="dot"/>
            </w:tabs>
            <w:rPr/>
          </w:pPr>
          <w:hyperlink w:anchor="__RefHeading___Toc16073338_2142443653">
            <w:r>
              <w:rPr>
                <w:webHidden/>
                <w:rStyle w:val="IndexLink"/>
                <w:rtl w:val="true"/>
              </w:rPr>
              <w:t>ثمَّ انّ ها هنا أمور يجب التنبيه عليها</w:t>
            </w:r>
            <w:r>
              <w:rPr>
                <w:rStyle w:val="IndexLink"/>
                <w:rtl w:val="true"/>
              </w:rPr>
              <w:tab/>
            </w:r>
            <w:r>
              <w:rPr>
                <w:rStyle w:val="IndexLink"/>
              </w:rPr>
              <w:t>91</w:t>
            </w:r>
          </w:hyperlink>
        </w:p>
        <w:p>
          <w:pPr>
            <w:pStyle w:val="Contents4"/>
            <w:tabs>
              <w:tab w:val="clear" w:pos="8176"/>
              <w:tab w:val="right" w:pos="9026" w:leader="dot"/>
            </w:tabs>
            <w:rPr/>
          </w:pPr>
          <w:hyperlink w:anchor="__RefHeading___Toc16073340_2142443653">
            <w:r>
              <w:rPr>
                <w:webHidden/>
                <w:rStyle w:val="IndexLink"/>
                <w:rtl w:val="true"/>
              </w:rPr>
              <w:t xml:space="preserve">فرع آخر </w:t>
            </w:r>
            <w:r>
              <w:rPr>
                <w:rStyle w:val="IndexLink"/>
                <w:rtl w:val="true"/>
              </w:rPr>
              <w:t>:</w:t>
              <w:tab/>
            </w:r>
            <w:r>
              <w:rPr>
                <w:rStyle w:val="IndexLink"/>
              </w:rPr>
              <w:t>97</w:t>
            </w:r>
          </w:hyperlink>
        </w:p>
        <w:p>
          <w:pPr>
            <w:pStyle w:val="Contents4"/>
            <w:tabs>
              <w:tab w:val="clear" w:pos="8176"/>
              <w:tab w:val="right" w:pos="9026" w:leader="dot"/>
            </w:tabs>
            <w:rPr/>
          </w:pPr>
          <w:hyperlink w:anchor="__RefHeading___Toc16073342_2142443653">
            <w:r>
              <w:rPr>
                <w:webHidden/>
                <w:rStyle w:val="IndexLink"/>
                <w:rtl w:val="true"/>
              </w:rPr>
              <w:t>وها هنا تنبيهات</w:t>
            </w:r>
            <w:r>
              <w:rPr>
                <w:rStyle w:val="IndexLink"/>
                <w:rtl w:val="true"/>
              </w:rPr>
              <w:tab/>
            </w:r>
            <w:r>
              <w:rPr>
                <w:rStyle w:val="IndexLink"/>
              </w:rPr>
              <w:t>108</w:t>
            </w:r>
          </w:hyperlink>
        </w:p>
        <w:p>
          <w:pPr>
            <w:pStyle w:val="Contents2"/>
            <w:tabs>
              <w:tab w:val="clear" w:pos="8743"/>
              <w:tab w:val="right" w:pos="9026" w:leader="dot"/>
            </w:tabs>
            <w:rPr/>
          </w:pPr>
          <w:hyperlink w:anchor="__RefHeading___Toc16073344_2142443653">
            <w:r>
              <w:rPr>
                <w:webHidden/>
                <w:rStyle w:val="IndexLink"/>
              </w:rPr>
              <w:t>39</w:t>
            </w:r>
            <w:r>
              <w:rPr>
                <w:rStyle w:val="IndexLink"/>
                <w:rtl w:val="true"/>
              </w:rPr>
              <w:t xml:space="preserve"> - </w:t>
            </w:r>
            <w:r>
              <w:rPr>
                <w:rStyle w:val="IndexLink"/>
                <w:rtl w:val="true"/>
              </w:rPr>
              <w:t>قاعدة مشروعيّة عبادات الصبيّ</w:t>
            </w:r>
            <w:r>
              <w:rPr>
                <w:rStyle w:val="IndexLink"/>
                <w:rtl w:val="true"/>
              </w:rPr>
              <w:tab/>
            </w:r>
            <w:r>
              <w:rPr>
                <w:rStyle w:val="IndexLink"/>
              </w:rPr>
              <w:t>112</w:t>
            </w:r>
          </w:hyperlink>
        </w:p>
        <w:p>
          <w:pPr>
            <w:pStyle w:val="Contents3"/>
            <w:tabs>
              <w:tab w:val="clear" w:pos="8459"/>
              <w:tab w:val="right" w:pos="9026" w:leader="dot"/>
            </w:tabs>
            <w:rPr/>
          </w:pPr>
          <w:hyperlink w:anchor="__RefHeading___Toc16073346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607334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المراد منها ، والأقوال فيها ، وما هو المختار منها</w:t>
            </w:r>
            <w:r>
              <w:rPr>
                <w:rStyle w:val="IndexLink"/>
                <w:rtl w:val="true"/>
              </w:rPr>
              <w:tab/>
            </w:r>
            <w:r>
              <w:rPr>
                <w:rStyle w:val="IndexLink"/>
              </w:rPr>
              <w:t>114</w:t>
            </w:r>
          </w:hyperlink>
        </w:p>
        <w:p>
          <w:pPr>
            <w:pStyle w:val="Contents3"/>
            <w:tabs>
              <w:tab w:val="clear" w:pos="8459"/>
              <w:tab w:val="right" w:pos="9026" w:leader="dot"/>
            </w:tabs>
            <w:rPr/>
          </w:pPr>
          <w:hyperlink w:anchor="__RefHeading___Toc16073350_2142443653">
            <w:r>
              <w:rPr>
                <w:webHidden/>
                <w:rStyle w:val="IndexLink"/>
                <w:rtl w:val="true"/>
              </w:rPr>
              <w:t xml:space="preserve">الجهة الثانية </w:t>
            </w:r>
            <w:r>
              <w:rPr>
                <w:rStyle w:val="IndexLink"/>
                <w:rtl w:val="true"/>
              </w:rPr>
              <w:t xml:space="preserve">: </w:t>
            </w:r>
            <w:r>
              <w:rPr>
                <w:rStyle w:val="IndexLink"/>
                <w:rtl w:val="true"/>
              </w:rPr>
              <w:t>في بيان مدرك هذه القاعدة</w:t>
            </w:r>
            <w:r>
              <w:rPr>
                <w:rStyle w:val="IndexLink"/>
                <w:rtl w:val="true"/>
              </w:rPr>
              <w:tab/>
            </w:r>
            <w:r>
              <w:rPr>
                <w:rStyle w:val="IndexLink"/>
              </w:rPr>
              <w:t>117</w:t>
            </w:r>
          </w:hyperlink>
        </w:p>
        <w:p>
          <w:pPr>
            <w:pStyle w:val="Contents3"/>
            <w:tabs>
              <w:tab w:val="clear" w:pos="8459"/>
              <w:tab w:val="right" w:pos="9026" w:leader="dot"/>
            </w:tabs>
            <w:rPr/>
          </w:pPr>
          <w:hyperlink w:anchor="__RefHeading___Toc16073352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 هذه القاعدة ، والفروع المترتّبة عليها</w:t>
            </w:r>
            <w:r>
              <w:rPr>
                <w:rStyle w:val="IndexLink"/>
                <w:rtl w:val="true"/>
              </w:rPr>
              <w:tab/>
            </w:r>
            <w:r>
              <w:rPr>
                <w:rStyle w:val="IndexLink"/>
              </w:rPr>
              <w:t>125</w:t>
            </w:r>
          </w:hyperlink>
        </w:p>
        <w:p>
          <w:pPr>
            <w:pStyle w:val="Contents2"/>
            <w:tabs>
              <w:tab w:val="clear" w:pos="8743"/>
              <w:tab w:val="right" w:pos="9026" w:leader="dot"/>
            </w:tabs>
            <w:rPr/>
          </w:pPr>
          <w:hyperlink w:anchor="__RefHeading___Toc16073354_2142443653">
            <w:r>
              <w:rPr>
                <w:webHidden/>
                <w:rStyle w:val="IndexLink"/>
              </w:rPr>
              <w:t>40</w:t>
            </w:r>
            <w:r>
              <w:rPr>
                <w:rStyle w:val="IndexLink"/>
                <w:rtl w:val="true"/>
              </w:rPr>
              <w:t xml:space="preserve"> - </w:t>
            </w:r>
            <w:r>
              <w:rPr>
                <w:rStyle w:val="IndexLink"/>
                <w:rtl w:val="true"/>
              </w:rPr>
              <w:t>قاعدة الميسور</w:t>
            </w:r>
            <w:r>
              <w:rPr>
                <w:rStyle w:val="IndexLink"/>
                <w:rtl w:val="true"/>
              </w:rPr>
              <w:tab/>
            </w:r>
            <w:r>
              <w:rPr>
                <w:rStyle w:val="IndexLink"/>
              </w:rPr>
              <w:t>130</w:t>
            </w:r>
          </w:hyperlink>
        </w:p>
        <w:p>
          <w:pPr>
            <w:pStyle w:val="Contents3"/>
            <w:tabs>
              <w:tab w:val="clear" w:pos="8459"/>
              <w:tab w:val="right" w:pos="9026" w:leader="dot"/>
            </w:tabs>
            <w:rPr/>
          </w:pPr>
          <w:hyperlink w:anchor="__RefHeading___Toc16073356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607335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مفادها</w:t>
            </w:r>
            <w:r>
              <w:rPr>
                <w:rStyle w:val="IndexLink"/>
                <w:rtl w:val="true"/>
              </w:rPr>
              <w:tab/>
            </w:r>
            <w:r>
              <w:rPr>
                <w:rStyle w:val="IndexLink"/>
              </w:rPr>
              <w:t>132</w:t>
            </w:r>
          </w:hyperlink>
        </w:p>
        <w:p>
          <w:pPr>
            <w:pStyle w:val="Contents3"/>
            <w:tabs>
              <w:tab w:val="clear" w:pos="8459"/>
              <w:tab w:val="right" w:pos="9026" w:leader="dot"/>
            </w:tabs>
            <w:rPr/>
          </w:pPr>
          <w:hyperlink w:anchor="__RefHeading___Toc1607336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مدركها</w:t>
            </w:r>
            <w:r>
              <w:rPr>
                <w:rStyle w:val="IndexLink"/>
                <w:rtl w:val="true"/>
              </w:rPr>
              <w:tab/>
            </w:r>
            <w:r>
              <w:rPr>
                <w:rStyle w:val="IndexLink"/>
              </w:rPr>
              <w:t>133</w:t>
            </w:r>
          </w:hyperlink>
        </w:p>
        <w:p>
          <w:pPr>
            <w:pStyle w:val="Contents4"/>
            <w:tabs>
              <w:tab w:val="clear" w:pos="8176"/>
              <w:tab w:val="right" w:pos="9026" w:leader="dot"/>
            </w:tabs>
            <w:rPr/>
          </w:pPr>
          <w:hyperlink w:anchor="__RefHeading___Toc16073362_2142443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6073364_2142443653">
            <w:r>
              <w:rPr>
                <w:webHidden/>
                <w:rStyle w:val="IndexLink"/>
                <w:rtl w:val="true"/>
              </w:rPr>
              <w:t xml:space="preserve">ثمَّ إنّ تقرير الاستصحاب ها هنا من وجوه </w:t>
            </w:r>
            <w:r>
              <w:rPr>
                <w:rStyle w:val="IndexLink"/>
                <w:rtl w:val="true"/>
              </w:rPr>
              <w:t>:</w:t>
              <w:tab/>
            </w:r>
            <w:r>
              <w:rPr>
                <w:rStyle w:val="IndexLink"/>
              </w:rPr>
              <w:t>134</w:t>
            </w:r>
          </w:hyperlink>
        </w:p>
        <w:p>
          <w:pPr>
            <w:pStyle w:val="Contents4"/>
            <w:tabs>
              <w:tab w:val="clear" w:pos="8176"/>
              <w:tab w:val="right" w:pos="9026" w:leader="dot"/>
            </w:tabs>
            <w:rPr/>
          </w:pPr>
          <w:hyperlink w:anchor="__RefHeading___Toc16073366_2142443653">
            <w:r>
              <w:rPr>
                <w:webHidden/>
                <w:rStyle w:val="IndexLink"/>
                <w:rtl w:val="true"/>
              </w:rPr>
              <w:t>وعمدة الكلام هو التكلّم في دلالتها</w:t>
            </w:r>
            <w:r>
              <w:rPr>
                <w:rStyle w:val="IndexLink"/>
                <w:rtl w:val="true"/>
              </w:rPr>
              <w:tab/>
            </w:r>
            <w:r>
              <w:rPr>
                <w:rStyle w:val="IndexLink"/>
              </w:rPr>
              <w:t>141</w:t>
            </w:r>
          </w:hyperlink>
        </w:p>
        <w:p>
          <w:pPr>
            <w:pStyle w:val="Contents3"/>
            <w:tabs>
              <w:tab w:val="clear" w:pos="8459"/>
              <w:tab w:val="right" w:pos="9026" w:leader="dot"/>
            </w:tabs>
            <w:rPr/>
          </w:pPr>
          <w:hyperlink w:anchor="__RefHeading___Toc16073368_2142443653">
            <w:r>
              <w:rPr>
                <w:webHidden/>
                <w:rStyle w:val="IndexLink"/>
                <w:rtl w:val="true"/>
              </w:rPr>
              <w:t xml:space="preserve">الجهة الثالثة </w:t>
            </w:r>
            <w:r>
              <w:rPr>
                <w:rStyle w:val="IndexLink"/>
                <w:rtl w:val="true"/>
              </w:rPr>
              <w:t xml:space="preserve">: </w:t>
            </w:r>
            <w:r>
              <w:rPr>
                <w:rStyle w:val="IndexLink"/>
                <w:rtl w:val="true"/>
              </w:rPr>
              <w:t>في موارد تطبيقها</w:t>
            </w:r>
            <w:r>
              <w:rPr>
                <w:rStyle w:val="IndexLink"/>
                <w:rtl w:val="true"/>
              </w:rPr>
              <w:tab/>
            </w:r>
            <w:r>
              <w:rPr>
                <w:rStyle w:val="IndexLink"/>
              </w:rPr>
              <w:t>151</w:t>
            </w:r>
          </w:hyperlink>
        </w:p>
        <w:p>
          <w:pPr>
            <w:pStyle w:val="Contents3"/>
            <w:tabs>
              <w:tab w:val="clear" w:pos="8459"/>
              <w:tab w:val="right" w:pos="9026" w:leader="dot"/>
            </w:tabs>
            <w:rPr/>
          </w:pPr>
          <w:hyperlink w:anchor="__RefHeading___Toc16073370_2142443653">
            <w:r>
              <w:rPr>
                <w:webHidden/>
                <w:rStyle w:val="IndexLink"/>
              </w:rPr>
              <w:t>41</w:t>
            </w:r>
            <w:r>
              <w:rPr>
                <w:rStyle w:val="IndexLink"/>
                <w:rtl w:val="true"/>
              </w:rPr>
              <w:t xml:space="preserve"> - </w:t>
            </w:r>
            <w:r>
              <w:rPr>
                <w:rStyle w:val="IndexLink"/>
                <w:rtl w:val="true"/>
              </w:rPr>
              <w:t>قاعدة السوق</w:t>
            </w:r>
            <w:r>
              <w:rPr>
                <w:rStyle w:val="IndexLink"/>
                <w:rtl w:val="true"/>
              </w:rPr>
              <w:tab/>
            </w:r>
            <w:r>
              <w:rPr>
                <w:rStyle w:val="IndexLink"/>
              </w:rPr>
              <w:t>158</w:t>
            </w:r>
          </w:hyperlink>
        </w:p>
        <w:p>
          <w:pPr>
            <w:pStyle w:val="Contents3"/>
            <w:tabs>
              <w:tab w:val="clear" w:pos="8459"/>
              <w:tab w:val="right" w:pos="9026" w:leader="dot"/>
            </w:tabs>
            <w:rPr/>
          </w:pPr>
          <w:hyperlink w:anchor="__RefHeading___Toc1607337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160</w:t>
            </w:r>
          </w:hyperlink>
        </w:p>
        <w:p>
          <w:pPr>
            <w:pStyle w:val="Contents3"/>
            <w:tabs>
              <w:tab w:val="clear" w:pos="8459"/>
              <w:tab w:val="right" w:pos="9026" w:leader="dot"/>
            </w:tabs>
            <w:rPr/>
          </w:pPr>
          <w:hyperlink w:anchor="__RefHeading___Toc16073374_2142443653">
            <w:r>
              <w:rPr>
                <w:webHidden/>
                <w:rStyle w:val="IndexLink"/>
                <w:rtl w:val="true"/>
              </w:rPr>
              <w:t>الجهة الثانية</w:t>
            </w:r>
            <w:r>
              <w:rPr>
                <w:rStyle w:val="IndexLink"/>
                <w:rtl w:val="true"/>
              </w:rPr>
              <w:tab/>
            </w:r>
            <w:r>
              <w:rPr>
                <w:rStyle w:val="IndexLink"/>
              </w:rPr>
              <w:t>163</w:t>
            </w:r>
          </w:hyperlink>
        </w:p>
        <w:p>
          <w:pPr>
            <w:pStyle w:val="Contents3"/>
            <w:tabs>
              <w:tab w:val="clear" w:pos="8459"/>
              <w:tab w:val="right" w:pos="9026" w:leader="dot"/>
            </w:tabs>
            <w:rPr/>
          </w:pPr>
          <w:hyperlink w:anchor="__RefHeading___Toc16073376_2142443653">
            <w:r>
              <w:rPr>
                <w:webHidden/>
                <w:rStyle w:val="IndexLink"/>
                <w:rtl w:val="true"/>
              </w:rPr>
              <w:t>الجهة الثالثة</w:t>
            </w:r>
            <w:r>
              <w:rPr>
                <w:rStyle w:val="IndexLink"/>
                <w:rtl w:val="true"/>
              </w:rPr>
              <w:tab/>
            </w:r>
            <w:r>
              <w:rPr>
                <w:rStyle w:val="IndexLink"/>
              </w:rPr>
              <w:t>164</w:t>
            </w:r>
          </w:hyperlink>
        </w:p>
        <w:p>
          <w:pPr>
            <w:pStyle w:val="Contents3"/>
            <w:tabs>
              <w:tab w:val="clear" w:pos="8459"/>
              <w:tab w:val="right" w:pos="9026" w:leader="dot"/>
            </w:tabs>
            <w:rPr/>
          </w:pPr>
          <w:hyperlink w:anchor="__RefHeading___Toc1607337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الرابعة</w:t>
            </w:r>
            <w:r>
              <w:rPr>
                <w:rStyle w:val="IndexLink"/>
                <w:rtl w:val="true"/>
              </w:rPr>
              <w:tab/>
            </w:r>
            <w:r>
              <w:rPr>
                <w:rStyle w:val="IndexLink"/>
              </w:rPr>
              <w:t>170</w:t>
            </w:r>
          </w:hyperlink>
        </w:p>
        <w:p>
          <w:pPr>
            <w:pStyle w:val="Contents3"/>
            <w:tabs>
              <w:tab w:val="clear" w:pos="8459"/>
              <w:tab w:val="right" w:pos="9026" w:leader="dot"/>
            </w:tabs>
            <w:rPr/>
          </w:pPr>
          <w:hyperlink w:anchor="__RefHeading___Toc1607338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الخامسة </w:t>
            </w:r>
            <w:r>
              <w:rPr>
                <w:rStyle w:val="IndexLink"/>
                <w:rtl w:val="true"/>
              </w:rPr>
              <w:t xml:space="preserve">: </w:t>
            </w:r>
            <w:r>
              <w:rPr>
                <w:rStyle w:val="IndexLink"/>
                <w:rtl w:val="true"/>
              </w:rPr>
              <w:t>في نسبة هذه القاعدة مع غيرها من الأدلّة في مقام التعارض</w:t>
            </w:r>
            <w:r>
              <w:rPr>
                <w:rStyle w:val="IndexLink"/>
                <w:rtl w:val="true"/>
              </w:rPr>
              <w:tab/>
            </w:r>
            <w:r>
              <w:rPr>
                <w:rStyle w:val="IndexLink"/>
              </w:rPr>
              <w:t>173</w:t>
            </w:r>
          </w:hyperlink>
        </w:p>
        <w:p>
          <w:pPr>
            <w:pStyle w:val="Contents3"/>
            <w:tabs>
              <w:tab w:val="clear" w:pos="8459"/>
              <w:tab w:val="right" w:pos="9026" w:leader="dot"/>
            </w:tabs>
            <w:rPr/>
          </w:pPr>
          <w:hyperlink w:anchor="__RefHeading___Toc1607338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السادسة </w:t>
            </w:r>
            <w:r>
              <w:rPr>
                <w:rStyle w:val="IndexLink"/>
                <w:rtl w:val="true"/>
              </w:rPr>
              <w:t xml:space="preserve">: </w:t>
            </w:r>
            <w:r>
              <w:rPr>
                <w:rStyle w:val="IndexLink"/>
                <w:rtl w:val="true"/>
              </w:rPr>
              <w:t>في مورد تطبيق هذه القاعدة</w:t>
            </w:r>
            <w:r>
              <w:rPr>
                <w:rStyle w:val="IndexLink"/>
                <w:rtl w:val="true"/>
              </w:rPr>
              <w:tab/>
            </w:r>
            <w:r>
              <w:rPr>
                <w:rStyle w:val="IndexLink"/>
              </w:rPr>
              <w:t>174</w:t>
            </w:r>
          </w:hyperlink>
        </w:p>
        <w:p>
          <w:pPr>
            <w:pStyle w:val="Contents2"/>
            <w:tabs>
              <w:tab w:val="clear" w:pos="8743"/>
              <w:tab w:val="right" w:pos="9026" w:leader="dot"/>
            </w:tabs>
            <w:rPr/>
          </w:pPr>
          <w:hyperlink w:anchor="__RefHeading___Toc16073384_2142443653">
            <w:r>
              <w:rPr>
                <w:webHidden/>
                <w:rStyle w:val="IndexLink"/>
              </w:rPr>
              <w:t>42</w:t>
            </w:r>
            <w:r>
              <w:rPr>
                <w:rStyle w:val="IndexLink"/>
                <w:rtl w:val="true"/>
              </w:rPr>
              <w:t xml:space="preserve"> - </w:t>
            </w:r>
            <w:r>
              <w:rPr>
                <w:rStyle w:val="IndexLink"/>
                <w:rtl w:val="true"/>
              </w:rPr>
              <w:t>قاعدة عدم اشتراط الأحكام الوضعيّة بالبلوغ</w:t>
            </w:r>
            <w:r>
              <w:rPr>
                <w:rStyle w:val="IndexLink"/>
                <w:rtl w:val="true"/>
              </w:rPr>
              <w:tab/>
            </w:r>
            <w:r>
              <w:rPr>
                <w:rStyle w:val="IndexLink"/>
              </w:rPr>
              <w:t>176</w:t>
            </w:r>
          </w:hyperlink>
        </w:p>
        <w:p>
          <w:pPr>
            <w:pStyle w:val="Contents3"/>
            <w:tabs>
              <w:tab w:val="clear" w:pos="8459"/>
              <w:tab w:val="right" w:pos="9026" w:leader="dot"/>
            </w:tabs>
            <w:rPr/>
          </w:pPr>
          <w:hyperlink w:anchor="__RefHeading___Toc16073386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607338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مدلولها</w:t>
            </w:r>
            <w:r>
              <w:rPr>
                <w:rStyle w:val="IndexLink"/>
                <w:rtl w:val="true"/>
              </w:rPr>
              <w:tab/>
            </w:r>
            <w:r>
              <w:rPr>
                <w:rStyle w:val="IndexLink"/>
              </w:rPr>
              <w:t>178</w:t>
            </w:r>
          </w:hyperlink>
        </w:p>
        <w:p>
          <w:pPr>
            <w:pStyle w:val="Contents3"/>
            <w:tabs>
              <w:tab w:val="clear" w:pos="8459"/>
              <w:tab w:val="right" w:pos="9026" w:leader="dot"/>
            </w:tabs>
            <w:rPr/>
          </w:pPr>
          <w:hyperlink w:anchor="__RefHeading___Toc1607339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بيان المراد من هذه القاعدة</w:t>
            </w:r>
            <w:r>
              <w:rPr>
                <w:rStyle w:val="IndexLink"/>
                <w:rtl w:val="true"/>
              </w:rPr>
              <w:tab/>
            </w:r>
            <w:r>
              <w:rPr>
                <w:rStyle w:val="IndexLink"/>
              </w:rPr>
              <w:t>185</w:t>
            </w:r>
          </w:hyperlink>
        </w:p>
        <w:p>
          <w:pPr>
            <w:pStyle w:val="Contents3"/>
            <w:tabs>
              <w:tab w:val="clear" w:pos="8459"/>
              <w:tab w:val="right" w:pos="9026" w:leader="dot"/>
            </w:tabs>
            <w:rPr/>
          </w:pPr>
          <w:hyperlink w:anchor="__RefHeading___Toc1607339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في بيان موارد تطبيق هذه القاعدة</w:t>
            </w:r>
            <w:r>
              <w:rPr>
                <w:rStyle w:val="IndexLink"/>
                <w:rtl w:val="true"/>
              </w:rPr>
              <w:tab/>
            </w:r>
            <w:r>
              <w:rPr>
                <w:rStyle w:val="IndexLink"/>
              </w:rPr>
              <w:t>186</w:t>
            </w:r>
          </w:hyperlink>
        </w:p>
        <w:p>
          <w:pPr>
            <w:pStyle w:val="Contents2"/>
            <w:tabs>
              <w:tab w:val="clear" w:pos="8743"/>
              <w:tab w:val="right" w:pos="9026" w:leader="dot"/>
            </w:tabs>
            <w:rPr/>
          </w:pPr>
          <w:hyperlink w:anchor="__RefHeading___Toc16073394_2142443653">
            <w:r>
              <w:rPr>
                <w:webHidden/>
                <w:rStyle w:val="IndexLink"/>
              </w:rPr>
              <w:t>43</w:t>
            </w:r>
            <w:r>
              <w:rPr>
                <w:rStyle w:val="IndexLink"/>
                <w:rtl w:val="true"/>
              </w:rPr>
              <w:t xml:space="preserve"> - </w:t>
            </w:r>
            <w:r>
              <w:rPr>
                <w:rStyle w:val="IndexLink"/>
                <w:rtl w:val="true"/>
              </w:rPr>
              <w:t>قاعدة الشرط الفاسد ليس بمفسد للعقد</w:t>
            </w:r>
            <w:r>
              <w:rPr>
                <w:rStyle w:val="IndexLink"/>
                <w:rtl w:val="true"/>
              </w:rPr>
              <w:tab/>
            </w:r>
            <w:r>
              <w:rPr>
                <w:rStyle w:val="IndexLink"/>
              </w:rPr>
              <w:t>192</w:t>
            </w:r>
          </w:hyperlink>
        </w:p>
        <w:p>
          <w:pPr>
            <w:pStyle w:val="Contents3"/>
            <w:tabs>
              <w:tab w:val="clear" w:pos="8459"/>
              <w:tab w:val="right" w:pos="9026" w:leader="dot"/>
            </w:tabs>
            <w:rPr/>
          </w:pPr>
          <w:hyperlink w:anchor="__RefHeading___Toc16073396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607339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الأقوال فيها</w:t>
            </w:r>
            <w:r>
              <w:rPr>
                <w:rStyle w:val="IndexLink"/>
                <w:rtl w:val="true"/>
              </w:rPr>
              <w:tab/>
            </w:r>
            <w:r>
              <w:rPr>
                <w:rStyle w:val="IndexLink"/>
              </w:rPr>
              <w:t>194</w:t>
            </w:r>
          </w:hyperlink>
        </w:p>
        <w:p>
          <w:pPr>
            <w:pStyle w:val="Contents3"/>
            <w:tabs>
              <w:tab w:val="clear" w:pos="8459"/>
              <w:tab w:val="right" w:pos="9026" w:leader="dot"/>
            </w:tabs>
            <w:rPr/>
          </w:pPr>
          <w:hyperlink w:anchor="__RefHeading___Toc1607340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الثانية</w:t>
            </w:r>
            <w:r>
              <w:rPr>
                <w:rStyle w:val="IndexLink"/>
                <w:rtl w:val="true"/>
              </w:rPr>
              <w:tab/>
            </w:r>
            <w:r>
              <w:rPr>
                <w:rStyle w:val="IndexLink"/>
              </w:rPr>
              <w:t>195</w:t>
            </w:r>
          </w:hyperlink>
        </w:p>
        <w:p>
          <w:pPr>
            <w:pStyle w:val="Contents3"/>
            <w:tabs>
              <w:tab w:val="clear" w:pos="8459"/>
              <w:tab w:val="right" w:pos="9026" w:leader="dot"/>
            </w:tabs>
            <w:rPr/>
          </w:pPr>
          <w:hyperlink w:anchor="__RefHeading___Toc1607340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في تعيين ما هو محلّ النزاع ، وبيان مورد ما وقع فيه الخلاف</w:t>
            </w:r>
            <w:r>
              <w:rPr>
                <w:rStyle w:val="IndexLink"/>
                <w:rtl w:val="true"/>
              </w:rPr>
              <w:tab/>
            </w:r>
            <w:r>
              <w:rPr>
                <w:rStyle w:val="IndexLink"/>
              </w:rPr>
              <w:t>197</w:t>
            </w:r>
          </w:hyperlink>
        </w:p>
        <w:p>
          <w:pPr>
            <w:pStyle w:val="Contents4"/>
            <w:tabs>
              <w:tab w:val="clear" w:pos="8176"/>
              <w:tab w:val="right" w:pos="9026" w:leader="dot"/>
            </w:tabs>
            <w:rPr/>
          </w:pPr>
          <w:hyperlink w:anchor="__RefHeading___Toc16073404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6073406_2142443653">
            <w:r>
              <w:rPr>
                <w:webHidden/>
                <w:rStyle w:val="IndexLink"/>
                <w:rtl w:val="true"/>
              </w:rPr>
              <w:t xml:space="preserve">وفي هذا الجواب نظر من وجوه عديدة </w:t>
            </w:r>
            <w:r>
              <w:rPr>
                <w:rStyle w:val="IndexLink"/>
                <w:rtl w:val="true"/>
              </w:rPr>
              <w:t>:</w:t>
              <w:tab/>
            </w:r>
            <w:r>
              <w:rPr>
                <w:rStyle w:val="IndexLink"/>
              </w:rPr>
              <w:t>212</w:t>
            </w:r>
          </w:hyperlink>
        </w:p>
        <w:p>
          <w:pPr>
            <w:pStyle w:val="Contents4"/>
            <w:tabs>
              <w:tab w:val="clear" w:pos="8176"/>
              <w:tab w:val="right" w:pos="9026" w:leader="dot"/>
            </w:tabs>
            <w:rPr/>
          </w:pPr>
          <w:hyperlink w:anchor="__RefHeading___Toc16073408_2142443653">
            <w:r>
              <w:rPr>
                <w:webHidden/>
                <w:rStyle w:val="IndexLink"/>
                <w:rtl w:val="true"/>
              </w:rPr>
              <w:t>ها هنا أمور يجب أن يذكر</w:t>
            </w:r>
            <w:r>
              <w:rPr>
                <w:rStyle w:val="IndexLink"/>
                <w:rtl w:val="true"/>
              </w:rPr>
              <w:tab/>
            </w:r>
            <w:r>
              <w:rPr>
                <w:rStyle w:val="IndexLink"/>
              </w:rPr>
              <w:t>220</w:t>
            </w:r>
          </w:hyperlink>
        </w:p>
        <w:p>
          <w:pPr>
            <w:pStyle w:val="Contents2"/>
            <w:tabs>
              <w:tab w:val="clear" w:pos="8743"/>
              <w:tab w:val="right" w:pos="9026" w:leader="dot"/>
            </w:tabs>
            <w:rPr/>
          </w:pPr>
          <w:hyperlink w:anchor="__RefHeading___Toc16073410_2142443653">
            <w:r>
              <w:rPr>
                <w:webHidden/>
                <w:rStyle w:val="IndexLink"/>
              </w:rPr>
              <w:t>44</w:t>
            </w:r>
            <w:r>
              <w:rPr>
                <w:rStyle w:val="IndexLink"/>
                <w:rtl w:val="true"/>
              </w:rPr>
              <w:t xml:space="preserve"> - </w:t>
            </w:r>
            <w:r>
              <w:rPr>
                <w:rStyle w:val="IndexLink"/>
                <w:rtl w:val="true"/>
              </w:rPr>
              <w:t>قاعدة الوقوف على حسب ما يوقفها أهلها</w:t>
            </w:r>
            <w:r>
              <w:rPr>
                <w:rStyle w:val="IndexLink"/>
                <w:rtl w:val="true"/>
              </w:rPr>
              <w:tab/>
            </w:r>
            <w:r>
              <w:rPr>
                <w:rStyle w:val="IndexLink"/>
              </w:rPr>
              <w:t>232</w:t>
            </w:r>
          </w:hyperlink>
        </w:p>
        <w:p>
          <w:pPr>
            <w:pStyle w:val="Contents3"/>
            <w:tabs>
              <w:tab w:val="clear" w:pos="8459"/>
              <w:tab w:val="right" w:pos="9026" w:leader="dot"/>
            </w:tabs>
            <w:rPr/>
          </w:pPr>
          <w:hyperlink w:anchor="__RefHeading___Toc16073412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607341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بيان مدركها</w:t>
            </w:r>
            <w:r>
              <w:rPr>
                <w:rStyle w:val="IndexLink"/>
                <w:rtl w:val="true"/>
              </w:rPr>
              <w:tab/>
            </w:r>
            <w:r>
              <w:rPr>
                <w:rStyle w:val="IndexLink"/>
              </w:rPr>
              <w:t>234</w:t>
            </w:r>
          </w:hyperlink>
        </w:p>
        <w:p>
          <w:pPr>
            <w:pStyle w:val="Contents3"/>
            <w:tabs>
              <w:tab w:val="clear" w:pos="8459"/>
              <w:tab w:val="right" w:pos="9026" w:leader="dot"/>
            </w:tabs>
            <w:rPr/>
          </w:pPr>
          <w:hyperlink w:anchor="__RefHeading___Toc1607341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بيان المراد منها</w:t>
            </w:r>
            <w:r>
              <w:rPr>
                <w:rStyle w:val="IndexLink"/>
                <w:rtl w:val="true"/>
              </w:rPr>
              <w:tab/>
            </w:r>
            <w:r>
              <w:rPr>
                <w:rStyle w:val="IndexLink"/>
              </w:rPr>
              <w:t>235</w:t>
            </w:r>
          </w:hyperlink>
        </w:p>
        <w:p>
          <w:pPr>
            <w:pStyle w:val="Contents4"/>
            <w:tabs>
              <w:tab w:val="clear" w:pos="8176"/>
              <w:tab w:val="right" w:pos="9026" w:leader="dot"/>
            </w:tabs>
            <w:rPr/>
          </w:pPr>
          <w:hyperlink w:anchor="__RefHeading___Toc16073418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6073420_2142443653">
            <w:r>
              <w:rPr>
                <w:webHidden/>
                <w:rStyle w:val="IndexLink"/>
                <w:rtl w:val="true"/>
              </w:rPr>
              <w:t xml:space="preserve">المطلب الأوّل </w:t>
            </w:r>
            <w:r>
              <w:rPr>
                <w:rStyle w:val="IndexLink"/>
                <w:rtl w:val="true"/>
              </w:rPr>
              <w:t xml:space="preserve">: </w:t>
            </w:r>
            <w:r>
              <w:rPr>
                <w:rStyle w:val="IndexLink"/>
                <w:rtl w:val="true"/>
              </w:rPr>
              <w:t>في أنّ الوقف عقد يحتاج إلى القبول ، أو إيقاع</w:t>
            </w:r>
            <w:r>
              <w:rPr>
                <w:rStyle w:val="IndexLink"/>
                <w:rtl w:val="true"/>
              </w:rPr>
              <w:tab/>
            </w:r>
            <w:r>
              <w:rPr>
                <w:rStyle w:val="IndexLink"/>
              </w:rPr>
              <w:t>239</w:t>
            </w:r>
          </w:hyperlink>
        </w:p>
        <w:p>
          <w:pPr>
            <w:pStyle w:val="Contents5"/>
            <w:tabs>
              <w:tab w:val="clear" w:pos="7892"/>
              <w:tab w:val="right" w:pos="9026" w:leader="dot"/>
            </w:tabs>
            <w:rPr/>
          </w:pPr>
          <w:hyperlink w:anchor="__RefHeading___Toc16073422_2142443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6073424_2142443653">
            <w:r>
              <w:rPr>
                <w:webHidden/>
                <w:rStyle w:val="IndexLink"/>
                <w:rtl w:val="true"/>
              </w:rPr>
              <w:t>وأمّا اعتبار كونه بقصد القربة في وقوعه وتحقّقه شرعا أو لا؟</w:t>
            </w:r>
            <w:r>
              <w:rPr>
                <w:rStyle w:val="IndexLink"/>
                <w:rtl w:val="true"/>
              </w:rPr>
              <w:tab/>
            </w:r>
            <w:r>
              <w:rPr>
                <w:rStyle w:val="IndexLink"/>
              </w:rPr>
              <w:t>241</w:t>
            </w:r>
          </w:hyperlink>
        </w:p>
        <w:p>
          <w:pPr>
            <w:pStyle w:val="Contents5"/>
            <w:tabs>
              <w:tab w:val="clear" w:pos="7892"/>
              <w:tab w:val="right" w:pos="9026" w:leader="dot"/>
            </w:tabs>
            <w:rPr/>
          </w:pPr>
          <w:hyperlink w:anchor="__RefHeading___Toc16073426_2142443653">
            <w:r>
              <w:rPr>
                <w:webHidden/>
                <w:rStyle w:val="IndexLink"/>
                <w:rtl w:val="true"/>
              </w:rPr>
              <w:t xml:space="preserve">وأمّا الدليل على اعتبار قصد القربة في الوقف </w:t>
            </w:r>
            <w:r>
              <w:rPr>
                <w:rStyle w:val="IndexLink"/>
                <w:rtl w:val="true"/>
              </w:rPr>
              <w:t>:</w:t>
              <w:tab/>
            </w:r>
            <w:r>
              <w:rPr>
                <w:rStyle w:val="IndexLink"/>
              </w:rPr>
              <w:t>242</w:t>
            </w:r>
          </w:hyperlink>
        </w:p>
        <w:p>
          <w:pPr>
            <w:pStyle w:val="Contents4"/>
            <w:tabs>
              <w:tab w:val="clear" w:pos="8176"/>
              <w:tab w:val="right" w:pos="9026" w:leader="dot"/>
            </w:tabs>
            <w:rPr/>
          </w:pPr>
          <w:hyperlink w:anchor="__RefHeading___Toc16073428_2142443653">
            <w:r>
              <w:rPr>
                <w:webHidden/>
                <w:rStyle w:val="IndexLink"/>
                <w:rtl w:val="true"/>
              </w:rPr>
              <w:t xml:space="preserve">المطلب الثاني </w:t>
            </w:r>
            <w:r>
              <w:rPr>
                <w:rStyle w:val="IndexLink"/>
                <w:rtl w:val="true"/>
              </w:rPr>
              <w:t xml:space="preserve">: </w:t>
            </w:r>
            <w:r>
              <w:rPr>
                <w:rStyle w:val="IndexLink"/>
                <w:rtl w:val="true"/>
              </w:rPr>
              <w:t>في شرائط الوقف</w:t>
            </w:r>
            <w:r>
              <w:rPr>
                <w:rStyle w:val="IndexLink"/>
                <w:rtl w:val="true"/>
              </w:rPr>
              <w:tab/>
            </w:r>
            <w:r>
              <w:rPr>
                <w:rStyle w:val="IndexLink"/>
              </w:rPr>
              <w:t>246</w:t>
            </w:r>
          </w:hyperlink>
        </w:p>
        <w:p>
          <w:pPr>
            <w:pStyle w:val="Contents5"/>
            <w:tabs>
              <w:tab w:val="clear" w:pos="7892"/>
              <w:tab w:val="right" w:pos="9026" w:leader="dot"/>
            </w:tabs>
            <w:rPr/>
          </w:pPr>
          <w:hyperlink w:anchor="__RefHeading___Toc16073430_2142443653">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6073432_2142443653">
            <w:r>
              <w:rPr>
                <w:webHidden/>
                <w:rStyle w:val="IndexLink"/>
                <w:rtl w:val="true"/>
              </w:rPr>
              <w:t>وها هنا فروع لا بأس بذكرها</w:t>
            </w:r>
            <w:r>
              <w:rPr>
                <w:rStyle w:val="IndexLink"/>
                <w:rtl w:val="true"/>
              </w:rPr>
              <w:tab/>
            </w:r>
            <w:r>
              <w:rPr>
                <w:rStyle w:val="IndexLink"/>
              </w:rPr>
              <w:t>248</w:t>
            </w:r>
          </w:hyperlink>
        </w:p>
        <w:p>
          <w:pPr>
            <w:pStyle w:val="Contents5"/>
            <w:tabs>
              <w:tab w:val="clear" w:pos="7892"/>
              <w:tab w:val="right" w:pos="9026" w:leader="dot"/>
            </w:tabs>
            <w:rPr/>
          </w:pPr>
          <w:hyperlink w:anchor="__RefHeading___Toc16073434_2142443653">
            <w:r>
              <w:rPr>
                <w:webHidden/>
                <w:rStyle w:val="IndexLink"/>
                <w:rtl w:val="true"/>
              </w:rPr>
              <w:t xml:space="preserve">فرع </w:t>
            </w:r>
            <w:r>
              <w:rPr>
                <w:rStyle w:val="IndexLink"/>
                <w:rtl w:val="true"/>
              </w:rPr>
              <w:t>:</w:t>
              <w:tab/>
            </w:r>
            <w:r>
              <w:rPr>
                <w:rStyle w:val="IndexLink"/>
              </w:rPr>
              <w:t>272</w:t>
            </w:r>
          </w:hyperlink>
        </w:p>
        <w:p>
          <w:pPr>
            <w:pStyle w:val="Contents5"/>
            <w:tabs>
              <w:tab w:val="clear" w:pos="7892"/>
              <w:tab w:val="right" w:pos="9026" w:leader="dot"/>
            </w:tabs>
            <w:rPr/>
          </w:pPr>
          <w:hyperlink w:anchor="__RefHeading___Toc16073436_2142443653">
            <w:r>
              <w:rPr>
                <w:webHidden/>
                <w:rStyle w:val="IndexLink"/>
                <w:rtl w:val="true"/>
              </w:rPr>
              <w:t xml:space="preserve">فرع آخر </w:t>
            </w:r>
            <w:r>
              <w:rPr>
                <w:rStyle w:val="IndexLink"/>
                <w:rtl w:val="true"/>
              </w:rPr>
              <w:t>:</w:t>
              <w:tab/>
            </w:r>
            <w:r>
              <w:rPr>
                <w:rStyle w:val="IndexLink"/>
              </w:rPr>
              <w:t>272</w:t>
            </w:r>
          </w:hyperlink>
        </w:p>
        <w:p>
          <w:pPr>
            <w:pStyle w:val="Contents5"/>
            <w:tabs>
              <w:tab w:val="clear" w:pos="7892"/>
              <w:tab w:val="right" w:pos="9026" w:leader="dot"/>
            </w:tabs>
            <w:rPr/>
          </w:pPr>
          <w:hyperlink w:anchor="__RefHeading___Toc16073438_2142443653">
            <w:r>
              <w:rPr>
                <w:webHidden/>
                <w:rStyle w:val="IndexLink"/>
                <w:rtl w:val="true"/>
              </w:rPr>
              <w:t xml:space="preserve">مسألة </w:t>
            </w:r>
            <w:r>
              <w:rPr>
                <w:rStyle w:val="IndexLink"/>
                <w:rtl w:val="true"/>
              </w:rPr>
              <w:t>:</w:t>
              <w:tab/>
            </w:r>
            <w:r>
              <w:rPr>
                <w:rStyle w:val="IndexLink"/>
              </w:rPr>
              <w:t>275</w:t>
            </w:r>
          </w:hyperlink>
        </w:p>
        <w:p>
          <w:pPr>
            <w:pStyle w:val="Contents4"/>
            <w:tabs>
              <w:tab w:val="clear" w:pos="8176"/>
              <w:tab w:val="right" w:pos="9026" w:leader="dot"/>
            </w:tabs>
            <w:rPr/>
          </w:pPr>
          <w:hyperlink w:anchor="__RefHeading___Toc16073440_2142443653">
            <w:r>
              <w:rPr>
                <w:webHidden/>
                <w:rStyle w:val="IndexLink"/>
                <w:rtl w:val="true"/>
              </w:rPr>
              <w:t xml:space="preserve">المطلب الثالث </w:t>
            </w:r>
            <w:r>
              <w:rPr>
                <w:rStyle w:val="IndexLink"/>
                <w:rtl w:val="true"/>
              </w:rPr>
              <w:t xml:space="preserve">: </w:t>
            </w:r>
            <w:r>
              <w:rPr>
                <w:rStyle w:val="IndexLink"/>
                <w:rtl w:val="true"/>
              </w:rPr>
              <w:t>في شرائط الموقوف</w:t>
            </w:r>
            <w:r>
              <w:rPr>
                <w:rStyle w:val="IndexLink"/>
                <w:rtl w:val="true"/>
              </w:rPr>
              <w:tab/>
            </w:r>
            <w:r>
              <w:rPr>
                <w:rStyle w:val="IndexLink"/>
              </w:rPr>
              <w:t>280</w:t>
            </w:r>
          </w:hyperlink>
        </w:p>
        <w:p>
          <w:pPr>
            <w:pStyle w:val="Contents4"/>
            <w:tabs>
              <w:tab w:val="clear" w:pos="8176"/>
              <w:tab w:val="right" w:pos="9026" w:leader="dot"/>
            </w:tabs>
            <w:rPr/>
          </w:pPr>
          <w:hyperlink w:anchor="__RefHeading___Toc16073442_2142443653">
            <w:r>
              <w:rPr>
                <w:webHidden/>
                <w:rStyle w:val="IndexLink"/>
                <w:rtl w:val="true"/>
              </w:rPr>
              <w:t xml:space="preserve">المطلب الرابع </w:t>
            </w:r>
            <w:r>
              <w:rPr>
                <w:rStyle w:val="IndexLink"/>
                <w:rtl w:val="true"/>
              </w:rPr>
              <w:t xml:space="preserve">: </w:t>
            </w:r>
            <w:r>
              <w:rPr>
                <w:rStyle w:val="IndexLink"/>
                <w:rtl w:val="true"/>
              </w:rPr>
              <w:t>في شرائط الواقف</w:t>
            </w:r>
            <w:r>
              <w:rPr>
                <w:rStyle w:val="IndexLink"/>
                <w:rtl w:val="true"/>
              </w:rPr>
              <w:tab/>
            </w:r>
            <w:r>
              <w:rPr>
                <w:rStyle w:val="IndexLink"/>
              </w:rPr>
              <w:t>282</w:t>
            </w:r>
          </w:hyperlink>
        </w:p>
        <w:p>
          <w:pPr>
            <w:pStyle w:val="Contents4"/>
            <w:tabs>
              <w:tab w:val="clear" w:pos="8176"/>
              <w:tab w:val="right" w:pos="9026" w:leader="dot"/>
            </w:tabs>
            <w:rPr/>
          </w:pPr>
          <w:hyperlink w:anchor="__RefHeading___Toc16073444_2142443653">
            <w:r>
              <w:rPr>
                <w:webHidden/>
                <w:rStyle w:val="IndexLink"/>
                <w:rtl w:val="true"/>
              </w:rPr>
              <w:t xml:space="preserve">المطلب الخامس </w:t>
            </w:r>
            <w:r>
              <w:rPr>
                <w:rStyle w:val="IndexLink"/>
                <w:rtl w:val="true"/>
              </w:rPr>
              <w:t xml:space="preserve">: </w:t>
            </w:r>
            <w:r>
              <w:rPr>
                <w:rStyle w:val="IndexLink"/>
                <w:rtl w:val="true"/>
              </w:rPr>
              <w:t>في شرائط الموقوف عليه</w:t>
            </w:r>
            <w:r>
              <w:rPr>
                <w:rStyle w:val="IndexLink"/>
                <w:rtl w:val="true"/>
              </w:rPr>
              <w:tab/>
            </w:r>
            <w:r>
              <w:rPr>
                <w:rStyle w:val="IndexLink"/>
              </w:rPr>
              <w:t>286</w:t>
            </w:r>
          </w:hyperlink>
        </w:p>
        <w:p>
          <w:pPr>
            <w:pStyle w:val="Contents4"/>
            <w:tabs>
              <w:tab w:val="clear" w:pos="8176"/>
              <w:tab w:val="right" w:pos="9026" w:leader="dot"/>
            </w:tabs>
            <w:rPr/>
          </w:pPr>
          <w:hyperlink w:anchor="__RefHeading___Toc16073446_2142443653">
            <w:r>
              <w:rPr>
                <w:webHidden/>
                <w:rStyle w:val="IndexLink"/>
                <w:rtl w:val="true"/>
              </w:rPr>
              <w:t xml:space="preserve">المطلب السادس </w:t>
            </w:r>
            <w:r>
              <w:rPr>
                <w:rStyle w:val="IndexLink"/>
                <w:rtl w:val="true"/>
              </w:rPr>
              <w:t xml:space="preserve">: </w:t>
            </w:r>
            <w:r>
              <w:rPr>
                <w:rStyle w:val="IndexLink"/>
                <w:rtl w:val="true"/>
              </w:rPr>
              <w:t>في اللواحق</w:t>
            </w:r>
            <w:r>
              <w:rPr>
                <w:rStyle w:val="IndexLink"/>
                <w:rtl w:val="true"/>
              </w:rPr>
              <w:tab/>
            </w:r>
            <w:r>
              <w:rPr>
                <w:rStyle w:val="IndexLink"/>
              </w:rPr>
              <w:t>293</w:t>
            </w:r>
          </w:hyperlink>
        </w:p>
        <w:p>
          <w:pPr>
            <w:pStyle w:val="Contents5"/>
            <w:tabs>
              <w:tab w:val="clear" w:pos="7892"/>
              <w:tab w:val="right" w:pos="9026" w:leader="dot"/>
            </w:tabs>
            <w:rPr/>
          </w:pPr>
          <w:hyperlink w:anchor="__RefHeading___Toc16073448_2142443653">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6073450_2142443653">
            <w:r>
              <w:rPr>
                <w:webHidden/>
                <w:rStyle w:val="IndexLink"/>
                <w:rtl w:val="true"/>
              </w:rPr>
              <w:t xml:space="preserve">وعلى كلّ حال قالوا بجواز بيع الوقف في موارد وصور </w:t>
            </w:r>
            <w:r>
              <w:rPr>
                <w:rStyle w:val="IndexLink"/>
                <w:rtl w:val="true"/>
              </w:rPr>
              <w:t>:</w:t>
              <w:tab/>
            </w:r>
            <w:r>
              <w:rPr>
                <w:rStyle w:val="IndexLink"/>
              </w:rPr>
              <w:t>301</w:t>
            </w:r>
          </w:hyperlink>
        </w:p>
        <w:p>
          <w:pPr>
            <w:pStyle w:val="Contents4"/>
            <w:tabs>
              <w:tab w:val="clear" w:pos="8176"/>
              <w:tab w:val="right" w:pos="9026" w:leader="dot"/>
            </w:tabs>
            <w:rPr/>
          </w:pPr>
          <w:hyperlink w:anchor="__RefHeading___Toc16073452_2142443653">
            <w:r>
              <w:rPr>
                <w:webHidden/>
                <w:rStyle w:val="IndexLink"/>
                <w:rtl w:val="true"/>
              </w:rPr>
              <w:t xml:space="preserve">المطلب السابع </w:t>
            </w:r>
            <w:r>
              <w:rPr>
                <w:rStyle w:val="IndexLink"/>
                <w:rtl w:val="true"/>
              </w:rPr>
              <w:t xml:space="preserve">: </w:t>
            </w:r>
            <w:r>
              <w:rPr>
                <w:rStyle w:val="IndexLink"/>
                <w:rtl w:val="true"/>
              </w:rPr>
              <w:t>في المتولّي والناظر للعين الموقوفة</w:t>
            </w:r>
            <w:r>
              <w:rPr>
                <w:rStyle w:val="IndexLink"/>
                <w:rtl w:val="true"/>
              </w:rPr>
              <w:tab/>
            </w:r>
            <w:r>
              <w:rPr>
                <w:rStyle w:val="IndexLink"/>
              </w:rPr>
              <w:t>314</w:t>
            </w:r>
          </w:hyperlink>
        </w:p>
        <w:p>
          <w:pPr>
            <w:pStyle w:val="Contents3"/>
            <w:tabs>
              <w:tab w:val="clear" w:pos="8459"/>
              <w:tab w:val="right" w:pos="9026" w:leader="dot"/>
            </w:tabs>
            <w:rPr/>
          </w:pPr>
          <w:hyperlink w:anchor="__RefHeading___Toc16073454_2142443653">
            <w:r>
              <w:rPr>
                <w:webHidden/>
                <w:rStyle w:val="IndexLink"/>
                <w:rtl w:val="true"/>
              </w:rPr>
              <w:t>الجهة الثالثة</w:t>
            </w:r>
            <w:r>
              <w:rPr>
                <w:rStyle w:val="IndexLink"/>
                <w:rtl w:val="true"/>
              </w:rPr>
              <w:tab/>
            </w:r>
            <w:r>
              <w:rPr>
                <w:rStyle w:val="IndexLink"/>
              </w:rPr>
              <w:t>320</w:t>
            </w:r>
          </w:hyperlink>
        </w:p>
        <w:p>
          <w:pPr>
            <w:pStyle w:val="Contents2"/>
            <w:tabs>
              <w:tab w:val="clear" w:pos="8743"/>
              <w:tab w:val="right" w:pos="9026" w:leader="dot"/>
            </w:tabs>
            <w:rPr/>
          </w:pPr>
          <w:hyperlink w:anchor="__RefHeading___Toc16073456_2142443653">
            <w:r>
              <w:rPr>
                <w:webHidden/>
                <w:rStyle w:val="IndexLink"/>
              </w:rPr>
              <w:t>45</w:t>
            </w:r>
            <w:r>
              <w:rPr>
                <w:rStyle w:val="IndexLink"/>
                <w:rtl w:val="true"/>
              </w:rPr>
              <w:t xml:space="preserve"> - </w:t>
            </w:r>
            <w:r>
              <w:rPr>
                <w:rStyle w:val="IndexLink"/>
                <w:rtl w:val="true"/>
              </w:rPr>
              <w:t>قاعدة يحرم من الرضاع ما يحرم من النسب</w:t>
            </w:r>
            <w:r>
              <w:rPr>
                <w:rStyle w:val="IndexLink"/>
                <w:rtl w:val="true"/>
              </w:rPr>
              <w:tab/>
            </w:r>
            <w:r>
              <w:rPr>
                <w:rStyle w:val="IndexLink"/>
              </w:rPr>
              <w:t>322</w:t>
            </w:r>
          </w:hyperlink>
        </w:p>
        <w:p>
          <w:pPr>
            <w:pStyle w:val="Contents3"/>
            <w:tabs>
              <w:tab w:val="clear" w:pos="8459"/>
              <w:tab w:val="right" w:pos="9026" w:leader="dot"/>
            </w:tabs>
            <w:rPr/>
          </w:pPr>
          <w:hyperlink w:anchor="__RefHeading___Toc16073458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607346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شرح مفهوم هذه القاعدة</w:t>
            </w:r>
            <w:r>
              <w:rPr>
                <w:rStyle w:val="IndexLink"/>
                <w:rtl w:val="true"/>
              </w:rPr>
              <w:tab/>
            </w:r>
            <w:r>
              <w:rPr>
                <w:rStyle w:val="IndexLink"/>
              </w:rPr>
              <w:t>324</w:t>
            </w:r>
          </w:hyperlink>
        </w:p>
        <w:p>
          <w:pPr>
            <w:pStyle w:val="Contents3"/>
            <w:tabs>
              <w:tab w:val="clear" w:pos="8459"/>
              <w:tab w:val="right" w:pos="9026" w:leader="dot"/>
            </w:tabs>
            <w:rPr/>
          </w:pPr>
          <w:hyperlink w:anchor="__RefHeading___Toc16073462_2142443653">
            <w:r>
              <w:rPr>
                <w:webHidden/>
                <w:rStyle w:val="IndexLink"/>
                <w:rtl w:val="true"/>
              </w:rPr>
              <w:t xml:space="preserve">الجهة الثانية </w:t>
            </w:r>
            <w:r>
              <w:rPr>
                <w:rStyle w:val="IndexLink"/>
                <w:rtl w:val="true"/>
              </w:rPr>
              <w:t xml:space="preserve">: </w:t>
            </w:r>
            <w:r>
              <w:rPr>
                <w:rStyle w:val="IndexLink"/>
                <w:rtl w:val="true"/>
              </w:rPr>
              <w:t>في الدليل على هذه القاعدة</w:t>
            </w:r>
            <w:r>
              <w:rPr>
                <w:rStyle w:val="IndexLink"/>
                <w:rtl w:val="true"/>
              </w:rPr>
              <w:tab/>
            </w:r>
            <w:r>
              <w:rPr>
                <w:rStyle w:val="IndexLink"/>
              </w:rPr>
              <w:t>327</w:t>
            </w:r>
          </w:hyperlink>
        </w:p>
        <w:p>
          <w:pPr>
            <w:pStyle w:val="Contents3"/>
            <w:tabs>
              <w:tab w:val="clear" w:pos="8459"/>
              <w:tab w:val="right" w:pos="9026" w:leader="dot"/>
            </w:tabs>
            <w:rPr/>
          </w:pPr>
          <w:hyperlink w:anchor="__RefHeading___Toc16073464_2142443653">
            <w:r>
              <w:rPr>
                <w:webHidden/>
                <w:rStyle w:val="IndexLink"/>
                <w:rtl w:val="true"/>
              </w:rPr>
              <w:t>الجهة الثالثة</w:t>
            </w:r>
            <w:r>
              <w:rPr>
                <w:rStyle w:val="IndexLink"/>
                <w:rtl w:val="true"/>
              </w:rPr>
              <w:tab/>
            </w:r>
            <w:r>
              <w:rPr>
                <w:rStyle w:val="IndexLink"/>
              </w:rPr>
              <w:t>336</w:t>
            </w:r>
          </w:hyperlink>
        </w:p>
        <w:p>
          <w:pPr>
            <w:pStyle w:val="Contents4"/>
            <w:tabs>
              <w:tab w:val="clear" w:pos="8176"/>
              <w:tab w:val="right" w:pos="9026" w:leader="dot"/>
            </w:tabs>
            <w:rPr/>
          </w:pPr>
          <w:hyperlink w:anchor="__RefHeading___Toc16073466_2142443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6073468_2142443653">
            <w:r>
              <w:rPr>
                <w:webHidden/>
                <w:rStyle w:val="IndexLink"/>
                <w:rtl w:val="true"/>
              </w:rPr>
              <w:t xml:space="preserve">أمّا التكلم من الجهة الأولى </w:t>
            </w:r>
            <w:r>
              <w:rPr>
                <w:rStyle w:val="IndexLink"/>
                <w:rtl w:val="true"/>
              </w:rPr>
              <w:t>:</w:t>
              <w:tab/>
            </w:r>
            <w:r>
              <w:rPr>
                <w:rStyle w:val="IndexLink"/>
              </w:rPr>
              <w:t>337</w:t>
            </w:r>
          </w:hyperlink>
        </w:p>
        <w:p>
          <w:pPr>
            <w:pStyle w:val="Contents3"/>
            <w:tabs>
              <w:tab w:val="clear" w:pos="8459"/>
              <w:tab w:val="right" w:pos="9026" w:leader="dot"/>
            </w:tabs>
            <w:rPr/>
          </w:pPr>
          <w:hyperlink w:anchor="__RefHeading___Toc16073470_2142443653">
            <w:r>
              <w:rPr>
                <w:webHidden/>
                <w:rStyle w:val="IndexLink"/>
                <w:rtl w:val="true"/>
              </w:rPr>
              <w:t xml:space="preserve">الجهة الرابعة </w:t>
            </w:r>
            <w:r>
              <w:rPr>
                <w:rStyle w:val="IndexLink"/>
                <w:rtl w:val="true"/>
              </w:rPr>
              <w:t xml:space="preserve">: </w:t>
            </w:r>
            <w:r>
              <w:rPr>
                <w:rStyle w:val="IndexLink"/>
                <w:rtl w:val="true"/>
              </w:rPr>
              <w:t>في شرائط تحقّق الرضاع</w:t>
            </w:r>
            <w:r>
              <w:rPr>
                <w:rStyle w:val="IndexLink"/>
                <w:rtl w:val="true"/>
              </w:rPr>
              <w:tab/>
            </w:r>
            <w:r>
              <w:rPr>
                <w:rStyle w:val="IndexLink"/>
              </w:rPr>
              <w:t>342</w:t>
            </w:r>
          </w:hyperlink>
        </w:p>
        <w:p>
          <w:pPr>
            <w:pStyle w:val="Contents4"/>
            <w:tabs>
              <w:tab w:val="clear" w:pos="8176"/>
              <w:tab w:val="right" w:pos="9026" w:leader="dot"/>
            </w:tabs>
            <w:rPr/>
          </w:pPr>
          <w:hyperlink w:anchor="__RefHeading___Toc16073472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6073474_2142443653">
            <w:r>
              <w:rPr>
                <w:webHidden/>
                <w:rStyle w:val="IndexLink"/>
                <w:rtl w:val="true"/>
              </w:rPr>
              <w:t>وها هنا فروع</w:t>
            </w:r>
            <w:r>
              <w:rPr>
                <w:rStyle w:val="IndexLink"/>
                <w:rtl w:val="true"/>
              </w:rPr>
              <w:tab/>
            </w:r>
            <w:r>
              <w:rPr>
                <w:rStyle w:val="IndexLink"/>
              </w:rPr>
              <w:t>347</w:t>
            </w:r>
          </w:hyperlink>
        </w:p>
        <w:p>
          <w:pPr>
            <w:pStyle w:val="Contents4"/>
            <w:tabs>
              <w:tab w:val="clear" w:pos="8176"/>
              <w:tab w:val="right" w:pos="9026" w:leader="dot"/>
            </w:tabs>
            <w:rPr/>
          </w:pPr>
          <w:hyperlink w:anchor="__RefHeading___Toc16073476_2142443653">
            <w:r>
              <w:rPr>
                <w:webHidden/>
                <w:rStyle w:val="IndexLink"/>
                <w:rtl w:val="true"/>
              </w:rPr>
              <w:t xml:space="preserve">وما يمكن أن يكون دليلا لهذا القول روايات </w:t>
            </w:r>
            <w:r>
              <w:rPr>
                <w:rStyle w:val="IndexLink"/>
                <w:rtl w:val="true"/>
              </w:rPr>
              <w:t>:</w:t>
              <w:tab/>
            </w:r>
            <w:r>
              <w:rPr>
                <w:rStyle w:val="IndexLink"/>
              </w:rPr>
              <w:t>350</w:t>
            </w:r>
          </w:hyperlink>
        </w:p>
        <w:p>
          <w:pPr>
            <w:pStyle w:val="Contents4"/>
            <w:tabs>
              <w:tab w:val="clear" w:pos="8176"/>
              <w:tab w:val="right" w:pos="9026" w:leader="dot"/>
            </w:tabs>
            <w:rPr/>
          </w:pPr>
          <w:hyperlink w:anchor="__RefHeading___Toc16073478_2142443653">
            <w:r>
              <w:rPr>
                <w:webHidden/>
                <w:rStyle w:val="IndexLink"/>
                <w:rtl w:val="true"/>
              </w:rPr>
              <w:t>ثمَّ إنّ ها هنا فروع</w:t>
            </w:r>
            <w:r>
              <w:rPr>
                <w:rStyle w:val="IndexLink"/>
                <w:rtl w:val="true"/>
              </w:rPr>
              <w:tab/>
            </w:r>
            <w:r>
              <w:rPr>
                <w:rStyle w:val="IndexLink"/>
              </w:rPr>
              <w:t>359</w:t>
            </w:r>
          </w:hyperlink>
        </w:p>
        <w:p>
          <w:pPr>
            <w:pStyle w:val="Contents4"/>
            <w:tabs>
              <w:tab w:val="clear" w:pos="8176"/>
              <w:tab w:val="right" w:pos="9026" w:leader="dot"/>
            </w:tabs>
            <w:rPr/>
          </w:pPr>
          <w:hyperlink w:anchor="__RefHeading___Toc16073480_2142443653">
            <w:r>
              <w:rPr>
                <w:webHidden/>
                <w:rStyle w:val="IndexLink"/>
                <w:rtl w:val="true"/>
              </w:rPr>
              <w:t xml:space="preserve">فمدرك القول بالعشر أخبار </w:t>
            </w:r>
            <w:r>
              <w:rPr>
                <w:rStyle w:val="IndexLink"/>
                <w:rtl w:val="true"/>
              </w:rPr>
              <w:t>:</w:t>
              <w:tab/>
            </w:r>
            <w:r>
              <w:rPr>
                <w:rStyle w:val="IndexLink"/>
              </w:rPr>
              <w:t>361</w:t>
            </w:r>
          </w:hyperlink>
        </w:p>
        <w:p>
          <w:pPr>
            <w:pStyle w:val="Contents4"/>
            <w:tabs>
              <w:tab w:val="clear" w:pos="8176"/>
              <w:tab w:val="right" w:pos="9026" w:leader="dot"/>
            </w:tabs>
            <w:rPr/>
          </w:pPr>
          <w:hyperlink w:anchor="__RefHeading___Toc16073482_2142443653">
            <w:r>
              <w:rPr>
                <w:webHidden/>
                <w:rStyle w:val="IndexLink"/>
                <w:rtl w:val="true"/>
              </w:rPr>
              <w:t xml:space="preserve">ومدرك القول بالخمسة عشر أيضا أخبار </w:t>
            </w:r>
            <w:r>
              <w:rPr>
                <w:rStyle w:val="IndexLink"/>
                <w:rtl w:val="true"/>
              </w:rPr>
              <w:t>:</w:t>
              <w:tab/>
            </w:r>
            <w:r>
              <w:rPr>
                <w:rStyle w:val="IndexLink"/>
              </w:rPr>
              <w:t>362</w:t>
            </w:r>
          </w:hyperlink>
        </w:p>
        <w:p>
          <w:pPr>
            <w:pStyle w:val="Contents4"/>
            <w:tabs>
              <w:tab w:val="clear" w:pos="8176"/>
              <w:tab w:val="right" w:pos="9026" w:leader="dot"/>
            </w:tabs>
            <w:rPr/>
          </w:pPr>
          <w:hyperlink w:anchor="__RefHeading___Toc16073484_2142443653">
            <w:r>
              <w:rPr>
                <w:webHidden/>
                <w:rStyle w:val="IndexLink"/>
                <w:rtl w:val="true"/>
              </w:rPr>
              <w:t xml:space="preserve">ثمَّ إنّهم اعتبروا في الرضاع المحرّم من حيث العدد </w:t>
            </w:r>
            <w:r>
              <w:rPr>
                <w:rStyle w:val="IndexLink"/>
                <w:rtl w:val="true"/>
              </w:rPr>
              <w:t xml:space="preserve">- </w:t>
            </w:r>
            <w:r>
              <w:rPr>
                <w:rStyle w:val="IndexLink"/>
                <w:rtl w:val="true"/>
              </w:rPr>
              <w:t xml:space="preserve">سواء قلنا بأنّه العشر أو الخمسة عشر </w:t>
            </w:r>
            <w:r>
              <w:rPr>
                <w:rStyle w:val="IndexLink"/>
                <w:rtl w:val="true"/>
              </w:rPr>
              <w:t xml:space="preserve">- </w:t>
            </w:r>
            <w:r>
              <w:rPr>
                <w:rStyle w:val="IndexLink"/>
                <w:rtl w:val="true"/>
              </w:rPr>
              <w:t xml:space="preserve">شروطا </w:t>
            </w:r>
            <w:r>
              <w:rPr>
                <w:rStyle w:val="IndexLink"/>
                <w:rtl w:val="true"/>
              </w:rPr>
              <w:t>:</w:t>
              <w:tab/>
            </w:r>
            <w:r>
              <w:rPr>
                <w:rStyle w:val="IndexLink"/>
              </w:rPr>
              <w:t>368</w:t>
            </w:r>
          </w:hyperlink>
        </w:p>
        <w:p>
          <w:pPr>
            <w:pStyle w:val="Contents3"/>
            <w:tabs>
              <w:tab w:val="clear" w:pos="8459"/>
              <w:tab w:val="right" w:pos="9026" w:leader="dot"/>
            </w:tabs>
            <w:rPr/>
          </w:pPr>
          <w:hyperlink w:anchor="__RefHeading___Toc16073486_2142443653">
            <w:r>
              <w:rPr>
                <w:webHidden/>
                <w:rStyle w:val="IndexLink"/>
                <w:rtl w:val="true"/>
              </w:rPr>
              <w:t xml:space="preserve">الجهة الخامسة </w:t>
            </w:r>
            <w:r>
              <w:rPr>
                <w:rStyle w:val="IndexLink"/>
                <w:rtl w:val="true"/>
              </w:rPr>
              <w:t xml:space="preserve">: </w:t>
            </w:r>
            <w:r>
              <w:rPr>
                <w:rStyle w:val="IndexLink"/>
                <w:rtl w:val="true"/>
              </w:rPr>
              <w:t>في عموم المنزلة</w:t>
            </w:r>
            <w:r>
              <w:rPr>
                <w:rStyle w:val="IndexLink"/>
                <w:rtl w:val="true"/>
              </w:rPr>
              <w:tab/>
            </w:r>
            <w:r>
              <w:rPr>
                <w:rStyle w:val="IndexLink"/>
              </w:rPr>
              <w:t>381</w:t>
            </w:r>
          </w:hyperlink>
        </w:p>
        <w:p>
          <w:pPr>
            <w:pStyle w:val="Contents3"/>
            <w:tabs>
              <w:tab w:val="clear" w:pos="8459"/>
              <w:tab w:val="right" w:pos="9026" w:leader="dot"/>
            </w:tabs>
            <w:rPr/>
          </w:pPr>
          <w:hyperlink w:anchor="__RefHeading___Toc16073488_2142443653">
            <w:r>
              <w:rPr>
                <w:webHidden/>
                <w:rStyle w:val="IndexLink"/>
                <w:rtl w:val="true"/>
              </w:rPr>
              <w:t>الجهة السادسة</w:t>
            </w:r>
            <w:r>
              <w:rPr>
                <w:rStyle w:val="IndexLink"/>
                <w:rtl w:val="true"/>
              </w:rPr>
              <w:tab/>
            </w:r>
            <w:r>
              <w:rPr>
                <w:rStyle w:val="IndexLink"/>
              </w:rPr>
              <w:t>386</w:t>
            </w:r>
          </w:hyperlink>
        </w:p>
        <w:p>
          <w:pPr>
            <w:pStyle w:val="Contents3"/>
            <w:tabs>
              <w:tab w:val="clear" w:pos="8459"/>
              <w:tab w:val="right" w:pos="9026" w:leader="dot"/>
            </w:tabs>
            <w:rPr/>
          </w:pPr>
          <w:hyperlink w:anchor="__RefHeading___Toc16073490_2142443653">
            <w:r>
              <w:rPr>
                <w:webHidden/>
                <w:rStyle w:val="IndexLink"/>
                <w:rtl w:val="true"/>
              </w:rPr>
              <w:t>الجهة السابعة</w:t>
            </w:r>
            <w:r>
              <w:rPr>
                <w:rStyle w:val="IndexLink"/>
                <w:rtl w:val="true"/>
              </w:rPr>
              <w:tab/>
            </w:r>
            <w:r>
              <w:rPr>
                <w:rStyle w:val="IndexLink"/>
              </w:rPr>
              <w:t>397</w:t>
            </w:r>
          </w:hyperlink>
        </w:p>
        <w:p>
          <w:pPr>
            <w:pStyle w:val="Contents3"/>
            <w:tabs>
              <w:tab w:val="clear" w:pos="8459"/>
              <w:tab w:val="right" w:pos="9026" w:leader="dot"/>
            </w:tabs>
            <w:rPr/>
          </w:pPr>
          <w:hyperlink w:anchor="__RefHeading___Toc16073492_2142443653">
            <w:r>
              <w:rPr>
                <w:webHidden/>
                <w:rStyle w:val="IndexLink"/>
                <w:rtl w:val="true"/>
              </w:rPr>
              <w:t xml:space="preserve">الجهة الثامنة </w:t>
            </w:r>
            <w:r>
              <w:rPr>
                <w:rStyle w:val="IndexLink"/>
                <w:rtl w:val="true"/>
              </w:rPr>
              <w:t xml:space="preserve">: </w:t>
            </w:r>
            <w:r>
              <w:rPr>
                <w:rStyle w:val="IndexLink"/>
                <w:rtl w:val="true"/>
              </w:rPr>
              <w:t>في طريق إثبات الرضاع</w:t>
            </w:r>
            <w:r>
              <w:rPr>
                <w:rStyle w:val="IndexLink"/>
                <w:rtl w:val="true"/>
              </w:rPr>
              <w:tab/>
            </w:r>
            <w:r>
              <w:rPr>
                <w:rStyle w:val="IndexLink"/>
              </w:rPr>
              <w:t>403</w:t>
            </w:r>
          </w:hyperlink>
        </w:p>
        <w:p>
          <w:pPr>
            <w:pStyle w:val="Contents4"/>
            <w:tabs>
              <w:tab w:val="clear" w:pos="8176"/>
              <w:tab w:val="right" w:pos="9026" w:leader="dot"/>
            </w:tabs>
            <w:rPr/>
          </w:pPr>
          <w:hyperlink w:anchor="__RefHeading___Toc16073494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6073496_2142443653">
            <w:r>
              <w:rPr>
                <w:webHidden/>
                <w:rStyle w:val="IndexLink"/>
                <w:rtl w:val="true"/>
              </w:rPr>
              <w:t>ثمَّ إنّ ها هنا أمور نذكرها تتميما للفائدة</w:t>
            </w:r>
            <w:r>
              <w:rPr>
                <w:rStyle w:val="IndexLink"/>
                <w:rtl w:val="true"/>
              </w:rPr>
              <w:tab/>
            </w:r>
            <w:r>
              <w:rPr>
                <w:rStyle w:val="IndexLink"/>
              </w:rPr>
              <w:t>410</w:t>
            </w:r>
          </w:hyperlink>
        </w:p>
        <w:p>
          <w:pPr>
            <w:pStyle w:val="Contents2"/>
            <w:tabs>
              <w:tab w:val="clear" w:pos="8743"/>
              <w:tab w:val="right" w:pos="9026" w:leader="dot"/>
            </w:tabs>
            <w:rPr/>
          </w:pPr>
          <w:hyperlink w:anchor="__RefHeading___Toc16073498_2142443653">
            <w:r>
              <w:rPr>
                <w:webHidden/>
                <w:rStyle w:val="IndexLink"/>
                <w:rtl w:val="true"/>
              </w:rPr>
              <w:t>فهرس الموضوعات</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7_234907"/>
      <w:bookmarkStart w:id="1" w:name="pg15937_234907"/>
      <w:bookmarkEnd w:id="1"/>
    </w:p>
    <w:p>
      <w:pPr>
        <w:pStyle w:val="Heading2"/>
        <w:numPr>
          <w:ilvl w:val="1"/>
          <w:numId w:val="1"/>
        </w:numPr>
        <w:rPr/>
      </w:pPr>
      <w:bookmarkStart w:id="2" w:name="pg15937_234907"/>
      <w:bookmarkStart w:id="3" w:name="__RefHeading___Toc1607329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7329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37_234911"/>
    </w:p>
    <w:p>
      <w:pPr>
        <w:pStyle w:val="Heading2"/>
        <w:numPr>
          <w:ilvl w:val="1"/>
          <w:numId w:val="1"/>
        </w:numPr>
        <w:rPr/>
      </w:pPr>
      <w:bookmarkStart w:id="8" w:name="__RefHeading___Toc16073296_2142443653"/>
      <w:bookmarkStart w:id="9" w:name="_Toc3"/>
      <w:bookmarkEnd w:id="7"/>
      <w:bookmarkEnd w:id="8"/>
      <w:r>
        <w:rPr>
          <w:rtl w:val="true"/>
        </w:rPr>
        <w:t>فهرس الإجمالى</w:t>
      </w:r>
      <w:bookmarkEnd w:id="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اليد ما أخذت حتى تؤديه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عبادات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سوق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شروطية البلوغ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ليس بمفسد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37_234913"/>
      <w:bookmarkStart w:id="11" w:name="pg15937_234913"/>
      <w:bookmarkEnd w:id="11"/>
    </w:p>
    <w:p>
      <w:pPr>
        <w:pStyle w:val="Heading2"/>
        <w:numPr>
          <w:ilvl w:val="1"/>
          <w:numId w:val="1"/>
        </w:numPr>
        <w:rPr/>
      </w:pPr>
      <w:bookmarkStart w:id="12" w:name="pg15937_234913"/>
      <w:bookmarkStart w:id="13" w:name="__RefHeading___Toc16073298_2142443653"/>
      <w:bookmarkStart w:id="14" w:name="_Toc4"/>
      <w:bookmarkEnd w:id="12"/>
      <w:bookmarkEnd w:id="13"/>
      <w:r>
        <w:rPr/>
        <w:t>36</w:t>
      </w:r>
      <w:r>
        <w:rPr>
          <w:rtl w:val="true"/>
        </w:rPr>
        <w:t xml:space="preserve"> - </w:t>
      </w:r>
      <w:r>
        <w:rPr>
          <w:rtl w:val="true"/>
        </w:rPr>
        <w:t>قاعدة الإحسان</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073300_2142443653"/>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937_234915"/>
      <w:bookmarkStart w:id="18" w:name="pg15937_234915"/>
      <w:bookmarkEnd w:id="18"/>
    </w:p>
    <w:p>
      <w:pPr>
        <w:pStyle w:val="BookText"/>
        <w:rPr/>
      </w:pPr>
      <w:bookmarkStart w:id="19" w:name="pg15937_234915"/>
      <w:bookmarkEnd w:id="1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وأهل بيته الطيبين 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الإحسان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073302_2142443653"/>
      <w:bookmarkStart w:id="21" w:name="_Toc6"/>
      <w:bookmarkEnd w:id="20"/>
      <w:r>
        <w:rPr>
          <w:rtl w:val="true"/>
        </w:rPr>
        <w:t xml:space="preserve">الجهة الأولى </w:t>
      </w:r>
      <w:r>
        <w:rPr>
          <w:rtl w:val="true"/>
        </w:rPr>
        <w:t xml:space="preserve">: </w:t>
      </w:r>
      <w:r>
        <w:rPr>
          <w:rtl w:val="true"/>
        </w:rPr>
        <w:t>في مدركها</w:t>
      </w:r>
      <w:bookmarkEnd w:id="21"/>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والآية وإن كانت واردة في مورد قعود العاجزين عن الجهاد لفقرهم ، وعدم تمكّنهم من تحصيل الزاد والراحلة </w:t>
      </w:r>
    </w:p>
    <w:p>
      <w:pPr>
        <w:pStyle w:val="BookText"/>
        <w:rPr/>
      </w:pPr>
      <w:r>
        <w:rPr>
          <w:rFonts w:ascii="Amiri" w:hAnsi="Amiri" w:eastAsia="Amiri" w:cs="Amiri"/>
          <w:color w:val="111111"/>
          <w:sz w:val="28"/>
          <w:sz w:val="28"/>
          <w:szCs w:val="28"/>
          <w:rtl w:val="true"/>
          <w:lang w:bidi="ar-SA"/>
        </w:rPr>
        <w:t xml:space="preserve">للسفر مع رسول اللّه صلی اللّه علیه و آله في غزوة تبوك ، حتّى أنّ بعضهم لم يجدوا نعلا ، فسألوا النبي صلی اللّه علیه و آله أن يحملهم على الخفاف المدبوغة ، والنعال المخصوفة ، فقال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ما أحملكم عليه ، فتولّوا وهم يبكون ، وهم ثلاثة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 وسويد ، والنعمان بنو مقرن ، فأنزل اللّه تعالى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الآية بناء على هذا نفي السبيل ، أي العقاب الأخروي ، والعتاب من المجاهدين عليهم لتخلّفهم عن الجهاد عن هؤلاء المتخلّفين العاجزين ، مقيّدا بنصحهم لله ورسوله ، ولكنّ العبرة بعموم الآية من حيث المفاد لفظا ، ولا اعتبار بخصوصيّة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الآيات القرآنيّة واردة في موارد خاصّة ، ولكنّ الفقهاء يستدلّون بعمومها فيما هو خارج عن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وأن يكون العموم يشمل المورد ، لأنّ تخصيص المورد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لنا من شرح هذا الكلام الشريف والجملة المباركة ، 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هو الظاهر والمتفاهم العرفي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معرّف باللام يفيد العموم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صدور الجميل من قول أو فعل بالنسبة إلى غيره ، وذلك قد يكون بإيصال نفع إليه مالي أو اعتباري ، وقد يكون بدفع ضرر مالي أو اعتباري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والسبيل المنفي حيث أنّه نكرة واقعة في سياق النفي يفيد العموم ، لأنّ انتفاء الطبيعة لا يتحقّق إلاّ بانتفاء جميع أفرادها ، وإلاّ يلزم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مفاد الآية عموم النفي ، أي كون السبيل منفيّا بطور العموم ، ويكون السلب كليّا لا </w:t>
      </w:r>
    </w:p>
    <w:p>
      <w:pPr>
        <w:pStyle w:val="BookText"/>
        <w:rPr/>
      </w:pPr>
      <w:r>
        <w:rPr>
          <w:rFonts w:ascii="Amiri" w:hAnsi="Amiri" w:eastAsia="Amiri" w:cs="Amiri"/>
          <w:color w:val="111111"/>
          <w:sz w:val="28"/>
          <w:sz w:val="28"/>
          <w:szCs w:val="28"/>
          <w:rtl w:val="true"/>
          <w:lang w:bidi="ar-SA"/>
        </w:rPr>
        <w:t>المسلوب فقط ، فوجوده ولو كان في مورد واحد نقيضه ، لأنّ الموجبة الجزئيّة نقيض السالبة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بظاهرها تدلّ على نفي كلّ ما يصدق عليه أنّه سبيل عن كلّ من هو محسن ، فهذه كبرى ثابتة من الآية الشريفة تكون دليلا وحجّة لجميع مواردها في الفقه ، ولا يزال الفقهاء يستدلون بها على نفي الضمان في موارد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والسبيل جاء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 والشتم ، والحرج ، والحجّة ،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الآية بمعنى الحجّة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المؤاخذة ، أي ليس على المحسن مؤاخذة فيما تسبب عن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الضمان سبيل بأيّ معنى كان من المعاني المذكورة ، فتدلّ الآية على أنّ الفعل الذي صدر من المحسن وإن كان ذلك الفعل في حدّ نفسه سبب وموجب للضمان ، ولكن إذا كان محسنا فلا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حيوانا جائعا صاحبه غائب ، وليس من يعلفه ، فأخذه وعلفه ، فصار سببا لتلفه من باب الاتّفاق ، فلا ضمان على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أدخله في اصطبله لحفظه عن البرد أو السبع ، ثمَّ وقع عليه البناء وتلف ، فليس عليه سبيل ، لأنّه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الطبيب الذي أخذ المريض الفقير إلى داره ليعالجه ويعطيه الدواء والغذاء ، ولكن من باب الاتّفاق لدغته حيّة أو عقرب فمات فلا سبيل عليه ، لأنّه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كبرى كلّية تنطبق على جميع موارده ، إلاّ أن يأتي دليل مخصّص ويخصّصه ، فهو عامّ شرعي ، كسائر العمومات الشرعيّة قابلة لورود التخصيص عليه ، وما لم يكن مخصّصا في البين يؤخذ بعمومه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تنحلّ من ناحية الموضوع إلى قضايا متعدّدة بعد أفراد الموضوع ، فيكون مفادها أنّ كلّ واحد من أفراد المحسنين ليس عليه كلّ ما </w:t>
      </w:r>
    </w:p>
    <w:p>
      <w:pPr>
        <w:pStyle w:val="BookText"/>
        <w:rPr/>
      </w:pPr>
      <w:r>
        <w:rPr>
          <w:rFonts w:ascii="Amiri" w:hAnsi="Amiri" w:eastAsia="Amiri" w:cs="Amiri"/>
          <w:color w:val="111111"/>
          <w:sz w:val="28"/>
          <w:sz w:val="28"/>
          <w:szCs w:val="28"/>
          <w:rtl w:val="true"/>
          <w:lang w:bidi="ar-SA"/>
        </w:rPr>
        <w:t>يصدق عليه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موضوع الحكم هل هو الإحسان في قصده واعتقاده وإن كان إساءة في الواقع؟ أو هو الإحسان واقعا وإن لم يعلم أنّه إحسان ، بل وإن قصد به الإساءة ، أو كلاهما؟ أي يكون إحسانا واقعا وهو أيضا يكون قاصدا للإحسان؟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دائر مدار الإحسان الواقعي وإن لم يقصد به الإحسان ، لأنّ الظاهر من العناوين والمفاهيم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واقعها والمعنى الحقيقي لها ، إلاّ أن يكون المتفاهم العرفي معنى آخر غير المعنى الحقيقي ، ولا شكّ في أنّ العرف لا يفهم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هو المعنى الحقيقي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بحسب ما يستفاد من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العقلي والإجماع فسترى ما يكون مفادهما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مؤاخذة المحسن على إحسانه ولعلّ إلى هذا يشير بطور الاستفهام الإنكاري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أي مكافاة الإحسان يكون بالإحسان إلي المحسن ، لا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 حسن بحكم العقل وعند العقلاء ، ولا شكّ في أنّ المحسن منعم ، فشكره ، أي جزاءه بالإحسان إليه قولا أو عملا حسن ، كما أنّ كفران نعمته قبيح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تغريم المحسن وتضمينه فيما أحسن إليه كفران لما أنعم عليه ، وذلك كما في المثال الذي ذكرنا أنّه لو رأى غنم شخص صاحبه غائب عنه ، فأدخله في داره للحفظ عن التلف وأن لا يفترسه السباع ، فانهدم البناء وتلف ، فتغريم هذا الشخص وتضمينه قبيح بحكم العقل ، ويكون إساءة في مقابل جميلة وإحسانه ، لأنّه وإن وضع </w:t>
      </w:r>
    </w:p>
    <w:p>
      <w:pPr>
        <w:pStyle w:val="BookText"/>
        <w:rPr/>
      </w:pPr>
      <w:r>
        <w:rPr>
          <w:rFonts w:ascii="Amiri" w:hAnsi="Amiri" w:eastAsia="Amiri" w:cs="Amiri"/>
          <w:color w:val="111111"/>
          <w:sz w:val="28"/>
          <w:sz w:val="28"/>
          <w:szCs w:val="28"/>
          <w:rtl w:val="true"/>
          <w:lang w:bidi="ar-SA"/>
        </w:rPr>
        <w:t>يده عليه بدون إذن صاحبه ، إلاّ أنّه كان بقصد الإحسان وحفظ ذلك الحيوان عن التلف ، وفي الواقع كان إحسانا من جهة حفظه عن السباع ، لا أنّه صرف قصد الإحسان ، وإنّما وقع عليه التلف بجهة أخرى غير جهة إحسانه ، وهو انهدام البناء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فتغريمه في مثل هذه الصورة قبيح ، فيستكشف من هذا الحكم العقلي ملاك حرمة تغريم المحسن وتضمينه في الفعل الذي صدر عنه بقصد الإحسان وكان واقعا إحسانا ، وإن تضرّر صاحب الحيوان من ناحية أخرى وتلف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حكم العقل بقبح تغريم المحسن وتضمينه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صرف استحسان ، وإثبات الحكم الشرعي أو نفيه عن موضوعه لا يجوز بالظنون الاستحسانيّة ، بل لا بدّ من قيام دليل وحجّة ثبت حجّيته بالحجّة القطعيّة على ثبوته أو نفيه ، فلو وجد سبب الضمان من إتلاف ، أو يد غير مأذونه ، أو تعدّ ، أو تفريط من الأمين ، أو غير ذلك من أسباب الضمان لا يصحّ الحكم بعدم الضمان بصرف هذا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هذه القاعدة هو الإجماع ، فإنّ الفقهاء يستدلّون بها في كتبهم وفتاويهم على عدم ضمان المحسن من نكير منهم ، مثلا إذا كان المال الذي أودعه المودع عند شخص ، وكان ذلك الشخص غيّر مكان الوديعة لاعتقاده أنّه أحفظ ، وكان ذلك المكان واقعا أحفظ ، وكانت الوديعة من الأحجار الكريمة فانكسر ، فلا ضمان على الودعي ، لأنّه محسن في هذا النقل ، وإن كان بغير إذن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النقل إلى مكان أحرز ولو مع نهي المالك المودع عن النقل ، بل ادّعى الإجماع على عدم الضمان فيما نقل مع خوف التلف ، معلّلا بأنّه محسن في هذا الفعل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استدلالهم على عدم الضمان بهذه القاعدة وإن كان من المسلّمات ، </w:t>
      </w:r>
      <w:bookmarkStart w:id="22" w:name="pg15937_234920"/>
    </w:p>
    <w:p>
      <w:pPr>
        <w:pStyle w:val="BookText"/>
        <w:rPr/>
      </w:pPr>
      <w:bookmarkEnd w:id="22"/>
      <w:r>
        <w:rPr>
          <w:rFonts w:ascii="Amiri" w:hAnsi="Amiri" w:eastAsia="Amiri" w:cs="Amiri"/>
          <w:color w:val="111111"/>
          <w:sz w:val="28"/>
          <w:sz w:val="28"/>
          <w:szCs w:val="28"/>
          <w:rtl w:val="true"/>
          <w:lang w:bidi="ar-SA"/>
        </w:rPr>
        <w:t xml:space="preserve">فهذا صاحب الجواهر قدس سره يستدلّ على قبول قول الودعي إن ادّعى التلف بالإجماع ، وبأنّه محسن قابض لمصلحة المالك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استدلالهم بهذه القاعدة في عدم الضمان لعلّه مستند إلى الآية الشريفة ، بل الظاهر أنّه كذلك ، لا أنّه صرف الاحتمال ، ومع هذا كيف يمكن أن يكون من الإجماع المصطلح الذي بنينا في الأصول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أنّ عمدة المدرك لهذه القاعدة هو عموم الآية الشريفة </w:t>
      </w:r>
      <w:r>
        <w:rPr>
          <w:rStyle w:val="FootnoteAnchor"/>
          <w:rtl w:val="true"/>
        </w:rPr>
        <w:footnoteReference w:id="7"/>
      </w:r>
      <w:r>
        <w:rPr>
          <w:rFonts w:ascii="Amiri" w:hAnsi="Amiri" w:eastAsia="Amiri" w:cs="Amiri"/>
          <w:color w:val="111111"/>
          <w:sz w:val="28"/>
          <w:sz w:val="28"/>
          <w:szCs w:val="28"/>
          <w:rtl w:val="true"/>
          <w:lang w:bidi="ar-SA"/>
        </w:rPr>
        <w:t>بناء على إلقاء خصوصيّة المورد ، كما بيّنّا وتقدّم مفصّلا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6073304_2142443653"/>
      <w:bookmarkStart w:id="24" w:name="_Toc7"/>
      <w:bookmarkEnd w:id="23"/>
      <w:r>
        <w:rPr>
          <w:rtl w:val="true"/>
        </w:rPr>
        <w:t xml:space="preserve">الجهة الثانية </w:t>
      </w:r>
      <w:r>
        <w:rPr>
          <w:rtl w:val="true"/>
        </w:rPr>
        <w:t xml:space="preserve">: </w:t>
      </w:r>
      <w:r>
        <w:rPr>
          <w:rtl w:val="true"/>
        </w:rPr>
        <w:t>في بيان المراد من هذه القاعدة</w:t>
      </w:r>
      <w:bookmarkEnd w:id="2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ممّا بيّنّا في شرح أدلّتها ، خصوصا ما ذكرنا في شرح الآية المباركة ، ولكن نبيّن توضيحا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يفعل فعلا يكون موجبا للضمان والتغريم في حدّ نفسه ، كما أنّ الولي أو القيّم على الصغير لو صدر فعل عنه في مال الصغير من باب الإحسان إليه ، وكان ذلك الفعل في الواقع إحسانا ، لا أنّه اعتقد أنّه إحسان وفي الواقع لم يكن إحسانا ، لأنّ موضوع القاعدة هو الإحسان الواقعي لا تخيّل الإحسان ، ولكن اتّفق أنّه ترتّب على ذلك الفعل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نقل متاعه في البحر لانتفاع أكثر فغرق ، أو في البرّ فسرق ، فليس عليه الضمان ، لأنّه كان محسنا في هذه الفعل ، وهذا الفعل في حدّ نفسه إحسان إليه ، والغرق والحرق والسرقة أمر اتّفاقي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ووجود هذه الأمور من باب الاتّفاق لا يمنع التجّار عن تجاراتهم ومكاسبهم ، كما أنّه لا يمنع عن صدق الإحسان إلى القصر إذا صدر عن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هذه القاعدة ففي السبيل مطلقا على كلّ واحد من أفراد المحسنين ، فهذه قضيّة حقيقيّة تنحلّ إلى قضايا متعدّدة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حيث أنّه تنحلّ إلى قضايا متعدّدة بعدد أفراد الموضوع ، أي اجتنبوا عن هذا الخمر وذاك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وجد في الخارج وصدق عليه أنّه خمر يجب الاجتناب عنه ، وهذا هو معنى الانحلال ، وفيما نحن فيه أيضا معنى الانحلال هو أنّ كلّ من وجد في الخارج وكان محسنا فلا سبيل عليه ، ولا شك أنّ الضمان والتغريم سبيل عليه ، فيرجع المعنى إلى أنّه لا ضمان ولا غرامة في الفعل الذي صدر عن كلّ محسن بجهة الإحسان وكان في الواقع إحسانا ، لا ما تخيّل أنّه إحسان مع أنّه ليس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السبيل على المحسن باعتبار إحسانه ، فإنّ تعليق الحكم على الوصف وجعله موضوعا مشعر بهذا المعنى ، فيفيد أنّ الفعل الذي صدر بعنوان الإحسان وكان إحسانا واقعا ، ولكن من باب الاتّفاق ترتّب عليه ما يوجب الضمان لا يضمن ولا يغرم ، لأنّه محسن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صدق الإحسان بين أن يكون فعل المحسن لجلب المنفعة لذلك الذي يريد الإحسان إليه ، أو يكون لدفع المضرّة عنه ، فكلاهما إحسان ، فكما أنّ جلب المنفعة له إحسان إليه ، كذلك دفع الضرر عن نفسه أو عن ماله إحسان إليه ، وربما يكون صدق الإحسان على دفع الضرر في بعض المصاديق والموارد أولى بنظر العرف من صدقه على جلب المنفعة ، خصوصا إذا كان دفع الضرر لحفظ النفس عن الهلاك ، فأيّ إحسان أعظم من هذا</w:t>
      </w:r>
      <w:r>
        <w:rPr>
          <w:rFonts w:eastAsia="Amiri" w:cs="Amiri" w:ascii="Amiri" w:hAnsi="Amiri"/>
          <w:color w:val="111111"/>
          <w:sz w:val="28"/>
          <w:szCs w:val="28"/>
          <w:rtl w:val="true"/>
          <w:lang w:bidi="ar-SA"/>
        </w:rPr>
        <w:t xml:space="preserve">. </w:t>
      </w:r>
      <w:bookmarkStart w:id="25" w:name="pg15937_234922"/>
    </w:p>
    <w:p>
      <w:pPr>
        <w:pStyle w:val="Heading3"/>
        <w:numPr>
          <w:ilvl w:val="2"/>
          <w:numId w:val="1"/>
        </w:numPr>
        <w:rPr/>
      </w:pPr>
      <w:bookmarkStart w:id="26" w:name="__RefHeading___Toc16073306_2142443653"/>
      <w:bookmarkStart w:id="27" w:name="_Toc8"/>
      <w:bookmarkEnd w:id="25"/>
      <w:bookmarkEnd w:id="26"/>
      <w:r>
        <w:rPr>
          <w:rtl w:val="true"/>
        </w:rPr>
        <w:t xml:space="preserve">الجهة الثالثة </w:t>
      </w:r>
      <w:r>
        <w:rPr>
          <w:rtl w:val="true"/>
        </w:rPr>
        <w:t xml:space="preserve">: </w:t>
      </w:r>
      <w:r>
        <w:rPr>
          <w:rtl w:val="true"/>
        </w:rPr>
        <w:t>في موارد تطبيق هذه القاعدة</w:t>
      </w:r>
      <w:bookmarkEnd w:id="2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إحسانه إلى صاحب المال باعتبار دفع الضرر المالي أو النفسي عنه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جلب المنفعة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اشتعال النار في لباسه بحيث لا طريق إلى حفظ نفس ذلك الشخص عن الاحتراق إلاّ بتمزيق ألبسته ، فمزّقها ، فحيث أنّه محسن إليه في هذا الفعل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البزّاز اشتعل النار في دكّانه ، فهو لدفع الضرر عنه وعدم احتراق أجناسه الغالية القيّمة هدم مقدارا من الدكّان ، لعدم وصول النار إلى تلك الأجناس ، فلا ضمان عليه ، لأجل أنّه محسن إليه في هذا الفعل فلا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أخرج الأجناس من دكّانه مع العجلة والسرعة خوفا من احتراقها في أثناء اشتغاله بتفريق المحلّ عن الأجناس ، ووقع التلف على بعضها فلا يضمن ، لأنّه محسن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لو أشرف شخص على الغرق ، ولم يمكن نجاته إلاّ بأن يتلف بعض ما معه من الأموال من الألبسة وغيرها ، فأتلفها لاستخلاصه فلا ضمان عليه ، لأنّه محسن في هذا الفعل الذي صدر عنه لدفع الضرر عن صاحب المال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رأى ربّان السفينة أنّ السفينة مع الأموال الكثيرة التي فيها أشرفت على الغرق لثقلها ، والمفروض أنّ السفينة وجميع الأموال لمالك واحد ، فألقى مقدارا من تلك الأموال في البحر لحفظ السفينة وباقي الأموال فلا يضمن ، لأنّه محسن في هذا الفعل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كان السيل متوجّها إلى داره ، أو خانه الذي محلّ تجارته وفيهما أموال كثيرة ، فسدّ السيل عنهما ببعض فروش داره أو أثاث بيته من الأجناس والأنواع </w:t>
      </w:r>
    </w:p>
    <w:p>
      <w:pPr>
        <w:pStyle w:val="BookText"/>
        <w:rPr/>
      </w:pPr>
      <w:r>
        <w:rPr>
          <w:rFonts w:ascii="Amiri" w:hAnsi="Amiri" w:eastAsia="Amiri" w:cs="Amiri"/>
          <w:color w:val="111111"/>
          <w:sz w:val="28"/>
          <w:sz w:val="28"/>
          <w:szCs w:val="28"/>
          <w:rtl w:val="true"/>
          <w:lang w:bidi="ar-SA"/>
        </w:rPr>
        <w:t>الآخر ، أو غيّر مجرى السيل منهما إلى مزرعته ، فوقع التلف على فروشه وأثاث بيته أو على زرعه فلا يضمن ، لأنّه محسن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قلنا من عدم الضمان ، يصحّ فيما إذا كان الضرر الذي يرد عليه أقلّ من الضرر الذي يدفع عنه إذا كان الذي يدفع عنه ماليّا ، لأنّه لو كان أكثر بل ولو كان مساويا لا يعدّ هذا الفعل إحسانا إليه ، بل إذا كان الضرر الذي يدفع عنه أقلّ من الضرر الذي يرد عليه يكون هذا إساءة لا إحسانا ، وإذا كان مساويا يكون لغوا لا إحسانا ، إلاّ أن يكون جهة أخرى غير الماليّة ، فيخرج عن اللغويّة ، بل ربما يوجب صيرورته إحسانا وإن كان مساويا مع الضرر الذي يدفعه عنه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الودعي لو أراد المسافرة التي لا يمكن له تركها ، ولا يمكن له الوصول إلى مالك الوديعة كي يردّها ، فيجوز له دفنها في محلّ الأمن إن لم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ظاهرا 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سرقته أو غصبه أو تلفه بشكل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دفنه مع هذا الخوف ، فوقع عليه التلف من باب الاتّفاق فلا يضمن ، لأنّه محسن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خشي المعاجلة ، أو خاف عليها من معاجلة السارق أو الظالم لم يضمن حينئذ بالدفن المراعى مقدار ما يتمكّن منه من الحرزيّة والأعلام ونحوهما ، لانحصار طريق حفظها حينئذ بذلك ، وكذا لو كان السفر ضروريّا له ، وخاف معاجلة الرفقة ، فدفنها مراعيا ما سمعت بعد تعذّر ما وجب عليه من الردّ على الوجه المزبور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موارد تطبيق على قاعدة الإحسان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الإحسان باعتبار دفع الضرر عمّن يحسن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لا يمكن في هذا المختصر استيفاؤها واستقصاؤها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موارد تطبيق هذه القاعدة في القسم الثاني ، أي فيما إذا كان الإحسان باعتبار </w:t>
      </w:r>
    </w:p>
    <w:p>
      <w:pPr>
        <w:pStyle w:val="BookText"/>
        <w:rPr/>
      </w:pPr>
      <w:r>
        <w:rPr>
          <w:rFonts w:ascii="Amiri" w:hAnsi="Amiri" w:eastAsia="Amiri" w:cs="Amiri"/>
          <w:color w:val="111111"/>
          <w:sz w:val="28"/>
          <w:sz w:val="28"/>
          <w:szCs w:val="28"/>
          <w:rtl w:val="true"/>
          <w:lang w:bidi="ar-SA"/>
        </w:rPr>
        <w:t>جلب المنفعة وإيصالها إلى الذي يريد أن يحسن إليه فكثيرة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الكثيرة التي تصدر من الأولياء لإيصال النفع إلى المولّين عليهم ، فاتّفق ترتّب الضرر على تلك الأفعال ، فلا ضمان لهم ، لأنّهم محسنون في تلك الأفعال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أحد الأولياء هو الحاكم ، فلو تصرّف في مال المولّى عليه لإيصال النفع إليه ، كما أنّه اشتغل في قناة له بالحفر والإصلاح لازدياد الماء ، فصار سببا لانهدام القناة ، فلا ضمان عليه ، لأنّه كان محسنا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 طريق السيل إلى مزرعته أو بستانه لشرب الماء ونموّ زرعها ، أو نموّ أشجار البستان فاتّفق أنّ ذلك السيل أفسد تلك المزرعة وذلك البستان ،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أعطى الحاكم النقود التي عنده لأجرة العبادات للأجير الذي ثقة عنده فاتّفق أنّه لم يأت بتلك العبادة ومرض ومات ، ولم يترك مالا كي يؤخذ ما أعطاه الحاكم عن تركته ، فلا ضمان على الحاكم ، لأنّه محسن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الأب والجدّ من طرف الأب بالنسبة إلى أموال صغيرهما ، فلو حبسوا طعامه ومتاعه ولم يبيعاه التماس زيادة الثمن ، فنزل السعر أو فسد الطعام والمتاع ، فلا ضمان عليهما ، لأنّهما محسنان في تأخير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كان نزول السعر أو فساد المتاع من باب الاتّفاق ، وإلاّ لو كان النزول أو فساد المتاع غالبيّا ، فتأخير البيع ليس إحسانا ، بل ربما يكون إساءة ، وذلك كالمنسوجات التي مادّتها صوف أو وبر ، فإبقاؤها وتأخير بيعها خصوصا في الصيف يوجب غالبا فسادها وإتلافها ، بواسطة أنّه غالبا تلك المنسوجات في الصيف في معرض أكل العثة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تأخير بيع الفواكه التماس زيادة الثمن ، لأنّ إبقاء الفواكه وتأخير بيعها غالبا ممّا يوجب فسادها ، فالتأخير في أمثال هذه لطلب زيادة الثمن وإيصال النفع ليس إحسانا ، بل يكون في بعض الصور إساءة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الأمر فيما لو زرع زرعا للمولّى عليه لإيصال النفع إليه ، ولكن من باب الاتّفاق بواسطة حوادث الجوّ فسد ذلك الزرع ، أو صار حاصل ذلك الزرع رخيصا وقليل الفائدة ، بحيث لم يف بنصف ما صرف في ذلك الزرع ، فلا ضمان على الوليّ ، لأنّه كان محسنا في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أجر سفينته أو أباعرة وجماله للركوب أو للحمل ونقل المتاع من مكان إلى مكان آخر ، فغرقت السفينة ، أو تلفت الأباعر والجمال ، فلا ضمان على الوليّ ، كما ذكرنا من أنّه محسن في هذا الفعل ، وقد نفى اللّه سبحانه وتعالى السبيل على المحسنين ، وقد تقدّم أنّ موارد تطبيق هذه القاعدة كثيرة ، ولا يمكن استقصاؤها واستيفاؤها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بعضهم ها هنا إيرادا ، وهو أنّ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باب اللقطة أنّ الملتقط بعد اليأس عن إيصال المال إلى صاحبه يتصدّق بذلك المال عن طرف صاحبه المجهول ، لأنّ هذا أيضا نحو إيصال إلى المالك وإحسان إليه ، ومع ذلك حكموا بأنّه ضامن للمالك إن ظهر وعلم به بعد أن تصدّق ، وهذا الحكم منهم مناف لعموم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يجاب عنه بأنّ الشارع حكم بجواز التصدّق مع الضمان إن ظهر صاحبه ، والتصدّق إحسان بهذا القيد ، وإلاّ فصرف التصدّق بدون أن يكون في البين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 صاحبه وتبيّنه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إحسانا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ليس مختصّا باللقطة ، بل قالوا به في كلّ ما هو مجهول المالك ، كما لو وقعت في يده الأموال المسروقة أو المغصوبة التي لا يعلم صاحبها ، فبعد اليأس عن الإيصال إلى صاحبها يجب عليه أن يعطيها صدقة بشرط ضمانها لو ظهر صاحبها أو أصحابها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937_234927"/>
      <w:bookmarkStart w:id="29" w:name="pg15937_234927"/>
      <w:bookmarkEnd w:id="29"/>
    </w:p>
    <w:p>
      <w:pPr>
        <w:pStyle w:val="Heading2"/>
        <w:numPr>
          <w:ilvl w:val="1"/>
          <w:numId w:val="1"/>
        </w:numPr>
        <w:rPr/>
      </w:pPr>
      <w:bookmarkStart w:id="30" w:name="pg15937_234927"/>
      <w:bookmarkStart w:id="31" w:name="__RefHeading___Toc16073308_2142443653"/>
      <w:bookmarkStart w:id="32" w:name="_Toc9"/>
      <w:bookmarkEnd w:id="30"/>
      <w:bookmarkEnd w:id="31"/>
      <w:r>
        <w:rPr/>
        <w:t>37</w:t>
      </w:r>
      <w:r>
        <w:rPr>
          <w:rtl w:val="true"/>
        </w:rPr>
        <w:t xml:space="preserve"> - </w:t>
      </w:r>
      <w:r>
        <w:rPr>
          <w:rtl w:val="true"/>
        </w:rPr>
        <w:t>قاعدة الفراش</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6073310_2142443653"/>
      <w:bookmarkStart w:id="34" w:name="_Toc10"/>
      <w:bookmarkEnd w:id="33"/>
      <w:r>
        <w:rPr>
          <w:rtl w:val="true"/>
        </w:rPr>
        <w:t>اشارة</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الفراش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ومن جملة القواعد الفقهيّة المعروفة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في مدركها</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الحديث المشهور المعروف بين جميع الفرق والطوائف الإسلاميّة ، ولم ينكره أحد من المسلمين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هذا الحديث في الصحاح المعتبرة عندهم هكذا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عتبة بن أبي وقّاص عهد إلى أخيه سعد بن أبي وقّاص أنّ ابن وليدة زمعة مني فأقبضه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عام الفتح أخذه سعد بن أبي وقّاص ، وقال ابن أخي قد عهد إلىّ فيه ، فقام عبد بن زمعة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وابن وليدة أبي ولد على فراشه ، فتساوقا إلى النبي صلی اللّه علیه و آله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ابن أخي كان قد عهد إلىّ فيه ، فقال عبد بن زمعة أخي وابن وليدة أبي ولد على فراشه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لك يا عبد بن </w:t>
      </w:r>
    </w:p>
    <w:p>
      <w:pPr>
        <w:pStyle w:val="BookText"/>
        <w:rPr/>
      </w:pPr>
      <w:r>
        <w:rPr>
          <w:rFonts w:ascii="IRNazanin" w:hAnsi="IRNazanin" w:eastAsia="IRNazanin"/>
          <w:color w:val="111111"/>
          <w:sz w:val="28"/>
          <w:sz w:val="28"/>
          <w:szCs w:val="28"/>
          <w:rtl w:val="true"/>
          <w:lang w:bidi="fa-IR"/>
        </w:rPr>
        <w:t xml:space="preserve">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لسودة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زمعة زوج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احتجبي منه لما رأى من شبهه بعتبة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رآها حتّى لقي اللّه تعالى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في جواب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ذكرت من نفي زياد ، فإنّي لم أنفه بل نفاه رسول اللّه صلی اللّه علیه و آله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الحسن علیه السلام في جواب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كتب زياد إليه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زياد بن أبي سفيان إلى حسن بن فاطمة علیه السلام يريد بذلك إهانته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حسن بن فاطمة بنت رسول اللّه صلی اللّه علیه و آله إلى زياد بن سميّة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حسن الصيقل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ويسأل عن رجل اشترى جارية ، ثمَّ وقع عليها قبل أن يستبرأ رحمها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ما صنع يستغفر اللّه ولا يعد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باعها من آخر ولم يستبرئ رحمها ، ثمَّ باعها الثاني من رجل آخر ، فوقع عليها ولم يستبرء رحمها فاستبان حملها عند الثالث؟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سعيد الأعرج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رجلين وقعا على جارية في طهر واحد ، لمن يكن الولد؟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للذي عند الجارية ، لقول رسول </w:t>
      </w:r>
      <w:bookmarkStart w:id="35" w:name="pg15937_234931"/>
    </w:p>
    <w:p>
      <w:pPr>
        <w:pStyle w:val="BookText"/>
        <w:rPr/>
      </w:pPr>
      <w:bookmarkEnd w:id="35"/>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ينبغي البحث عن صدور هذا الحديث الشريف عن رسول اللّه صلی اللّه علیه و آله ، لأنّ صدوره قطعيّ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من جهة أنّ إلحاق معاوية زياد بن سميّة بأبي سفيان صار سببا لاشتهار هذا الحديث بين المحدّثين والمؤرّخين ، إذ هذه القضية العجيبة التي كانت خلاف نصّ رسول اللّه صلی اللّه علیه و آله وقعت في زمان وجود جمع كثير من الصحابة الكرام ، وأنكروا كلّهم هذا الأمر على معاوية لمّا سمعوا من رسول اللّه صلی اللّه علیه و آله هذا النصّ الصريح ، ولذلك اشتهر ونقله المحدّثون وأغلب المؤرّخين ، وذكروا له المطاعن الأربعة المعروفة عند 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بغيه على أمير المؤمنين علیه السلام ، وقتله حجر بن عدي الذي كان من خيار أصحاب رسول اللّه صلی اللّه علیه و آله ، وإلحاق زياد ، ونصبه يزيد ابنه خليفة من بعده وأميرا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ذكرنا فمدّعى القطع بصدور هذا الحديث ليس بمجازف ، وعلى كلّ حال ثبوته وصدوره من المسلّمات بين المسلمين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6073312_2142443653"/>
      <w:bookmarkStart w:id="37" w:name="_Toc11"/>
      <w:bookmarkEnd w:id="36"/>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بيان مدلول هذا الحديث والمتفاهم العرفي منه</w:t>
      </w:r>
      <w:bookmarkEnd w:id="37"/>
    </w:p>
    <w:p>
      <w:pPr>
        <w:pStyle w:val="Heading4"/>
        <w:numPr>
          <w:ilvl w:val="3"/>
          <w:numId w:val="1"/>
        </w:numPr>
        <w:rPr/>
      </w:pPr>
      <w:bookmarkStart w:id="38" w:name="__RefHeading___Toc16073314_2142443653"/>
      <w:bookmarkStart w:id="39" w:name="_Toc12"/>
      <w:bookmarkEnd w:id="38"/>
      <w:r>
        <w:rPr>
          <w:rtl w:val="true"/>
        </w:rPr>
        <w:t>اشارة</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ألفاظ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 النطفة بعد استقرارها في الرحم ونمائها إلى أن بلغ إلى قابليّتها لولوج الروح فيها ، أي بعد تكميل خلقتها البدنيّة ، فإذا ولج فيها الروح يسمّى ولدا ، سواء أكان وقت خروجه حيّا سويّا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بعض الآثار الشرعيّة يترتّب عليها بشرط خروجها حيّا ، وهذا الذي يسمّى بالولد له إضافة إلى من تولّدت النطفة منه ، وهذه الإضافة والنسبة خارجيّة ، لا أنّها صرف اعتبار تشريعي أو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النسبة المكررة بين الوالد والولد ، وكذا بين الوالدة تكون من المحمولات بالضمائم ومن مقولة الإضافة ، وحالها حال سائر الأعراض التسعة الخارجيّة المقوليّة ، وهذه النسبة حيث أنّه لها طرفان ، بمعنى أنّه لكلّ واحد من الطرفين نسبة مقوليّة إلى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النسبة من الطرف الذي خرجت هذه النطفة من صلبه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ويسمّى ذلك الشخص باعتبار تولّد هذه النطفة منه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وتسمّى بالنسبة إلى نفس هذه النطفة بعد تكميلها وولوج الروح فيها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أنثى ، وموصوف هذه الإضافة والنسبة يسمّى بالابن إن كان ذكرا ، وبالبنت إن كانت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الموصوف لتلك النسبة التي في الطرف يسمّى بالوالد أو الأب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لهذه النطفة نسبة مكرّرة إلى من استقرّت هي في رحمها ، وهي أيضا نسبة خارجيّة مقوليّة مكرّرة لها طرفان ، وليس فرق بين هذه النسبة وبين النسبة السابقة ، إلاّ أنّها من طرف من استقرّت في رحمها تسمّى بالأمومة ، وموصوفها تسمّى بالأمّ أو الوالدة ، فهذا هو معنى الولد ، والوالد ، والوالدة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عمّا يفرش لنوم أو لغيره ، وها هنا كناية عن الزوج الشرعي أو المالك ، باعتبار أنّ من هو زوج شرعا أو كان مالكا لها له حقّ أن ينام معها فيه شرعا ويستمتع منها ، وأمثال هذه الكنايات كثيرة في لغة العرب وتعابيرهم وفي القرآن الكريم</w:t>
      </w:r>
      <w:r>
        <w:rPr>
          <w:rFonts w:eastAsia="Amiri" w:cs="Amiri" w:ascii="Amiri" w:hAnsi="Amiri"/>
          <w:color w:val="111111"/>
          <w:sz w:val="28"/>
          <w:szCs w:val="28"/>
          <w:rtl w:val="true"/>
          <w:lang w:bidi="ar-SA"/>
        </w:rPr>
        <w:t xml:space="preserve">. </w:t>
      </w:r>
      <w:bookmarkStart w:id="40" w:name="pg15937_234933"/>
    </w:p>
    <w:p>
      <w:pPr>
        <w:pStyle w:val="BookText"/>
        <w:rPr/>
      </w:pPr>
      <w:bookmarkEnd w:id="40"/>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 كان معنى مفردات الحديث</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6073316_2142443653"/>
      <w:bookmarkStart w:id="42" w:name="_Toc13"/>
      <w:bookmarkEnd w:id="41"/>
      <w:r>
        <w:rPr>
          <w:rtl w:val="true"/>
        </w:rPr>
        <w:t xml:space="preserve">وأمّا المتفاهم العرفي من هاتين الجملتين </w:t>
      </w:r>
      <w:r>
        <w:rPr>
          <w:rtl w:val="true"/>
        </w:rPr>
        <w:t>:</w:t>
      </w:r>
      <w:bookmarkEnd w:id="42"/>
    </w:p>
    <w:p>
      <w:pPr>
        <w:pStyle w:val="BookText"/>
        <w:rPr/>
      </w:pPr>
      <w:r>
        <w:rPr>
          <w:rFonts w:ascii="Amiri" w:hAnsi="Amiri" w:eastAsia="Amiri" w:cs="Amiri"/>
          <w:color w:val="111111"/>
          <w:sz w:val="28"/>
          <w:sz w:val="28"/>
          <w:szCs w:val="28"/>
          <w:rtl w:val="true"/>
          <w:lang w:bidi="ar-SA"/>
        </w:rPr>
        <w:t xml:space="preserve">أمّا الجملة الأولى ، فهي عبارة عن أنّ الولد مخصوص بالزوج ، وليس لأحد غيره حقّ ونصيب فيه ، وهذا المعنى نتيجة حصر المبتدأ في الخبر الذي يقولون به في علم البلاغة إذا كان المبتدأ معرّفا بالألف واللام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والفصاحة في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في أنّه صلی اللّه علیه و آله في مقام بيان الحكم الشرعي ، لا في مقام الإخبار عن أمر خارجي ، وظاهر القضايا الشرعيّة التي بصورة الأخبار كلّها من هذا القبيل ، أي وإن كانت بحسب الصورة جمل خبريّة ، لكنّها في الحقيقة إنشاءات بصورة الإخبار عن وقوعها في أحد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أنّها لو كانت إخبارات عن الأمور الخارجيّة تكون غير مطابق مع الواقع في كثير من الأحيان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هذين في مقام بيان الأحكام الشرعيّة ، فربما لا يغتسل ولا يعيد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محلّ الكلام لو كان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عن أمر واقع ، ربما لا يكون كذلك ، أي يكون الولد واقعا لغير الفراش ، خصوصا في الأزمنة التي تشيع فيها الفجور ، ولا يمكن أن يصدر الكذب منه صلی اللّه علیه و آله ، لأنّه صلی اللّه علیه و آله معصوم ، فهذا وجه آخر لأنّها إنشاءات لا إخبارات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الأمر كذلك ، فلا بدّ من القول بأنّه صلی اللّه علیه و آله في مقام جعل الفراش أمارة معتبرة في مقام الإثبات لإثبات أنّ المولود في فراش شخص يكون له ، وليس لآخر نصيب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جميع الأمارات الشرعيّة كالعرفيّة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أيضا عرفية في الأغلب أمضاها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تخطّى ، لكنّها غالب المطابقة ، وهذا مناط جعلها أمارة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وأيضا معلوم أنّ أماريّة الأمارة منوطة بعدم القطع على خلافها وعلى وفاقها أيضا ، إذ مع القطع بأحد الطرفين لا يبقى مجال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كون القطع على وفاقها ، فحجّية الأمارة تكون من قبيل تحصيل ما هو حاصل بالوجدان بالتعبّد ، الذي هو أسوء من تحصيل الحاصل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صورة كونه على خلافها ، فمن جهة عدم إمكان جعل الطريق والمثبت للذي خلافه ثابت لديه ، فالأمارة المعتبرة حجّة لمن يكن شاكّا في مؤدّاها ، فإذن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أمارة في مورد الشكّ في أنّ الولد هل لصاحب الفراش أو لغيره ، وإلاّ فمع أنّه له أو لغيره لا يبقى مجال للتمسّك به في مقام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حيث أنّه بناء على ما ذكرنا أمارة معتبرة لا يعتنى بالظنون غير المعتبرة على خلافها ، كما هو الحال في كلّ أمارة ، مثلا لو شهدت البيّنة العادلة على أنّ فلانة زوجة فلان مع عدم نفيه ، فالظنّ غير المعتبر على أنّها ليس زوجة له لا أثر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نحن فيه بعد ما جعل الشارع الفراش أمارة على أنّ الولد لصاحب الفراش ، فكونه شبيها بالزاني وإن كان يوجب الظنّ بأنّه له ، ولكنّ الشارع لم يعتبر هذا الظنّ ، فلا أثر له في مقابل الحجّة المعتبرة ، ولذلك هو صلی اللّه علیه و آله لم يعتبر ولم يعتن بالشبه الذي كان بين الولد وعتبة بن أبي وقّاص ، وردّ دعوى سعد بن أبي وقّاص ، وحكم بكون الولد لزمعة ، معلّلا بأنّه صاحب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أمره صلی اللّه علیه و آله زوجته سودة أمّ المؤمنين بالاحتجاب عن ذلك الولد للشباهة التي كانت بينه وبين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صلی اللّه علیه و آله حكم بأنّه أخوها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الاحتياط ، وقد تقرّر في الأصول أنّ الاحتياط حسن عقلا وشرعا ، حتّى مع وجود الحجّة المعتبرة على أحد الاحتمالين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أيضا أحد الأدلّة على حسنه شرعا ، بل استحبابه إن كان أمره صلی اللّه علیه و آله باحتجابها منه مولويّا ، لا إرشاديّا إلى حسن الاحتياط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الظنون غير المعتبرة التي لا تقاوهم هذه الأمارة قول القافة بواسطة </w:t>
      </w:r>
    </w:p>
    <w:p>
      <w:pPr>
        <w:pStyle w:val="BookText"/>
        <w:rPr/>
      </w:pPr>
      <w:r>
        <w:rPr>
          <w:rFonts w:ascii="Amiri" w:hAnsi="Amiri" w:eastAsia="Amiri" w:cs="Amiri"/>
          <w:color w:val="111111"/>
          <w:sz w:val="28"/>
          <w:sz w:val="28"/>
          <w:szCs w:val="28"/>
          <w:rtl w:val="true"/>
          <w:lang w:bidi="ar-SA"/>
        </w:rPr>
        <w:t>الأمارات التي عندهم ، ولا شكّ في أنّ قولهم يوجب الظنّ ، ولكنّ الشارع لم يعتبره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سرور النبي صلی اللّه علیه و آله من قول القائف حينما رأى رجلي أسامة وزيد وعليهما قطيفة قد غطيا رءوسهما وبدت إقدامها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الأقدام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هذا الحديث عن أمّ المؤمنين عائشة بعدّة طرق ، ومتن الحديث على ما رواه سفيان عن الزهري ، عن عروة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صلی اللّه علیه و آله ذات يوم مسرورا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عائشة ألم ترى أنّ مجزز السلمي المدلجي دخل علىّ فرأى أسامة وزيدا وعليهما قطيفة قد غطيا رؤوسهما وبدت إقدامهما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الأقدام بعضها من بعض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فلا يدلّ على حجّية قول القائف واعتباره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 سروره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صحّة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جهة أنّ أسامة كان أسود شديد السواد ، وكان زيد أبيض ، وكانوا يقدحون في نسب أسامة ويطعنون من هذه الجهة ، والنبي صلی اللّه علیه و آله كان يحبّ زيدا وكذلك أسامة ، فلمّا أخبر القائف بصحّة نسبه وأن زيدا أبوه فرح صلی اللّه علیه و آله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 الظنّ بوجود ما هو المطلوب والمحبوب يوجب السرور والفرح وإن لم يكن ذلك الظنّ حجّة شرعا ، فلو أخبر معلّم كافر مشرك بأنّ ابنك فلان ذكيّ ، سريع الفهم ، وفوق ذلك أنّه مشغول جدّا بالمطالعة والحفظ يسرّ الأب ، وان كان قول المعلّم ليس حجّة ، لأنّ قول المؤمن العادل الواحد ليس بحجة في الموضوعات ، فضلا عن قول الكافر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كانت العرب تعتبر قول القائفين ، وكانوا يرتّبون عليه الآثار ، </w:t>
      </w:r>
    </w:p>
    <w:p>
      <w:pPr>
        <w:pStyle w:val="BookText"/>
        <w:rPr/>
      </w:pPr>
      <w:r>
        <w:rPr>
          <w:rFonts w:ascii="IRNazanin" w:hAnsi="IRNazanin" w:eastAsia="IRNazanin"/>
          <w:color w:val="111111"/>
          <w:sz w:val="28"/>
          <w:sz w:val="28"/>
          <w:szCs w:val="28"/>
          <w:rtl w:val="true"/>
          <w:lang w:bidi="fa-IR"/>
        </w:rPr>
        <w:t>فأخبار القائف بصحّة نسب أسامة كان موجبا لارتداع القادحين عن قدحهم وطعنهم ، ولذلك سرّ النبيّ صلی اللّه علیه و آله لحبّه زيدا وولده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سواد أسامة فهو من ناحية أمّه أمّ أيمن ، فإنّها كانت امرأة حبشيّة تزوّجها زيد بعد زوجها الأوّل ، وهو عبيد بن زيد من بني الحارث بن خزرج ، وكانت أمّ أيمن حاضنة النبيّ صلی اللّه علیه و آله ، وورثها من أبيه مع خمس جمال وقطيعة من غنم ، فأعتقها رسول اللّه صلی اللّه علیه و آله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يتزوج امرأة من أهل الجنّة فليتزوّج أمّ أيمن ، فتزوّجها زيد ابن حارثة ، فولدت له أسامة بن زيد </w:t>
      </w:r>
      <w:r>
        <w:rPr>
          <w:rStyle w:val="FootnoteAnchor"/>
          <w:rtl w:val="true"/>
        </w:rPr>
        <w:footnoteReference w:id="18"/>
      </w:r>
      <w:r>
        <w:rPr>
          <w:rFonts w:ascii="IRNazanin" w:hAnsi="IRNazanin" w:eastAsia="IRNazanin"/>
          <w:color w:val="111111"/>
          <w:sz w:val="28"/>
          <w:sz w:val="28"/>
          <w:szCs w:val="28"/>
          <w:rtl w:val="true"/>
          <w:lang w:bidi="fa-IR"/>
        </w:rPr>
        <w:t>، فكان رسول اللّه صلی اللّه علیه و آله يحبّ أسامة حبّا شديدا ، وقد صرّح بذلك حين أمره على الجيش المعروف بجيش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الظنون التي لا تقاوم هذا الأمارة المعتبرة ، الأمارات الظنيّة غير المعتبرة شرعا ولكنّ العرف يعتمدون عليها ، من قبيل تحليل الدم وأمثاله الشائعة في هذه الأعصار عند الأطبّاء ، ولكن كلّ ما ذكرنا من عدم مقاومتها لهذه الأمارة المعتبرة يكون فيما إذا يوجب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أوجب القطع بأنّ الولد لغير صاحب الفراش ، فلا يبقى مجال لإجراء هذه القاعدة ، لأنّها أمارة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نفي النسب عن الزاني أو عن غيره ممّن هو ليس بصاحب الفراش في صورة إمكان الانتساب إلى 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الزوج في سفر طويل ، أو كان غيبته عنها لسبب آخر كالسجن الطويل مثلا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تجرى هذه القاعدة ، وبناء على هذا لو ولدت بعد الزواج بمدّة أقلّ من أقلّ الحمل ، أو ولدت بعد غياب الزوج بمدّة أكثر من أكثر الحمل فلا يجوز الإلحاق بهذه القاعدة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شرح الجملة الأولى من الحديث الشريف</w:t>
      </w:r>
      <w:r>
        <w:rPr>
          <w:rFonts w:eastAsia="Amiri" w:cs="Amiri" w:ascii="Amiri" w:hAnsi="Amiri"/>
          <w:color w:val="111111"/>
          <w:sz w:val="28"/>
          <w:szCs w:val="28"/>
          <w:rtl w:val="true"/>
          <w:lang w:bidi="ar-SA"/>
        </w:rPr>
        <w:t xml:space="preserve">. </w:t>
      </w:r>
      <w:bookmarkStart w:id="43" w:name="pg15937_234937"/>
    </w:p>
    <w:p>
      <w:pPr>
        <w:pStyle w:val="BookText"/>
        <w:rPr/>
      </w:pPr>
      <w:bookmarkEnd w:id="43"/>
      <w:r>
        <w:rPr>
          <w:rFonts w:ascii="Amiri" w:hAnsi="Amiri" w:eastAsia="Amiri" w:cs="Amiri"/>
          <w:color w:val="111111"/>
          <w:sz w:val="28"/>
          <w:sz w:val="28"/>
          <w:szCs w:val="28"/>
          <w:rtl w:val="true"/>
          <w:lang w:bidi="ar-SA"/>
        </w:rPr>
        <w:t xml:space="preserve">وأمّا 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فالعاهر هو الزاني ، والحجر معناه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معنى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كناية عن طرد الزاني وردّه عن دعواه الولد ، كما أنّ الكلب يطرد بالحجارة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الزاني هو المحصن وهو لا يعطى له الولد ، بل يرمى بالحجارة حتّى يهلك ، أي يحدّ بهذا الحدّ الذي عيّنه الشارع للزاني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أولى ، وإن كان الذي يتبادر إلى الذهن أوّلا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ظاهر الحديث الشريف أنّ أماريّة الفراش ليست مخصوصة بكونها في مقابل الزاني المحصن ، بل تكون أماريّته عامّة في قبال كلّ زان ، بل في قبال كلّ واطئ ليس بصاحب الفراش وإن لم يكن زانيا ، فحمله على المعنى الثاني خروج عمّا هو المتفاهم العرفي من ظاهر الحديث ، ويكون من قبيل التخصيص بلا مخصّص</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6073318_2142443653"/>
      <w:bookmarkStart w:id="45" w:name="_Toc14"/>
      <w:bookmarkEnd w:id="44"/>
      <w:r>
        <w:rPr>
          <w:rtl w:val="true"/>
        </w:rPr>
        <w:t xml:space="preserve">[ </w:t>
      </w:r>
      <w:r>
        <w:rPr>
          <w:rtl w:val="true"/>
        </w:rPr>
        <w:t xml:space="preserve">الجهة </w:t>
      </w:r>
      <w:r>
        <w:rPr>
          <w:rtl w:val="true"/>
        </w:rPr>
        <w:t xml:space="preserve">] </w:t>
      </w:r>
      <w:r>
        <w:rPr>
          <w:rtl w:val="true"/>
        </w:rPr>
        <w:t xml:space="preserve">الثالثة </w:t>
      </w:r>
      <w:r>
        <w:rPr>
          <w:rtl w:val="true"/>
        </w:rPr>
        <w:t xml:space="preserve">: </w:t>
      </w:r>
      <w:r>
        <w:rPr>
          <w:rtl w:val="true"/>
        </w:rPr>
        <w:t>في بيان جملة من موارد تطبيقها</w:t>
      </w:r>
      <w:bookmarkEnd w:id="45"/>
    </w:p>
    <w:p>
      <w:pPr>
        <w:pStyle w:val="Heading4"/>
        <w:numPr>
          <w:ilvl w:val="3"/>
          <w:numId w:val="1"/>
        </w:numPr>
        <w:rPr/>
      </w:pPr>
      <w:bookmarkStart w:id="46" w:name="__RefHeading___Toc16073320_2142443653"/>
      <w:bookmarkStart w:id="47" w:name="_Toc15"/>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مقابل الفراش زناء فقط ، ويمكن الإلحاق بكلّ واحد منهما خارجا أي ليس شي‌ء يمنع المنع عن إلحاقه بأحدهما لا شرعا ولا تكوينا لو لا معارضة أحدهما بالآخر ولو لا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القدر المتيقّن من موارد هذه القاعدة ، وكان هذا هو مورد الحديث الشريف في دعوى سعد بن أبي وقّاص ، ودعوى عبد بن زمعة ، حيث أنّ عبد بن زمعة يدّعى الولد لزمعة الذي هو صاحب الفراش ، لأنّه كان مالكا للجارية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والفراش يتحقّق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زوجا لها بالعقد الدائم أو الموقّت </w:t>
      </w:r>
    </w:p>
    <w:p>
      <w:pPr>
        <w:pStyle w:val="BookText"/>
        <w:rPr/>
      </w:pPr>
      <w:r>
        <w:rPr>
          <w:rFonts w:ascii="IRNazanin" w:hAnsi="IRNazanin" w:eastAsia="IRNazanin"/>
          <w:color w:val="111111"/>
          <w:sz w:val="28"/>
          <w:sz w:val="28"/>
          <w:szCs w:val="28"/>
          <w:rtl w:val="true"/>
          <w:lang w:bidi="fa-IR"/>
        </w:rPr>
        <w:t>المسمّى بالمتعة في اصطلاح الفقهاء وعند العرف أيضا ، أو يكون مالكا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التحليل سنتكلّم فيها ، وسعد بن أبي وقّاص يدّعيه لأخيه بالزنا وقد عرفت أنّه صلی اللّه علیه و آله حكم لزمعة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وإلحاق الولد بصاحب الفراش قد عرفت أنّه فيما أن يكون له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الإمكان العقلي العادي هو أنّه لا يلزم من الانتساب إليه محال بحسب العادة ، كأن يكون الزوج مسافرا مدّة طويلة لا يمكن وصوله إليها عادة ، أو كان غائبا لجهة أخرى غير المسافرة لا يمكن له الوصول إليها ، أو لا يكون للزوج أو المالك أمناء لمرض ، أو لشيخوخة ، أو لأيّ 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الانتساب إلى صاحب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زوجا لها بالعقد الدائم أو المنقطع ، أو كان مالكا لها ، أو كان مالكها حلّلها له بناء على أنّ التحليل أيضا يوجب صيرورة المحلّلة له صاحب فراش كما أنّه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وجود المعلول بدون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الإمكان شرعا فذكر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ولو دبرا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وإن لم ينزل ، فإن كان المراد عدم العلم بالإنزال مع احتماله فله وجه ، وأمّا إن كان مرادهم من عدم الإنزال هو العلم بعدمه فهذا عجيب ، لأنّ مرجعه إلى وجود المسبّب بدون السبب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لتحرّك نطفة الامرأة واكتسابها العلوق من نطفة الرجل في محلّها ، أو غير ذلك من الحكم التي لا يحيط بها إلاّ ربّ العزّة </w:t>
      </w:r>
      <w:r>
        <w:rPr>
          <w:rStyle w:val="FootnoteAnchor"/>
          <w:rtl w:val="true"/>
        </w:rPr>
        <w:footnoteReference w:id="19"/>
      </w:r>
      <w:r>
        <w:rPr>
          <w:rFonts w:ascii="Amiri" w:hAnsi="Amiri" w:eastAsia="Amiri" w:cs="Amiri"/>
          <w:color w:val="111111"/>
          <w:sz w:val="28"/>
          <w:sz w:val="28"/>
          <w:szCs w:val="28"/>
          <w:rtl w:val="true"/>
          <w:lang w:bidi="ar-SA"/>
        </w:rPr>
        <w:t xml:space="preserve">، فهذا الذي قال من تحرّك النطفة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أمرا خياليّا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الحكم إلى آخره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حقّ لو جاء دليل قطعي على أنّه بدون إنزال صاحب الفراش يلحق به ، ولكنّ الأمر ليس كذلك ، بل هنا قاعدة وأمارة شرعيّة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 أنّها أمارة لكون الولد لصاحب الفراش في ظرف إمكان ذلك عادة ، وبدون الإنزال لا يمكن ، ولذلك قال في الرياض ما خلاصته أنّ إلحاق الولد بصاحب الفراش مشروط بما إذا كان تولّده من مائه محتملا ولو باحتمال بعيد ، وفي غيره إشكال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حكى الإطلاق عن الأصحاب واحتمل الإجماع ، فاعتبار الدخول ليس لموضوعيّة فيه ، بل من جهة كونه مقدّمة لوصول الماء إلى رحمها ، ولذلك لو وصل الماء إلى رحمها من غير الدخول ، كما إذا لاعبها وأنزل على الفرج ووصل الماء إليها من غير الدخول يلحق بصاحب الفراش الملاعب قطعا ، وقد شاهدنا في عصرنا مواليد تكونوا من ماء أبيهم مع عدم زوال بكارة أمّهم ، وأولدتهم القوابل بالعلاج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قرب الإسناد بإسناده عن أبي البختري عن جعفر بن محمّد علیه السلام عن أبيه علیه السلام أنّ رجلا أتى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امرأتي هذه حامل وهي جارية حدثة ، وهي عذراء ، وهي حامل في تسعة أشهر ، ولا أعلم إلاّ خيرا وأنا شيخ كبير ما افترعتها ، وأنّها لعلى حالها ، فقال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 اللّه هل كنت تهريق على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ألحقت بك ولدها فشقّ عنها القوابل ، فجاءت بغلام فعاش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أخرى بهذا المضمون نقلها في الوسائل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 أنّ إدخال ماء الرجل بتوسّط الإبر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لو </w:t>
      </w:r>
    </w:p>
    <w:p>
      <w:pPr>
        <w:pStyle w:val="BookText"/>
        <w:rPr/>
      </w:pPr>
      <w:r>
        <w:rPr>
          <w:rFonts w:ascii="Amiri" w:hAnsi="Amiri" w:eastAsia="Amiri" w:cs="Amiri"/>
          <w:color w:val="111111"/>
          <w:sz w:val="28"/>
          <w:sz w:val="28"/>
          <w:szCs w:val="28"/>
          <w:rtl w:val="true"/>
          <w:lang w:bidi="ar-SA"/>
        </w:rPr>
        <w:t xml:space="preserve">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يوجب أن يلحق الولد بصاحب الماء ، وإن قلنا بأنّ هذا الفعل حرام ، وكذلك لو انجذب الماء إلى الفرج في الحمّام ودخل في الرحم ، وتكون الولد يلحق بصاحب الماء لو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الولد لصاحب الماء أمر تكويني ، لأنّه هو نفس الماء ، غاية الأمر نما إلى أن جعله اللّه ولدا سويّا ، فهو في سياق الزرع ، كما أنّ البذر إذا وقع في الأرض ينمو إلى أن يصير سنبلا بإرادة اللّه وجعله ، كذلك النطفة بعد ما وصل إلى الرحم القابل ينمو إلى أن يجعله اللّه ولدا وينشأه خلقا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في خصوص الزنا ألغى الشارع هذا الانتساب التكويني من حيث بعض الآثار لبعض المصالح ، ولعلّ عمدتها حفظ الجامعة عن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الإشكال في كفاية الدخول في الدبر إلاّ مع الإمناء واحتمال السبق وعدم الشعور به ، ولذلك حكى عن ابن إدريس في السرائر </w:t>
      </w:r>
      <w:r>
        <w:rPr>
          <w:rStyle w:val="FootnoteAnchor"/>
          <w:rtl w:val="true"/>
        </w:rPr>
        <w:footnoteReference w:id="23"/>
      </w:r>
      <w:r>
        <w:rPr>
          <w:rFonts w:ascii="Amiri" w:hAnsi="Amiri" w:eastAsia="Amiri" w:cs="Amiri"/>
          <w:color w:val="111111"/>
          <w:sz w:val="28"/>
          <w:sz w:val="28"/>
          <w:szCs w:val="28"/>
          <w:rtl w:val="true"/>
          <w:lang w:bidi="ar-SA"/>
        </w:rPr>
        <w:t xml:space="preserve">وعن العلاّمة في التحرير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اسرارهما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العبرة بالوطي دبرا ، وعدم اعتبارهما بالوطي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صورة عدم احتمال السبق ، أو لكون الاحتمال ضعيفا بدرجة يكون عند العقلاء بحكم العدم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ستّة أشهر هلاليّة من زمان الوطي ، فلو كان أقلّ من ذلك وولدت تامّ الخلقة حيّا لا يلحق بصاحب الفراش ، وذلك من جهة أنّها أقلّ الحمل كتابا وسنّة ، مستفيضة بل متواترة ، ولا خلاف في ذلك بين الأصحاب ، بل نسب الاتّفاق إلى علماء الإسلام ، وقد نسب في الجواهر </w:t>
      </w:r>
      <w:r>
        <w:rPr>
          <w:rStyle w:val="FootnoteAnchor"/>
          <w:rtl w:val="true"/>
        </w:rPr>
        <w:footnoteReference w:id="25"/>
      </w:r>
      <w:r>
        <w:rPr>
          <w:rFonts w:ascii="Amiri" w:hAnsi="Amiri" w:eastAsia="Amiri" w:cs="Amiri"/>
          <w:color w:val="111111"/>
          <w:sz w:val="28"/>
          <w:sz w:val="28"/>
          <w:szCs w:val="28"/>
          <w:rtl w:val="true"/>
          <w:lang w:bidi="ar-SA"/>
        </w:rPr>
        <w:t xml:space="preserve">إلى المفيد </w:t>
      </w:r>
      <w:r>
        <w:rPr>
          <w:rStyle w:val="FootnoteAnchor"/>
          <w:rtl w:val="true"/>
        </w:rPr>
        <w:footnoteReference w:id="26"/>
      </w:r>
      <w:r>
        <w:rPr>
          <w:rFonts w:ascii="Amiri" w:hAnsi="Amiri" w:eastAsia="Amiri" w:cs="Amiri"/>
          <w:color w:val="111111"/>
          <w:sz w:val="28"/>
          <w:sz w:val="28"/>
          <w:szCs w:val="28"/>
          <w:rtl w:val="true"/>
          <w:lang w:bidi="ar-SA"/>
        </w:rPr>
        <w:t xml:space="preserve">والشيخ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p>
    <w:p>
      <w:pPr>
        <w:pStyle w:val="BookText"/>
        <w:rPr/>
      </w:pPr>
      <w:r>
        <w:rPr>
          <w:rFonts w:ascii="Amiri" w:hAnsi="Amiri" w:eastAsia="Amiri" w:cs="Amiri"/>
          <w:color w:val="111111"/>
          <w:sz w:val="28"/>
          <w:sz w:val="28"/>
          <w:szCs w:val="28"/>
          <w:rtl w:val="true"/>
          <w:lang w:bidi="ar-SA"/>
        </w:rPr>
        <w:t>بين النفي والإقرار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الفتوى من هذين الشيخين الجليلين لا يخلو عن غرابة ، مع استفاضة الروايات واتّفاق الفقهاء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عبارة المقنعة أنّه لو نفاه الزوج وخاصمته المرأة وادّعت أنّه منه واختلفا في زمان الحمل </w:t>
      </w:r>
      <w:r>
        <w:rPr>
          <w:rStyle w:val="FootnoteAnchor"/>
          <w:rtl w:val="true"/>
        </w:rPr>
        <w:footnoteReference w:id="28"/>
      </w:r>
      <w:r>
        <w:rPr>
          <w:rFonts w:ascii="Amiri" w:hAnsi="Amiri" w:eastAsia="Amiri" w:cs="Amiri"/>
          <w:color w:val="111111"/>
          <w:sz w:val="28"/>
          <w:sz w:val="28"/>
          <w:szCs w:val="28"/>
          <w:rtl w:val="true"/>
          <w:lang w:bidi="ar-SA"/>
        </w:rPr>
        <w:t>، لا أنّ المرأة مع اعترافها بأنّها وضعت لأقلّ من ستّة أشهر تدّعي أنّه له ، فيكون هذا من فروع اختلافهما في مدّة الحمل ، ويكون خارجا عن محلّ بحثنا ، وهو أن يكون معلوما مدّة الحمل وأنّها أقلّ من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قبل هذا العبارة ، بأنّها إن ولدته حيّا تامّا لأقلّ من ستّة أشهر من يوم لامسها ، فليس له بولد بحكم العادة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المبسوط أيضا صريح في أنّها إذا وضعت لأقلّ من ستّة أشهر من حين لامسها فالولد لا يلحق به ، وهذا عين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أتت بولد لدون ستّة أشهر ، فإنّه ينفي عن الزوج بلا لعان ، لأنّه لا يمكن أن يكون منه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الشرط أيضا مقدّمة لإثبات مورد القاعدة ، وهو احتمال أن يكون الولد لصاحب الفراش ، لأنّه قبل انقضاء ستّة أشهر من حين الوطي لو ولدت نفى الشارع كونه له ، فيكون احتمال كونه منه ملغى بحكم الشارع ، ويكون معلوم العدم ، فلا يبقى موضوع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الوضع في أكثر من أكثر مدّة الحمل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تعيين أكثر مدّة الحمل خلاف ، فالمشهور يقولون بأنّه عبارة عن تسعة أشهر ، وبناء على هذا لو تجاوز مدّة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زمان الوطي تسعة أشهر إلى </w:t>
      </w:r>
    </w:p>
    <w:p>
      <w:pPr>
        <w:pStyle w:val="BookText"/>
        <w:rPr/>
      </w:pPr>
      <w:r>
        <w:rPr>
          <w:rFonts w:ascii="Amiri" w:hAnsi="Amiri" w:eastAsia="Amiri" w:cs="Amiri"/>
          <w:color w:val="111111"/>
          <w:sz w:val="28"/>
          <w:sz w:val="28"/>
          <w:szCs w:val="28"/>
          <w:rtl w:val="true"/>
          <w:lang w:bidi="ar-SA"/>
        </w:rPr>
        <w:t xml:space="preserve">زمان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تدلّ على أنّ أكثر مدّة الحمل تسعة أشهر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آخر بأنّه عشرة أشهر ، وهو الذي استحسنه في الشرائع </w:t>
      </w:r>
      <w:r>
        <w:rPr>
          <w:rStyle w:val="FootnoteAnchor"/>
          <w:rtl w:val="true"/>
        </w:rPr>
        <w:footnoteReference w:id="31"/>
      </w:r>
      <w:r>
        <w:rPr>
          <w:rFonts w:ascii="Amiri" w:hAnsi="Amiri" w:eastAsia="Amiri" w:cs="Amiri"/>
          <w:color w:val="111111"/>
          <w:sz w:val="28"/>
          <w:sz w:val="28"/>
          <w:szCs w:val="28"/>
          <w:rtl w:val="true"/>
          <w:lang w:bidi="ar-SA"/>
        </w:rPr>
        <w:t xml:space="preserve">، وحكى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32"/>
      </w:r>
      <w:r>
        <w:rPr>
          <w:rFonts w:ascii="Amiri" w:hAnsi="Amiri" w:eastAsia="Amiri" w:cs="Amiri"/>
          <w:color w:val="111111"/>
          <w:sz w:val="28"/>
          <w:sz w:val="28"/>
          <w:szCs w:val="28"/>
          <w:rtl w:val="true"/>
          <w:lang w:bidi="ar-SA"/>
        </w:rPr>
        <w:t xml:space="preserve">أيضا ، ونسب إلى العلاّمة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وصرّح العلاّمة في التبصرة بذلك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آخر بأنّه سنة ، وإليه ذهب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مدّعيا عليه الإجماع </w:t>
      </w:r>
      <w:r>
        <w:rPr>
          <w:rStyle w:val="FootnoteAnchor"/>
          <w:rtl w:val="true"/>
        </w:rPr>
        <w:footnoteReference w:id="35"/>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36"/>
      </w:r>
      <w:r>
        <w:rPr>
          <w:rFonts w:ascii="Amiri" w:hAnsi="Amiri" w:eastAsia="Amiri" w:cs="Amiri"/>
          <w:color w:val="111111"/>
          <w:sz w:val="28"/>
          <w:sz w:val="28"/>
          <w:szCs w:val="28"/>
          <w:rtl w:val="true"/>
          <w:lang w:bidi="ar-SA"/>
        </w:rPr>
        <w:t xml:space="preserve">، ومال إليه في المختلف </w:t>
      </w:r>
      <w:r>
        <w:rPr>
          <w:rStyle w:val="FootnoteAnchor"/>
          <w:rtl w:val="true"/>
        </w:rPr>
        <w:footnoteReference w:id="37"/>
      </w:r>
      <w:r>
        <w:rPr>
          <w:rFonts w:ascii="IRNazanin" w:hAnsi="IRNazanin" w:eastAsia="IRNazanin"/>
          <w:color w:val="111111"/>
          <w:sz w:val="28"/>
          <w:sz w:val="28"/>
          <w:szCs w:val="28"/>
          <w:rtl w:val="true"/>
          <w:lang w:bidi="fa-IR"/>
        </w:rPr>
        <w:t xml:space="preserve">على نقل صاحب الجواهر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 إلى الصواب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المحقق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w:t>
      </w:r>
      <w:r>
        <w:rPr>
          <w:rStyle w:val="FootnoteAnchor"/>
          <w:rtl w:val="true"/>
        </w:rPr>
        <w:footnoteReference w:id="40"/>
      </w:r>
      <w:r>
        <w:rPr>
          <w:rFonts w:ascii="Amiri" w:hAnsi="Amiri" w:eastAsia="Amiri" w:cs="Amiri"/>
          <w:color w:val="111111"/>
          <w:sz w:val="28"/>
          <w:sz w:val="28"/>
          <w:szCs w:val="28"/>
          <w:rtl w:val="true"/>
          <w:lang w:bidi="ar-SA"/>
        </w:rPr>
        <w:t xml:space="preserve">، وهناك رواية على أنّه سنتين </w:t>
      </w:r>
      <w:r>
        <w:rPr>
          <w:rStyle w:val="FootnoteAnchor"/>
          <w:rtl w:val="true"/>
        </w:rPr>
        <w:footnoteReference w:id="41"/>
      </w:r>
      <w:r>
        <w:rPr>
          <w:rFonts w:ascii="Amiri" w:hAnsi="Amiri" w:eastAsia="Amiri" w:cs="Amiri"/>
          <w:color w:val="111111"/>
          <w:sz w:val="28"/>
          <w:sz w:val="28"/>
          <w:szCs w:val="28"/>
          <w:rtl w:val="true"/>
          <w:lang w:bidi="ar-SA"/>
        </w:rPr>
        <w:t>، ولكن لم يقل به أحد من الأصحاب ، وحملوها على التقيّة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الأوّل الذي هو المشهور بين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قبل الإجماع روايات مستفيضة ذكر سبعة منها في الجواهر </w:t>
      </w:r>
      <w:r>
        <w:rPr>
          <w:rStyle w:val="FootnoteAnchor"/>
          <w:rtl w:val="true"/>
        </w:rPr>
        <w:footnoteReference w:id="42"/>
      </w:r>
      <w:r>
        <w:rPr>
          <w:rFonts w:ascii="Amiri" w:hAnsi="Amiri" w:eastAsia="Amiri" w:cs="Amiri"/>
          <w:color w:val="111111"/>
          <w:sz w:val="28"/>
          <w:sz w:val="28"/>
          <w:szCs w:val="28"/>
          <w:rtl w:val="true"/>
          <w:lang w:bidi="ar-SA"/>
        </w:rPr>
        <w:t xml:space="preserve">، ودلالة بعضها واضحة لا يمكن المناقشة فيها ، وذلك كمرسل عبد الرحمن ابن سيابة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مدّة الحمل تسعة أشهر ولا يزيد لحظة ، ولو زاد لحظة لقتل أمّه قبل أن يخرج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 هذا الخبر معلوم البطلان بالوجدان ، فلا يمكن صدوره عن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معلوميّة بطلانه بالوجدان غير معلوم ، لأنّ هذه أمور لا يعرفها غير ربّ العزّة جلّ جلاله ،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الرواية جملة مستقلّة لا إشكال في مضمونه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أقصى مدّة الحمل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التعبّد بصدوره ، وهو كاف في إثبات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وكرواية محمّد بن حكيم ، عن أبي الحسن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ادّعت الحمل بعد تسعة أشهر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الحمل تسعة أشهر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رواية أبان عن أبي عبد 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مريم حملت بعيسى تسع ساعات كلّ ساعة شهر </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أنّ الحمل لا يزيد على تسعة أشهر غير واضحة ، ولا يخلو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الحمل لا يزيد على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المدرك قويّ ، للروايات المستفيضة ، وادّعاء الإجماع فيه ، والشهرة المحقّقة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أكثر الحمل عشرة أشهر الذي استحسنه المحقق في الشرائع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يعضده الوجدان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إجماع ولا رواية تدلّ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وعمدة الوجه هو ادّعاؤهم الوجدان ، وأنّه كثيرا ما يزيد على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أنّ مبدأ الحقيقي للحمل غالبا غير معلوم ، وإن كان انتهاؤه بالولادة أمر محسوس ، وحكم القوابل أو النساء بالحمل إمّا بواسطة احتباس الحيض ، وإمّا بواسطة ظهور علامات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ربما يكون لجهة أخرى غير الحمل ، بل يكون لعلّة ومرض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غالبا يكون بعد مضيّ زمان من شهر أو شهرين بعد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أكثر الحمل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47"/>
      </w:r>
      <w:r>
        <w:rPr>
          <w:rFonts w:ascii="Amiri" w:hAnsi="Amiri" w:eastAsia="Amiri" w:cs="Amiri"/>
          <w:color w:val="111111"/>
          <w:sz w:val="28"/>
          <w:sz w:val="28"/>
          <w:szCs w:val="28"/>
          <w:rtl w:val="true"/>
          <w:lang w:bidi="ar-SA"/>
        </w:rPr>
        <w:t xml:space="preserve">، وقرّبه المسالك إلى الصواب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ليس في الروايات ما يدلّ على ذلك ، إلاّ ما نقل من خبر غياث ، عن جعفر بن محمّد علیهماالسلام عن أبيه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أدنى ما تحمل المرأة لستّة أشهر ، وأكثر ما تحمل لسنة </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الوسائل روى هذه الرواية عن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تحمل سنتين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إنّه لم يقل به أحد من الأصحاب ، ولذلك حمله في الوسائل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في النقل لا يبقى مجال للاستدلال بها على السنة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ممّا يمكن أن يستدلّ به على هذا القول ما هو المروي عن نوادر المعجزات للراوندي عن سيّدة النساء علیهاالسلام أنّها ولدت الحسين علیه السلام عند تمام السنة </w:t>
      </w:r>
      <w:r>
        <w:rPr>
          <w:rStyle w:val="FootnoteAnchor"/>
          <w:rtl w:val="true"/>
        </w:rPr>
        <w:footnoteReference w:id="51"/>
      </w:r>
      <w:r>
        <w:rPr>
          <w:rFonts w:ascii="Amiri" w:hAnsi="Amiri" w:eastAsia="Amiri" w:cs="Amiri"/>
          <w:color w:val="111111"/>
          <w:sz w:val="28"/>
          <w:sz w:val="28"/>
          <w:szCs w:val="28"/>
          <w:rtl w:val="true"/>
          <w:lang w:bidi="ar-SA"/>
        </w:rPr>
        <w:t xml:space="preserve">لكنّه معارض بما هو المعروف والمشهور أنّها ولدته لستّة أشهر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الوسائل عن هشام بن سالم ،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الحسين علیه السلام ستّة أشهر ، وأرضع سنتين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مضافا إلى أنّه معارض بما ورد من أنّ ولادته علیه السلام في ثالث شعبان ، وولادة الحسن علیه السلام في النصف من رمضان ، ومعلوم أنّ الفصل بينهما أقلّ من السنة بما لا يتسامح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ربما يستدلّ لهذا القول بما رواه حريز عمّن ذكره ، عن أحدهما علیهماالسلام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تَحْمِلُ كُلُّ أُنْثى وَما تَغِيضُ الْأَرْحامُ وَما تَزْدادُ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حمل دون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يزداد على تسعة أشهر ، فلمّا رأت المرأة الدم الخالص في حملها فإنّها تزداد بعدد الأيّام التي رأت في حملها من الدم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سندها والإغماض عن إرسالها ، ومع الإغماض عن معارضاتها الأقوى منها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المراد من الزيادة مقدار ما رأت الدم في حال حملها يزيد في مقدار الحمل ، فإن رأت الدم في حال الحمل خمسة أيّام يزيد في مدّة الحمل خمسة أيّام ، فلا تدلّ على المقصود أي كون مدّة أكثر الحمل سنة إلاّ على تقدير شاذّ في غاية الشذوذ</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بأنّه حال عادة ، وهو أن ترى الدم في كلّ شهر عشرة أيّام كي يصير في مجموع تسعة أشهر الذي هو مدّة الحمل تسعين يوما ، فيزيد هذا المقدار على تسعة أشهر ، فيكون المجموع سنة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حال الأخبار التي استدلّوا بها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لإثبات هذا القول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معتبر على الأقلّ من السنة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وضوح دلالة بعض الروايات على أنّ أكثر الحمل تسعة أشهر </w:t>
      </w:r>
      <w:r>
        <w:rPr>
          <w:rStyle w:val="FootnoteAnchor"/>
          <w:rtl w:val="true"/>
        </w:rPr>
        <w:footnoteReference w:id="58"/>
      </w:r>
      <w:r>
        <w:rPr>
          <w:rFonts w:ascii="Amiri" w:hAnsi="Amiri" w:eastAsia="Amiri" w:cs="Amiri"/>
          <w:color w:val="111111"/>
          <w:sz w:val="28"/>
          <w:sz w:val="28"/>
          <w:szCs w:val="28"/>
          <w:rtl w:val="true"/>
          <w:lang w:bidi="ar-SA"/>
        </w:rPr>
        <w:t>، وقلنا لو كان ضعف في سندها فهو منجبر بعمل الأصحاب والشهرة المحقّقة ، وقد حكينا من جماعة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إجماع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في الجواهر على أنّ مراده منه نفي أكثر من السنة ، لإثبات السنة به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توجيه حسن فلا يعارض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 وهو ما إذا سافر الزوج بعد الوطي مثلا إلى مكان بعيد لا يمكن وصوله عادة إليها ، وأيضا علم من الخارج من الأمارات الموجبة لليقين والمفيدة للعلم أنّه لم يصل إليها أجنبيّ ، ومع ذلك وضعت بعد مضيّ سنة من زمان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ما قيل ليس سبب الحمل منحصرا بوصول الزوج أو أجنبي إليها ، بل هناك احتمالات أخر معلومة لا يحتاج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بالاحتياط بعد انقضاء تسعة أشهر من حين الوطي في بعض الأخبار التي مفادها أنّ أكثر الحمل تسعة أشهر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الحكيم ، عن أبي الحسن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الشابّة التي مثلها تحيض يطلّقها زوجها ويرتفع حيضها كم عدّتها؟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ادّعت الحبل بعد الثلاثة أشهر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عدّتها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ادّعت </w:t>
      </w:r>
    </w:p>
    <w:p>
      <w:pPr>
        <w:pStyle w:val="BookText"/>
        <w:rPr/>
      </w:pPr>
      <w:r>
        <w:rPr>
          <w:rFonts w:ascii="IRNazanin" w:hAnsi="IRNazanin" w:eastAsia="IRNazanin"/>
          <w:color w:val="111111"/>
          <w:sz w:val="28"/>
          <w:sz w:val="28"/>
          <w:szCs w:val="28"/>
          <w:rtl w:val="true"/>
          <w:lang w:bidi="fa-IR"/>
        </w:rPr>
        <w:t xml:space="preserve">الحبل بعد تسعة أشهر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الحبل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تتزوّج؟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تحتاط بثلاثة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ادّعت بعد ثلاثة أشهر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ريبة عليها تزوّجت إن شاءت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لها ظهور جليّ في أنّ من تدّعي الحبل بعد مضيّ تسعة أشهر من طلاقها أيضا يجب عليها أن تحتاط بثلاثة أشهر إن ادّعت بقاء الحبل بعد ذلك أيضا ، وهذا مرجعه إلى أنّ احتمال بقاء الحمل إلى سنة موجود ، ويجب ترتيب الأثر بعدم جواز التزويج قبل انقضاء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إبراهيم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طلّق الرجل امرأته فادّعت حبلا ، انتظر بها تسعة أشهر ، فإن ولدت وإلاّ اعتدّت بثلاثة أشهر ، ثمَّ قد بانت منه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أبان عن ابن حكيم ، عن أبي إبراهيم علیه السلام أو ابنه علیهماالسلام قال علیه السلام في المطلّقة يطلّقها زوجها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حبلى ، فتمكث سنة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جاءت به لأكثر من سنة لم تصدق ، ولو ساعة واحدة في دعواها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الروايات يستكشف أنّ الشارع لم يلغ احتمال كونها أكثر من تسعة إلى السنة وإن كان نادرا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يستظهر منها أنّ احتمال الزائد على السنة ملغى في نظره ، ولذلك أجمعت </w:t>
      </w:r>
    </w:p>
    <w:p>
      <w:pPr>
        <w:pStyle w:val="BookText"/>
        <w:rPr/>
      </w:pPr>
      <w:r>
        <w:rPr>
          <w:rFonts w:ascii="Amiri" w:hAnsi="Amiri" w:eastAsia="Amiri" w:cs="Amiri"/>
          <w:color w:val="111111"/>
          <w:sz w:val="28"/>
          <w:sz w:val="28"/>
          <w:szCs w:val="28"/>
          <w:rtl w:val="true"/>
          <w:lang w:bidi="ar-SA"/>
        </w:rPr>
        <w:t xml:space="preserve">الإماميّة الاثنتي عشريّة على نفي الزائد عنها ، ولم يقل به أحد ، وقلنا إنّ صاحب الجواهر وجّه إجماع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نفي الزائد على السنة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الغالب في أكثر الحمل هو تسعة أشهر كما نراه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يزيد أو ينقص أيّام قلائل ، ولا شكّ في أنّ لكلّ أمر من الأمور الخارجيّة مصاديق وأفراد غالبيّة ، ومصاديق نادرة شاذّة ، وذلك كما أنّ البلوغ واليأس في المرأة أفرادها الغالبية في البلوغ يكون بإكمال تسع سنين هلاليّة ، وفي اليأس بإكمال خمسين أو ستّين ، والشارع لاحظ في الحكم بحيضيّة الدم الخارج عن المرأة الأفراد الغالبيّة إذ لم ير محذورا في ذلك ، فحكم بعدم الحيضيّة في أقلّ من تسع وأكثر من خمسين أو ستّين ، مع أنّ النساء يختلفن في ذلك قطعا حسب اختلاف امزجتهنّ ، إذ لا محذور مهمّ في عدم مراعاة الأفراد النادرة ، فأيّة مفسدة مهمّة في الحكم بحيضيّة دم ليس بحيض في الواقع ، أو بالعكس في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في عدم ملاحظة الأفراد النادرة مفاسد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 لأنّ نفي النسب مع ثبوته واقعا ربما ينجرّ إلى مفاسد عظيمة ، كنكاح العمّ لبنت أخيه ، والأخ للأخت ، أو حرمان شخص عن ثروته الكثيرة ، أو عن شرف أسرته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يجب مراعاة الأفراد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الحمل وبقاؤه في الرحم إلى السنة وإن كان في غاية القلّة والندرة ، ولكن مع ذلك مراعاته لازم لما ذكرنا ، ولذلك أمر بالاحتياط بثلاثة أشهر بعد مضيّ تسعة أشهر كما تقدّم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 قول المشهور وإن كان قويّا بحسب المدرك ، مضافا إلى اشتهاره بين أرباب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مراعاة هذا الاحتياط لا ينبغي أن يترك ، لما ذكرنا من المفاسد العظيمة في تركه ، ولعلّه لذلك ذهب جماعة من أعاظم أساطين الفنّ </w:t>
      </w:r>
    </w:p>
    <w:p>
      <w:pPr>
        <w:pStyle w:val="BookText"/>
        <w:rPr/>
      </w:pPr>
      <w:r>
        <w:rPr>
          <w:rFonts w:ascii="Amiri" w:hAnsi="Amiri" w:eastAsia="Amiri" w:cs="Amiri"/>
          <w:color w:val="111111"/>
          <w:sz w:val="28"/>
          <w:sz w:val="28"/>
          <w:szCs w:val="28"/>
          <w:rtl w:val="true"/>
          <w:lang w:bidi="ar-SA"/>
        </w:rPr>
        <w:t xml:space="preserve">كالمرتضى </w:t>
      </w:r>
      <w:r>
        <w:rPr>
          <w:rStyle w:val="FootnoteAnchor"/>
          <w:rtl w:val="true"/>
        </w:rPr>
        <w:footnoteReference w:id="64"/>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65"/>
      </w:r>
      <w:r>
        <w:rPr>
          <w:rFonts w:ascii="Amiri" w:hAnsi="Amiri" w:eastAsia="Amiri" w:cs="Amiri"/>
          <w:color w:val="111111"/>
          <w:sz w:val="28"/>
          <w:sz w:val="28"/>
          <w:szCs w:val="28"/>
          <w:rtl w:val="true"/>
          <w:lang w:bidi="ar-SA"/>
        </w:rPr>
        <w:t xml:space="preserve">والشهيد الثاني في المسالك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القول ، مع ما رأوا من القوّة في مدرك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القول أيضا الفقيه المتتبّع السيّد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الزاني مدّعيا للفراش يدّعى الولد في مقابله ، فهذا هو القدر المتيقّن من مورد القاعدة إن كان صاحب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دواما أو انقطاعا ، أو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للشرائط المذكورة التي كانت نتيجتها إمكان تكون ذلك الولد من مائه عادة ، وإن كان الفقهاء اشترطوا الدخول قبلا أو دبرا ، وعدم كون مدّة الحمل أقلّ من أقلّ الحمل والأكثر من أكثره ، لكن المقصود هو ما ذكرناه ، أو الحقّ ما ذكرناه وإن لم يكن مقصودا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الواطئ بالشبهة يدّعي الولد في مقابل الفراش بالمعنى الذي ذكرنا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أنّه 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عندي في هذا تأمّل ، لأنّه بناء على ما ذكرنا من أنّ الشارع جعل الفراش أمارة لكون الولد لصاحب الفراش فيما يمكن أن يكون له تكوينا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تكوينا فبوصول نطفة صاحب الفراش إلى رحمها ، وأمّا شرعا فبأن لا يكون حمله أقلّ من أقلّ الحمل ولا أكثر من أكثره ، فلصاحب الفراش أمارة على أنّ الولد له وهي الفراش ، فلا تصل النوبة إلى القرعة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حقّقناه في قاعدة القرعة أنّها تستعمل في الشبهة الموضوعيّة التي لا يجوز فيها </w:t>
      </w:r>
    </w:p>
    <w:p>
      <w:pPr>
        <w:pStyle w:val="BookText"/>
        <w:rPr/>
      </w:pPr>
      <w:r>
        <w:rPr>
          <w:rFonts w:ascii="Amiri" w:hAnsi="Amiri" w:eastAsia="Amiri" w:cs="Amiri"/>
          <w:color w:val="111111"/>
          <w:sz w:val="28"/>
          <w:sz w:val="28"/>
          <w:szCs w:val="28"/>
          <w:rtl w:val="true"/>
          <w:lang w:bidi="ar-SA"/>
        </w:rPr>
        <w:t>الاحتياط ولا يجب ، وتكون من المعضلات والمشكلات ، ومع وجود الأمارة في بعض أطراف العلم الإجمالي ينحلّ العلم ، ولا يبقى إجمال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القرعة أمارة حيث لا أمارة في البين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أماريّة الفراش مخصوصة بما إذا كان في قبال الزناء ، لا في قبال الوطي بالشبهة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الاحتمال أبطلناه فيما تقدّم ، وقلنا إنّ أماريّته مطلقة ، 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مستقلّ ، ومفاده أنّ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الرجل له حقّ المضاجعة في ذلك الفراش مع المرأة التي تنام فيه ، ويكون لها نحو اختصاص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شرعيّة على أنّ الولد الذي ولد في ذلك الفراش ملحق بصاحب الفراش عند الشكّ ، فيكون حال الفراش حال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الفرق هو أنّ البيّنة أمارة في جميع الموضوعات ، والفراش أمارة في خصوص إلحاق الولد بصاحب الفراش فيما أمكن الإلحاق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الجملة الأخرى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 بالجملة الأولى ، بل ذكره لطرد المدّعي المقابل لصاحب الفراش ، لأنّ المدّعي المقابل لصاحب الفراش في مورد الحديث كان زانيا ، فطرده بهذا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فيما إذا لم يمكن ، كما إذا كان صاحب الفراش لم يمسّه لا قبلا ولا دبرا ، أو لم يمض من حين وطئه مدّة أقلّ الحمل ، أو تجاوز من زمان وطئه إلى الوضع أكثر مدّة الحمل ، فلا يكون الفراش أمارة ، القطع بالعدم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الصورة يعطي الولد الواطئ بالشبهة ، لأنّه مدّع بلا معارض ، أو للقطع بأنّه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المدّعي المقابل للفراش هو أيضا صاحب الفراش ، ففيه صور أربع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يمكن لحوقه بالثاني وأمكن لحوقه بالأوّل ، كما إذا طلّق الأوّل زوجته وبعد انقضاء عدّتها تزوّجها الثاني ، فوضعت لأقلّ من ستّة أشهر من زمان </w:t>
      </w:r>
    </w:p>
    <w:p>
      <w:pPr>
        <w:pStyle w:val="BookText"/>
        <w:rPr/>
      </w:pPr>
      <w:r>
        <w:rPr>
          <w:rFonts w:ascii="Amiri" w:hAnsi="Amiri" w:eastAsia="Amiri" w:cs="Amiri"/>
          <w:color w:val="111111"/>
          <w:sz w:val="28"/>
          <w:sz w:val="28"/>
          <w:szCs w:val="28"/>
          <w:rtl w:val="true"/>
          <w:lang w:bidi="ar-SA"/>
        </w:rPr>
        <w:t>وطئ الثاني ، ولم يتجاوز أقصى الحمل من زمان وطئ الأوّل ، فالولد ملحق بالأوّل لكونه ذا أمارة وفراش ، والثاني لا يمكن أن يكون أمارة لكونه ولدت في زمان يكون أقلّ من أقلّ الحمل ، فيستكشف بطلان نكاح الثاني لوقوعه في العدّة ، لأنّ انقضاء عدّة الأوّل بالوضع ، والمفروض أنّه تزوّجها قبل الوضع وتصير تلك المرأة محرمة على الثاني أبدا ، لأنّه وطأها في العدّة بعد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الأولى ، وهو عدم إمكان لحوقه بالأوّل وإمكان لحوقه بالثاني ، كما إذا كانت الولادة بعد مضيّ أكثر الحمل من الوطي الأوّل ، ولا يكون أقلّ من أقلّ الحمل ، ولا أكثر من أكثره من حين وطئ الثاني ، ألحق بالثاني ، لعدم أماريّة فراش الأوّل ، لعدم الشكّ وعدم إمكان الإلحاق ، فيكون الفراش الثاني أمارة بلا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الإلحاق بكلّ واحد منهما ، فيسقط أماريّة كليهما وينفي عنهما لما ذكرنا أنّ أماريّة الفراش في ظرف إمكان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الإلحاق بكليهما ، فمقتضى القاعدة سقوط كليهما بالتعارض ، ولكن بناء الأصحاب على الإلحاق بالثاني ، لإحدى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أنّ المراد من الفراش هو الفراش الفعلي ، ولا شكّ أنّ الفراش الفعلي هو الثاني ،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الفعليّة في الفراش أمر مسلّم ، ولكن في زمان الوطي لا في زمان الوضع ، والمفروض أنّه في زمان الوطي كان كلاهما فعليّين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جهة الأخبار ، وقد وردت روايات مستفيضة </w:t>
      </w:r>
      <w:r>
        <w:rPr>
          <w:rStyle w:val="FootnoteAnchor"/>
          <w:rtl w:val="true"/>
        </w:rPr>
        <w:footnoteReference w:id="67"/>
      </w:r>
      <w:r>
        <w:rPr>
          <w:rFonts w:ascii="Amiri" w:hAnsi="Amiri" w:eastAsia="Amiri" w:cs="Amiri"/>
          <w:color w:val="111111"/>
          <w:sz w:val="28"/>
          <w:sz w:val="28"/>
          <w:szCs w:val="28"/>
          <w:rtl w:val="true"/>
          <w:lang w:bidi="ar-SA"/>
        </w:rPr>
        <w:t xml:space="preserve">في أنّ الولد يلحق </w:t>
      </w:r>
    </w:p>
    <w:p>
      <w:pPr>
        <w:pStyle w:val="BookText"/>
        <w:rPr/>
      </w:pPr>
      <w:r>
        <w:rPr>
          <w:rFonts w:ascii="Amiri" w:hAnsi="Amiri" w:eastAsia="Amiri" w:cs="Amiri"/>
          <w:color w:val="111111"/>
          <w:sz w:val="28"/>
          <w:sz w:val="28"/>
          <w:szCs w:val="28"/>
          <w:rtl w:val="true"/>
          <w:lang w:bidi="ar-SA"/>
        </w:rPr>
        <w:t>بالفراش الثاني إن أمكن ، وإن كان لحوقه بالأوّل أيضا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بالإجماع مع وجود هذه الأخبار فلا وجه له ، لما ذكرنا مرارا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المراد من الفراش في الحديث الشريف من له حقّ المضاجعة شرعا مع المرأة وأن يلامسها ، فالفراش كناية عن هذا الأمر ، وقد عرفت أنّ الزوج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له هذا الحقّ فيكون صاحب الفراش ، وكذلك مالك الجارية حيث له هذا الحقّ فيكون صاحب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مضافا إلى تطبيقه صلی اللّه علیه و آله هذه القاعدة على زمعة ، وهو كان مالكا لا زوجا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الواطئ بالشبهة ، فليس له هذه الحقّ قطعا ، بل هو متعدّ ومتجاوز على عرض الغير ، غاية الأمر لا يعاقب لجهله ، فهو معذور بالنسبة إلى العقاب والمؤاخذة ، لا أنّ له هذا الحقّ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الوطي له حكم ظاهري ، لا أنّه واقعا له جائز ، إلاّ على القول بالتصويب الباطل ، فلا فرق بين الزاني والواطئ بالشبهة في حرمة الوطي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فروق آخر بينهما ، وهو أنّ الشارع جعل الزناء موضوعا لأحكام لا تجري ولا تترتّب تلك الأحكام على الوطي بالشبهة ، من الحدّ ، وعدم إلحاق الولد به بالنسبة إلى بعض الأحكام ، كتوريثه من أبيه ، فادّعاء أنّ الواطئ بالشبهة صاحب الفراش عجيب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التحليل فكون المحلّل له صاحب الفراش فله وجه ، لأنّه بالتحليل يوجد له هذا الحقّ ، خصوصا إذا قلنا بأنّ التحليل عقد محتاج إلى الإيجاب والقبول ، فيمكن أن يقال بأنّه تزويج لها من المولى ، فيكون كالمتعة تزويجا موقّتا ، فهو أيضا صاحب </w:t>
      </w:r>
    </w:p>
    <w:p>
      <w:pPr>
        <w:pStyle w:val="BookText"/>
        <w:rPr/>
      </w:pPr>
      <w:r>
        <w:rPr>
          <w:rFonts w:ascii="Amiri" w:hAnsi="Amiri" w:eastAsia="Amiri" w:cs="Amiri"/>
          <w:color w:val="111111"/>
          <w:sz w:val="28"/>
          <w:sz w:val="28"/>
          <w:szCs w:val="28"/>
          <w:rtl w:val="true"/>
          <w:lang w:bidi="ar-SA"/>
        </w:rPr>
        <w:t>الفراش كالزوج في عقد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الفراش عبارة عن كونه مالكا شرعا للوطي ، وله حقّ أن يفعل ، والمشتبه ليس له ذلك ، وإنّما يرتكب محرّما معفوا عنه ، 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فعله ليس زناء ، لأنّه أخذ في مفهوم الزناء الالتفات والعلم أو العلمي بالحكم والموضوع جميعا ، فلا يترتّب على عمله آثار المترتّبة على الزناء ، من عدم إرث الولد والحدّ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واطئان بالشبهة وأمكن الإلحاق بكلّ واحد منهما يقرع بينهما ، أمّا لو اجتمع الزناء مع الوطي بالشبهة وأمكن الإلحاق بكلّ واحد منهما ، كما إذا وطيا في طهر واحد ، والوضع صار بعد التجاوز عن أقلّ الحمل ، وعدم التجاوز عن أكثر الحمل من زمان وطئ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الزاني مطرود ولا نسب له مطلقا ، فلا شكّ أنّ الولد للواطئ شبهة ، وليس للزاني إلاّ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طرده فيما إذا ادّعى في قبال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مورد الحديث لا مطلقا ونفي النسب بملاحظة الإرث لا مطلقا ، ولذلك يحرم على الزاني تزويج بنته من الزناء إجماعا بل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فمقتضى القواعد الأوّليّة هو أن يقرع بينهما ، ولكن الظاهر اتّفاق الأصحاب عن أنّه للواطئ بالشبهة ، ويطرد الزاني ، لأنّه علیه السلام عبّر من الولد المخلوق من ماء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لغية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الحسن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على يدي إلى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فجر بامرأة فحبلت ، ثمَّ أنّه تزوّجها بعد الحمل ، فجاءت بولد هو أشبه خلق اللّه به؟ فكتب علیه السلام بخطّه وخاتمه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لغية لا يورث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والغية ظاهرها أنّه باطل وخائب ولا يعتنى به ، فمفاد هذه الرواية هو أنّ الولد لا يلحق بالزاني وإن لم </w:t>
      </w:r>
      <w:bookmarkStart w:id="48" w:name="pg15937_234954"/>
    </w:p>
    <w:p>
      <w:pPr>
        <w:pStyle w:val="BookText"/>
        <w:rPr/>
      </w:pPr>
      <w:bookmarkEnd w:id="48"/>
      <w:r>
        <w:rPr>
          <w:rFonts w:ascii="Amiri" w:hAnsi="Amiri" w:eastAsia="Amiri" w:cs="Amiri"/>
          <w:color w:val="111111"/>
          <w:sz w:val="28"/>
          <w:sz w:val="28"/>
          <w:szCs w:val="28"/>
          <w:rtl w:val="true"/>
          <w:lang w:bidi="ar-SA"/>
        </w:rPr>
        <w:t>يكن مدّع في مقابله ، فضلا عمّا إذا كان مثل الواطئ بالشبهة الذي لم يلغ الشارع نسبه ، حتّى أنّ بعضهم ادّعى صدق الفراش على وطئ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ظاهر الرواية أنّه لغية من ناحية الإرث ، لا أنّه لغية بقول مطلق حتّى من ناحية نكاح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لو زنى الاثنان بامرأة في طهر واحد فجاءت بولد يمكن القول بالاقتراع بالنسبة إلى الآثار غير الإرث</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6073322_2142443653"/>
      <w:bookmarkStart w:id="50" w:name="_Toc16"/>
      <w:bookmarkEnd w:id="49"/>
      <w:r>
        <w:rPr>
          <w:rtl w:val="true"/>
        </w:rPr>
        <w:t>تنبيه</w:t>
      </w:r>
      <w:bookmarkEnd w:id="50"/>
    </w:p>
    <w:p>
      <w:pPr>
        <w:pStyle w:val="BookText"/>
        <w:rPr/>
      </w:pPr>
      <w:r>
        <w:rPr>
          <w:rFonts w:ascii="Amiri" w:hAnsi="Amiri" w:eastAsia="Amiri" w:cs="Amiri"/>
          <w:color w:val="111111"/>
          <w:sz w:val="28"/>
          <w:sz w:val="28"/>
          <w:szCs w:val="28"/>
          <w:rtl w:val="true"/>
          <w:lang w:bidi="ar-SA"/>
        </w:rPr>
        <w:t>ثمَّ إنّه من المعلوم والواضح الجلي أنّ الزناء قد يكون بالنسبة إلى الرجل والمرأة ، فيكونان زانيا وزانية ، والولد لا يرث من كلّ واحد منهما ويكون لغية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الزناء من طرف واحد ، وذلك بأن يكون أحدهما متعمّدا ملتفتا ، والطرف الآخر مشتبها ، فيرث الولد من المشتبه دون الزاني والزانية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الإرث فقد بيّنّا أنّه يلحق بهما بالنسبة إلى بعض الآثار ، كحرمة نكاح المحارم حتّى في الزناء من الطرفين ، بحيث يكونان باغ وبغيا ، فضلا عن أن يكون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المشهور وبعض الروايات هو أنّ الشارع ألغى النسب في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الالتزام بذلك مشكل جدّا ، خصوصا بالنسبة إلى نكاح المحارم ، كتزويج البنت من الزناء ، والأخت من الزناء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اخترناه فلو كان الولد الأكبر من الزناء لا يرث الحبوة ، ولكن يجب عليه قضاء صلوات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الزناء من الطرفين ، وأمّا إذا كان أحد الطرفين مشتبها ، فيلحق الولد بالمشتبه قطعا ، ويترتّب عليه جميع آثار النسب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بحقائق الأمور والأحكام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937_234957"/>
      <w:bookmarkStart w:id="52" w:name="pg15937_234957"/>
      <w:bookmarkEnd w:id="52"/>
    </w:p>
    <w:p>
      <w:pPr>
        <w:pStyle w:val="Heading2"/>
        <w:numPr>
          <w:ilvl w:val="1"/>
          <w:numId w:val="1"/>
        </w:numPr>
        <w:rPr/>
      </w:pPr>
      <w:bookmarkStart w:id="53" w:name="pg15937_234957"/>
      <w:bookmarkStart w:id="54" w:name="__RefHeading___Toc16073324_2142443653"/>
      <w:bookmarkStart w:id="55" w:name="_Toc17"/>
      <w:bookmarkEnd w:id="53"/>
      <w:bookmarkEnd w:id="54"/>
      <w:r>
        <w:rPr/>
        <w:t>38</w:t>
      </w:r>
      <w:r>
        <w:rPr>
          <w:rtl w:val="true"/>
        </w:rPr>
        <w:t xml:space="preserve"> - </w:t>
      </w:r>
      <w:r>
        <w:rPr>
          <w:rtl w:val="true"/>
        </w:rPr>
        <w:t>قاعدة وعلى اليد ما أخذت حتى تؤدّيه</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6073326_2142443653"/>
      <w:bookmarkStart w:id="57" w:name="_Toc18"/>
      <w:bookmarkEnd w:id="56"/>
      <w:r>
        <w:rPr>
          <w:rtl w:val="true"/>
        </w:rPr>
        <w:t>اشارة</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937_234959"/>
      <w:bookmarkStart w:id="59" w:name="pg15937_234959"/>
      <w:bookmarkEnd w:id="59"/>
    </w:p>
    <w:p>
      <w:pPr>
        <w:pStyle w:val="BookText"/>
        <w:rPr/>
      </w:pPr>
      <w:bookmarkStart w:id="60" w:name="pg15937_234959"/>
      <w:bookmarkEnd w:id="60"/>
      <w:r>
        <w:rPr>
          <w:rFonts w:ascii="Amiri" w:hAnsi="Amiri" w:eastAsia="Amiri" w:cs="Amiri"/>
          <w:color w:val="111111"/>
          <w:sz w:val="28"/>
          <w:sz w:val="28"/>
          <w:szCs w:val="28"/>
          <w:rtl w:val="true"/>
          <w:lang w:bidi="ar-SA"/>
        </w:rPr>
        <w:t xml:space="preserve">قاعدة وعلى اليد ما أخذت حتى تؤدّيه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073328_2142443653"/>
      <w:bookmarkStart w:id="62" w:name="_Toc19"/>
      <w:bookmarkEnd w:id="61"/>
      <w:r>
        <w:rPr>
          <w:rtl w:val="true"/>
        </w:rPr>
        <w:t xml:space="preserve">الجهة الأولى </w:t>
      </w:r>
      <w:r>
        <w:rPr>
          <w:rtl w:val="true"/>
        </w:rPr>
        <w:t xml:space="preserve">: </w:t>
      </w:r>
      <w:r>
        <w:rPr>
          <w:rtl w:val="true"/>
        </w:rPr>
        <w:t>الفرق بين هذه القاعدة وقاعدة اليد</w:t>
      </w:r>
      <w:bookmarkEnd w:id="62"/>
    </w:p>
    <w:p>
      <w:pPr>
        <w:pStyle w:val="BookText"/>
        <w:rPr/>
      </w:pPr>
      <w:r>
        <w:rPr>
          <w:rFonts w:ascii="Amiri" w:hAnsi="Amiri" w:eastAsia="Amiri" w:cs="Amiri"/>
          <w:color w:val="111111"/>
          <w:sz w:val="28"/>
          <w:sz w:val="28"/>
          <w:szCs w:val="28"/>
          <w:rtl w:val="true"/>
          <w:lang w:bidi="ar-SA"/>
        </w:rPr>
        <w:t>التي ذكرناها وشرحناها في المجلّد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البحث والنظر في تلك القاعدة كان في أماريّة اليد ، وأنّها مثل البيّنة والسوق تثبت الملكيّة والتذكية والطهارة ، وأنّ هذه المرأة التي تحت يده زوجته ، وأنّ هذه العين الموقوفة التي تحت يده هو المتولّي والناظر عليها أم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البحث أيضا هناك عامّ ، لا اختصاص له باليد الغاصبة أو غير المأذونة من قبل المالك ، بمعنى أنّ المراد من اليد هناك سيطرة الشخص واستيلائه على شي‌ء ، ولم </w:t>
      </w:r>
      <w:bookmarkStart w:id="63" w:name="pg15937_234960"/>
    </w:p>
    <w:p>
      <w:pPr>
        <w:pStyle w:val="BookText"/>
        <w:rPr/>
      </w:pPr>
      <w:bookmarkEnd w:id="63"/>
      <w:r>
        <w:rPr>
          <w:rFonts w:ascii="Amiri" w:hAnsi="Amiri" w:eastAsia="Amiri" w:cs="Amiri"/>
          <w:color w:val="111111"/>
          <w:sz w:val="28"/>
          <w:sz w:val="28"/>
          <w:szCs w:val="28"/>
          <w:rtl w:val="true"/>
          <w:lang w:bidi="ar-SA"/>
        </w:rPr>
        <w:t>يكن حالها معلومة ، وأنّها يد المالك ، أو يد الغاصب ، أو يد المأذونة من قبل المالك ، أو يد الأمين شرعا ، كلّ ذلك غير معلوم ، فيبحث في أنّ مثل هذه اليد هل هي أمارة الملكيّة أو سائر ما ذكرناها أم لا؟ فالبحث دائما هناك عن جهة 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موضوع البحث هو أنّ اليد المعلومة أنّها يد غير المالك ، وأنّها غير مأذونة من قبل المالك ، هل توجب الضمان ، أم لا بل يجب تكليفا ردّ ما في يده من مال الغير إلى صاحبه ، ففرق واضح بين موضوع البحث ها هنا ، وبينه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تكلّمنا هناك قليلا من جهة كونها هل توجب الضمان أم لا ، وعن تعاقب الأيدي على مال الغير ، ولكن كان ذكرا تبعيّا ولم نستوف البحث ، ولذلك نذكر القاعدة ها هنا ، ونستوفي البحث عنها بمقدار وسعنا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073330_2142443653"/>
      <w:bookmarkStart w:id="65" w:name="_Toc20"/>
      <w:bookmarkEnd w:id="64"/>
      <w:r>
        <w:rPr>
          <w:rtl w:val="true"/>
        </w:rPr>
        <w:t xml:space="preserve">الجهة الثانية </w:t>
      </w:r>
      <w:r>
        <w:rPr>
          <w:rtl w:val="true"/>
        </w:rPr>
        <w:t xml:space="preserve">: </w:t>
      </w:r>
      <w:r>
        <w:rPr>
          <w:rtl w:val="true"/>
        </w:rPr>
        <w:t>في مدرك هذه القاعد</w:t>
      </w:r>
      <w:bookmarkEnd w:id="65"/>
    </w:p>
    <w:p>
      <w:pPr>
        <w:pStyle w:val="Heading4"/>
        <w:numPr>
          <w:ilvl w:val="3"/>
          <w:numId w:val="1"/>
        </w:numPr>
        <w:rPr/>
      </w:pPr>
      <w:bookmarkStart w:id="66" w:name="__RefHeading___Toc16073332_2142443653"/>
      <w:bookmarkStart w:id="67" w:name="_Toc21"/>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هذه القاعدة هو الحديث المعروف المشهور بين جميع الطوائف الإسلاميّة ، والذي رواه العامّة والخاصّة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عن سنده وأنّه صحيح أو ضعيف لا وجه له ، لأنّه بعد هذا الاشتهار بين الفقهاء وقبولهم له والعمل به فيكون موثوق الصدور ، الذي هو موضوع الحجّية ، بل لا يبعد أن يكون من مقطوع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لا كلام في حجيّته ، إنّما الكلام في دلالته ، وبيان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كشف المراد منه هو معرفة ما هو المتفاهم العرفي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للموصول ، أي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 الكلام عبارة عن أنّ الذي أخذته اليد ثابت أو مستقرّ على اليد ، وذلك من جهة أنّ الظرف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عامل ومتعلّق مقدّر ها هنا ، لأنّه ليس في الكلام ، 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أو شبه فعل يكون قابلا لأن يتعلّق به الظرف ، فلا بدّ من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والمقدّر العامل للظرف إن كان من أفعال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بأفعال العموم ، لأنّ كلّ فعل وحدث صدر عن الفاعل يصدق أنّه استقرّ وجوده ، وكان ، وثبت ، وحصل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الظرف بظرف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التسمية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أفعال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الأفعال الخاصّة ، التي هي عبارة عن الأحداث الخاصّة ، كلّ واحد منها لا ينطبق على الآخر ، بل شي‌ء مقابل أو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الظرف بظرف اللغو ، لأنّه ملغى عن الضمير المستتر فيه يرجع إلى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الكلام حسب المتفاهم العرفي أنّ الظرف ظرف مستقرّ ، لا ظرف لغو ، فيكون المعنى أنّ الذي أخذته اليد ثابت ومستقرّ على اليد ، وهذا الثبوت والاستقرار باق على اليد ولا يرتفع عنها إلاّ بالأداء ، فنفس ما أخذت على عهدته وثابت على اليد إلى غاية ذلك الثبوت ، وغايته هي أداء ما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أنّ الظاهر والمتفاهم العرفي من الحديث هو أنّ الظرف مستقرّ لا لغو فلجهات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نفس ما أخذت يكون على اليد ، من دون إضمار في البين ، </w:t>
      </w:r>
    </w:p>
    <w:p>
      <w:pPr>
        <w:pStyle w:val="BookText"/>
        <w:rPr/>
      </w:pPr>
      <w:r>
        <w:rPr>
          <w:rFonts w:ascii="Amiri" w:hAnsi="Amiri" w:eastAsia="Amiri" w:cs="Amiri"/>
          <w:color w:val="111111"/>
          <w:sz w:val="28"/>
          <w:sz w:val="28"/>
          <w:szCs w:val="28"/>
          <w:rtl w:val="true"/>
          <w:lang w:bidi="ar-SA"/>
        </w:rPr>
        <w:t>لأنّ التقدير والإضمار خلاف الأصل ، ولا يصار إليه إلاّ بعد عدم استقامة الكلام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الكلام بدون الإضمار في غاية الاستقامة ، لما ذكرنا من 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الظرف ظرف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المال الذي مثلا أخذت بدون الإذن يكون مستقرّا على ذلك اليد أي عهدته مشغولة به ، كما سنبيّن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 ولا يفرغ ذمّته إلاّ بأداء ذلك الذي أخذه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العامل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فيبعده ، بل ينفيه أنّ الأحكام التكليفيّة لا تتعلّق بالذوات والأعيان الخارجيّة ، بل لا بدّ وأن يكون متعلّقها فعل المكلّف ، فيحتاج في المقام إلى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المناسب لان يكون متعلّقا ليجب أو ليلزم في المقام هو الأداء والردّ ، ليكون معنى الحديث أنّه يجب أو يلزم ردّ ما أخذه من الغير وأداؤه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بأنّه مضافا إلى كونه خلاف الأصل ، ركيك إلى أقصى الغاية ، لأنّه يجب أن يكون الفعل مع غايته واحدا ، أي 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ما أخذ إلى أن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المتعلّق ليجب أو ليلزم المقدّر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أو يلزم حفظ ما أخذ حتّى يؤدّيه ، فبعيد جدا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قلنا إنّ التقدير خلاف الأصل ، لا يصار إليه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ها هنا ضرورة إلى التقدير ، لأنّ ظاهر الكلام بدون التقدير في كمال الاستقامة ، لأنّه عبارة عن أنّ نفس ما أخذته اليد ثابت في ذمّة اليد ، ولا يمكن الخروج عنه إلاّ بأداء ما هو ثابت في العهدة إلى من هو صاحب المال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لطيف ، له كمال الملائمة مع الأخذ بالقوّة والقهر ، ومع الأخذ بدون إذن المالك ، ويشبه لما هو مفاد سائر أدلّة باب الغصب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الغصب كلّه مردود </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وغيره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صلی اللّه علیه و آله في مقام بيان ردّ مال الغير الذي وقع تحت يده وإيصاله إلى صاحبه ، لا في مقام حفظ مال الغير عن التلف ، مضافا إلى أنّ الظاهر من أمثال هذه التراكيب عرفا هو كون عهدته وذمّته مشغولة بما يكون مستعليا ، فإذا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كذا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إقرار واعتراف بأنّ ذلك المقدار على ذمّته وفي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فلان كذا مقدار ، لا يفهم منه إلاّ ادّعاء أنّه له في ذمّة فلان ذلك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للنسبة الاستعلائيّة التي بين شي‌ء ومدخول على ، فإذا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على السطح ، فعلى تحكي عن النسبة الاستعلائيّة التي بين زيد ومدخول على ، فيفهم من هذا الكلام أنّ زيدا مستعل على السطح ، والسطح مستعلي عليه ، 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الموصول مبتدأ مؤخّر ، فيرجع مفاد الكلام إلى أنّ المال الذي أخذته اليد يكون مستعليا على اليد ، ومستقرّا عليها كاستقرار زيد واستعلائه على السطح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منها هي الجارحة المخصوصة ، لأنّه ربما لا يكون للأخذ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أو بدون إذن المالك أو الشارع الذي هو وليّ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الجارحة المخصوصة ، أو الشي‌ء المأخوذ ليس قابلا لأن يؤخذ بالجارحة المخصوصة ، بل المراد منه ها هنا الاستيلاء على الشي‌ء خارجا ، أو في عالم الاعتبار الشرعي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يقال ليس الأمر بيدي ولو كان لكنت أفعل كذا ، ونفس الاستيلاء التكويني أو الاعتباري حيث أنّه من صفات المستولي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الفلاني على اليد بهذا المعنى ، فالمراد منه على المستولي باعتبار استيلائه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الاعتبار قال اللّه تعالى حكاية عن 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فالمراد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القدرة على الإنفاق والتوسعة </w:t>
      </w:r>
    </w:p>
    <w:p>
      <w:pPr>
        <w:pStyle w:val="BookText"/>
        <w:rPr/>
      </w:pPr>
      <w:r>
        <w:rPr>
          <w:rFonts w:ascii="Amiri" w:hAnsi="Amiri" w:eastAsia="Amiri" w:cs="Amiri"/>
          <w:color w:val="111111"/>
          <w:sz w:val="28"/>
          <w:sz w:val="28"/>
          <w:szCs w:val="28"/>
          <w:rtl w:val="true"/>
          <w:lang w:bidi="ar-SA"/>
        </w:rPr>
        <w:t xml:space="preserve">في رزق العباد ، فأجابهم اللّه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التوسعة والتضييق حسب المصالح التي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اليد كناية عن الاستيلاء خارجا وتكوينا ، أو عرفا ، أو شرعا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كناية عن المستولي المتّصف بصفة الاستيلاء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نحن فيه بهذا المعنى الأخير ، 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المال الذي أخذه إنسان واستولى عليه يكون على تلك اليد ، أي يكون مستعليا ومستقرّا على ذلك المستولي باعتبار استيلائه على ذلك المال ، وهذا معنى عرفي لهذه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صلی اللّه علیه و آله بعد أن حكم بأنّ الذي أخذه المستولي يكون مستقرّا ومستعليا عليه ، غيّاه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الاستعلاء والاستقرار مغيى بأداء ما أخذ ، بمعنى أنّه مستمرّ إلى حصول تلك الغاية ، أي أداء ما أخذ ولا يرتفع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ظهر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الضمان عرفا ، لأنّ معنى ضمان الشي‌ء وإن عرّفوه بتعاريف متعددة ، ولكن العرف لا يفهم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استقرار الشي‌ء وثبوته في عالم الاعتبار في عهدة الضامن ، فليس الضمان أمرا خارجيّا تكوينيّا ، أي ليس من مقولات العشر ، إذ ليس له ما بحذاء في الخارج ، بل هو أمر اعتباري يعتبره الشرع أو العقلاء ، أو كلاهما معا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كذلك ، فذات الموجود الخارجي بوجوده الخارجي لا يمكن أن يكون في الذمّة والعهدة ، لأنّ الموجود الخارجي وعاء وجوده عالم الخارج ، لا عالم الاعتبار ، إذ ليس عالم الاعتبار إلاّ عبارة عن الموجودات الاعتباريّة التي لا وجود لها إلاّ في عالم الاعتبار ، فلا يمكن أن يكون الموجود الخارجي موجودا في عالم الاعتبار ، وإلاّ يلزم انقلاب الخارج اعتبارا ، وذلك كما أنّ الموجود الخارجي لا يمكن أن يكون موجودا في الذهن وإلاّ يلزم انقلاب الخارج ذهنا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فمعنى كون المأخوذ في ذمّة الآخذ وفي عهدته ، هو أنّ المهيّة الموجودة في الخارج إن وقعت تحت اليد غصبا أو بدون إذن المالك أو الشارع ، يعتبرها الشارع أو العقلاء أو كلاهما في عهدة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الذمّة والعهدة هو عالم الاعتبار الذي هو عبارة عن نفس الاعتبارات ، فعهدة كلّ شخص وكذلك ذمّته عبارة عن اعتبارات الشارع أو العقلاء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الحديث الشريف هو أنّ كلّ مال أخذه أمّا جبرا وبالقوّة ، أو بدون إذن من قبل مالكه ، أو من قبل الشارع فهو مستقرّ بوجوده الاعتباري على صاحب تلك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الوجود الاعتباري ثابت عليه ، لا يرتفع إلاّ بأداء ذلك المأخوذ فبالأداء يفرغ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وأداء ذلك المأخوذ في الدرجة الأولى يردّ نفس العين الخارجيّة التي وقعت تحت اليد ، ولكن إذا تلفت تلك العين الخارجيّة فبصرف تلفها لا يرتفع ذلك الموجود الاعتباري ، لأنّ بقاءه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مغيى بالأداء ، فما لم يؤدّ لا يرتفع ويكون باقيا ، ولا منافاة بين تلفه خارجا وبقائه في عالم الاعتبار ، فإذا كان باقيا بعد تلف العين فأداؤه بردّ نفس العين الخارجيّة محال ، فتصل النوبة إلى الدرجة الثانية من الأداء ، أي أداء مثله ، فإذا لم يوجد مثله وتعذّر أو تعسّر تحصيله تصل النوبة إلى الدرجة الثالثة من الأداء ، وهي أداء ماليّته ، أي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 أنّ ردّ المال إلى صاحبه إن كان ممكنا بجميع خصوصيّاته الشخصيّة فيجب ، لأنّه الفرد الحقيقي من الردّ بدون أيّ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ردّه بخصوصيّاته الشخصيّة بواسطة التلف ، إذ كلّ فرد من طبيعة ذلك المأخوذ غيره بحسب الخصوصيّات الشخصيّة ، ولكن يمكن ردّ ذلك الشي‌ء بالصفات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فاقدا لخصوصياته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ردّ ذلك المثل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ذلك المثل ، لأنّ الفرد الذي يصدق عليه ذلك الشي‌ء بحسب الماهيّة ، مع </w:t>
      </w:r>
    </w:p>
    <w:p>
      <w:pPr>
        <w:pStyle w:val="BookText"/>
        <w:rPr/>
      </w:pPr>
      <w:r>
        <w:rPr>
          <w:rFonts w:ascii="Amiri" w:hAnsi="Amiri" w:eastAsia="Amiri" w:cs="Amiri"/>
          <w:color w:val="111111"/>
          <w:sz w:val="28"/>
          <w:sz w:val="28"/>
          <w:szCs w:val="28"/>
          <w:rtl w:val="true"/>
          <w:lang w:bidi="ar-SA"/>
        </w:rPr>
        <w:t>كونه واجدا للصفات النوعيّة ، لا بدّ وأن يكون من أمثال ذلك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المثل المنطقي أوسع من هذا ، إذ هو يطلق على كلّ فرد يكون متّحدا مع التالف في الماهيّة وإن لم يكن واجدا لجميع صفاته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شكّ في أنّ المرتبة النازلة من ردّ التالف هي هذه المرتبة ، بعد عدم إمكان ردّه بجميع خصوصيّاته الشخصيّة ، وإن لم يمكن هذه المرتبة أيضا من ردّ ذلك الشي‌ء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كما بيّنّاه أنّ ذلك الوجود الاعتباري باق في عهدته ، أي في عالم الاعتبار ، إذ لم يأت بالغاية التي توجب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فتفريغ ذمّته الذي لازم بحكم الفعل والشرع يقتضي أن يأتي بمرتبة أخرى من ردّ التالف الممكنة ، وليست هي إلاّ أداء ماليّة التالف بعد عدم إمكان ردّ خصوصيّاته الشخصيّة ، ولا الجهات النوعيّة التي كانت للتالف ، فلا يبقى في البين ما يمكن ردّه إلاّ جهة ماليّته ، فتصل النوبة إليها ، وإن كانت هذه المرتبة أنزل من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المراتب ليس بصرف الدقّة العقليّة ، بل العرف أيضا يحكم مثل ما ذكرنا ، لأنّه أيضا بعد ما حكم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الدرجة الأولى ردّ نفس العين المأخوذة ، وبعد التلف وعدم إمكان ردّ نفس العين ، لو كان له مثل يحكم بلزوم ردّ المثل ، لأنّ في ردّ المثل لا يذهب من مال المغصوب منه إلاّ جهاته الشخصيّة ، وباقي جهاته تصل إليه ، أي جهة ماليّته وجهاته النوعيّة ، وجهاته الشخصيّة التي تذهب لا يمكن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مثل ، أو تعسّر تحصيله فيحكم بأداء ماليّته ، إذ المقدار الممكن من وصول المال إلى صاحبه هو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الروايات من وجوب إعطاء القيمة ابتداء بعد تلف المغصوب أو المأخوذ بدون إذن المالك ، من دون ذكر المثل ، فمن جهة كون المورد من القيميّات لا المثليّات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المراتب بالنسبة إلى المثلي والقيمي كان حسب الضابط العقلي </w:t>
      </w:r>
    </w:p>
    <w:p>
      <w:pPr>
        <w:pStyle w:val="BookText"/>
        <w:rPr/>
      </w:pPr>
      <w:r>
        <w:rPr>
          <w:rFonts w:ascii="Amiri" w:hAnsi="Amiri" w:eastAsia="Amiri" w:cs="Amiri"/>
          <w:color w:val="111111"/>
          <w:sz w:val="28"/>
          <w:sz w:val="28"/>
          <w:szCs w:val="28"/>
          <w:rtl w:val="true"/>
          <w:lang w:bidi="ar-SA"/>
        </w:rPr>
        <w:t xml:space="preserve">والعرفي ، وأمّا ما هو الضابط عند الشرع في تعيين المثلي والقيمي سنذكره إن شاء اللّه تعالى ، وفعلا مقصودنا شرح معنى الحديث الشريف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الضمان كالإتلاف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دلالة هذا الحديث على صحّة هذه القاعدة ، وهي أنّ اليد سبب لضمان عين ما وقع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ضمان منافع العين بقسميها ، أي المستوفاة وغير المستوفاة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المنافع المستوفاة ، فلا شبهة في ضمانها ، وأنّها في عهدة المستوفي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مال ، وقاعدتا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المسلم كحرمة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 المسلم لا يحلّ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ضمانها ، وكونها في عهدة المستوفي ، وذلك لأنّه لا فرق في صدق الماليّة بين الأعيان والمنافع ، بل في كثير من الأشياء ماليّة العين بواسطة المنافع ، وإلاّ نفس العين لو لا تلك المنافع لا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وقوعها تحت اليد يتبع وقوع العين تحتها ، ولذلك يقال في باب إجارة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تكون الإجارة فيها عبارة عن تمليك منفعة معلومة بعوض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المنفعة بقبض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منافع غير المستوفاة ، فالمشهور فيه أيضا الضمان ، وهو الصحيح ، وذلك للتفويت إن قلنا بأنّه من موجبات الضمان عند العقلاء ، كما هو كذلك عندهم ، ولم يردع الشارع عن هذه القاعدة العقلائيّة ، وهي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فوّت مال الغير عليه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يظهر من بعض الروايات إمضاؤها ، ولا شك في أنّ المنافع غير المستوفاة أيضا مال كالمستوفاة ، والغاصب الحابس للعين فوّت منافعها على المالك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كانت للعين منافع متضادّة في الوجود ، فبناء على الضمان فهل يضمن الجميع ، أو يضمن الأكثر ماليّة ، أو أحدها مخيّرا ، والتخيير للمالك </w:t>
      </w:r>
    </w:p>
    <w:p>
      <w:pPr>
        <w:pStyle w:val="BookText"/>
        <w:rPr/>
      </w:pPr>
      <w:r>
        <w:rPr>
          <w:rFonts w:ascii="IRNazanin" w:hAnsi="IRNazanin" w:eastAsia="IRNazanin"/>
          <w:color w:val="111111"/>
          <w:sz w:val="28"/>
          <w:sz w:val="28"/>
          <w:szCs w:val="28"/>
          <w:rtl w:val="true"/>
          <w:lang w:bidi="fa-IR"/>
        </w:rPr>
        <w:t>أو للضامن؟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بناء على أن يكون مدرك الضمان وموضوعه تفويت مال الغير كما هو المفروض ، هو ضمان المنفعة التي هي أكثر ماليّة ، وذلك من جهة أنّها بعد كونها متضادّة في عالم الوجود ، فصدق التفويت على جميعها جمعا محال ، لأنّ معنى التفويت معنى هو أنّه صار سبب الفوت ، بحيث أنّه لو لم يكن لكان هذا الفائت حاصلا ، وها هنا حصول الجميع في حدّ نفسه لا يمكن لتضادّها ، ففوت الجميع جمعا مستند إلى تضادّها ، لا إلى المفوّت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التي يضمنها المفوّت هي التي أكثر ماليّة ، لأنّ المقدار الزائد على البقيّة كان ممكن الحصول لو لا تفويته وحبسه للعين على المالك ، فيكون ضامنا له ، بناء على صحّة قاعدة التفويت واعتبارها ، كما 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القاعدة لا تجري بالنسبة إلى جميع أقسام منافع غير المستوفاة وتكون مخصوصة بما إذا كان عدم الاستيفاء مستندا إلى تفويته ، لا إلى آفة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دابّة كذلك ، وكان عدم استيفاء الغاصب لمنفعة ذلك البستان ، أو تلك الدابّة لوصول آفة سماويّة إليهما لا لحبس الغاصب لهما على مالكهما ، فلا تجري هذه القاعدة ، ولا يمكن الحكم بالضمان لأجل قاعدة التفويت ، وأيضا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لما ذكرنا من أنّ اليد على العين يد على المنفعة ، فتكون في عهدته ، ولا يرتفع إلاّ بأدائها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من جهة وقوعها تحت اليد بين أن تكون مستوفاة أو غير 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أنّ اليد الغاصبة أو غير المأذونة موجبة لضمان العين والمنافع مطلقا ، سواء أكانت مستوفاة أو لم تكن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مقتضى القاعدة هو أن يكون الضمان بالمثل في المثلي ، والقيمة في القيمي ، وقد عرفت ذلك مفصّلا عند شرحنا لمعنى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الدليل على أنّ الضمان بالقيمة في القيمي وفي المثلي بالمثل ، فتارة يتمسّك بالإجماع ، وحاصله اتّفاق فقهائنا كافّة على أنّ الضمان في الضمان الواقعي في المثلي بالمثل ، وفي القيمي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ضمان المسمّى فهو نفس المسمّى ،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الاستدلال في أمثال المقام بالإجماع لا يخلو عن الإشكال والمناقشة ، لوجود المدارك المتعدّدة من 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الشريفة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ولا شك في أنّ الاعتداء بمثل ما اعتدى عليه في المثليّات هو المثل ، بل يمكن أن يقال إنّ الآية نصّ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مصدريّة لا موصولة ، فيكون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أمر بالاعتداء بمثل اعتداء المعتدي ، فالمماثلة في نفس الاعتداء ، لا في الشي‌ء الذي وقع الاعتداء عليه ، فتكون هذه الآية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حيث أنّه ظاهر في أنّ المماثلة في كون الجزاء أيضا سيّئة لا فيما يجزى به ، ولذلك قلنا إنّ إطلاق السيّئة ها هنا على الجزاء من باب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بها مبنيّ على أن تكن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ويكون المراد منها أنّ الشي‌ء الذي تعتدون به على المعتدي الأوّل يكون مماثلا للشي‌ء الذي هو اعتدى به عليكم ، ولو لم يكن ظاهر الآية هو الاحتمال الأوّل ، فلا أقلّ من أن يكون سببا لإجمالها من هذه الجهة ، فلا يصحّ الاستدلال بها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أنّ ذلك مقتضى نفس أدلّة الضمان الواقعي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الإتلاف ، وهي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w:t>
      </w:r>
    </w:p>
    <w:p>
      <w:pPr>
        <w:pStyle w:val="BookText"/>
        <w:rPr/>
      </w:pPr>
      <w:r>
        <w:rPr>
          <w:rFonts w:ascii="Amiri" w:hAnsi="Amiri" w:eastAsia="Amiri" w:cs="Amiri"/>
          <w:color w:val="111111"/>
          <w:sz w:val="28"/>
          <w:sz w:val="28"/>
          <w:szCs w:val="28"/>
          <w:rtl w:val="true"/>
          <w:lang w:bidi="ar-SA"/>
        </w:rPr>
        <w:t xml:space="preserve">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المصطادة من الأخبار الواردة 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شرحناها مفصّلا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الضمان هو اعتبار وجود التالف ، أو المغصوب ، أو المأخوذ بدون إذن المالك ، أو من يكون أمر ذلك الشي‌ء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المالك أو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ذمّة الشخص الذي يسمّى بالضامن ، إلى أن يفرغ ذمّته وعهدته عن ذلك الوجود الاعتباري بأداء ما أتلف ، أو ما وقع تحت يده ، أو ما فوّت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لأداء ذلك الشي‌ء مراتب ودرجات ثلاث ، على التفصيل المتقدّم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ها هنا هو أنّه مع وجود المثل لا تصل النوبة إلى القيمة ، لأنّ القيمة هي الدرجة الثالثة من أداء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للضمان من المرتكزات في أذهان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أداء المثل في المثليّات لأنّه أقرب إلى التالف فلا أساس له ، لعدم الدليل على وجوب إعطاء الضامن في مقام تفريغ ذمّته ما هو أقرب إلى التالف ، بل الدليل مفاده ردّ المغصوب أو تفريغ ذمّته عمّا اعتبر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أنّه مع وجود العين المغصوبة أو الواقعة تحت اليد غير المأذونة ، فأداء العين المغصوبة وردّها إلى مالكها موجب لفراغ ذمّته عنها ، ومع تلفها حيث أنّه لا يمكن ردّ الخصوصيّات الشخصيّة فلا بدّ إمّا من القول بسقوط وجوب الأداء عنه بالمرّة ، وهذا شي‌ء لا يمكن الالتزام به ، وإمّا أن يقال بعد عدم إمكان ردّ الخصوصيّات الشخصيّة يردّ ما أمكن ردّه من التالف ، بحيث يكون عند العرف ردّه ردّ المغصوب في صورة عدم إمكان ردّ العين بخصوصياته الشخصيّة بأن يكون من أفراد ومصاديق تلك الماهيّة الواجدة لجميع جهات التالف ، ما عدى الجهات والخصوصيّات الشخصيّة ، وهو الذي نعبّر عنه بالمثل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عند عدم إمكان هذا ، أيضا لا بدّ وأن تكون الهويّة بينه وبين التالف باعتبار </w:t>
      </w:r>
    </w:p>
    <w:p>
      <w:pPr>
        <w:pStyle w:val="BookText"/>
        <w:rPr/>
      </w:pPr>
      <w:r>
        <w:rPr>
          <w:rFonts w:ascii="Amiri" w:hAnsi="Amiri" w:eastAsia="Amiri" w:cs="Amiri"/>
          <w:color w:val="111111"/>
          <w:sz w:val="28"/>
          <w:sz w:val="28"/>
          <w:szCs w:val="28"/>
          <w:rtl w:val="true"/>
          <w:lang w:bidi="ar-SA"/>
        </w:rPr>
        <w:t>المالية فقط ، وهو الذي نسمّيه بالقيمي ، فظهر أنّ عنوان أنّه أقرب إلى التالف ما نزل في آية ، ولا وردت به رواية ، ولا دلّ عليه إجماع ، ولا 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الضمان هو أن ينتقل التالف إلى ملك من يقع التلف في يده آنا مّا قبل التلف بعوضه الواقعي كالقرض ، فيكون التالف ملكه تلف في يده وعليه ضمانه الواقعي مثل باب القرض ، لأنّه لا وجه لفرض هذا الانتقال وصيرورته آنا مّا ملكا لمن وقع التلف في يده قبل التلف ، لأنّه حصول ملكيّة للغاصب بدون قصد صاحب المال ، بل وبدون التفاته إلى ذلك أصلا ولا تخيّل الغاصب ولا التفاته إلى ذلك ، فهذا شعر بلا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وقياسه على تلف المبيع قبل قبضه مع الفارق ، لأنّه هناك لا موجب للضمان ، لا قاعدة الإتلاف ، لأنّه لا إتلاف ، ولا ضمان اليد ، لأنّ اليد يد أمانة من قبل المالك ، بخلاف المقام فإنّ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ولا حاجة إلى فرض أمور لا دليل عليها ، مع مخالفتها للارتكاز العرفي كما عرفت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بيان ضابط المثلي والقيمي ، والتعاريف التي ذكروها أشبه بالتعريف اللفظي من التعريف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ذكرنا أنّ المثلي هي الطبيعة التي أفرادها متماثلة في الجهات النوعيّة والصفات الصنفيّة ، بحيث يكون ما به الامتياز بينها هي الخصوصيّات الشخصيّة ، وأمّا في الجهات الصنفيّة والنوعيّة فمشتركة ، ولذلك يصحّ السلم فيه ، بل بعضهم عرّف المثلي بأنّه ما يصحّ السلم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المثلي في هذا المقام هو أنّه لا ينقص عن التالف إلاّ في الخصوصيّات الشخصيّة ، وإلاّ ففي سائر الجهات فهو والتالف سواء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السرّ في أنّه مع وجوده لا تصل النوبة في مقام تفريغ ما في ذمّته إلى القيمة ، لأنّه بأداء المثل لا يذهب من كيس مالك التالف إلاّ الخصوصيّات الشخصيّة فقط ، وأمّا مع أداء القيمة فيذهب من كيسه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الخصوصيّات الشخصيّة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الجهات الصنفيّة ، والصفات والحالات والعوارض النوعيّة بلا موجب ولا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المثلي بهذا المعنى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الاشتراك في الصفات والعوارض النوعيّة ، والاتّحاد في الجهات الصنفيّة قد يكون بحسب الخلقة الإلهيّة ، وذلك كأغلب الحبوبات ، فإنّ امتياز حبّة حنطة أو شعير أو عدس أو حمصة إلى غير ذلك عن سائر حبّات نوعه أو صنفه غالبا ليس إلاّ بالخصوصيّات الشخصيّة ، وليس امتياز بينها بحسب الصفات النوعيّة والجهات الصنفيّة غالبا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أحسن شيخنا الأعظم الأنصاري قدس سره في تعريفه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عباراته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هو ما لا يتفاوت أفراد نوعه أو صنفه ، ولا يتميّز كلّ فرد عن الآخر ، بحيث لو اختلطا أو امتزجا وكانا من مالكين تحصل الشركة القهريّة ، وأيضا كلّما يصحّ السلم فيه فهو مثلي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أحد القسمين من المثلي ، وهذا القسم هو القدر المتيقّن من المثلي في المقام من حيث حكمهم بأنّه مع وجوده لا تصل النوبة في أبواب الضمانات والغرامات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الاشتراك والاتّفاق في الجهات النوعيّة والصنفيّة بتوسّط الصناعة البشريّة ، كالقرّائين طبع حافظ عثمان مثلا ، فكلّ فرد من طبعة فلان من المطبعة الفلانيّة مشتركة من غير الجهات والخصوصيّات الشخصيّة مع الأفراد الأخر من نفس تلك الطبعة في نفس تلك المطبعة ، وهكذا الحال في سائر الكتب المطبوعة ، بل في جميع الأجناس التي تستخرج من المكائن العصريّة من الحاجيات وغيرها ، بل لا يكاد يوجد في العصر الحاضر في الأنواع الصناعيّة بغير هذا الشكل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هذه الأنواع أفرادها مثليّات واقعا حسب التعريف والمناط الذي ذكرنا له ، ولكن مع ذلك كلّه وقع الخلاف في عدّ هذا القسم من المثليّات على ما ذكره شيخنا </w:t>
      </w:r>
    </w:p>
    <w:p>
      <w:pPr>
        <w:pStyle w:val="BookText"/>
        <w:rPr/>
      </w:pPr>
      <w:r>
        <w:rPr>
          <w:rFonts w:ascii="IRNazanin" w:hAnsi="IRNazanin" w:eastAsia="IRNazanin"/>
          <w:color w:val="111111"/>
          <w:sz w:val="28"/>
          <w:sz w:val="28"/>
          <w:szCs w:val="28"/>
          <w:rtl w:val="true"/>
          <w:lang w:bidi="fa-IR"/>
        </w:rPr>
        <w:t xml:space="preserve">الأستاذ قدس سره </w:t>
      </w:r>
      <w:r>
        <w:rPr>
          <w:rStyle w:val="FootnoteAnchor"/>
          <w:rtl w:val="true"/>
        </w:rPr>
        <w:footnoteReference w:id="77"/>
      </w:r>
      <w:r>
        <w:rPr>
          <w:rFonts w:ascii="Amiri" w:hAnsi="Amiri" w:eastAsia="Amiri" w:cs="Amiri"/>
          <w:color w:val="111111"/>
          <w:sz w:val="28"/>
          <w:sz w:val="28"/>
          <w:szCs w:val="28"/>
          <w:rtl w:val="true"/>
          <w:lang w:bidi="ar-SA"/>
        </w:rPr>
        <w:t xml:space="preserve">ويظهر من تقييده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تساوى الصفات والآثار بحسب الخلقة الأصليّة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 هذا القسم من المثلي ، ولكنّه كلام عجيب بناء على أن يكون مدرك هذا الحكم في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النوبة إلى القيمة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أدلّة الضمان ،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قدس سره وجها للفرق بين القسمين </w:t>
      </w:r>
      <w:r>
        <w:rPr>
          <w:rStyle w:val="FootnoteAnchor"/>
          <w:rtl w:val="true"/>
        </w:rPr>
        <w:footnoteReference w:id="79"/>
      </w:r>
      <w:r>
        <w:rPr>
          <w:rFonts w:ascii="Amiri" w:hAnsi="Amiri" w:eastAsia="Amiri" w:cs="Amiri"/>
          <w:color w:val="111111"/>
          <w:sz w:val="28"/>
          <w:sz w:val="28"/>
          <w:szCs w:val="28"/>
          <w:rtl w:val="true"/>
          <w:lang w:bidi="ar-SA"/>
        </w:rPr>
        <w:t>، وهو أعجب من أصل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هو أنّه النوع أو الصنف الذي أفراده متّحد الصفات والجهات ، إن كان من المخلوقات الإلهيّة ، فالمادّة والصورة فيه موجودان بوجود واحد ، أفيض عليهما من قبل اللّه تعالى بجعل واحد ، وخلقة واحدة ، وليست المادّة فيه مصنوعة لشخص ، والهيئة والصورة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المصنوعات البشريّة ، فمن الممكن أن تكون المادّة لشخص والهيئة لشخص آخر ، وحصلت من عمل إنسان غير من هو صاحب المادّة ، فقهرا يكون له مالكان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مالك الهيئة ، والآخر مالك المادّة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الخشب لشخص ، وعمل النجّار فيه عملا بحيث يكون عمله محترما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كالغاصب الذي لا احترام 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فصنعه بابا أو سريرا أو غير ذلك من أنواع ما يمكن أن يصنعه النجّار ، فيكون الخشب في ذلك السرير مثلا ملكا لصاحب الخشب ، والهيئة السريرية ملكا لذلك النجّار الذي صنع ذلك السرير ، فإذا غصب هذا السرير غاصب ، أو وقع تحت يده بالعقد الفاسد ، أو بغير ذلك ممّا هو ليس بإذن المالك ، فمثل هذا السرير وإن كان موجودا ولكن حيث أنّ للتالف كان مالكين ، فلا يمكن إعطاء المثل لكلّ واحد منهما ، لعدم استحقاق كلّ واحد منهما تمام المثل ، بل أحدهما تلف هيئته والآخر مادّته ، فلا بدّ في مقام تفريغ الذمّة من إعطاء قيمة الهيئة لمن يملكها ، </w:t>
      </w:r>
    </w:p>
    <w:p>
      <w:pPr>
        <w:pStyle w:val="BookText"/>
        <w:rPr/>
      </w:pPr>
      <w:r>
        <w:rPr>
          <w:rFonts w:ascii="Amiri" w:hAnsi="Amiri" w:eastAsia="Amiri" w:cs="Amiri"/>
          <w:color w:val="111111"/>
          <w:sz w:val="28"/>
          <w:sz w:val="28"/>
          <w:szCs w:val="28"/>
          <w:rtl w:val="true"/>
          <w:lang w:bidi="ar-SA"/>
        </w:rPr>
        <w:t>وقيمة المادة أيضا كذلك ، مع أنّ التالف من المثليّات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الأنواع والأصناف التي لا دخل للصناعة البشريّة فيها ، بل هي بمادّتها وصورتها من المخلوقات الإلهيّة ، فلا يمكن أن تكون المادّة لشخص والصورة لشخص آخر ، فإذا صار تالفا فمقتضى كونه بوجوده الاعتباري في عهدة الضامن هو تفريغ ذمّته بأداء مثله في الدرجة الثانية ، أي بعد تعذّر العين ، لا القيمة التي هي الدرجة الثالثة ، كما بيّنّا هذه المطالب وشرحناها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الكلام ، مضافا إلى الإشكالات العلميّة التي فيه ، أنّ هذا الفرق غير فارق بالنسبة إلى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جريانه فيما إذا كان التالف بمادّته وهيئته ملكا لشخص واحد ، وهذا القسم هو الغالب في الخارج ، لأنّ المتعارف في هذا العصر أنّهم يشترون من الأسواق من المصنوعات البشريّة ، وما من بيت إلاّ وفيه عشرات منها ، فالمادّة والهيئة كلاهما لشخص واحد ، فإذا تلف تحت يد غير مأذونه أو غاصبة أو التي أخذه بعقد فاسد أو بغير ذلك من الأيدي الموجبة للضمان ، فلا بدّ للضامن من إعطاء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 فلا نعيد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 على عدم كفاية المثل لتفريغ ذمّة الضامن فيما إذا كان المثل من المصنوعات البشريّة ، وادّعاء هذا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الضامن في عهدته مثل التالف لكليهما ، فيشتركان في ما هو في عهدة الضامن ، كما كانا في الأصل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تحصل الشركة القهريّة بين العامل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صاحب المادّة ، فلا يبقى موضوع لهذا الفرض كي يكون ضامنا لأحدهما بالمادّة وللآخر بالهيئة ، بل لأحدهما ضامن بأحد الكسور وللآخر بالآخر ، سواء كانا متّفقين في الكسر أو كانا مختلفين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الأنواع والأصناف الطبيعيّة والصناعيّة خلاف </w:t>
      </w:r>
    </w:p>
    <w:p>
      <w:pPr>
        <w:pStyle w:val="BookText"/>
        <w:rPr/>
      </w:pPr>
      <w:r>
        <w:rPr>
          <w:rFonts w:ascii="Amiri" w:hAnsi="Amiri" w:eastAsia="Amiri" w:cs="Amiri"/>
          <w:color w:val="111111"/>
          <w:sz w:val="28"/>
          <w:sz w:val="28"/>
          <w:szCs w:val="28"/>
          <w:rtl w:val="true"/>
          <w:lang w:bidi="ar-SA"/>
        </w:rPr>
        <w:t>المرتكزات العرفية وعند العقلاء في أبواب الضمانات والغرامات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عندي أنّ لزوم إعطاء المثل ، وعدم جواز إلزام المالك للضامن بالقيمة في المثليّات الصناعيّة أولى وأرجح من المثليّات الطبيعيّة والمجعولات الإلهيّة ، وما لم تدخل في صنعة أيدي البشريّة ، وذلك من جهة أنّ الأخير ربما يكون بعض الاختلاف غالبا بين أفراد ذلك النوع من حيث الشكل والكبر والصغر ، فلو أنّ أحدا غصب أربع حبّات حنطة أو حمصة أو غير ذلك من الحبوب ، فالاختلاف بين الحبوب التالفة وبين ما يعطي الغاصب بعنوان الغرامة أزيد من الاختلاف بين استكان التالف المغصوب مع ما يعطي الغاصب بعنوان الغرامة من نفس الماركة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عبارة شيخنا الأعظم الأنصاري قدس سره في مقام تعريف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لا تتميّز أفراده بعد الاختلاط أو الامتزاج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انطباقه على المثليّات الصناعيّة أوفق من الطبيعيّة ، لقلةّ الاختلاف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المرتكزات العرفيّة وكون مدرك المثل في المثليّات هو فهم العرف من أدلّة الضمان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مدركه الإجماع ، فيمكن أن يفرق بين المثلين ، ولكن دعواه عجيب بحيث ينتهي إلى المعصوم قولا أو فعلا أو تقريرا ، وذلك لعدم المكائن في تلك الأعصار ، وأمّا ما كان من صنع اليد في تلك الأزمنة فالاختلاف بينها كانت كثيرة ، فلا يجوز إجراء حكم ما كان يصنع باليد في تلك الأزمنة على ما يصنع بالمكائن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طوّلنا البحث في المقام لأجل كثرة الاحتياج والابتلاء في هذا العصر بالصناعيّات ، والضمان والغرمات فيها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في أنّ مقتضى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68" w:name="pg15937_234976"/>
    </w:p>
    <w:p>
      <w:pPr>
        <w:pStyle w:val="BookText"/>
        <w:rPr/>
      </w:pPr>
      <w:bookmarkEnd w:id="68"/>
      <w:r>
        <w:rPr>
          <w:rFonts w:ascii="Amiri" w:hAnsi="Amiri" w:eastAsia="Amiri" w:cs="Amiri"/>
          <w:color w:val="111111"/>
          <w:sz w:val="28"/>
          <w:sz w:val="28"/>
          <w:szCs w:val="28"/>
          <w:rtl w:val="true"/>
          <w:lang w:bidi="ar-SA"/>
        </w:rPr>
        <w:t>في الدرجة الأولى ردّ نفس العين ، ومع تلفها ردّ مثلها في المثليّات في الدرجة الثانية ، ومع كون التالف من القيميّات على الضابط المتقدّم تصل النوبة إلى الدرجة الثالثة ، وهي ردّ القيمة في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6073334_2142443653"/>
      <w:bookmarkStart w:id="70" w:name="_Toc22"/>
      <w:bookmarkEnd w:id="69"/>
      <w:r>
        <w:rPr>
          <w:rtl w:val="true"/>
        </w:rPr>
        <w:t>إنّ ها هنا أمور يجب ذكرها والتنبيه عليها</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يوجد المثل إلاّ بأكثر من ثمن أمثاله ، فهل ينتقل إلى الدرجة الثالثة ، ويكون عليه القيمة ، ويكون وجوده بمنزلة العدم ، أم لا بل يجب شراؤه وإعطاؤه غرامة للتالف؟</w:t>
      </w:r>
    </w:p>
    <w:p>
      <w:pPr>
        <w:pStyle w:val="BookText"/>
        <w:rPr/>
      </w:pPr>
      <w:r>
        <w:rPr>
          <w:rFonts w:ascii="Amiri" w:hAnsi="Amiri" w:eastAsia="Amiri" w:cs="Amiri"/>
          <w:color w:val="111111"/>
          <w:sz w:val="28"/>
          <w:sz w:val="28"/>
          <w:szCs w:val="28"/>
          <w:rtl w:val="true"/>
          <w:lang w:bidi="ar-SA"/>
        </w:rPr>
        <w:t>ثمَّ إنّ المراد بعدم وجوده إلاّ بأكثر من ثمن أمثاله هو عدم وجوده إلاّ عند شخص لا يبيعه إلاّ كذلك ، بحيث لو كان في السوق أو كان عند غير هذا الشخص لكان يباع بأقلّ من هذا ، وأمّا لو كانت زيادة القيمة من ناحية ترقّي قيمته في الأسواق ، فلا إشكال في وجوب شرائه ولزوم إعطائه لمالك التالف؟</w:t>
      </w:r>
    </w:p>
    <w:p>
      <w:pPr>
        <w:pStyle w:val="BookText"/>
        <w:rPr/>
      </w:pPr>
      <w:r>
        <w:rPr>
          <w:rFonts w:ascii="Amiri" w:hAnsi="Amiri" w:eastAsia="Amiri" w:cs="Amiri"/>
          <w:color w:val="111111"/>
          <w:sz w:val="28"/>
          <w:sz w:val="28"/>
          <w:szCs w:val="28"/>
          <w:rtl w:val="true"/>
          <w:lang w:bidi="ar-SA"/>
        </w:rPr>
        <w:t>والحقّ في هذا المقام هو أنّه لا بدّ وأن ينظر ، وأنّ كونه في يد شخص لا يبيع إلاّ بأزيد من ثمن مثله وعدم وجوده في مكان آخر هل هو لانحصار وجوده فيما عند ذلك الشخص ، أو لقلّة وجوده؟ فإن كان كذلك ، فالظاهر أنّ هذا ملحق بتعذّره ، وسنتكلّم 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لأجل أنّ هذا الشخص أو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الغير في بلاد بعيدة بحيث متعذّر أو متعسّر الاشتراء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حصروا هذا النوع أو الصنف عندهم ، ولم يكن وجوده في حدّ نفسه قليلا ، ففي مثل هذه الصورة لا يخرج عن كونه مثليّا ، لأنّ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نوع التالف أو صنفه ذا أفراد متماثلة غير متفاوتة من ناحية الصفات والجهات النوعيّة والصنفيّة ، وفيما نحن فيه يكون الأمر كذلك ، غاية الأمر حصره البعض عنده لأجل زيادة الربح ، كما هو شغل بعض المحتكرين ، </w:t>
      </w:r>
    </w:p>
    <w:p>
      <w:pPr>
        <w:pStyle w:val="BookText"/>
        <w:rPr/>
      </w:pPr>
      <w:r>
        <w:rPr>
          <w:rFonts w:ascii="Amiri" w:hAnsi="Amiri" w:eastAsia="Amiri" w:cs="Amiri"/>
          <w:color w:val="111111"/>
          <w:sz w:val="28"/>
          <w:sz w:val="28"/>
          <w:szCs w:val="28"/>
          <w:rtl w:val="true"/>
          <w:lang w:bidi="ar-SA"/>
        </w:rPr>
        <w:t>فيخزنون الحنطة مثلا ويجعلونها منحصرة بما عندهم ، ثمَّ لا يبيعونها إلاّ بما هو أضعاف قيمتها لو لا هذا الاختزان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هذه الصورة مقتضى ما ذكرنا من الارتكاز العرفي هو لزوم تفريغ ذميته ، وأداء ما أخذته يده بالمثل ، ويجب شراؤه وإن كان بأضعاف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بعنوانه الأوّلي ، ولكن بعنوان أنّ وجوب الشراء في مثل هذه الصورة ضرريّ ، والحكم الضرريّ منفيّ في الإسلام فذلك أمر آخر ، ولا بدّ من الملاحظة والدقّة في أنّ مثل هذه الموارد هل من موارد جريان قاعدة لا ضرر ،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كلام طويل ، وقد بحثنا عن هذه القاعدة ومفادها ومدركها وموارد جريانها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القاعدة هو نفي الحكم الضرري ، بحيث يكون عنوان أنّه ضرريّ عنوانا ثانويّا لذلك الحكم ، فالحكم الذي لا يترتّب عليه ضرر أصلا خارج عن تحت هذه القاعدة ، والحكم الذي يكون طبعه مقتضيا للضرر أيضا كذلك ، كالجهاد أو الخمس أو الزكاة ، والحجّ بالنسبة إلى الزاد والراحة ، فهذه الموارد كلّها خارجة عن تحت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القاعدة هو فيما إذا كان الحكم بحسب طبعه لا يقتضي الضرر ، ولكن قد يتّفق لجهات خارجيّة ترتّب الضرر عليه ، سواء كان ذلك الضرر بدنيّا أو ماليّا أو اعتباريّا ، ففي مثل ذلك المورد تكون هذه القاعدة حاكمة على عموم الدليل الأوّلى أو إطلاقه ، ويخصّصه أو يقيّده بغير مورد ترتّب الضرر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نذر أن يطعم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 كذا ، فيتنجّز نذره بوجود المعلّق عليه ، فيجب عليه الوفاء بنذره وشراء الطعام من السوق ، وإن كان هذا الشراء ضررا ماليّا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لا ترفع هذا الوجوب ، لأنّ هذا الضرر مقتضى طبع وجوب الوفاء بالنذر في الماليّات ، وفي المفروض من المورد لو ترقّى قيمة اللحم ترقّيا فاحشا في </w:t>
      </w:r>
      <w:bookmarkStart w:id="71" w:name="pg15937_234978"/>
    </w:p>
    <w:p>
      <w:pPr>
        <w:pStyle w:val="BookText"/>
        <w:rPr/>
      </w:pPr>
      <w:bookmarkEnd w:id="71"/>
      <w:r>
        <w:rPr>
          <w:rFonts w:ascii="Amiri" w:hAnsi="Amiri" w:eastAsia="Amiri" w:cs="Amiri"/>
          <w:color w:val="111111"/>
          <w:sz w:val="28"/>
          <w:sz w:val="28"/>
          <w:szCs w:val="28"/>
          <w:rtl w:val="true"/>
          <w:lang w:bidi="ar-SA"/>
        </w:rPr>
        <w:t>الأسواق لا يمنع هذا الضرر عن وجوب الوفاء بالنذر ، لما قلنا إنّ هذا القسم من الضرر مقتضى طبع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غلاء قيمة اللحم من جهة احتكار شخص أو أشخاص ، لا من جهة ترقّي القيمة السوقيّة ، فيمكن المورد مشمولا لقاعدة لا ضرر ، لأنّ هذا الضرر له جهة خارجيّة ، وليس من مقتضيات طبيعة الحكم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حال جريان القاعدة في محلّ كلامنا وعدم جريانها ، وأنّه إن كانت زيادة قيمة المثل بأكثر من ثمن أمثاله من جهة احتكار من عنده المثل أو ما يشبه الاحتكار ، فالقاعدة تجري ، وأمّا إن كان طلب الزيادة من جهة قلّة وجوده ، فالقاعدة لا تجري ، لأنّ الشي‌ء القليل الوجود إذا كان مطلوبا للعموم فقهرا تترقّى قيمته ويغلو سعره ، وإذا غلى سعره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بواسطة قلّة وجوده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الضرر من مقتضيات طبع الحكم ، فلا يكون مشمولا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مسألة شراء الماء للوضوء ، فإن كان من عنده الماء يطلب قيمة زائدة لأجل كونه في قافلة في فصل الصيف ، والماء هناك قليل وطلاّبه كثيرون ، فلا تجري القاعدة ، ويجب الشراء وإن كان غالبا ، لاقتضاء الزمان والمكان ذلك ، وهذا الضرر من مقتضيات طبع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الزيادة لأجل حصر الماء عن الآخرين ، فتجري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ضابط كلّي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 ، فلا شكّ في أنّ الأداء وتفريغ الذمّة ينتقل إلى الدرجة الثالثة وهي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وجوب دفع القيمة مع مطالبة المالك ، أو يكون مطلقا؟</w:t>
      </w:r>
    </w:p>
    <w:p>
      <w:pPr>
        <w:pStyle w:val="Heading4"/>
        <w:numPr>
          <w:ilvl w:val="3"/>
          <w:numId w:val="1"/>
        </w:numPr>
        <w:rPr/>
      </w:pPr>
      <w:bookmarkStart w:id="72" w:name="__RefHeading___Toc16073336_2142443653"/>
      <w:bookmarkStart w:id="73" w:name="_Toc23"/>
      <w:bookmarkEnd w:id="72"/>
      <w:r>
        <w:rPr>
          <w:rtl w:val="true"/>
        </w:rPr>
        <w:t xml:space="preserve">ولتوضيح المقام وتنقيحه نقدّم أمورا </w:t>
      </w:r>
      <w:r>
        <w:rPr>
          <w:rtl w:val="true"/>
        </w:rPr>
        <w:t>:</w:t>
      </w:r>
      <w:bookmarkEnd w:id="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ما المراد من تعذّر المثل؟ وهل المراد عدم وجوده وعدم إمكان </w:t>
      </w:r>
    </w:p>
    <w:p>
      <w:pPr>
        <w:pStyle w:val="BookText"/>
        <w:rPr/>
      </w:pPr>
      <w:r>
        <w:rPr>
          <w:rFonts w:ascii="Amiri" w:hAnsi="Amiri" w:eastAsia="Amiri" w:cs="Amiri"/>
          <w:color w:val="111111"/>
          <w:sz w:val="28"/>
          <w:sz w:val="28"/>
          <w:szCs w:val="28"/>
          <w:rtl w:val="true"/>
          <w:lang w:bidi="ar-SA"/>
        </w:rPr>
        <w:t>تحصيله مطلقا حتّى مع التعب الشديد وصرف المال الكثير ، أو لا بل المراد منه عدم سهولة تحصيله من جهة قلّة وجوده ، أو كونه في بلد بعيد يصعب عليه جلبه من ذلك البلد؟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أبواب الضمانات والغرامات حسب الارتكاز العرفي في الانتقال من الدرجة الثانية إلى الثالثة ، عدم التمكّن من تحصيله عرفا ، فإذا حصل التعذّر بهذا المعنى فيجب عليه دفع القيمة ، بمعنى أنّه ليس للمالك إلزامه بإعطاء المثل ، ولو كان يجلبه من البلد البعيد وتحمّل المشقّة أو صرف المال الكثير ، فإنّ العرف يرى وجود المثل في هذه الصورة كالعدم ، فيفهم من أدلّة الضمان وجوب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تعذّر المثل هو حكم تلف العين ، أو حكم تعذّر العين؟ فإن كان هو الأوّل فقهرا ينتقل ما في الذمّة من كونه مثلا إلى القيمة ، كما أنّ العين إذا وقع عليها التلف ينتقل الضمان من العين إلى بدلها من المثل أو القيمة ، كلّ واحد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مثل تعذّر العين ، فكما أنّ في تعذّرها لا ينتقل الضمان إلى البدل ما دامت العين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على الغاصب إعطاء بدل الحيلولة لا بدل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ها هنا لا ينتقل الضمان إلى القيمة ، بل المثل باق على عهدة الغاصب إلى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تعذّر المثل بتعذّر العين لا وجه له ، لأنّ العين مع وجودها وبقائها لا وجه لخروجها عن ملك مالكها ، لأنّ تعذّر الوصول إلى الملك ليس ممّا يوجب سقوط الملكيّة ، فمع بقاء عين ماله في ملكه لا معنى لأخذ بدله الواقعي ، لأنّه من الجمع بين البدل والمبدل ، فلو قلنا بلزوم تدارك ما فات من المالك لا بدّ أن يكون بدل حيلولته بين المال ومالكه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نحن فيه ، فبعد تلف العين قلنا إنّ المرتكز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قيل إنّ الذمّة مشغولة ولا يرتفع بعد تلفها إلاّ بأداء ما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أداء ما أخذه بالمثل إن كان ، </w:t>
      </w:r>
    </w:p>
    <w:p>
      <w:pPr>
        <w:pStyle w:val="BookText"/>
        <w:rPr/>
      </w:pPr>
      <w:r>
        <w:rPr>
          <w:rFonts w:ascii="Amiri" w:hAnsi="Amiri" w:eastAsia="Amiri" w:cs="Amiri"/>
          <w:color w:val="111111"/>
          <w:sz w:val="28"/>
          <w:sz w:val="28"/>
          <w:szCs w:val="28"/>
          <w:rtl w:val="true"/>
          <w:lang w:bidi="ar-SA"/>
        </w:rPr>
        <w:t>وبعد تعذّره تصل النوبة إلى القيمة ، فلا وجه لبقاء المثل في عهدته إلى زمان الأداء ولو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على تعذّر العين باطل ، ومع الفارق إذ هو لم يملك المثل إلاّ بعد أن يعطى له بخلاف العين ، فإنّه يملكها ولا وجه لسقوط ملكيّتها بصرف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عرفت في الأمرين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عدم سهولة تحصيله المثل عرفا ، وكون تعذّره بمنزلة تلف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يكون التعذّر موجبا لأن يكون ذمّة الغاصب أو من هو بحكمه مشغولة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سمه بانقلاب المثل إلى القيمة ، ولا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يجب دفع القيمة إلى المالك ، طالب أو لم يطالب ، بل له إلزام المالك بأخذ القيمة إلاّ أن يكون المثل مرجو الحصول في زمان قريب ، فله أن يمتنع عن أخذ القيمة ويصبر إلى زمان حصول المثل ، كما إذا كان التالف حنطة ، والحنطة إمّا ليس بموجود أو عزيز الوجود ، فللغاصب إلزام المالك بأخذ القيمة إلاّ أن يكون في زمان الحصاد والمتوقّع وفور الحنطة في زمان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من الانقلاب بين التعذّر الطاري والبدوي أصلا ، كما هو واضح فلا يحتاج إلى تطويل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قلنا يجب التنبيه عليها هو أنّه بعد الفراغ عن أنّ المغصوب أو ما كان بحكمه إن كان قيميّا يجب أداء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للإجماع على ذلك كما ادّعى في المقام ، أو من جهة أنّ المرتكز في أذهان العرف هو ذلك من أدلّة الضمان كما هو المختار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تعيين القيمة قيمة يوم دخول العين تحت اليد ، أو قيمة يوم التلف ، أو قيمة يوم الأداء ، أو أعلى القيم من زمان دخول العين تحت اليد إلى زمان التلف ، أو إلى زمان الأداء؟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وأقوال ، وذكروا لهذه الأقوال والوجوه الخمسة أدلّة ومدارك ، ويطول المقام بذكر جميع ما قالوا في مدارك هذا القول ، ولذلك نحن نكتفي بذكر ما هو المختار </w:t>
      </w:r>
    </w:p>
    <w:p>
      <w:pPr>
        <w:pStyle w:val="BookText"/>
        <w:rPr/>
      </w:pPr>
      <w:r>
        <w:rPr>
          <w:rFonts w:ascii="Amiri" w:hAnsi="Amiri" w:eastAsia="Amiri" w:cs="Amiri"/>
          <w:color w:val="111111"/>
          <w:sz w:val="28"/>
          <w:sz w:val="28"/>
          <w:szCs w:val="28"/>
          <w:rtl w:val="true"/>
          <w:lang w:bidi="ar-SA"/>
        </w:rPr>
        <w:t>عندنا ، وهو قيمة يوم الأخذ غصبا ، أو بدون إذن المالك وإن لم يطلق عليه عنوان الغصب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نفس ما وقع تحت اليد يثبت ويستقرّ على عهدة الآخذ ، ولا شك في أنّ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استقرار ما أخذته اليد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شرعي وضعي في عالم الاعتبار التشريعي ، ونفس المأخوذ مال وعين خارجيّة وقعت تحت اليد ، فنفس العين الخارجيّة من الموجودات الخارجيّة ، ولا يمكن أن تنتقل بنفسها إلى العهدة ، لأنّ المراد من العهدة والذمّة عالم الاعتبار ، والموجود الخارجي محال أن ينتقل بوجوده الخارجي إلى عالم الاعتبار ، وإلاّ يلزم أن ينقلب الخارج اعتبارا ، فكما أنّ الموجود الخارجي لا يأتي إلى الذهن للزوم الانقلاب ، فكذلك الأمر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المحاليّة هاهنا أوضح ، لأنّ الموجود الخارجي والذهني كلاهما موجودان خارجيّان واقعيّان ، والقول بأنّ أحدهما ذهني والآخر خارجي مجرّد 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ما نحن فيه فليس الأمر كذلك ، بل الموجود الخارجي أمر واقعي وله وجود في الخارج ، سواء كان معتبر في العالم أو لم يكن ، بخلاف الأمر الاعتباري ، فليس له وجود أصلا وإنّما هو صرف اعتبار ممّن بيده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للأشياء وجود خارجي ووجود ذهني ووجود لفظي ووجود كتبي ، كذلك للأشياء المتموّلة وجود اعتباري ، أي يعتبرها الشارع أو العقلاء في عالم الاعتبار لترتيب آثار ذلك الموجود عليه ،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الوجود الذي وقع تحت اليد فوق اليد ، أي على العهدة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الوجود المأخوذ له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الشخصيّة ، والجهات الصنفيّة والصفات والعوارض الطارئة على نفس الطبيعة ، والثالثة ماليّته التي هي العمدة في أبواب الضمانات والغرامات ، ففي عالم الاعتبار يعتبر ما هو الواجد للجهات </w:t>
      </w:r>
    </w:p>
    <w:p>
      <w:pPr>
        <w:pStyle w:val="BookText"/>
        <w:rPr/>
      </w:pPr>
      <w:r>
        <w:rPr>
          <w:rFonts w:ascii="Amiri" w:hAnsi="Amiri" w:eastAsia="Amiri" w:cs="Amiri"/>
          <w:color w:val="111111"/>
          <w:sz w:val="28"/>
          <w:sz w:val="28"/>
          <w:szCs w:val="28"/>
          <w:rtl w:val="true"/>
          <w:lang w:bidi="ar-SA"/>
        </w:rPr>
        <w:t>الثلاث ، فما دام يمكن أداء الجهات الثلاث يجب عليه أداؤها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إذا كانت عين المال المغصوب موجودة يجب على الآخذ أداؤها جميعا ، لأنّ في ذمّته بالمعنى الذي ذكرنا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تلفت العين تسقط الخصوصيّات الشخصيّة ، لأنّ اعتبارها على الذمّة لترتيب الأثر الذي هو وجوب أدائها ، فإذا لم يمكن فاعتبارها لغو وتبقى الجهتان الآخريان ، أي الماليّة ، والعوارض والطواري النوعيّة الموجبة لتصنيفه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فقد المثل وانعدم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أوّل الأمر ، أو طرأ الفقدان بعد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الجهات المصنّفة أيضا ، وتبقى الجهة الماليّة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الجهة الماليّة في العهدة يجتمع حتّى مع وجود العين فيما إذا سقطت عن المالية كقربة من الماء في المفازة التي تحتاج إليه القافلة ، خصوصا مع فقد غيرها إذا أتي بها الغاصب ويريد أن يرجعها إلى المالك في حافة الشط ، وكالأوراق الماليّة التي غصبها في حال اعتبارها ويريد ردّها إلى مالكها في حال سقوط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لك أنّ المدار في القيمي قيمة يوم الأخذ ، لأنّ ظرف الضمان حسب مفاد هذا الحديث الشريف هو وقت الأخذ ، فيأتي المأخوذ بجهاته الثلاث في العهدة في ذلك الوقت ، منها قيمته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لو سقطت العين المغصوبة بعد أن غصبها عن الماليّة ، فيجب عليه أداء قيمتها ، وأيضا أداء نفس العين مع بقائها ، وذلك من جهة إمكان أداء الجهات ، أمّا القيمة فمن الخارج ، وأمّا الجهات المصنّفة والخصوصيّات المشخصة فلوجودها في العين مع بقائها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المدار في القيمة قيمة يوم الأخذ ، فلما ذا قالوا بضمان النماءات التي تحصل للعين المغصوبة بعد الغصب ، وإن تلفت تلك النماءات بعد حصولها ، كما لو سمن الشاة مثلا في يد الغاصب ثمَّ زال عنها السمن وعادت حالته الأولى ، فلو كان الضمان </w:t>
      </w:r>
    </w:p>
    <w:p>
      <w:pPr>
        <w:pStyle w:val="BookText"/>
        <w:rPr/>
      </w:pPr>
      <w:r>
        <w:rPr>
          <w:rFonts w:ascii="Amiri" w:hAnsi="Amiri" w:eastAsia="Amiri" w:cs="Amiri"/>
          <w:color w:val="111111"/>
          <w:sz w:val="28"/>
          <w:sz w:val="28"/>
          <w:szCs w:val="28"/>
          <w:rtl w:val="true"/>
          <w:lang w:bidi="ar-SA"/>
        </w:rPr>
        <w:t>قيمة يوم الأخذ فقط ، فلا وجه لضمان تلك النماءات التي تحصل بعد يوم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النماءات التي تحصل بعد الغصب تقع تحت اليد جديدا بتبع بقاء العين ، وفي الحقيقة تكون غصبا آخر غير مربوط بالغصب الأوّل ، ولذلك نفرق بين تلك النماءات وترقّى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جهة أنّ ترقّيات القيمة السوقيّة ليست من أشياء تقع تحت اليد كي تكون غصبا جديدا وموجبا لضمان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دلالة صحيحة أبي ولاّد على أنّ المدار في القيمة قيمة يوم الغصب ، فلنذكر الصحيحة ونبيّن كيفيّة دلالتها على أنّ المدار في تعيين القيمة قيمة يوم الأخذ والغصب ، وهي هذه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أبي ولاّد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بغلا إلى قصر ابن هبيرة ذاهبا وجائيا بكذا وكذا ، وخرجت في طلب غريم لي ، فلمّا صرت قرب قنطرة الكوفة خبرت أنّ صاحبي توجّه إلى النيل ، فتوجّهت نحو النيل ، فلمّا أتيت النيل خبرت أنّه توجّه إلى بغداد ، فاتبعته فظفرت به ورجعت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فأخبرت أبا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له عليك مثل كراء البغل ذاهبا من الكوفة إلى النيل ، ومثل كراء البغل من النيل إلى بغداد ، ومثل كراء البغل من النيل إلى بغداد ومثل كراء البغل من بغداد إلى الكوفة وتوفّيه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علفته بدراهم ، فلي عليه علفه؟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لأنّك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عطب البغل ، أو نفق أليس كان يلزمني؟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قيمة بغل يوم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البغل كسر أو دبر أو عقر؟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قيمة ما بين الصحّة والعيب يوم تردّه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يعرف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وهو ، إمّا أن يحلف هو على القيمة فتلزمك ، فإن ردّ اليمين عليك فحلفت على القيمة لزمك ذلك ، أو يأتي صاحب البغل بشهود يشهدون أنّ قيمة البغل حين اكترى كذا وكذا فيلزمك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ربما يستشكل بالاستدلال بهذه الصحيحة بأنّها مخالفة للقواعد العامّة ، والأخبار المستفيضة ، بل الأخبار القطعيّة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لا شكّ في أنّ البيّنة وظيفة المدّعي ، والحلف وظيفة المنكر ، والتفصيل قاطع للشركة ، فلا يجتمعان بالنسبة إلى أحد المتخاصمين في واقعة واحدة ، وهنا اجتمع بالنسبة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هذا الكلام باعتبارين واختلاف كيفية إنشاء دعويهما ، وذلك كما إذا ادّعى شخص على زيد مثلا بكذا ، فإن قال زيد في مقام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تطلب مني شيئا ، يكون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 يكون مدّعيا ، ففي المقام إذا ادّعى الغاصب تنزل القيمة يوم المخالفة بعد الاتّفاق في القيمة قبل يوم المخالفة بيوم أو بأيّام ، فيكون المالك منكرا للتنزّل ، وعليه الحلف وعلى الغاصب أن يأتي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مصبّ الدعوى والاختلاف في القيمة هو نفس يوم المخالفة ، من غير اتّفاق على القيمة سابقا ، فالقول قول الغاصب ، لمطابقة قوله للحجّة الفعليّة ، وهي البراءة عن الزائد الذي يدّعيه المالك ، فيكون على المالك إقامة البيّنة على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بعض الفقرات لا ينافي مع حجّية فقرات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هذه الصحيحة على أنّ المدار في تعيين القيمة هو قيمة يوم المخالفة ، ففي موضعين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قيمة بغل يوم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الشيخ الأعظم الأنصاري قدس سره في وجه دلالة هذه الفقرة على أنّ المدار في قيمة القيمي التالف قيمة يوم الغصب والأخذ هو أنّ الظرف قيد للقيمة ، وذكر لذلك وجهين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القيمة المضافة إلى البغل إليه ثانيا ، فيكون معنى الكلام بناء على </w:t>
      </w:r>
    </w:p>
    <w:p>
      <w:pPr>
        <w:pStyle w:val="BookText"/>
        <w:rPr/>
      </w:pPr>
      <w:r>
        <w:rPr>
          <w:rFonts w:ascii="Amiri" w:hAnsi="Amiri" w:eastAsia="Amiri" w:cs="Amiri"/>
          <w:color w:val="111111"/>
          <w:sz w:val="28"/>
          <w:sz w:val="28"/>
          <w:szCs w:val="28"/>
          <w:rtl w:val="true"/>
          <w:lang w:bidi="ar-SA"/>
        </w:rPr>
        <w:t xml:space="preserve">هذا الاحتمال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بغل قيمة يوم المخالفة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الغصب والأخذ بدون إذن المالك ، فيكون صريحا فيما هو المقصود ، وهو أنّ المدار على قيمة يوم الأخذ في ضمان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الإشكال في أنّ الكلمة الواحدة في جملة واحدة تكون مضافة إلى شيئين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مدعاه قدس سره على تقدير إمكانه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والإغماض عما استشكل عليه شيخنا الأستاذ قدس سره من الجمع بين اللحاظ الآلي والاستقلالي في استعمال ولحاظ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w:t>
      </w:r>
      <w:r>
        <w:rPr>
          <w:rStyle w:val="FootnoteAnchor"/>
          <w:rtl w:val="true"/>
        </w:rPr>
        <w:footnoteReference w:id="84"/>
      </w:r>
      <w:r>
        <w:rPr>
          <w:rFonts w:ascii="Amiri" w:hAnsi="Amiri" w:eastAsia="Amiri" w:cs="Amiri"/>
          <w:color w:val="111111"/>
          <w:sz w:val="28"/>
          <w:sz w:val="28"/>
          <w:szCs w:val="28"/>
          <w:rtl w:val="true"/>
          <w:lang w:bidi="ar-SA"/>
        </w:rPr>
        <w:t>ليس معهودا في تراكيب الكلام والجمل العربيّة ، فمثل هذه الدعوى لا تقبل في استظهار مفاد الكلام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لا مانع منه هو تتابع الإضافات ، مثل ماء حوض ، دار فلان ومثل دأب قوم نوح الوارد في القرآن كريم ، ولكن هذا غير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قيدا للاختصاص الحاصل من إضافة القيمة إلى البغل ، فيكون المعنى قيمة مختصّة بالبغل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الحاصلة من إضافة القيمة إلى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فعل ، فيجوز أن تكون عاملا في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أيضا يكون صريحا على أنّ المدار قيمة يوم الأخذ بدون إذن المالك ، لأنّ القيمة المختصّة بالبغل يوم المخالفة هي عين قيمة يوم الأخذ</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شيخنا الأستاذ قدس سره على هذا الوجه أيضا بمثل الإشكال الأوّل ، وهو أنّ الاختصاص الحاصل من الإضافة معنى حرفي ، وملحوظ آلي ، فلا يمكن أن يرد عليه القيد </w:t>
      </w:r>
      <w:r>
        <w:rPr>
          <w:rStyle w:val="FootnoteAnchor"/>
          <w:rtl w:val="true"/>
        </w:rPr>
        <w:footnoteReference w:id="85"/>
      </w:r>
      <w:r>
        <w:rPr>
          <w:rFonts w:ascii="Amiri" w:hAnsi="Amiri" w:eastAsia="Amiri" w:cs="Amiri"/>
          <w:color w:val="111111"/>
          <w:sz w:val="28"/>
          <w:sz w:val="28"/>
          <w:szCs w:val="28"/>
          <w:rtl w:val="true"/>
          <w:lang w:bidi="ar-SA"/>
        </w:rPr>
        <w:t xml:space="preserve">، لأنّ المعاني الحرفيّة ليست قابلة للتقييد ، وذلك من جهة أنّ التقييد لا يمكن إلاّ مع ملاحظة القيد والمقيّد استقلاليّا ، فيلزم اجتماع اللحاظ الآلي والاستقلالي </w:t>
      </w:r>
    </w:p>
    <w:p>
      <w:pPr>
        <w:pStyle w:val="BookText"/>
        <w:rPr/>
      </w:pPr>
      <w:r>
        <w:rPr>
          <w:rFonts w:ascii="Amiri" w:hAnsi="Amiri" w:eastAsia="Amiri" w:cs="Amiri"/>
          <w:color w:val="111111"/>
          <w:sz w:val="28"/>
          <w:sz w:val="28"/>
          <w:szCs w:val="28"/>
          <w:rtl w:val="true"/>
          <w:lang w:bidi="ar-SA"/>
        </w:rPr>
        <w:t>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يمكن أن يلاحظ ذلك الاختصاص الحاصل من الإضافة باللحاظ الآلي ، ثانيا بلحاظ آخر 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كثيرة ،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عصاء زيد يوم سفره ، أو هذا عباؤه يوم الجمعة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عصائه المختص بيوم سفره ، أو عباؤه المختصّ بلبسها يوم الجمعة ، فليس التقييد بلحاظ ذلك اللحاظ الآلي في حال الإضافة ، بل بلحاظ آخر استقلالي بعد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وجهان آخران لاستفادة كون المدار على قيمة يوم الأخذ من هذه الفقرة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تتابع الإضافات ، وهو أن تكون القيمة مضافة إلى بغل ، وبغل مضافا إلى يوم وسقوط اللام عن بغل بواسطة إضافته إلى يوم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أخرى عن قيمة ذلك اليوم ، أي يوم الغصب والأخذ بدون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اختلاف البغل باختلاف الأيّام ، وإن كان من الممكن أن يكون باعتبار سمنه في يوم وهزاله في يوم آخر ، أو صحّته ومرضه كذلك ، ولكن في المورد ظاهر في أنّ تخصيص البغل بيوم المخالفة باعتبار قيمته في ذلك اليوم ، لأنّ مجموع الأيّام التي كان البغل تحت يده لا يتجاوز أيّام قليلة ، والبغل لا يختلف في تلك الأيّام القليلة من جهة السمن والهزال ، والصحّة والمرض ، فيكون ظاهر التخصيص بيوم المخالفة هو باعتبار قيمة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الظرف قيدا للبغل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الظرف قيدا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متعلّقا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في جواب قول السائل والمستفهم ، أرأيت لو عطب البغل أو نفق أليس كان يلزمني ، فقوله علیه السلام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هذا الاستفهام تصديق وتقرير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يلزمني ،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يلزمك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وإن كان أنّ ضمانه </w:t>
      </w:r>
    </w:p>
    <w:p>
      <w:pPr>
        <w:pStyle w:val="BookText"/>
        <w:rPr/>
      </w:pPr>
      <w:r>
        <w:rPr>
          <w:rFonts w:ascii="Amiri" w:hAnsi="Amiri" w:eastAsia="Amiri" w:cs="Amiri"/>
          <w:color w:val="111111"/>
          <w:sz w:val="28"/>
          <w:sz w:val="28"/>
          <w:szCs w:val="28"/>
          <w:rtl w:val="true"/>
          <w:lang w:bidi="ar-SA"/>
        </w:rPr>
        <w:t>واشتغال عهدته في ذلك اليوم بقيمة بغل ، وأمّا قيمة يوم الغصب ، أو يوم التلف ، أو يوم الأداء ، أو أعلى القيم ، فكلّ ذلك ممكن ويصلح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الأستاذ قدس سره أفاد أنّ ضمان القيمة لو كان يوم المخالفة ، أي يوم الغصب يتعلّق بالعهدة ، وتشتغل الذمّة بها في ذلك اليوم </w:t>
      </w:r>
      <w:r>
        <w:rPr>
          <w:rStyle w:val="FootnoteAnchor"/>
          <w:rtl w:val="true"/>
        </w:rPr>
        <w:footnoteReference w:id="86"/>
      </w:r>
      <w:r>
        <w:rPr>
          <w:rFonts w:ascii="Amiri" w:hAnsi="Amiri" w:eastAsia="Amiri" w:cs="Amiri"/>
          <w:color w:val="111111"/>
          <w:sz w:val="28"/>
          <w:sz w:val="28"/>
          <w:szCs w:val="28"/>
          <w:rtl w:val="true"/>
          <w:lang w:bidi="ar-SA"/>
        </w:rPr>
        <w:t>، فلا يمكن أن تكون قيمة يوم المتأخّر عن يوم المخالفة ، وهو يوم التلف ، أو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وإن كان لا يخلو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الضمان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اشتغال ذمّته فيه بتلك العين التي وقعت تحت يده بدون إذن المالك ، أي اشتغال ذمّته بوجود العين في عالم الاعتبار ، وقلنا إنّ الوجود الخارجي لا يأتي في عالم الاعتبار ، فالذي يركب على العهدة هو الوجود الاعتباري لتلك العين المغصوبة ، أي الشارع أو العقلاء يعتبرون عليه وجود العين الخارجي بجهاتها الثلاث ، أي خصوصيّاتها الشخصيّة ، وصفاتها العارضية على النوع ، وماليّتها الموجودة في ذلك اليوم ، أي في يوم الضمان على الفرض وهو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اشتغال عهدته بقيمة يوم الغصب ، وقد تقدّم شرح ذلك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تلفت العين وعدم المثل كما هو المفروض في تلف القيمي ، لا يبقى في العهدة إلاّ تلك الجهة الثالثة ، أي ماليّة تلك العين وقيمتها في يوم الغصب ، لأنّ العين بتلك الجهات الثلاث الموجودة في ذلك اليوم استقرّت في العهدة ، فتصير الصحيحة بناء على هذا الوجه موافقة في المضمون ، وبحسب مفادها مع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يأتي صاحب البغل بشهود يشهدون أنّ قيمة البغل حين اكترى كذا وكذا فيلزمك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البغل حين اكترى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قيمة يوم الغصب ، إذ وقت </w:t>
      </w:r>
    </w:p>
    <w:p>
      <w:pPr>
        <w:pStyle w:val="BookText"/>
        <w:rPr/>
      </w:pPr>
      <w:r>
        <w:rPr>
          <w:rFonts w:ascii="Amiri" w:hAnsi="Amiri" w:eastAsia="Amiri" w:cs="Amiri"/>
          <w:color w:val="111111"/>
          <w:sz w:val="28"/>
          <w:sz w:val="28"/>
          <w:szCs w:val="28"/>
          <w:rtl w:val="true"/>
          <w:lang w:bidi="ar-SA"/>
        </w:rPr>
        <w:t>الاكتراء لا ضمان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وقت الغصب ويومه هو نفس يوم الاكتراء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اكترى في الكوفة ، ووقع الغصب قرب قنطرة الكوفة حين ما سمع بتوجّه غريمه إلى النيل ، وهذا عادة يتّفق في نفس يوم الاكتراء بعد ساعة أو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يوم الغصب بيوم الاكتراء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العدول عن يوم الغصب إلى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الاكتراء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تحصيل الشهود حين الاكتراء أسهل من حال الغصب ، وذلك من جهة أنّ حين الاكتراء غالبا محلّ اجتماع المكّارين العارفين بقيمة الدوابّ ، وأمّا حين الغصب وهو الواقع في أثناء الطريق لا طريق غالبا إلى تحصيل الشهود على معرفة قيمته في ذلك الوقت ، فبناء على هذا تكون هذه الفقرة صريحة في أنّ المدار في ضمان القيمي قيمة يوم الغصب والأخذ بدون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المراد بهذه الفقرة ضمان عين المستأجرة مع عدم شرط الضمان الذي مخالف للقواعد ، فلا ينبغي صدوره عن فقيه ، مع كون هذه أحد شقّي الترديد في مطلب واحد ، وفي مورد واحد وهو ضمان البغل الذي وقع عليه التلف بعقر أو كسر أو دير بعد تصرّفه العدواني بدون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 هنا مناقشات فيما استظهرناه من الرواية يجب أن تذكر مع الجواب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قيمة ما بين الصحّة والعيب يوم تردّه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المدار على قيمة يوم الأداء ، بناء على أن يكون هو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تردّه عليه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بناء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للقيمة واضح ، وبناء على أن يكون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الظرف لغوا أو يكون العامل فيه من أفعال العموم ويكون الظرف مستقرا أيضا كذلك ، لأنّه بناء على الأوّل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القيمة يوم </w:t>
      </w:r>
    </w:p>
    <w:p>
      <w:pPr>
        <w:pStyle w:val="BookText"/>
        <w:rPr/>
      </w:pPr>
      <w:r>
        <w:rPr>
          <w:rFonts w:ascii="Amiri" w:hAnsi="Amiri" w:eastAsia="Amiri" w:cs="Amiri"/>
          <w:color w:val="111111"/>
          <w:sz w:val="28"/>
          <w:sz w:val="28"/>
          <w:szCs w:val="28"/>
          <w:rtl w:val="true"/>
          <w:lang w:bidi="ar-SA"/>
        </w:rPr>
        <w:t>تردّه ، ولا يمكن أن يأتي يوم الردّ على عهدته قيمة يوم آخر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الثاني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يثبت عليك يوم الردّ ، ويستقرّ على عهدتك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الكلام هو أنّ الظرف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عليك يوم تردّ البغل ، مثلا أن تعطى له قيمة تفاوت ما بين الصحّة والعيب ، وأمّا أنّ القيمة قيمة أيّ يوم فالرواية ساكتة عنه ، فلا يعارض ظهور هذه الفقرة ظهور الفقرات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هذه الفقرة في مقام بيان ضمان أرش العيب ، ولا دليل على لزوم اتّحاد زمان ضمان التلف مع زمان ضمان أرش العيب ، فيمكن أن يكون زمان ضمان التلف يوم الغصب ، وزمان ضمان أرش العيب يوم ردّ العين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تارة جعل المالك منكرا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أن يحلف هو فيلزمك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جعله مدّعيا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يأتي صاحب البغل بشهود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وذلك لوضوح أنّ الحلف ابتداء وظيفة المنكر ، والبيّنة وظيفة المدّعي ، وقد جمعها في الرواية للمالك ، فلا بدّ وأن يكونا في موردين كي لا يلزم هدم القاعدة المسلّمة المعروفة بين المسلمين ، وهي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 واليمين على من أنكر </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ولا يمكن أن يكونا في موردين إلاّ أن يكون ضمان القيمي قيمة يوم التلف ، لا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المدار على الأخير فدائما يكون المالك مدّعيا والغاصب منكرا ، لمطابقة قوله للحجّة الفعليّة ، وهي أصالة براءة ذمّته عمّا يدّعيه المالك من الزيادة في يوم المخالفة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المدار على قيمة يوم التلف ، فيمكن أن يكون المالك مدّعيا ، وهو فيما </w:t>
      </w:r>
    </w:p>
    <w:p>
      <w:pPr>
        <w:pStyle w:val="BookText"/>
        <w:rPr/>
      </w:pPr>
      <w:r>
        <w:rPr>
          <w:rFonts w:ascii="Amiri" w:hAnsi="Amiri" w:eastAsia="Amiri" w:cs="Amiri"/>
          <w:color w:val="111111"/>
          <w:sz w:val="28"/>
          <w:sz w:val="28"/>
          <w:szCs w:val="28"/>
          <w:rtl w:val="true"/>
          <w:lang w:bidi="ar-SA"/>
        </w:rPr>
        <w:t>إذا كان معترفا بعدم تفاوت قيمة يوم الغصب مع قيمة يوم التلف ، وإنّما يدّعي قيمة زائدة على ما يقبله الغاصب ، وأصل البراءة مع الغاصب ، وليس دليل حاكم من استصحاب أو أمارة في البين ، فيكون المالك مدّعيا والغاصب منكرا ، لمطابقة قوله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المالك منكرا ، وذلك فيما إذا ادّعى الغاصب نقصان القيمة يوم التلف عمّا كان يوم الغصب مع اتّفاقهما في ذلك اليوم ، فالمالك منكر ، لمطابقة قوله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المالك تارة منكرا وأخرى مدّعيا أيضا يمكن مع كون المدار على قيمة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كانا متّفقين على قيمة قبل يوم المخالفة ، وادّعى الغاصب نقصانها يوم المخالفة عن تلك القيمة المتّفقة عليها ، فيكون الغاصب مدّعيا والمالك منكرا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ذكر أمثال هذه المناقشات ، فترك ذكر باقي ما ذكروه في هذا المقام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ظهر ممّا ذكرنا في مفاد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أبي ولاّد </w:t>
      </w:r>
      <w:r>
        <w:rPr>
          <w:rStyle w:val="FootnoteAnchor"/>
          <w:rtl w:val="true"/>
        </w:rPr>
        <w:footnoteReference w:id="88"/>
      </w:r>
      <w:r>
        <w:rPr>
          <w:rFonts w:ascii="Amiri" w:hAnsi="Amiri" w:eastAsia="Amiri" w:cs="Amiri"/>
          <w:color w:val="111111"/>
          <w:sz w:val="28"/>
          <w:sz w:val="28"/>
          <w:szCs w:val="28"/>
          <w:rtl w:val="true"/>
          <w:lang w:bidi="ar-SA"/>
        </w:rPr>
        <w:t>أنّ المدار في تعيين قيمة القيمي هو قيمة يوم الأخذ بدون إذن المالك ، لا يوم التلف ، ولا يوم الأداء ولا أعلى القيم بكلتا صورتيه ، فلا حاجة إلى ذكر مدارك تلك الأقوال والمناقشة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العين باقية ولم يطرأ عليها التلف ، ولكن يتعذّر أو يتعسر إيصالها إلى المالك ، فهل على الغاصب أو من بحكمه إعطاء بدل الحيلولة بين المالك وماله ، أم لا؟ </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وإن ذكروا للقول الأوّل أدلّة متعدّدة من التمسّك بقاعدة لا ضرر تارة ، وفوت سلطنة المالك أخرى ، وكون الغاصب حائلا بين المال ومالكه ثالثة وغيرها ، ولكن لا يخفى على الناقد البصير عدم صحّة تلك الأدلّة كلّها ، فلا وجه لذكرها والردّ عليها ، فإنّه تطويل بلا طائل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فلنذكر ما هو العمدة في المقام ، وهو 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بيّنّا 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ما هو المتفاهم العرفي منه ، على أنّ العين المأخوذة بدون إذن المالك ورضاه ثابتة ومستقرّة في عالم الاعتبار التشريعي على عهدة المالك بجميع خصوصيّاتها الشخصيّة ، وعوارضها النوعيّة وصفاتها وماليّتها ، كما أنّ الأمر كذلك عند العقلاء أيضا ، فإنّ لكلّ عين متموّلة خارجيّة لها وجود اعتباري عندهم على عهدة من غصبها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يقع تحت اليد غير المأذونة بوجوده الخارجي من الأموال يستقرّ بوجوده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اليد ، أي على عهدة الغاصب ، وما يعبّرون عنه بالعهدة أو بالذمّة ليس إلاّ اعتبار من طرف العقلاء ، أو من طرف الشارع ، أو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فيجب تكليفا ووضعا ردّ الجهات الثلاث مع الإمكان ، وعند تلف العين يجب ردّ الجهتين الأخريين ، كما ذكرنا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العين باقية ، ولكنّ تعذّر أو تعسّر ردّها ، فحيث يسقط التكليف بردّ نفس العين للتعذّر أو التعسّر ، فيدور الأمر بين أن يسقط عن ردّ جميع الجهات الثلاث ، أو يبقى بالنسبة إلى الجهتين الباقيتين إن كان مثليّا ، والجهة الواحدة الباقية إن كان قيميّا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وجه للأوّل ، لأنّه بلا دليل ، بل الدليل على عدمه ،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قلنا إنّه يدلّ على استقرار الجهات الثلاث في العهدة ، </w:t>
      </w:r>
      <w:bookmarkStart w:id="74" w:name="pg15937_234992"/>
    </w:p>
    <w:p>
      <w:pPr>
        <w:pStyle w:val="BookText"/>
        <w:rPr/>
      </w:pPr>
      <w:bookmarkEnd w:id="74"/>
      <w:r>
        <w:rPr>
          <w:rFonts w:ascii="Amiri" w:hAnsi="Amiri" w:eastAsia="Amiri" w:cs="Amiri"/>
          <w:color w:val="111111"/>
          <w:sz w:val="28"/>
          <w:sz w:val="28"/>
          <w:szCs w:val="28"/>
          <w:rtl w:val="true"/>
          <w:lang w:bidi="ar-SA"/>
        </w:rPr>
        <w:t xml:space="preserve">وبارتفاع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الخصوصيّات الشخصيّة للتعذّر أو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الأخريان ، فيجب عليه إعطاء المثل إن كان مثليّا ، والقيمة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المثل أو القيمة ليس بدلا واقعيّا للعين المغصوبة ، لأنّ ملكيّته للعين باقية ، فيلزم الجمع بين البدل والمبدل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معقول ، لأنّ المراد من البدل في باب المعاوضات هو أن يكون عوضا عمّا يخرج عن ملكه ، فمع فرض عدم خروجه كما في المقام فكونه بدلا واقعيّا محال ، ولذلك قالوا إنّه بدل الحيلولة بين المالك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أنّه هل هذا البدل يصير ملكا للمغصوب منه دائما وأبدا ، أو ما دام لم يصل ماله إليه ، أو يكون مالكا لانتفاعاته إلى زمن إرجاع ماله إليه؟ احتمالات ، سنتكلم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التعذّر وعدم إمكان الردّ تارة يكون لمدّة قصيرة ، فمثل هذا لا يسقط التكليف بردّ العين ، ولا يوجب إعطاء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لمدّة طويلة فمع اليأس عن الوصول إليه عادة ، كما إذا وقع في قاع البحر فهو في حكم التلف ، ويجب على الغاصب إعطاء بدل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ارتفع التعذّر من باب الاتّفاق ، وردّ الغاصب ذلك المال إلى مالكه يأتي البحث الآتي في بدل الحيلولة في وجوب ردّ البدل إلى الغاصب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اليأس بل رجاء ارتفاع التعذّر أو التعسّر ، فهذا هو مورد البحث عن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ذمّته مشغولة ولا تبرأ بصرف تعذّر أداء الخصوصيّة الشخصيّة ، بل يجب على الغاصب أداء مثله إن كان مثليّا ، وقيمته إن كان قيميّا ، ولكن لا بعنوان كونه بدلا واقعيّا ، بل بعنوان كونه بدل الحيلولة بين المال ومالكه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6073338_2142443653"/>
      <w:bookmarkStart w:id="76" w:name="_Toc24"/>
      <w:bookmarkEnd w:id="75"/>
      <w:r>
        <w:rPr>
          <w:rtl w:val="true"/>
        </w:rPr>
        <w:t>ثمَّ انّ ها هنا أمور يجب التنبيه عليها</w:t>
      </w:r>
      <w:bookmarkEnd w:id="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المدار في التعذّر بناء على ما بيّنّا في معناه ، هو أن يكون موجبا </w:t>
      </w:r>
    </w:p>
    <w:p>
      <w:pPr>
        <w:pStyle w:val="BookText"/>
        <w:rPr/>
      </w:pPr>
      <w:r>
        <w:rPr>
          <w:rFonts w:ascii="Amiri" w:hAnsi="Amiri" w:eastAsia="Amiri" w:cs="Amiri"/>
          <w:color w:val="111111"/>
          <w:sz w:val="28"/>
          <w:sz w:val="28"/>
          <w:szCs w:val="28"/>
          <w:rtl w:val="true"/>
          <w:lang w:bidi="ar-SA"/>
        </w:rPr>
        <w:t>لسقوط التكليف بأداء العين ، ولذلك قلنا أنّ أداء العين تعذّر أو تعسّر ، لأنّ التعسّر أيضا قد يكون موجبا لسقوط التكليف ، وذلك من جهة ما بيّنّا أنّ المناط في وجوب إعطاء بدل الحيلولة هو سقوط الجهة الأولى من الجهات الثلاث للتعذّر أو التعسّر ، وبقاء الجهتين الأخريين مع بقاء العين وعدم تلفها ، لا حقيقة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مع التلف الحقيقي أو الحكمي يكون البدل بدلا واقعيّا ، لا بدل الحيلولة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ثبوت بدل الحيلولة بين أن تكون العين مرجو الحصول ، أو كان مأيوس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اليأس تكون بحكم التلف ، فيكون البدل بدلا واقعيّا ، ويخرج عن موضوع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 الحيلولة هل يصير ملكا لمالك العين ، أو يكون تصرّفه فيه مباحا فقط بدون حصول الملكيّة؟</w:t>
      </w:r>
    </w:p>
    <w:p>
      <w:pPr>
        <w:pStyle w:val="BookText"/>
        <w:rPr/>
      </w:pPr>
      <w:r>
        <w:rPr>
          <w:rFonts w:ascii="Amiri" w:hAnsi="Amiri" w:eastAsia="Amiri" w:cs="Amiri"/>
          <w:color w:val="111111"/>
          <w:sz w:val="28"/>
          <w:sz w:val="28"/>
          <w:szCs w:val="28"/>
          <w:rtl w:val="true"/>
          <w:lang w:bidi="ar-SA"/>
        </w:rPr>
        <w:t xml:space="preserve">والظاهر بناء على ما استظهرنا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استقرار العين وثبوتها على العهدة بوجودها الاعتباري بجميع جهاتها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البدل ملكا لمالك العين ، لأنّه أداء العين بعد 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ها هنا إشكال ، وهو الجمع بين العوض والمعوّض للمالك إن قلنا ببقاء ملكيّة العين له ، كما هو كذلك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الخروج عن هذا الإشكال إلاّ بالقول بأنّها بإعطاء البدل تصير ملكا للضامن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وإن قال به بعض ، مضافا إلى أنّ الالتزام بهذا يوجب خروج البدل عن كونه بدل الحيلولة ، وصيرورته بدلا واقعيّا وهو خلاف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الضامن للمثل أو القيمة كلّ واحد في محلّه إن كان بعنوان المعاوضة وكونه بدلا عن المال الذي حيل بينه وبين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هذا الإشكال ، ولا مخرج عنه إلاّ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بعنوان الغرامة وتدارك خسارة التي أوردها على المالك كما هو المستفاد من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هذا الإشكال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تدارك الخسارة لا يقتضي ولا يوجب كون هذا البدل ملكا للمالك ، لأنّ تدارك خسارته يمكن بدون أن يصير ملكا له ، بل يحصل بجواز جميع التصرّفات له حتّى المتوقّفة على الملك وإن لم يكن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المتوقّفة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عرفا للملكيّة ، ولا يمكن انفكاكهما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استظهرنا من معنى الحديث إعطاء الضامن للمثل أو القيمة يكون بعنوان أداء ما في ذمّته من مال الغير ثبت واستقرّ على عهدته ، فلا يمكن أن لا يكون ملكا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ملكيّة المالك للبدل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القول 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ملكيّة دائمة أو ما دام بقاء تعذّر الردّ أو إلى أن يردّ؟ احتمالات ، والأظهر أنّها ملكيّة موقّتة ، وذلك من جهة أنّ تدارك الخسارة أو غرامتها لا يصدق إلاّ على مقدار ما خسر وفات ، وأمّا الزائد على ذلك المقدار فإن كان فيكون من قبيل الهبة وبدون مقابل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نحن فيه لم يخسر العين ، لأنّها موجودة وتردّ عليه ، وما هو الفائت ليس إلاّ مقدار خروجه عن تحت سلطانه ، وهو زمان موقّت معيّن ، وحصل تداركه بإعطائه البدل في ذلك الزمان وكون ذلك البدل تحت سلطانه في ذلك المقدار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تلك المدّة مثل ماله تحت سيطرته وسلطانه ، فعند العرف كأنّه لم يخسر ، </w:t>
      </w:r>
    </w:p>
    <w:p>
      <w:pPr>
        <w:pStyle w:val="BookText"/>
        <w:rPr/>
      </w:pPr>
      <w:r>
        <w:rPr>
          <w:rFonts w:ascii="Amiri" w:hAnsi="Amiri" w:eastAsia="Amiri" w:cs="Amiri"/>
          <w:color w:val="111111"/>
          <w:sz w:val="28"/>
          <w:sz w:val="28"/>
          <w:szCs w:val="28"/>
          <w:rtl w:val="true"/>
          <w:lang w:bidi="ar-SA"/>
        </w:rPr>
        <w:t>ويصدق عليه أنّه حصل تداركه وغرم له ، فلا وجه لبقاء ملكيّته بعد أخذ غرامته وتدارك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ملكيّته إلى الأبد ودائما مقابل تلك القطعة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ماله تحت سيطرته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إلى الضامن أبدا ، ويصير ملكا دائميّا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دليل عليه ، بل الدليل عن عدمه ، لأنّه إجحاف وتعدّ على الضامن بلا سبب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أثر لارتفاع التعذّر في ارتفاع ملكيّة المالك للبدل ، لأنّه ما لم يصل ملكه إليه ولم يقع تحت سلطانه ، خسارته لا ترتفع ، ويكون حاله حال التعذّر ، فالمناط كلّ المناط هو عود سلطنته على ماله ، وإلاّ ما لم يعدّ فالحيلولة بينه وبين ماله موجودة ، وتداركها بكون البدل عنده وتحت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احتمل بعض القائلين بكون بدل الحيلولة ملكا دائميّا للمالك بأنّ العين المغصوبة تصير ملكا للغاصب الضامن بعد إعطائه للغرامة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صحّة هذا الكلام منوطة بأن يكون البدل بدلا واقعيّا ، ويكون إعطاء البدل من باب المعاوضة بين هذا البدل والعين المأخوذة بدون إذن المالك ، وهذا شي‌ء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المعاوضة إمّا مالكيّة يحتاج إلى قصدهما المعاوضة ، ومعلوم أنّه لم يتحقّق قصد المعاوضة بين المالك والغاصب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شرعيّة تقع قهرا ، وذلك يحتاج إلى دليل ، وليس في المقام شي‌ء يدلّ على أنّ الشارع حكم بوقوع المعاوضة بين ما يعطى الضامن بعنوان بدل الحيلولة ، وغرامة خسارة المالك من فوت سلطانه على ماله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السبب لعدم صيرورة العين المغصوبة ملكا لمعطي البدل ، لا ما ذكره شيخنا الأستاذ قدس سره من أنّ الغرامات كلّها من باب واحد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الغرامة بإعطاء بدل الحيلولة سببا لصيرورة العين المغصوبة ملكا للضامن الغاصب ، فلا بدّ وأن </w:t>
      </w:r>
    </w:p>
    <w:p>
      <w:pPr>
        <w:pStyle w:val="BookText"/>
        <w:rPr/>
      </w:pPr>
      <w:r>
        <w:rPr>
          <w:rFonts w:ascii="Amiri" w:hAnsi="Amiri" w:eastAsia="Amiri" w:cs="Amiri"/>
          <w:color w:val="111111"/>
          <w:sz w:val="28"/>
          <w:sz w:val="28"/>
          <w:szCs w:val="28"/>
          <w:rtl w:val="true"/>
          <w:lang w:bidi="ar-SA"/>
        </w:rPr>
        <w:t>يكون الأمر في باب التلف الحقيقي والحكمي أيضا كذلك ، بل لا بدّ وأن نقول بحصول الملكيّة له بنفس التعذّر ، لأنّ إعطاء البدل بيّنّا أنّه ليس بعنوان المعاوضة ، فليست الملكيّة مربوطة بإعطاء البدل ، بل يخرج عن ملك مالكه بمحض التعذّر ولو قبل إعطاء البدل ، ولازم ذلك أن تكون منافع العين المغصوبة ملكا للغاصب قبل إعطاء البدل ، ولا أظنّ أنّ أحدا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أوّلا يمكن أن يقال بأنّ حصول الملكيّة للغاصب بعد إعطاء البدل وإن لم يكن إعطاؤه بعنوان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ملكيّة منافع العين ليست بأعظم من ملكيّة نفسها ، فمن يقول بملكيّة نفس العين بصرف حدوث التعذّر وليست متوقّفة على إعطاء البدل ، يلتزم بها في المنافع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قدس سره بأنّ الغرامات من باب واحد ، فلو كانت الغرامة أو نفس التعذّر في مورد بدل الحيلولة موجبة لملكيّة العين المغصوبة فلا بدّ وأن يكون في مورد التلف الحقيقي أو الحكمي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سبب للغرامة ، والغرامة سبب للملكيّة ، فيلزم أن يصير الشي‌ء بعد تلفه وانعدامه ملكا للغاصب ، واعتبار ملكيّة الشي‌ء بعد انعدامه باطل ، ويكون من قبيل اعتبار الحكم بعد انعدام موضوعه ، فالقياس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تقدير ملكيّته آنا مّا قبل التلف ، كما يقدرون في مسألة التلف قبل قبض المشتري لكي لا يلزم هذا المحذور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باب التلف قبل القبض حيث جاء الدليل على أنّ التلف من مال البائع مع أن المبيع انتقل إلى المشتري بعد العقد ، فلا بدّ من الالتزام بالتقدير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فلا ملزم لهذا التقدير ، بل القول بملكيّة الغاصب للعين المغصوبة ، خصوصا قبل إعطاء الغرامة وبعد التلف في نظر العرف أمر من الغرائب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في المقام هو بقاء العين في ملك مالكه حتّى بعد الغرامة ، وليس جمعا بين العوض والمعوّض في بعض الصور ، لأنّ إعطاء البدل ليس من باب المعاوضة ، بل يكون من باب الغرامة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فروع عدم كون إعطاء البدل من باب المعاوضة القهريّة أنّه لو خرج المال المغصوب عن الماليّة في يد الغاصب إمّا شرعا أو عرفا ، كما إذا صار الخلّ المغصوب خمرا ، أو بقي الجمد المغصوب صيفا إلى الشتاء عند الغاصب ، فلا شك في أنّ الغاصب يغرم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إعطاء البدل يكون من باب المعاوضة القهريّة ، فحقّ الاختصاص في ذلك الخمر أو في ذلك الجمد لا يبقى للمالك بعد إعطاء البدل لخروجه عن ملكه بالإعطاء ، بل يكون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صار ذلك الخمر ثانيا خلا ، أو بقي ذلك الجمد إلى الصيف الآتي يكونان ملكا للغاصب بمقتضى تلك المعاوضة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بأنّه ليس من باب المعاوضة القهريّة ، بل يكون من باب الغرامة لما فات من كيس المالك من ماليّة ماله ، فيكون حقّ الاختصاص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وما في حكمه يخرج المال عن ملك مالكه ، لعدم صحّة اعتبار الملكيّة في التالف والمعدوم أو ما كان بحكمها ، فحال المالك حال سائر الأجانب عن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بأنّه للغاصب ، لكونه في يده ، وبعد التلف ليس يده يدا عادية كي لا يترتّب عليها آثار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زوال الملكيّة لا ينافي بقاء حقّ الاختصاص ، لأنّه مرتبة ضعيفة من الملكيّة ، وذهاب المرتبة القويّة لا يلازم عدم بقاء المرتبة الضعيفة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الشكّ في بقائها يكون مجرى للاستصحاب ، ويكون هذا الاستصحاب من القسم الثالث من أقسام القسم الثالث من استصحاب الكلّي ، فمع مساعدة العرف في وحدة القضيّتين المتيقّنة والمشكوكة يجري الاستصحاب</w:t>
      </w:r>
      <w:r>
        <w:rPr>
          <w:rFonts w:eastAsia="Amiri" w:cs="Amiri" w:ascii="Amiri" w:hAnsi="Amiri"/>
          <w:color w:val="111111"/>
          <w:sz w:val="28"/>
          <w:szCs w:val="28"/>
          <w:rtl w:val="true"/>
          <w:lang w:bidi="ar-SA"/>
        </w:rPr>
        <w:t xml:space="preserve">. </w:t>
      </w:r>
      <w:bookmarkStart w:id="77" w:name="pg15937_234998"/>
    </w:p>
    <w:p>
      <w:pPr>
        <w:pStyle w:val="Heading4"/>
        <w:numPr>
          <w:ilvl w:val="3"/>
          <w:numId w:val="1"/>
        </w:numPr>
        <w:rPr/>
      </w:pPr>
      <w:bookmarkStart w:id="78" w:name="__RefHeading___Toc16073340_2142443653"/>
      <w:bookmarkStart w:id="79" w:name="_Toc25"/>
      <w:bookmarkEnd w:id="77"/>
      <w:bookmarkEnd w:id="78"/>
      <w:r>
        <w:rPr>
          <w:rtl w:val="true"/>
        </w:rPr>
        <w:t xml:space="preserve">فرع آخر </w:t>
      </w:r>
      <w:r>
        <w:rPr>
          <w:rtl w:val="true"/>
        </w:rPr>
        <w:t>:</w:t>
      </w:r>
      <w:bookmarkEnd w:id="79"/>
    </w:p>
    <w:p>
      <w:pPr>
        <w:pStyle w:val="BookText"/>
        <w:rPr/>
      </w:pPr>
      <w:r>
        <w:rPr>
          <w:rFonts w:ascii="Amiri" w:hAnsi="Amiri" w:eastAsia="Amiri" w:cs="Amiri"/>
          <w:color w:val="111111"/>
          <w:sz w:val="28"/>
          <w:sz w:val="28"/>
          <w:szCs w:val="28"/>
          <w:rtl w:val="true"/>
          <w:lang w:bidi="ar-SA"/>
        </w:rPr>
        <w:t xml:space="preserve">وهو أنّه لو توضّأ بماء الغير بدون إذن مالكه جهلا بكونه غصبا ، وبناء على صحّة الوضوء بالماء المغصوب جهلا بالموضوع ، فلو علم بالغصبيّة بعد تمام الغسلتين ووصول النوبة إلى المسح ، فذلك الماء حيث صار تالفا بسبب التوضّي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أنّ المتوضّي أعطى البدل ، فعلى تقدير كونه من باب المعاوضة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يمسح ببلّة ذلك الوضوء حتّى مع منع المالك ، لأنّه خرج عن ملكه بإعطاء البدل ، فهو أجنبيّ عن هذه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يكن من باب المعاوضة القهريّة ، بل كان صرف 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الاختصاص باق للمالك ، فبدون إذنه لا يجوز له أن يمسح بتلك البلّة إلاّ بناء على ما ذكره شيخنا الأستاذ قدس سره من إنكار كون تلك البلّة ممّا تقبل حقّ الاختصاص أيضا ، لعدم الانتفاع بها إلاّ بالنسبة إلى من هي في يده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وهذا كلام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للغاصب إلزام المالك بأخذ البدل ، وإن امتنع يرفع أمره إلى الحاكم ، أو لا؟</w:t>
      </w:r>
    </w:p>
    <w:p>
      <w:pPr>
        <w:pStyle w:val="BookText"/>
        <w:rPr/>
      </w:pPr>
      <w:r>
        <w:rPr>
          <w:rFonts w:ascii="Amiri" w:hAnsi="Amiri" w:eastAsia="Amiri" w:cs="Amiri"/>
          <w:color w:val="111111"/>
          <w:sz w:val="28"/>
          <w:sz w:val="28"/>
          <w:szCs w:val="28"/>
          <w:rtl w:val="true"/>
          <w:lang w:bidi="ar-SA"/>
        </w:rPr>
        <w:t>الظاهر أنّه بناء على ما ذكرنا في معنى الحديث الشريف من أنّه يدلّ على اشتغال ذمّة الضامن بالجهات الثلاث التي في العين ، فكلّ واحد من المالك والغاصب إلزام الآخر بدفع البدل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المالك فواضح ، لأنّ له في ذمّته الجهات الثلاث ، فبعد تعذّر إحدى الجهات وهي الخصوصيّة الشخصيّة ، فله المطالبة بالجهتين الباقيتين وإلزام الغاصب بدفعهما ، ويجوز له أن لا يطالب بحقّه ، فإنّ هذا حقّ له 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الغاصب فله أيضا المطالبة بتفريغ ذمّته عن ذلك الثقل الذي عليه ، أي عن الجهتين الباقيتين في ذمّته ولا ينافي ذلك بقاء الخصوصيّات الشخصيّة في ملك المالك ، لأنّه حين ما تمكّن من ردّها برفع التعذّر وجب ردّها ، فلا يفوت من المالك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حال هذا الضمان حال سائر الضمانات ، فكما أنّ في سائر الضمانات للضامن مطالبة المضمون له بتفريغ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الدين الذي حلّ أجله للمديون إلزام الدائن بالأخذ ، وإن لم يقبل يرفع أمره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واعتذار المالك بأنّه لا يريد إلاّ جميع جهات ماله من الخصوصيّات الشخصيّة ، والجهتين الأخريين ، لا يقبل منه ، لأنّ تلك الجهة المتعذّرة فعلا ليست مكلّفة بالأداء لعجز الضامن ، والمفروض أنّ تلك الجهة لا تذهب من البين بالمرّة في التعذر الموقت ، غاية الأمر يتأخّر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يشبه أن يكون المغصوب شيئين ، فتعذّر ردّ أحدهما موقّتا وأمكن ردّ الآخر ، فامتنع المالك من قبول الموجود ويعتذر لامتناعه بأنّي أريد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أنّهما موجودان بوجودين ، والجهات الثلاث موجودة بوجود واحد ، لا يوجب فرقا فيما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شيخنا الأستاذ قدس سره من الاستدلال لما اختاره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لشيخنا الأعظم قدس سره من عدم حقّ للضامن بإلزام المالك بأخذ البدل </w:t>
      </w:r>
      <w:r>
        <w:rPr>
          <w:rStyle w:val="FootnoteAnchor"/>
          <w:rtl w:val="true"/>
        </w:rPr>
        <w:footnoteReference w:id="92"/>
      </w:r>
      <w:r>
        <w:rPr>
          <w:rFonts w:ascii="Amiri" w:hAnsi="Amiri" w:eastAsia="Amiri" w:cs="Amiri"/>
          <w:color w:val="111111"/>
          <w:sz w:val="28"/>
          <w:sz w:val="28"/>
          <w:szCs w:val="28"/>
          <w:rtl w:val="true"/>
          <w:lang w:bidi="ar-SA"/>
        </w:rPr>
        <w:t>، بأنّ الخصوصيّات الشخصيّة وإن سقط التكليف عنها بالأداء للتعذّر ، ولكن لم يسقط ضمان الخصوصيّات الشخصيّة وضعا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خال عن الخلل ، لما ذكرنا أنّ بقاء الخصوصيّات الشخصيّة بوجودها الاعتباري في ذمّة الضامن لا ينافي مع حقّ الضامن بتفريغ ذمّته عن المقدار الممكن </w:t>
      </w:r>
    </w:p>
    <w:p>
      <w:pPr>
        <w:pStyle w:val="BookText"/>
        <w:rPr/>
      </w:pPr>
      <w:r>
        <w:rPr>
          <w:rFonts w:ascii="Amiri" w:hAnsi="Amiri" w:eastAsia="Amiri" w:cs="Amiri"/>
          <w:color w:val="111111"/>
          <w:sz w:val="28"/>
          <w:sz w:val="28"/>
          <w:szCs w:val="28"/>
          <w:rtl w:val="true"/>
          <w:lang w:bidi="ar-SA"/>
        </w:rPr>
        <w:t>غير المتعذّر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رجّحنا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 الحيلولة ليس من باب المعاوضة القهريّة ، بل يكون من باب الغرامة ، فالعين المغصوبة بجميع جهاتها باقية على ملك المالك ، فجميع منافعها المتّصلة والمنفصلة بعد البدل تكون للمالك ، كما كانت له قبل البدل ، إذ لم تتغيّر حال العين عمّا هي عليه قبل إعطاء البدل وبعده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اخترنا في بدل الحيلولة من أنّ الضمان فيه من باب الغرامة لا من باب المعاوضة القهريّة ، فحيث أنّ العين المغصوبة تبقى في ملك المالك ولا تخرج عنه ، فإذا ارتفع التعذّر يجب ردّها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المعاوضة فهل يجب أيضا ردّها ، لأنّ موضوع المعاوضة هو التعذّر ، فإذا ارتفع التعذّر فلا يبقى موضوع للمعاوضة ، فيدور المعاوضة مدار التعذّر ، فبعد ارتفاع التعذّر يرجع كلّ مال إلى صاحبه الأوّل ، فيكون ارتفاع التعذّر من قبيل فسخ المعاوضة ، أو لا ، لأنّه بعد حصول المعاوضة وصيرورة البدل ملكا للمالك والعين المغصوبة ملكا للضامن الغاصب ، فخروج كلّ واحد من البدل والعين من ملك مالكه يحتاج إلى دليل؟</w:t>
      </w:r>
    </w:p>
    <w:p>
      <w:pPr>
        <w:pStyle w:val="BookText"/>
        <w:rPr/>
      </w:pPr>
      <w:r>
        <w:rPr>
          <w:rFonts w:ascii="Amiri" w:hAnsi="Amiri" w:eastAsia="Amiri" w:cs="Amiri"/>
          <w:color w:val="111111"/>
          <w:sz w:val="28"/>
          <w:sz w:val="28"/>
          <w:szCs w:val="28"/>
          <w:rtl w:val="true"/>
          <w:lang w:bidi="ar-SA"/>
        </w:rPr>
        <w:t xml:space="preserve">نعم لو كانت المعاوضة من أوّل الأمر موقّتة إلى زمان ارتفاع العذر ، كان لهذا الكلام وجه صحيح تامّ ، لكن الأمر ليس كذلك ، لأنّ الملكيّة الموقّتة في باب المعاوضات في الأعيان أوّلا غير معهودة في الشرع ، وثانيا أنّ التعذّر ليس موضوعا للمعاوضة كي تكون دائرة مداره ، بل موضوع المعاوضة هو البدل والعين ، فإنّ المعاوضة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بحكم الشارع بين المالين ، والتعذّر علّة وواسطة في الثبوت ، لا في العروض ، بالنسبة إلى حكم الشارع بالمعاوضة القهريّة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حكم الشارع بهذه المعاوضة بعلّة التعذّر وصيرورة البدل ملكا للمالك </w:t>
      </w:r>
    </w:p>
    <w:p>
      <w:pPr>
        <w:pStyle w:val="BookText"/>
        <w:rPr/>
      </w:pPr>
      <w:r>
        <w:rPr>
          <w:rFonts w:ascii="Amiri" w:hAnsi="Amiri" w:eastAsia="Amiri" w:cs="Amiri"/>
          <w:color w:val="111111"/>
          <w:sz w:val="28"/>
          <w:sz w:val="28"/>
          <w:szCs w:val="28"/>
          <w:rtl w:val="true"/>
          <w:lang w:bidi="ar-SA"/>
        </w:rPr>
        <w:t>والعين ملكا للضامن الغاصب ، فارتفاع التعذّر لا تأثير له في ارتفاع هذه المعاوضة ، فإذا ارتفع التعذّر لا يجب ردّ العين بناء على المعاوضة ، خلافا لشيخنا الأستاذ قدس سره حيث قال بوجوب ردّ العين بعد ارتفاع التعذّر حتّى على مبنى المعاوضة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تعذّر الردّ بواسطة أنّه موجب لتلف مال محترم أو نفس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كالخيط الذي خيط به ثوب ، أو جرح حيوان أو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التعذّر العقلي والعرفي أم لا؟ وكذلك الكلام فيما تعذّر ردّه بواسطة الخلط أو المزج؟</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الخيط المذكور وما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يؤدّي ردّه إلى تلف حيوان أو مال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يؤدّي إلى تلف حيوان محترم ، فلا يجوز للمالك مطالبته قطعا ، لعدم جواز إتلاف الحيوان المحترم ، سواء أكان إنسانا أو غير إنسان ، فيكون كالتعذّر العقلي ، لأنّ الممتنع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يؤدّي إلى تلف مال آخر ، كالثوب مثلا ، أو الخشب الذي استعمل في البناء ، أو اللوح في السفينة الموجودة في الساحل فارغة عن الراكب وأمثال ذلك ، فإن كان ذلك المال الذي يتلف بردّ العين المغصوبة لنفس الغاصب ، فقد يقال بوجوب ردّه ، لعدم احترام ماله ، لأنّه بنفسه هتك احترام ماله ، وأوجد سبب إتلافه ، وأضرّ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بهذا مشكل ويأباه الذوق الفقهي ، خصوصا إذا كان موجبا لضرر مالي عظيم ، كما إذا كان المغصوب خشبة وضعها الغاصب في أساس بنائه ، بحيث يكون ردّها موجبا لهدم ذلك البنيان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 بأنّه في حكم التلف إن كان التعذّر دائميّا ، ومورد بدل الحيلولة إن كان موقّتا ، كما هو كذلك في بعض صور المسألة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ذلك المال لغير الغاصب ، فلا شكّ في أنّه لا يجوز إتلافه ، فيكون بحكم التالف بلا كلام ، وعلى الغاصب ردّ مثله إن كان مثليّا ، وقيمته إن كان قيميّا إن </w:t>
      </w:r>
    </w:p>
    <w:p>
      <w:pPr>
        <w:pStyle w:val="BookText"/>
        <w:rPr/>
      </w:pPr>
      <w:r>
        <w:rPr>
          <w:rFonts w:ascii="Amiri" w:hAnsi="Amiri" w:eastAsia="Amiri" w:cs="Amiri"/>
          <w:color w:val="111111"/>
          <w:sz w:val="28"/>
          <w:sz w:val="28"/>
          <w:szCs w:val="28"/>
          <w:rtl w:val="true"/>
          <w:lang w:bidi="ar-SA"/>
        </w:rPr>
        <w:t>كان التعذّر دائميّا ، وإن كان موقّتا فعليه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تعذّر ردّه من جهة الخلط أو المزج مع مال آخر من الغاصب أو من غيره ، فإن كان الخلط أو المزج مع غير جنسه ، فإمّا أن يستهلك المغصوب في الآخر ، فهذا في حكم التلف وعلى الغاصب دفع مثله في المثلي وقيمته في القيمي ، ولا فرق بين أن يكون استهلاكا حقيقيّا أو عرفيّا ، وذلك كما إذا غصب ملح شخص وصار ممزوجا مع عجين شخص آخر من غير اختيار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هذا المورد لا يمكن ردّ الملح ، فيدور الأمر بين أن يقال بتلف الملح ، فيكون كما ذكرنا من وجوب دفع المثل أو القيمة على الغاصب ، أو يقال بشركة مالك الملح مع مالك العجين بنسبة قيمة ماليهما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يستهلك ، فلا محاله تحصل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الاستهلاك لا يمكن إلاّ في الجنسين المختلفين ، لأنّ الاستهلاك عبارة عن صيرورة المستهلك من جنس المستهلك فيه بواسطة المزج معه بعد ما لم يكن كذلك ، وأمّا لو كان الممزوجان من جنس واحد فلا يمكن هذا المعنى ، فلو وقعت قطرة ماء في البحر لا تصير مستهلكا فيه ، لأنّها بصورتها النوعيّة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والاستهلاك لا يمكن إلاّ بتبدّل صورته النوعيّة حقيقة أو عرفا إلى صورة المستهلك فيه ، فلو امتزج المغصوب مع ما هو من جنسه ، سواء أكان من غير اختيار أحد أو كان بفعل الغاصب أو بفعل شخص ، وسواء أكان المزج بحقّ أو بغير حقّ كمزج الغاصب ، وسواء أكان مع مال الغاصب أو مع مال غيره ، ففي جميع هذه الصور تحصل الشركة القهريّة بين المالكين ، فيكون مالك المغصوب شريكا مع ذلك الآخر بنسبة ماليهما إذا كان المالان متساويين في الجودة والرداءة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أحدهما أجود فإن كان المزج من غير اختيار أحد ، أو كان باختيار من له الحقّ كما في مورد غير الغصب ، فلا بدّ وأن تكون الشركة بنسبة قيمة المالين في </w:t>
      </w:r>
    </w:p>
    <w:p>
      <w:pPr>
        <w:pStyle w:val="BookText"/>
        <w:rPr/>
      </w:pPr>
      <w:r>
        <w:rPr>
          <w:rFonts w:ascii="Amiri" w:hAnsi="Amiri" w:eastAsia="Amiri" w:cs="Amiri"/>
          <w:color w:val="111111"/>
          <w:sz w:val="28"/>
          <w:sz w:val="28"/>
          <w:szCs w:val="28"/>
          <w:rtl w:val="true"/>
          <w:lang w:bidi="ar-SA"/>
        </w:rPr>
        <w:t>قيمة مجموع الممتزجين ، لا في نفس الممتزجين كي لا يلزم الرباء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المزج بفعل الغاصب وكان مع ماله ، فإن كان الغاصب هو الأردء فتحصل الشركة في العين بنسبة مقدار ماليهما كي لا يلزم الرباء ، ولكن على الغاصب تفاوت القيمة التي حصلت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مال الغاصب هو الأجود ، فأيضا تكون الشركة بنسبة مقدار المالين كي لا يلزم الرباء ، فالزيادة التي حصلت في قيمة مال المغصوب رزق رزقه اللّه ، كما أنّ النقصان التي حصلت في قيمة مال الغاصب لا يضمنه أحد ، لأنّه بفعل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مع مال الغير ، فإن كان المغصوب أجود فالزيادة التي حصلت في مال ذلك الغير رزق رزقه اللّه ، والنقصان الذي حصل في المغصوب يضمنه الغاصب ، لأنّه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الشركة في العين فبنسبة مقدار المالين على أيّ حال كي لا يلزم الرباء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المالان متساويين وكانا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صور المسألة تكون الشركة بنسبة مقدار المالين ، سواء أكان الخلط والمزج بفعل الغاصب أو بفعل غيره ، أو كان من باب الاتفاق ولم يكن بفعل أحد ، لا أحد المالكين ولا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ذكرنا فيما تقدّم كان راجعا إلى المغصوب أو المقبوض بدون إذن المالك تحت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تعاقبت الأيدي الغاصبة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المأذونة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كل واحدة من تلك الأيدي تضمن المال الذي وقع تحت سيطرتها ، وللمالك أن يرجع إلى أيّة واحدة منها إذا شاء ، وإذا رجع إلى اليد السابقة وأخذ منها فلها أن ترجع إلى اللاحقة من تلك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كلّ واحدة من الأيدي المتعاقبة على ذلك المال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فلهذه القاعدة ، أي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فمفاد هذا الحديث الشريف جعل الضمان لكلّ يد عادية بطور القضيّة الحقيقيّة ، </w:t>
      </w:r>
    </w:p>
    <w:p>
      <w:pPr>
        <w:pStyle w:val="BookText"/>
        <w:rPr/>
      </w:pPr>
      <w:r>
        <w:rPr>
          <w:rFonts w:ascii="Amiri" w:hAnsi="Amiri" w:eastAsia="Amiri" w:cs="Amiri"/>
          <w:color w:val="111111"/>
          <w:sz w:val="28"/>
          <w:sz w:val="28"/>
          <w:szCs w:val="28"/>
          <w:rtl w:val="true"/>
          <w:lang w:bidi="ar-SA"/>
        </w:rPr>
        <w:t>فكما أنّ الحديث الشريف يشمل وقوع الأيدي المتعدّدة على الأموال المتعدّدة ، كذلك يشمل الأيدي المتعدّدة إن وقعت على 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المناط في تعدّد الضمان تعدّد اليد ، إذ هو موضوع الحكم بالضمان على نحو القضيّة الحقيقيّة ، فتنحلّ إلى قضايا متعدّدة حسب تعدّد أفراد موضوعها الذي هي اليد ، كما هو الشأن في جميع القضايا الحقيقيّة ، ولا دخل في تعدّد ما تقع عليه اليد في الحكم بالضمان ، فإذا صارت الأيدي كلّ واحدة منها موضوعا مستقلاّ للضمان ، فمن آثار ذلك ، جواز رجوع المالك إلى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رجع إلى إحديهنّ وأخذ منها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تلف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الرجوع إلى غيره من الأيدي ، لأنّه لم يكن له إلاّ مال واحد وقد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المقبوض منه إن لم يكن هو الذي صار عنده التلف واستقرّ عليه ، فله أن يرجع إلى كلّ واحدة من الأيدي اللاحقة لو لم يكن غارّا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وجهه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 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المال الواحد كيف يمكن أن يكون مضمونا بضمانات متعدّدة في عرض واحد؟ فإنّ تدارك المال الواحد من شخصين مستقلاّ ، بمعنى أن يكون على كلّ واحد منهما ردّ تمام هذا المال بتمامه غير ممكن ، فكما أنّ وجود شخص مال واحد في الخارج بتمامه عند شخص ، وكذلك بتمامه عند شخص آخر في نفس ذلك الزمان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أن يكون الواحد اثنين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وجوده في عهدة اثنين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تفريغ ما في ذمّته يصدق عليه أنّه أداؤه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 لأنّه لا يعقل أن يكون للشي‌ء الواحد أداءين في عرض واحد لما قلنا أنّه مستلزم لأن يكون الواحد اثنين ، وهو محال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صحّحه صاحب الكفاية قدس سره في حاشيته على مكاسب شيخنا الأعظم قدس سره </w:t>
      </w:r>
    </w:p>
    <w:p>
      <w:pPr>
        <w:pStyle w:val="BookText"/>
        <w:rPr/>
      </w:pPr>
      <w:r>
        <w:rPr>
          <w:rFonts w:ascii="Amiri" w:hAnsi="Amiri" w:eastAsia="Amiri" w:cs="Amiri"/>
          <w:color w:val="111111"/>
          <w:sz w:val="28"/>
          <w:sz w:val="28"/>
          <w:szCs w:val="28"/>
          <w:rtl w:val="true"/>
          <w:lang w:bidi="ar-SA"/>
        </w:rPr>
        <w:t xml:space="preserve">بإمكانه بنحو الواجب الكفائي </w:t>
      </w:r>
      <w:r>
        <w:rPr>
          <w:rStyle w:val="FootnoteAnchor"/>
          <w:rtl w:val="true"/>
        </w:rPr>
        <w:footnoteReference w:id="94"/>
      </w:r>
      <w:r>
        <w:rPr>
          <w:rFonts w:ascii="Amiri" w:hAnsi="Amiri" w:eastAsia="Amiri" w:cs="Amiri"/>
          <w:color w:val="111111"/>
          <w:sz w:val="28"/>
          <w:sz w:val="28"/>
          <w:szCs w:val="28"/>
          <w:rtl w:val="true"/>
          <w:lang w:bidi="ar-SA"/>
        </w:rPr>
        <w:t>، بأن يكون كلّ واحد من الشخصين مكلّفا بالأداء في ظرف عدم أداء الآخر ، فليس تكليف بأداءين كي يكن ممتنعا ، بل امتثال مثل هذا التكليف لا يقتضي إلاّ أداء واحدا ، فلا يمتنع أن يكون كلّ واحد منهما ضامنا في زمان واحد ، وفي عرض ضمان الآخر ، بأن يكون عليه وجوب تدارك المال التالف وأدائه في ظرف عدم تدارك الآخر وأدائه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ليس حكما تكليفيّا ، ويكون عبارة عن وجوب أداء التالف كي يصحّح ضمان شخصين ، كلّ واحد منهما لتمام مال واحد وفي عرض الآخر في ظرف عدم أداء الآخر ، بل هو حكم وضعي وعبارة عن وجود ذلك المال الخارجي في عهدة شخص ، ولا يرتفع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أداءين لا يمكن كما بيّنّا ، فلو كان في عهدة شخصين وفرضنا أنّ أحدهما أدّاه ، فلا يرتفع عن عهدة الآخر إلى قيام يوم القيمة ، لأنّ أداءه ثانيا غير ممكن ، فقياس المقام بالواجب الكفائي ليس في محلّه ، كما فرضه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الواحد بتمامه لا يمكن أن يكون في عهدة شخصين ، فلو دلّ الدليل في مورد على ضمان شخصين لمال واحد لا بدّ وأن يحمل على اشتراكهما في ضمان واحد ، بمعنى أنّ قيمة ذلك الواحد أو مثله في عهدة الشخصين بالشراكة ، فيجب على الاثنين بنحو الشركة أداء مثله أو قيمته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ضمن شخصان في زمان واحد كلّ واحد منهما تمام دين مديون ، فلا بدّ بناء على القول بصحّة مثل هذا الضمان من الالتزام بأنّ لكلاهما بنحو الاشتراك ضمان واحد ، لما ذكرنا من امتناع كون المال الواحد في عهدة شخصين ، بحيث أن يكون على كلّ واحد منهما أداء تمام المال في عرض واحد ، بل لا بدّ من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الطوليّة أو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الطوليّة أن يكون اللاحق ضامنا لما يؤدّى السابق ، فالمالك له الرجوع إلى أيّ واحد من العادين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إلى بعضهم فليس لذلك البعض الرجوع إلى السابق ، لأنّ السابق ليس ضامنا لذلك البعض اللاحق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يرجع إلى لاحقه بناء على أنّ اللاحق يضمن لما يؤدّى اليد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جواز رجوع المالك إلى كلّ واحد من الأيدي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أنّ ضمان الجميع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يكون ضامنا لتمام ذلك المال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هو أنّ كلّ واحدة منها ضامن ، ولكن طولا لا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الأولى والغاصب الأوّل ضامن لنفس المالك ابتداء بنفس المال المغصوب ، بمعنى أنّ نفس المال بوجوده الاعتباري في عهدته كما بيّنّا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للعين المضمونة بما هي مضمونة ، أي العين التي في ذمّة الضامن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صار مغصوبا ووقع تحت اليد العادية ، يكون في ذمّة الغاصب بما له من الصفات والخصوصيّات ، تكوينيّة أم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يقع تحت اليد الأولى ليس إلاّ نفس العين بصفاتها التكوينيّة فقط ، وفي اليد الثانية تقع العين تحتها بما هي مضمونة ، ففي اليد الثانية يزيد على ما وقع تحت اليد الأولى صفة اعتباريّة ، وهي كونها في ذمّة الغاصب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لو كان للعين صفة خارجيّة تضمن اليد الواقعة عليها تلك الصفة الخارجيّة ، كذلك تضمن الصفة الاعتباريّة لو كانت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العين المغصوبة تكون في ذمّة الغاصب الأوّل ، ففي الغصب الثاني تكون ذات العين مع صفة كونها في ذمّة الغاصب الأوّل في ذمّة الغاصب الثاني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وقع المال تحت يد ألف غاصب ، فما يقع تحت يد الغاصب الأخير ليس هي العين الخارجيّة فقط ، بل العين الخارجيّة مع كونها في ذمّة تسعمائة وتسعة </w:t>
      </w:r>
    </w:p>
    <w:p>
      <w:pPr>
        <w:pStyle w:val="BookText"/>
        <w:rPr/>
      </w:pPr>
      <w:r>
        <w:rPr>
          <w:rFonts w:ascii="Amiri" w:hAnsi="Amiri" w:eastAsia="Amiri" w:cs="Amiri"/>
          <w:color w:val="111111"/>
          <w:sz w:val="28"/>
          <w:sz w:val="28"/>
          <w:szCs w:val="28"/>
          <w:rtl w:val="true"/>
          <w:lang w:bidi="ar-SA"/>
        </w:rPr>
        <w:t>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إتيان هذه الصفة الاعتباريّة في عهدة الغاصب أنّه لو رجع المالك إلى الغاصب السابق ، له أن يرجع إلى الغاصب اللاحق ، لأنّه ضامن لضمانه ، فضمان كلّ لاحق في طول ضمان سابقة ، لأنّ ضمان السابق بمنزلة الموضوع لضمان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يكونا في عرض واحد وإن كانا في زمان واحد ، بل لا يمكن أن يكونا في زمان واحد ، لأنّه ما لم يتحقّق الضمان السابق لا تصل النوبة إلى الضمان اللاحق ، فضمان اللاحق متأخّر عن الضمان السابق حتّى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كلّ واحد من ذوي الأيدي العادية في ذمّته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بدون هذه الصفة الاعتباريّة كاليد الأولى ، أو معها كالأيدي المتأخّرة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للمالك الرجوع إلى كلّ واحد منها بدون أن يكون محذور ضمان المتعدّد للمال الواحد عرضا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أنّ الضمان وان كان متعدّدا ولكن طوليّ ، وليس ضمانان في عرض واحد ، لما ذكرنا من تأخّر رتبة كلّ ضمان لا حق عن ضمان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تتوهّم أنّه يأتي محذور تعدّد الضمان لمال واحد عرضا في هذه الصورة أيضا ، وذلك لأنّ متعلّق الضمان في الضمان الطوليّ في كلّ واحدة من الأيدي غير ما هو متعلّق الضمان في الأيدي الآخر ، لأنّ ضمان اليد الأولى متعلّق بنفس العين ، وضمان الثانية متعلّق بضمان العين في ذمّة اليد الأولى ، وضمان اليد الثالثة متعلّق بما في ذمّة الثانية ، وهكذا في سائر الأيادي اللاحقة بلغت ما بلغت ، فلم يجتمع الضمانان على متعلّق واحد ، وكلّ واحد من الغاصبين يضمن غير ما يضمنه الآخرون ، فلا إشكال في البين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رجوع المالك إلى كلّ واحد من الغاصبين يكون على البدل ، بمعنى أنّه لو رجع إلى أحدهم واستوفى حقّه منه ليس له الرجوع إلى الآخرين ، لأنّه لا يبقى موضوع لرجوعه إلى آخر بعد ذلك ، وهذا مرادنا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p>
    <w:p>
      <w:pPr>
        <w:pStyle w:val="BookText"/>
        <w:rPr/>
      </w:pPr>
      <w:r>
        <w:rPr>
          <w:rFonts w:ascii="Amiri" w:hAnsi="Amiri" w:eastAsia="Amiri" w:cs="Amiri"/>
          <w:color w:val="111111"/>
          <w:sz w:val="28"/>
          <w:sz w:val="28"/>
          <w:szCs w:val="28"/>
          <w:rtl w:val="true"/>
          <w:lang w:bidi="ar-SA"/>
        </w:rPr>
        <w:t>الأوّل من هذا الكتاب في شرح تعاقب الأيادي في قاعدة اليد ، وإلاّ كون نفس ضمانهم عرضا على البدل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معنى الضمان على البدل إن كان مرجعه إلى تقييد إطلاق الجعل مثل باب التكاليف والواجب الكفائي أو التخييري ، حيث أنّ إطلاق الأمر مقيّد بعدم إتيان المكلّف الآخر في الواجب الكفائي ، وبعدم إتيان الفرد الآخر في الواجب التخييري ، فيكون معناه ضمان كلّ واحد منهما في ظرف عدم ضمان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أنّهم كلّهم ضامنون ، فتكون نتيجة التقييد عدم ضمان كلّ واحد منهما ، وهو خلاف الدليل ، كما قلنا 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ضمان جميع ذوي الأيدي بنحو القضيّة الحقيقيّة ، بل خلاف الضرورة وإن كان مرجعه إلى تعلّق الضمان بطبيعة الغاصب وذو اليد العادية على هذا المال مثلا كما قيل في الوجوب الكفائي بأنّ الأمر بطور طلب صرف الوجود تعلّق بطبيعة المكلف ، فأيّهم امتثل حصل المطلوب ويسقط التكليف عن الباقين ، فهاهنا أيضا إذا كانت طبيعة الغاصب ضامنا لهذا المال ، فإذا أدّاه أحدهم فيحصل المطلوب ويرتفع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ظاهر أدلّة الضمان ، لأنّ ظاهرها الانحلال ، وأنّ كلّ فرد من أفراد اليد العادية يضمن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استقرار الضمان على من وقع التلف في يده لا يلائم مع كون الضمان متعلقا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الطبيعة ضامنا لا يساعده الاعتبار العرفي والعقلاء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نتيجة ما ذكرنا واخترنا في مفاد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 المالك إلى أيّ واحد من الغاصبين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رجع إلى أحدهم واستوفى حقّه منه فليس له الرجوع إلى الآخرين </w:t>
      </w:r>
      <w:bookmarkStart w:id="80" w:name="pg15937_235009"/>
    </w:p>
    <w:p>
      <w:pPr>
        <w:pStyle w:val="BookText"/>
        <w:rPr/>
      </w:pPr>
      <w:bookmarkEnd w:id="80"/>
      <w:r>
        <w:rPr>
          <w:rFonts w:ascii="IRNazanin" w:hAnsi="IRNazanin" w:eastAsia="IRNazanin"/>
          <w:color w:val="111111"/>
          <w:sz w:val="28"/>
          <w:sz w:val="28"/>
          <w:szCs w:val="28"/>
          <w:rtl w:val="true"/>
          <w:lang w:bidi="fa-IR"/>
        </w:rPr>
        <w:t>لعدم بقاء حقّ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رجوع كلّ سابق إلى اللاحق إن لم يكن غارّا له ، وأيضا لم يتلف المغصوب عنده ، وإلاّ فمع أحد هذين أو كلاهما فليس له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رجوع السابق إلى اللاحق لا بدّ وأن يكون بعد أداء ما في ذمّته من المثل أو القيمة ، وذلك من جهة ما قلنا إنّ الضمان طولي ، وإنّ اللاحق ضامن للخسارة والبدل الذي يعطيه السابق ويدفعه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ضمانه لضمانه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6073342_2142443653"/>
      <w:bookmarkStart w:id="82" w:name="_Toc26"/>
      <w:bookmarkEnd w:id="81"/>
      <w:r>
        <w:rPr>
          <w:rtl w:val="true"/>
        </w:rPr>
        <w:t>وها هنا تنبيهات</w:t>
      </w:r>
      <w:bookmarkEnd w:id="8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لو أبرأ أحد الغاصبين وأسقط ما في ذمّة إحدى الأيدي العادية ، هل يسقط عن الجميع ، أو لا يسقط عن غير ما أسقط ما في ذمّته مطلقا ، أو يفصل بين السابق على ما أسقط واللاحق له وأنّه يسقط عن اللاحق دون السابق ، أو بالعكس؟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سقوطه عن ذمّة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سقوطه عن اللاحق فلما ذكرنا أنّ اللاحق ضامن لضمان السابق ، فإذا سقط ضمان السابق فلا يبقى موضوع لضمان اللاحق ، وذلك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سقوط السابق فلأنّ إبراءه للاحق بمنزلة استيفاء حقّه منه ، وحيث أنّ الحقّ واحد ، فلا يبقى للضمان موضوع بالنسبة إلى السابق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أنّ التفصيل قويّ جدّا بين السابق ببقاء ما في ذمّته دون اللاحق ، لانتفاء موضوع ضمانه وهو ضمان السابق عليه الذي أسقط المالك ضمانه بإبراء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ضمان السابق على الذي أبرأ عنه فلعدم وجه لسقوطه مع وجود سببه وهو اليد العادية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 شيخنا الأستاذ قدس سره من الوجه لسقوطه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ذمّة السابق مشغولة بما يكون مخرجه من اللاحق ، فإذا أبرأ اللاحق فلا يعقل بقاء الاشتغال السابق ، لأنّه يبقى بلا مخرج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 لأنّ بقاءه بلا مخرج ليس محذورا كي يوجب سقوطه ، لأنّ المخرج يكون كيسه ، ولذلك لو غصب مالا ولم تقع يد آخر عليه يكون المخرج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اليد الأخيرة ليس لاحق كي يرجع إليه ، وكذا من عنده صار التلف عليه أن يعطى الغرامة أو البدل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معنى الإبراء رفع يد المالك عن ماله ، أو عبارة عن استيفاء المالك حقّه ، فلا يبقى له حقّ كي يضمن أحد ، ولازم ذلك سقوط الضمان عن الجميع ، وعلى أيّ حال التفصيل الذي كان يرجّحه شيخنا الأستاذ قدس سره من سقوط السابق دون اللاحق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المالك ما في ذمّة أحدهم له ، أو صالحه بلا عوض أو مع العوض ، فهل يكون هذا المتهب أو المتصالح مثل الأجنبي عن سلسلة ذوي الأيدي الذي وهب له ما في ذمّة أحدهم ، ومثل المالك في جواز الرجوع إلى كلّ واحد من ذوي الأيدي إن شاء ، أم لا بل تبرأ ذمّة الجميع ببراءة ذمّة نفسه؟</w:t>
      </w:r>
    </w:p>
    <w:p>
      <w:pPr>
        <w:pStyle w:val="BookText"/>
        <w:rPr/>
      </w:pPr>
      <w:r>
        <w:rPr>
          <w:rFonts w:ascii="IRNazanin" w:hAnsi="IRNazanin" w:eastAsia="IRNazanin"/>
          <w:color w:val="111111"/>
          <w:sz w:val="28"/>
          <w:sz w:val="28"/>
          <w:szCs w:val="28"/>
          <w:rtl w:val="true"/>
          <w:lang w:bidi="fa-IR"/>
        </w:rPr>
        <w:t xml:space="preserve">والفرق بين المسألتين هو أنّه في تمليك الأجنبي عن سلسلة ذوي الأيدي يقوم ذلك الأجنبي مقام ذلك المالك الذي وهب أو صالح بلا عوض أو مع العوض ما في ذمّة أحدهم معه ، لأنّه ينتقل المغصوب من ملكه إلى ذلك الأجنبي ، فيكون الأجنبي مالك المغصوب ، فيجوز له الرجوع إلى أيّ واحد منهم إذا شاء ، لأنّه يده العادية وقعت على ماله وهي موجبة لضمانه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الموهوب له أو المتصالح هو نفس من في ذمّته مال المغصوب ، وإن كان هو أيضا تمليك ، ولكن نتيجة هذا التمليك هو إسقاط ما في ذمّته وإبراؤه ، فتصير </w:t>
      </w:r>
    </w:p>
    <w:p>
      <w:pPr>
        <w:pStyle w:val="BookText"/>
        <w:rPr/>
      </w:pPr>
      <w:r>
        <w:rPr>
          <w:rFonts w:ascii="Amiri" w:hAnsi="Amiri" w:eastAsia="Amiri" w:cs="Amiri"/>
          <w:color w:val="111111"/>
          <w:sz w:val="28"/>
          <w:sz w:val="28"/>
          <w:szCs w:val="28"/>
          <w:rtl w:val="true"/>
          <w:lang w:bidi="ar-SA"/>
        </w:rPr>
        <w:t>ذمّته فارغة في عالم الاعتبار ، بخلاف ما إذا كان الموهوب له أو المتصالح معه هو الأجنبي ، فإنّه في هذه الصورة لا يكون إسقاط وإبراء في البين ، بل تبقى ذمّته مشغولة لذلك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قبل ذلك كان طرف الإضافة هو المالك ، فصار بعد تلك الهبة أو تلك المصالحة هو ذلك الأجنبي ، والذمم في جميع السلسلة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المتقدّمة حيث أنّ نتيجتها الإبراء والإسقاط ، فكان المالك أعدم ماله الذي في ذمّة هذا الشخص في عالم الاعتبار ولم يكن له أموال متعدّدة ، فليس له الرجوع بعد ذلك إلى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والموهوب له أيضا لم يبق له مال ، إذ قلنا أنّ نتيجة هبة المالك له ما في ذمّته هو إسقاط ما في ذمّته ، فليس له شي‌ء كي يطالب به أحدهم ، ومرجع ذلك إلى إبراء ذمّة الجميع ، فكأنّ المالك بإبراء ذمّة أحدهم أبرأ ذمّة الجميع ، فالتفصيل بين الذمم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الإبراء بالنسبة إلى الأولى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أحدهم بالغصبيّة دون الباقين ، وتلف المال المدّعى غصبيّته ، فعلى ذلك المعترف بالغصبيّة أداء المثل أو القيمة ، كلّ واحد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الباقون فليس عليهم شي‌ء إلاّ أن يثبت المدّعي للملكيّة بحجّة شرعيّة أنّ المال له على موازين باب القضاء ، وإلاّ فبصرف ادّعاء الملكيّة مع إنكار ذي اليد ليس له الرجوع إلى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رجوع من يدّعي الملكيّة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 السابق منهم إلى اللاحق ، فإن لم يكن السابق مقرّا بالغصبيّة وانتقل المال إلى اللاحق بناقل شرعي لازم كالهبة اللازمة ، أو المصالحة ، أو الإرث ، أو غير ذلك فليس له الرجوع ، ولو تلف المال عند هذا اللاحق ، لأنّه تلف ماله عنده ولا يضمن لأحد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مقرّا وأدّى المثل أو القيمة كلّ في محلّه ، فإن كان اللاحق أيضا مقرّا بها ، </w:t>
      </w:r>
    </w:p>
    <w:p>
      <w:pPr>
        <w:pStyle w:val="BookText"/>
        <w:rPr/>
      </w:pPr>
      <w:r>
        <w:rPr>
          <w:rFonts w:ascii="Amiri" w:hAnsi="Amiri" w:eastAsia="Amiri" w:cs="Amiri"/>
          <w:color w:val="111111"/>
          <w:sz w:val="28"/>
          <w:sz w:val="28"/>
          <w:szCs w:val="28"/>
          <w:rtl w:val="true"/>
          <w:lang w:bidi="ar-SA"/>
        </w:rPr>
        <w:t>فيجب على اللاحق تدارك خسارة السابق ، لأنّه كما ذكرنا ضامن لضمانه ، وإن لم يعترف فعلى السابق الإثبات على موازين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أثبت الغصبيّة فيكون الأمر كما قلنا في تعاقب الأيدي على المغصوب المسلّم المعلوم 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المال المغصوب من اللاحق إلى سابقة الذي أخذ منه ، بمعنى أنّ السابق استردّ من اللاحق ما أخذه منه ، فتلف في يده ، فلا شكّ في أنّه للمالك الرجوع إليه وإلى اللاحق ، لأنّ ماله وقع تحت يد كلّ واحد منهما بدون إذنه ، فوجد سبب ضمان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لو رجع إلى السابق وأخذ منه البدل ، فهل للسابق الرجوع إلى اللاحق بأخذ ما خسره للمالك منه ، أم ليس له ذلك؟</w:t>
      </w:r>
    </w:p>
    <w:p>
      <w:pPr>
        <w:pStyle w:val="BookText"/>
        <w:rPr/>
      </w:pPr>
      <w:r>
        <w:rPr>
          <w:rFonts w:ascii="Amiri" w:hAnsi="Amiri" w:eastAsia="Amiri" w:cs="Amiri"/>
          <w:color w:val="111111"/>
          <w:sz w:val="28"/>
          <w:sz w:val="28"/>
          <w:szCs w:val="28"/>
          <w:rtl w:val="true"/>
          <w:lang w:bidi="ar-SA"/>
        </w:rPr>
        <w:t>الظاهر هو الثاني ، وذلك من جهة أنّ المفروض أنّه استردّ المال من اللاحق ، وبهذا انقلب السابق لاحقا ، لأنّه بعد استرداده المال ممّن هو كان لاحقا ، صار لاحقا لذلك اللاحق ، وذلك اللاحق صار سابقا ، وهذا هو معنى الانقلاب ، فصار السابق بعد استرداده المال ضامنا لضمان من كان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رجع المالك إلى هذا الذي كان لاحقا قبل الاسترداد ، فله أن يرجع إلى من كان سابقا قبل الاسترداد ، لصيرورته لاحقا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فبناء على ما بيّنّا في مفاد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رجوع المالك إلى كلّ واحد من الأيدي المتعاقبة ، وجواز رجوع كلّ سابق إلى لاحقه ، يكون الأمر 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في هذه القاعدة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وآخرا ، وظاهرا وباطنا </w:t>
      </w:r>
      <w:bookmarkStart w:id="83" w:name="pg15937_235013"/>
    </w:p>
    <w:p>
      <w:pPr>
        <w:pStyle w:val="Heading2"/>
        <w:numPr>
          <w:ilvl w:val="1"/>
          <w:numId w:val="1"/>
        </w:numPr>
        <w:rPr/>
      </w:pPr>
      <w:bookmarkStart w:id="84" w:name="__RefHeading___Toc16073344_2142443653"/>
      <w:bookmarkStart w:id="85" w:name="_Toc27"/>
      <w:bookmarkEnd w:id="83"/>
      <w:bookmarkEnd w:id="84"/>
      <w:r>
        <w:rPr/>
        <w:t>39</w:t>
      </w:r>
      <w:r>
        <w:rPr>
          <w:rtl w:val="true"/>
        </w:rPr>
        <w:t xml:space="preserve"> - </w:t>
      </w:r>
      <w:r>
        <w:rPr>
          <w:rtl w:val="true"/>
        </w:rPr>
        <w:t>قاعدة مشروعيّة عبادات الصبيّ</w:t>
      </w:r>
      <w:bookmarkEnd w:id="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6073346_2142443653"/>
      <w:bookmarkStart w:id="87" w:name="_Toc28"/>
      <w:bookmarkEnd w:id="86"/>
      <w:r>
        <w:rPr>
          <w:rtl w:val="true"/>
        </w:rPr>
        <w:t>اشارة</w:t>
      </w:r>
      <w:bookmarkEnd w:id="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937_235015"/>
      <w:bookmarkStart w:id="89" w:name="pg15937_235015"/>
      <w:bookmarkEnd w:id="89"/>
    </w:p>
    <w:p>
      <w:pPr>
        <w:pStyle w:val="BookText"/>
        <w:rPr/>
      </w:pPr>
      <w:bookmarkStart w:id="90" w:name="pg15937_235015"/>
      <w:bookmarkEnd w:id="90"/>
      <w:r>
        <w:rPr>
          <w:rFonts w:ascii="Amiri" w:hAnsi="Amiri" w:eastAsia="Amiri" w:cs="Amiri"/>
          <w:color w:val="111111"/>
          <w:sz w:val="28"/>
          <w:sz w:val="28"/>
          <w:szCs w:val="28"/>
          <w:rtl w:val="true"/>
          <w:lang w:bidi="ar-SA"/>
        </w:rPr>
        <w:t xml:space="preserve">قاعدة مشروعيّة عبادات الصبيّ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ومن جملة القواعد الفقهيّة المعروفة التي وقع الخلاف فيها بين الفقهاء ،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عبادات الصبيّ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073348_2142443653"/>
      <w:bookmarkStart w:id="92" w:name="_Toc29"/>
      <w:bookmarkEnd w:id="91"/>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المراد منها ، والأقوال فيها ، وما هو المختار منها</w:t>
      </w:r>
      <w:bookmarkEnd w:id="92"/>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أنّه هل توجّه إليهم الأوامر والنواهي غير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توجّه الإلزام إليهم ، لا أمرا ولا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ففي الحقيقة النزاع في أنّه هل شرع في حقّهم العبادات ، بحيث يصدق على إتيانهم بتلك العبادات الإطاعة والامتثال للأوامر المولويّة الاستحبابيّة ، أم لا ، إذ لم يشرع في حقّهم تلك العبادات أصلا ، وحالهم حال البهائم والمجانين ، فلو أتوا بها بقصد الإطاعة والامتثال للأوامر المولويّة يكن تشريعا وافتراء محرّما عقلا لا مولويّا؟</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أقوال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مشروعة في حقّهم ، غاية الأمر ليس من طرف المولى إلزام عليهم بالفعل في الواجبات ، ولا بالترك في المحرّمات ، فتكون الواجبات في حقّهم كالمندوبات ، </w:t>
      </w:r>
    </w:p>
    <w:p>
      <w:pPr>
        <w:pStyle w:val="BookText"/>
        <w:rPr/>
      </w:pPr>
      <w:r>
        <w:rPr>
          <w:rFonts w:ascii="Amiri" w:hAnsi="Amiri" w:eastAsia="Amiri" w:cs="Amiri"/>
          <w:color w:val="111111"/>
          <w:sz w:val="28"/>
          <w:sz w:val="28"/>
          <w:szCs w:val="28"/>
          <w:rtl w:val="true"/>
          <w:lang w:bidi="ar-SA"/>
        </w:rPr>
        <w:t>والمحرّمات كالمكروهات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التكليفيّة في حقّهم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فالواجبات والمستحبّات مندوبات ، والمحرمات والمكروهات مكروهات ، إذ لا وجوب ولا حرمة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المباح فباق على إباحته ، فالتكاليف منحصرة في حقّهم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 والمكروه ،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يتوجّه إليهم خطاب من طرف المولى أصلا ، لا الوجوبي ولا الاستحبابي ولا التحريمي ولا التنزيهي ، والصبيّ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شعور وإدراك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من هذه الجهة حال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الخطابات المتوجّهة إلى الأولياء بأمرهم لهم بالصلاة والصيام قبل أن يصيروا بالغين فللتمرين ، لا أنّ الأولياء أمروا بأن يأمروا بنفس الصلاة مثلا لمصلحة في نفس الصلاة ، بل أمروا أن يأمروا بالصلاة والصيام لأن يتمرّنوا ويتعوّدوا لكي لا يكون إتيانها بعد الوجوب ثقيلا عليهم ، فليس أمر الأولياء بأن يأمروا الصبيان والأطفال بالعبادات داخلا في مسألة أنّ الأمر بالأمر بشي‌ء هل أمر بذلك الشي‌ء أم لا؟ كي يقال إذا كان الأمر بالأمر بالشي‌ء أمر بذلك الشي‌ء ، فتكون العبادات متعلّقا للأمر المولوي ، وبعد الفراغ عن عدم وجوبها على الصبيان لا بدّ وأن تكون تلك الأوامر أوامر ندبيّة ، ففي الحقيقة أمر الشارع للأولياء أن يأمروا صبيانهم بالعبادات تعلّق بعنوان التمرين والتعويد ، أي مرّنوهم وعوّدوهم على الصلاة والصيام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أمر الصبيان كالبالغين بهذه العبادات ، لكن أمره بها ليس لمصلحة في أنفسها ، ولذا لو حجّ الصبيّ غير البالغ المستطيع لا يكفي حجّه عن حجّة الإسلام ، وذلك ليس إلاّ لعدم مصلحة في حجّه ، بل أمره لهم بها لمصلحة التمرين فقط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مرّنوا أنفسكم على الصلاة والصيام أو غيرهما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وعوّدوها عليها ، فالمستحبّ عليهم هو عنوان تمرين أنفسهم وتعويدهم على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الثمرة بين هذا القول والقول الأوّل ، أنّه بناء على القول الأوّل يجوز أن ينوب في عمله العبادي عن غيره بأجرة كي يكون أجيرا ، أو بدون أجرة كي يكون تبرّعا ، لأنّ عمله واجد للمصلحة التامّة بدون نقص فيها ، غاية الأمر رفع الشارع الإلزام عنهم لطفا ورحمة عليهم ، ومن باب الرفق بهم والامتنان ، فيكون رفع التكليف الإلزامي عنهم مثل الرفع في باب الحرج ، وعدم جعله التكاليف الحرجيّة على قول ، وهو رفع الإلزام من دون تغيير في ناحية الملاك ، ولذا لو أتى بها وتحمّل الحرج يكون عمله صحيحا ومجزيا عند أرباب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هذا القول فلا يصحّ أن ينوب عن قبل غيره ، لا مع الأجرة ولا بدونها ، إذ عمله يكون عبادة بحسب الشكل فقط ، ولا روح له ، فلا يجوز إجارته لعمل عبادي ، ولا تبرأ ذمّة الميّت بإتيانه ما 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الفرق بين القول الثاني والأوّل ، وأنّه بناء على القول الثاني لا يصحّ أن ينوب عن غيره بطريق أولى ، إذ بناء على القول الثالث تكون لعمله مصلحة التمرين ، وإن لم يكن في نفس عبادته من صلاته وصومه وحجّه مصلحة وملاك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الثاني لا خطاب ولا ملاك ، حتّى ملاك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القول الثاني والثالث ، هو أنّه بناء على القول الثاني مصلحة التمرين في متعلّق أمر الأولياء ، فالشارع أمرهم بتمرين أولادهم ، فالثواب وجزاء التمرين لهم ، لأنّه مستحبّ عليهم ، ولا ربط لا للملاك ولا للخطاب بالصبيان ، لأنّ خطاب الشارع إلى الأولياء ، ولا خطاب إلى الصبيان أنفسهم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القول الثالث فالخطاب إلى الصبيان ، لكن لا بملاك في عباداتهم ، بل الملاك في تعوّدهم ، وإلاّ فنفس العبادة التي يأتي بها صرف صورة ويكون بشكل العبادة فقط</w:t>
      </w:r>
      <w:r>
        <w:rPr>
          <w:rFonts w:eastAsia="Amiri" w:cs="Amiri" w:ascii="Amiri" w:hAnsi="Amiri"/>
          <w:color w:val="111111"/>
          <w:sz w:val="28"/>
          <w:szCs w:val="28"/>
          <w:rtl w:val="true"/>
          <w:lang w:bidi="ar-SA"/>
        </w:rPr>
        <w:t xml:space="preserve">. </w:t>
      </w:r>
      <w:bookmarkStart w:id="93" w:name="pg15937_235018"/>
    </w:p>
    <w:p>
      <w:pPr>
        <w:pStyle w:val="BookText"/>
        <w:rPr/>
      </w:pPr>
      <w:bookmarkEnd w:id="93"/>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فالمختار هو القول الأوّل ، وهو المشهور بين الفقهاء رضوان اللّه تعالى عليهم أجمعين ، وسنذكر الدليل عليه في بيان الجهة الثانية ، وذكر مستند القائلين بالمشروعيّة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073350_2142443653"/>
      <w:bookmarkStart w:id="95" w:name="_Toc30"/>
      <w:bookmarkEnd w:id="94"/>
      <w:r>
        <w:rPr>
          <w:rtl w:val="true"/>
        </w:rPr>
        <w:t xml:space="preserve">الجهة الثانية </w:t>
      </w:r>
      <w:r>
        <w:rPr>
          <w:rtl w:val="true"/>
        </w:rPr>
        <w:t xml:space="preserve">: </w:t>
      </w:r>
      <w:r>
        <w:rPr>
          <w:rtl w:val="true"/>
        </w:rPr>
        <w:t>في بيان مدرك هذه القاعدة</w:t>
      </w:r>
      <w:bookmarkEnd w:id="95"/>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مشروعيّة عباداته وأنّها شرّعت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أنّها ليس بواجبة عليهم ، بل تكون مأمورة بالأمر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الأدلّة العامّة والمطلقات لهم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وأمثالهما من العمومات والإطلاقات في أدلّة العبادات تشمل غير البالغين كشمولها للبالغين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مخصّص للعمومات ولا مقيّد للمطلقات عدا ما يتخيّل من 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القلم يرفع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حتّى يحتلم ، وعن المجنون حتّى يفيق ، وعن النائم حتّى يستيقظ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يدّعي أيضا انصراف تلك العمومات والإطلاقات إلى البالغين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دعوى الانصراف ، فإنّها لا تخلو عن مجازفة ، إذ لا شكّ في أنّ الشارع لم يتّخذ في مقام تبليغ أحكامه طريقا خاصّا ، بل يبلغ ويفهمهم على طريق </w:t>
      </w:r>
    </w:p>
    <w:p>
      <w:pPr>
        <w:pStyle w:val="BookText"/>
        <w:rPr/>
      </w:pPr>
      <w:r>
        <w:rPr>
          <w:rFonts w:ascii="Amiri" w:hAnsi="Amiri" w:eastAsia="Amiri" w:cs="Amiri"/>
          <w:color w:val="111111"/>
          <w:sz w:val="28"/>
          <w:sz w:val="28"/>
          <w:szCs w:val="28"/>
          <w:rtl w:val="true"/>
          <w:lang w:bidi="ar-SA"/>
        </w:rPr>
        <w:t>أهل المحاورة ، ولا شكّ في أنّ أهل المحاورة لا يفرقون في توجيه الخطاب وألفاظ المخاطبة بين البالغين ومن كان عمره أقلّ من عمر البالغ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يخاطبونهم على نسق واحد وبلفظ واحد ، فدعوى أنّ العمومات لا تشمل غير البالغين ، أو تكون منصرفة عنهم مجازفة محضة وبلا دليل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رفع القلم الذي هو عمدة دليل القائلين بعدم شرعيّة عبادات غير البالغين ، فالإنصاف أنّه في مقام الامتنان واللطف والرأفة والرحمة ، فلا يدلّ على أزيد من رفع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الحرج عند المشهور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الملاك وارتفاع الإلزام والوجوب للامتنان ، ولذلك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تحمّل الحرج وأتى به يكون صحيحا ومجزيا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إجزاء حجّ الصبي عن حجّة الإسلام ، فلعلّه لخصوصيّة في حجّة الإسلام لا تحصل تلك الخصوصيّة إلاّ بأن يكون بالغا ، كما أنّه في اشتراط الحرّيّة أيضا كذلك ، فليس من جهة عدم مصلحة وملاك في حجّ غير البالغين كما توهّمه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يرد ها هنا إشكال ، وهو أنّه لا شكّ في أنّ مفاد حديث رفع القلم هو رفع الوجوب عن غير البالغين ، فإذا ارتفع الوجوب فلا دليل على استحباب ذلك الفعل ، لأنّ دليله كان مفاده الوجوب وهو ارتفع على الفرض ، فما الذي يدلّ على استحبابه في مقام الإثبات؟ وإن لم يكن دليل على عدم استحبابه أيضا ولكن صرف عدم الدليل على عدم استحبابه لا يكفي في الحكم باستحبابه ، فإثبات الاستحباب لا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يقال بأنّه يمكن إثباته بالاستصحاب ، بأن يقال بأنّ القدر الجامع بين الواجب والمستحب وهو مطلق الطلب وجد ، وبارتفاع الوجوب يشكّ في بقاء الجامع لاحتمال بقائه في ضمن الطلب الاستحبابي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من القسم الثالث من أقسام استصحاب الكلّي ، </w:t>
      </w:r>
    </w:p>
    <w:p>
      <w:pPr>
        <w:pStyle w:val="BookText"/>
        <w:rPr/>
      </w:pPr>
      <w:r>
        <w:rPr>
          <w:rFonts w:ascii="Amiri" w:hAnsi="Amiri" w:eastAsia="Amiri" w:cs="Amiri"/>
          <w:color w:val="111111"/>
          <w:sz w:val="28"/>
          <w:sz w:val="28"/>
          <w:szCs w:val="28"/>
          <w:rtl w:val="true"/>
          <w:lang w:bidi="ar-SA"/>
        </w:rPr>
        <w:t>وأثبتنا في الأصول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بأنّه على تقدير جريانه يكون مثبتا ، لأنّ إثبات خصوص فرد باستصحاب الجامع بعد زوال الفرد الذي وجد الجامع في ضمنه يقينا ، واحتمال وجود فرد آخر من أوّل الأمر أو من حين زوال ذلك الفرد المتيقّن الوجود يكون من إثبات اللازم العقلي بالحكم ببقاء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 لأنّ في المقام لا يحتاج إلى إثبات خصوص الفرد ، أي الطلب الاستحبابي ، لأنّ الأثر مترتّب على نفس بقاء الجامع ، وهو الطلب المشترك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ها هنا تصوير الاستصحاب بنحو لا يكون من القسم الأوّل أو القسم الثاني من القسم الثالث اللذان أثبتنا عدم جريانها ، بل يكون من القسم الثالث من القسم الثالث من الاستصحاب الكلّي الذي قلنا بجريانه مع وحدة القضيّة المشكوكة مع المتيقّنة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الاستحبابي مرتبة من الطلب منطوية في الطلب الوجوبي ، فإذا ارتفعت تلك المرتبة الأكيدة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بالطلب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بقاء تلك المرتبة الضعيفة التي كانت منطوية في المرتبة الأكيدة ،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الاستصحاب تامّة من اليقين بوجود تلك المرتبة سابقا والشكّ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الاستحباب مرتبة ضعيفة من الطلب ، منطوية في المرتبة الأكيدة المسمّى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طبع الطلب الصادر من المولى هو الوجوب بحكم العقل بلزوم إطاعته ، إلاّ أن يأذن هو في الترك ، فالاستحباب ليس مقتضى طبع الطلب ، بل يستفاد من إذنه في الترك ، والإذن في الترك كما يحصل من نفس هذا العنوان إلى التصريح بجواز الترك ، كذلك يحصل بعناوين آخر ، مثل رفع العسر والحرج ، ومثل هذا العنوان ، أي </w:t>
      </w:r>
    </w:p>
    <w:p>
      <w:pPr>
        <w:pStyle w:val="BookText"/>
        <w:rPr/>
      </w:pPr>
      <w:r>
        <w:rPr>
          <w:rFonts w:ascii="Amiri" w:hAnsi="Amiri" w:eastAsia="Amiri" w:cs="Amiri"/>
          <w:color w:val="111111"/>
          <w:sz w:val="28"/>
          <w:sz w:val="28"/>
          <w:szCs w:val="28"/>
          <w:rtl w:val="true"/>
          <w:lang w:bidi="ar-SA"/>
        </w:rPr>
        <w:t>رفع قلم الإلزام ، ورفع القلم عن شخص أو طائفة مقابل ما كتب عليه أو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يفهم من العبارة الأخيرة غير اللزوم والوجوب ، فكذلك لا يفهم من الأولى إلاّ رفع الوجوب والإلزام والإذن في الترك ، فحديث رفع القلم بمنزلة الإذن في ترك الواجبات ، فقهرا يكون مفاد الأوامر الأوّليّة بعد ورود الإذن في الترك بتوسّط حديث الرفع 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حديث الرفع يرفع الخطاب الوجوبي من رأس ، كي تقول إذا ارتفع الخطاب الوجوبي بحديث رفع القلم عن الصبي فليس هناك آخر يستفاد منه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هذا الإشكال مختصّ بالواجبات ولا تأتي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التي دلّت على ترتّب الثواب على من صلّى ، أو صام ، أو حجّ ، أو أعطى زكاة ماله وأمثال تلك المذكورات من العبادات ، وهذه العمومات تشمل غير البالغين كشمولها للبالغين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البالغين خروج عن ظاهر اللفظ بدون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ترتّب الثواب على فعل من لوازم استحباب ذلك الفعل ، فهذه العمومات والإطلاقات تدلّ بالدلالة الالتزاميّة على استحباب تلك الواجبات على غير البالغين بعد القطع بعدم وجوبها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مستقل بحسن بعض الواجبات ، كردّ الأمانة ، وحفظ النفس المحترمة ، ولا يفرق في حكم العقل بحسن ذلك الفعل واستحقاق الأجر والثواب عليه بين أن يكون للفاعل من العمر خمسة عشر سنة بالتمام ، أو كان ناقصا مقدار ساعة بل يوم بل شهر ، فكون الصبيّ غير البالغ مستحقّا للأجر والثواب على مثل ذلك الفعل ممّا يستكشف منه استحباب ذلك الفعل ، وبعدم القول بالفصل يثبت الاستحباب في سائر الواجبات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يثبت بهذا الدليل مشروعيّة عبادات الصبيّ في الجملة ، مقابل </w:t>
      </w:r>
    </w:p>
    <w:p>
      <w:pPr>
        <w:pStyle w:val="BookText"/>
        <w:rPr/>
      </w:pPr>
      <w:r>
        <w:rPr>
          <w:rFonts w:ascii="Amiri" w:hAnsi="Amiri" w:eastAsia="Amiri" w:cs="Amiri"/>
          <w:color w:val="111111"/>
          <w:sz w:val="28"/>
          <w:sz w:val="28"/>
          <w:szCs w:val="28"/>
          <w:rtl w:val="true"/>
          <w:lang w:bidi="ar-SA"/>
        </w:rPr>
        <w:t>السلب الكلّي الذي يدّعيه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القلم يخصّص العمومات بغير الصبيّ من العاملين الممتثلين لتلك العبادات ، لأنّه إذا كان مفاد الحديث رفع قلم التكليف مطلقا ، سواء أكان وجوبا أو استحبابا ، فيرفع استحقاق الصبيّ غير البالغ للأجر والثواب من باب نفي اللازم بنفي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حديث رفع القلم ليس رفع التكليف مطلقا كما توهّم ، بل مفاده وظاهره رفع خصوص الإلزام والوجوب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الاستبعاد أن لا يستحقّ غير البالغ القريب إلى وصوله إلى البلوغ بزمان يسير كيوم مثلا أو أقلّ ، مع إتيانه بالصوم مثلا في نهار طويل من أيّام شهر رمضان وفي حرّ شديد مع كمال الإخلاص ، وهو يتحمّل الأذى قربة إلى اللّه تعالى ، أو يمشي إلى الحجّ مثل هذا الصبيّ مخلصا لله تعالى راجلا مع كمال المشقّة ، ثمَّ يقال إنّ هذا لا يستحقّ شيئا من الأجر والثواب لأنّه لم يصل إلى حدّ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فالإنصاف أنّ القول بعدم استحقاق مثل هذا الولد في هذا العمر مع أنّه في كمال الشعور والإدراك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كان من أهل الفضل والتقوى ، بل ربما يتّفق أن يكون من الفقهاء ، كما يقال في حقّ بعض الفقهاء الكبار قدس سره إنّه صار فقيها وبلغ إلى درجة الاجتهاد قبل أن يصير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الإنصاف ، بل خلاف الوجدان ، وكيف يمكن أن يقال مثل هذا ، مع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كبد حرى أجر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أنت خبير بأنّ هذا الوجه مع هذا التفصيل المذكور بالخطابة أشبه من كونه دليلا فقهيّا يكون مدركا للفتوى ، وذلك من جهة أنّه لو صدر عمل أشقّ ممّا ذكرنا من أكبر العلماء ، وكان إتيانه بعنوان أنّه من الدين بدون دليل عنده أنّه من </w:t>
      </w:r>
    </w:p>
    <w:p>
      <w:pPr>
        <w:pStyle w:val="BookText"/>
        <w:rPr/>
      </w:pPr>
      <w:r>
        <w:rPr>
          <w:rFonts w:ascii="Amiri" w:hAnsi="Amiri" w:eastAsia="Amiri" w:cs="Amiri"/>
          <w:color w:val="111111"/>
          <w:sz w:val="28"/>
          <w:sz w:val="28"/>
          <w:szCs w:val="28"/>
          <w:rtl w:val="true"/>
          <w:lang w:bidi="ar-SA"/>
        </w:rPr>
        <w:t>الدين ، يكون ذلك تشريعا محرّما ولا يستحقّ شيئا من الأجر والثواب ، بل يستحقّ اللؤم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لم يدلّ دليل على أنّ مثل ذلك الصوم أو مثل ذلك الحجّ مشروع ، فلو أتى به بعنوان العبادة وأنّه مشروع يكون تشريعا ، ولا يستحقّ عليه شيئا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ها هنا وجوها أخر لمشروعيّة عبادات الصبيّ غير البالغ ، تركنا ذكرها لكونها من الاستحسانيّات التي لا يصحّ جعلها مدركا للحكم الفقهي ، وفيما ذكرنا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كان مدرك القول الأوّل القائلون بمشروعيّة عبادات الصبيّ غير البالغ كالبالغين ، وأنّ الواجبات أيضا في حقّهم 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مدرك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مشروعيّة عباداتهم أصلا وأنّ الشارع أهملهم كالبهائم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حديث رفع القلم عنهم للواجبات والمستحبّات ، فكما أنّ الوجوب مرفوع عنهم ، كذلك الاستحباب أيضا مرفوع ، لأنّه لا شكّ في أنّ قلم التكليف عامّ يشمل الأحكام الخمسة كلّها ، والنفي وارد على هذا المعنى ، فمعنى رفع القلم عنهم هو أنّ كلّما يكون مندرجا تحت عنوان قلم التكليف فهو مرفوع عنهم ، فرفع القلم مقابل وضع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وضع القلم عند البلوغ معناه أنّ الأحكام الخمسة كلّها تكتب في حقّه ، فكذلك معنى رفع القلم عدم كتابة شي‌ء منها عليه ، لا الوجوب ، ولا الاستحباب ، ولا الحرمة ، ولا الكراهة ، حتّى ولا الإباحة بعنوان أنّه حكم شرعي ، فمع رفع القلم عنه وعن أفعاله لا يبقى مجال للقول بمشروعيّة عباداته واستحبابها ، ولذلك ترى أنّ العرف إذا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مرفوع القلم ، أي لا اعتبار بأقواله ولا بأفعاله ، أي حاله حال البهائم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الحديث وإن كان ظاهره بحسب المتفاهم العرفي هو هذا المعنى ، </w:t>
      </w:r>
    </w:p>
    <w:p>
      <w:pPr>
        <w:pStyle w:val="BookText"/>
        <w:rPr/>
      </w:pPr>
      <w:r>
        <w:rPr>
          <w:rFonts w:ascii="Amiri" w:hAnsi="Amiri" w:eastAsia="Amiri" w:cs="Amiri"/>
          <w:color w:val="111111"/>
          <w:sz w:val="28"/>
          <w:sz w:val="28"/>
          <w:szCs w:val="28"/>
          <w:rtl w:val="true"/>
          <w:lang w:bidi="ar-SA"/>
        </w:rPr>
        <w:t>ولكن القرائن المقاميّة تدلّ على أنّ المراد منها هو خصوص الأحكام الإلزاميّة ، كالوجوب والحرمة ، لا مطلق الأحكام لكي يشمل الاستحباب والكراهة ، بل الإباحة الشرعيّة ، وذلك لما ذكرنا من أنّه تبارك وتعالى في مقام الرحمة والرأفة بالعباد ، وأنّ الصبيّ غير البالغ غالبا لا يميّز بين الضرر والنفع ، ولا يعتني بأنّ ترك الواجب وفعل الحرام مجلبة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عقله ، أو لغلبة شهواته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رفع المؤاخذة والعقاب عنه برفع منشئهما ، وهو الحكم الإلزامي ، أي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في عدم جواز أمره حتّى يحتلم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ما ورد من أنّ عمده خطأ فأجنبيّ عن هذا المقام ، لأنّ الطائفة الأولى راجعة إلى عقوده وإيقاعاته ، وسائر معاملاته وإن لم يكن يعقد أو إيقاع ، كمعاملاته المعاطاتيّة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الثانية راجعة إلى باب الجنايات ، لأنّها ظاهرة فيما يكون لعمده حكم ولخطائه حكم ، فقال علیه السلام في رواية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 الصبيان خطأ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أي حكم المترتّب على ما صدر عنه عمدا هو حكم هذا الفعل لو كان يصدر من البالغ خطا ، ولذلك قال علیه السلام بعد هذه الجملة جملة أخرى ،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يحمل على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بعدم مشروعيّة عبادات غير البالغين لا أساس له ، وإن كان يظهر من جماعة من أعاظم الفقهاء رضوان اللّه تعالى عليهم أجمعين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مدرك القول الثالث وهو أنّها شرعيّة لا من حيث عناوينها الأصليّة ، أي ليست الصلاة مثلا مشروعة ومستحبّة من حيث أنّها صلاة ، وكذلك في الصوم والحجّ وسائر العبادات الواجبة ليس مشروعيّتها من تلك العناوين أنفسها ، بل من حيث </w:t>
      </w:r>
    </w:p>
    <w:p>
      <w:pPr>
        <w:pStyle w:val="BookText"/>
        <w:rPr/>
      </w:pPr>
      <w:r>
        <w:rPr>
          <w:rFonts w:ascii="Amiri" w:hAnsi="Amiri" w:eastAsia="Amiri" w:cs="Amiri"/>
          <w:color w:val="111111"/>
          <w:sz w:val="28"/>
          <w:sz w:val="28"/>
          <w:szCs w:val="28"/>
          <w:rtl w:val="true"/>
          <w:lang w:bidi="ar-SA"/>
        </w:rPr>
        <w:t xml:space="preserve">القعود وتمرين النفس على إتيانها ، فكان للصلاة مثلا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الصلاتيّة التي هي عنوان أوّلى لها ، وجهة التمرن بإتيانها كي لا يشقّ عليه بعد البلوغ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فالمدّعى بناء على هذا القول الثالث ليس هو مشروعيّة الصلاة من حيث أنّها صلاة ، بل مشروعيّتها من حيث حصول التمرين والتعوّد على أداء الواجبات بإتيانها ، ففي الحقيقة موضوع الاستحباب ليس هو نفس الصلاة ، بل موضوع الاستحباب هو التمرين الذي يحصل بإتيان الصلاة في كلّ يوم في وقتها ، فهو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العبادات من حيث عناوينها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الأمر دليلهم دليل القول الثاني ، وجوابهم عين ذلك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تلك العبادات ومشروعيّتها من حيث حصول التمرين بإتيانها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ودليلهم في هذا الأمر الأخبار الكثيرة التي مفادها استحباب التمرين والتعوّد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رفع القلم لو شمل المستحبّات ، فهذا الاستحباب أيضا مرفوع عنهم ، فهذا التفصيل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الأخبار الكثيرة واردة في أنّه على الوليّ أن يأمره بإتيان الواجبات لمصلحة التمرين </w:t>
      </w:r>
      <w:r>
        <w:rPr>
          <w:rStyle w:val="FootnoteAnchor"/>
          <w:rtl w:val="true"/>
        </w:rPr>
        <w:footnoteReference w:id="104"/>
      </w:r>
      <w:r>
        <w:rPr>
          <w:rFonts w:ascii="Amiri" w:hAnsi="Amiri" w:eastAsia="Amiri" w:cs="Amiri"/>
          <w:color w:val="111111"/>
          <w:sz w:val="28"/>
          <w:sz w:val="28"/>
          <w:szCs w:val="28"/>
          <w:rtl w:val="true"/>
          <w:lang w:bidi="ar-SA"/>
        </w:rPr>
        <w:t>، فيستحبّ أو يجب على الوليّ الأمر لمصلحة التمرين لا على الصبيّ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الأمر عن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حديث رفع القلم مفاده إمّا رفع جميع </w:t>
      </w:r>
      <w:bookmarkStart w:id="96" w:name="pg15937_235026"/>
    </w:p>
    <w:p>
      <w:pPr>
        <w:pStyle w:val="BookText"/>
        <w:rPr/>
      </w:pPr>
      <w:bookmarkEnd w:id="96"/>
      <w:r>
        <w:rPr>
          <w:rFonts w:ascii="Amiri" w:hAnsi="Amiri" w:eastAsia="Amiri" w:cs="Amiri"/>
          <w:color w:val="111111"/>
          <w:sz w:val="28"/>
          <w:sz w:val="28"/>
          <w:szCs w:val="28"/>
          <w:rtl w:val="true"/>
          <w:lang w:bidi="ar-SA"/>
        </w:rPr>
        <w:t>الأحكام حتّى المستحبّات ، فلا فرق بين أن يكون موضوع الاستحباب نفس عناوين العبادات ، أو يكون التعوّد والتمرين على إتيان تلك العبادة ، فلا يستحبّ على الصبيّ شي‌ء بأيّ عنوان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مفاده رفع خصوص الإلزام ووجوب الفعل أو الترك ، فنفس هذه العناوين 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التفصيل ، فظهر أنّ القول الثالث لا وجه له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073352_2142443653"/>
      <w:bookmarkStart w:id="98" w:name="_Toc31"/>
      <w:bookmarkEnd w:id="97"/>
      <w:r>
        <w:rPr>
          <w:rtl w:val="true"/>
        </w:rPr>
        <w:t xml:space="preserve">الجهة الثالثة </w:t>
      </w:r>
      <w:r>
        <w:rPr>
          <w:rtl w:val="true"/>
        </w:rPr>
        <w:t xml:space="preserve">: </w:t>
      </w:r>
      <w:r>
        <w:rPr>
          <w:rtl w:val="true"/>
        </w:rPr>
        <w:t>في بيان موارد تطبيق هذه القاعدة ، والفروع المترتّبة عليها</w:t>
      </w:r>
      <w:bookmarkEnd w:id="98"/>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الطهارات الثلاث ، فبناء على القول بالمشروعيّة تكون مستحبّة على غير البالغ بعد دخول وقت الصلاة ، لأنّها واجبة على البالغين في ذلك الوقت ، كما أنّه بناء على القول باستحبابها في أنفسها تكون أيضا مستحبّة على غير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الصورتين له أن يأتي بها بقصد أمرها الاستحبابي ، غاية الأمر في إحديهما بعد دخول الوقت ، وفي الأخرى وإن كان قبل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تجهيز الميّت من الغسل ، والكفن ، والصلاة عليه ، ودفنه بعد الصلاة عليه ، فبناء على المشروعيّة يستحبّ عليه هذه الأمور ، وإن كان على البالغين واجبا كفائيّا ، فيجوز له أن يتصدّى ويرفع موضوع الوجوب عن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المشروعيّة فليس له أن يجهز الميّت وإن كان أباه أو أمّه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المستحبّات من الأفعال والأذكار الواردة في الطهارات الثلاث قبلها وبعدها وفي حين الاشتغال بها ، فبناء على المشروعيّة يستحبّ كلّ ذلك على الصبيّ غير البالغ أيضا كالبالغين ، وكذلك الحال في مستحبّات تجهيز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قبل الصلاة مستحبّ عليه قبل الدخول في الصلاة ، وكذلك أذان الإعلام بناء على المشروعيّة ، وليس شي‌ء منها مستحبّا بناء على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نفس الصلاة مع مستحبّاتها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 الشهيد قدس سره فيها كتاب الألفيّة والنفليّة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في حقّه بناء على مشروعيّة عباداته ، ولا يستحبّ شي‌ء منها بناء على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الألفيّة مشتمل على ألف واجب ، وكتاب النفليّة مشتمل على ما يزيد ثلاثة آلاف من المستحبّات ، فجميع هذه الأربعة آلاف أو أكثر من واجبات الصلاة ومستحبّاتها مستحبة على الصبيّ غير البالغ بناء على المشروعيّة ، فله أن يأتي بها بقصد أمرها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وبيان مدرك وجوبها واستحبابها خارج عن طور هذا الكتاب ، وقد أتعب الشهيد الأوّل قدس سره نفسه في استقصائها وذكرها في كتابيه ، وشرحهما الشهيد الثاني قدس سره أحسن شرح ، فلا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ها هنا بيان 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مشروعيّة عبادات الصبيّ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القواعد الفقهية وأكثرها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نفسها وواجباتها ومستحبّاتها الكثيرة التي بعد الصلاة لا يماثلها في كثرة الواجبات والمستحبّات عبادة ، فجميعها مستحبة في حقّ الصبيّ ، ويثاب ويوجر على الإتيان بها بناء على القول بمشروعيّة عبادات الصبيّ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المشروعيّة فلا يستحبّ شي‌ء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واجباته ومستحبّاته مستحبّة على غير البالغ بناء على المشروعيّة ، كما أنّ الاعتكاف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المشروعيّة فلا يستحبّ شي‌ء منها عليه ، وواجبات الصوم ومستحبّاته كثيرة ، وكذلك الاعتكاف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ما اخترنا في معنى حديث رفع القلم عن الصبيّ من أنّ المراد برفع </w:t>
      </w:r>
    </w:p>
    <w:p>
      <w:pPr>
        <w:pStyle w:val="BookText"/>
        <w:rPr/>
      </w:pPr>
      <w:r>
        <w:rPr>
          <w:rFonts w:ascii="Amiri" w:hAnsi="Amiri" w:eastAsia="Amiri" w:cs="Amiri"/>
          <w:color w:val="111111"/>
          <w:sz w:val="28"/>
          <w:sz w:val="28"/>
          <w:szCs w:val="28"/>
          <w:rtl w:val="true"/>
          <w:lang w:bidi="ar-SA"/>
        </w:rPr>
        <w:t xml:space="preserve">القلم رفع الأحكام الإلزاميّة كالوجوب والحرمة ، فالمكروه أيضا كالمستحبّ ليس مرفوعا عنه ، فبناء على هذا لو صام في شهر رمضان استحبابا ، أو في غيره من الأزمنة التي يكون الصوم فيها مستحبّة ، وهو كلّ أيّام السنة إلاّ المنهيّ عنه ، والمؤكّد منها أيّام خاصّة ، كصوم أيّام الليالي البيض ، ويوم الغدير وصوم ثلاثة أيّام من كلّ شهر ، وهو أوّل خميس منه ، وآخر خميس منه ، وأوّل أربعاء من العشر الثاني ، ويوم السابع عشر من ربيع الأوّل ، ويوم السابع والعشرون من رجب ، ويوم دحو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الخامس والعشرون من ذي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الأيّام التي يستحبّ فيها الصوم ، فالمكروهات في حال الصوم مكروه في حقّه ، كالاكتحال والسعوط وشمّ الرياحين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أقسام الصوم المكروه كصوم يوم عاشوراء بناء على كراهته أيضا مكروه عليه ، كما أنّه لو صار جنبا بإدخاله في امرأة قبلا أو دبرا ، أو إدخال الغير فيها قبلا أو دبرا يكره عليه كلّ ما يكره على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المكروهات كالمستحبّات غير مرفوع عنه ، فتكون في حقّه مكروها كالبالغين ، إلاّ أن يكون دليل الكراهة مخصوصا بالبالغين ، وذلك كالملاعبة مع زوجته في حال الصوم خوفا من الإنزال ، فهذا التعليل يوجب اختصاص هذا الحكم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مشروعيّة عبادات الصبيّ غير البالغ المميّز لا وجه للقول بعدم جواز استيجاره للصلاة ، أو الصوم ، أو الحجّ عن الميّت ، بناء على ما هو المفروض من كون فعله ذا ملاك تامّ كالبالغين ، وإنّما ارتفع اللزوم إرفاقا ورأفة بهم ، فيمكن للصبيّ المميّز أن ينوب عن الميّت ، ويأتي بما على عهدته ، ويفرغ ما في ذمّته ، لأنّه لا خلل ولا نقصان في فعله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الجواز وعدم الإجزاء لا يبقى له مجال ، ولو كان دليل على اشتراط البلوغ </w:t>
      </w:r>
    </w:p>
    <w:p>
      <w:pPr>
        <w:pStyle w:val="BookText"/>
        <w:rPr/>
      </w:pPr>
      <w:r>
        <w:rPr>
          <w:rFonts w:ascii="Amiri" w:hAnsi="Amiri" w:eastAsia="Amiri" w:cs="Amiri"/>
          <w:color w:val="111111"/>
          <w:sz w:val="28"/>
          <w:sz w:val="28"/>
          <w:szCs w:val="28"/>
          <w:rtl w:val="true"/>
          <w:lang w:bidi="ar-SA"/>
        </w:rPr>
        <w:t xml:space="preserve">في صحّة عبادة لكان تعبّدا يجب الالتزام ، ولكنّه ليس في البين إلاّ حديث رفع القلم </w:t>
      </w:r>
      <w:r>
        <w:rPr>
          <w:rStyle w:val="FootnoteAnchor"/>
          <w:rtl w:val="true"/>
        </w:rPr>
        <w:footnoteReference w:id="105"/>
      </w:r>
      <w:r>
        <w:rPr>
          <w:rFonts w:ascii="Amiri" w:hAnsi="Amiri" w:eastAsia="Amiri" w:cs="Amiri"/>
          <w:color w:val="111111"/>
          <w:sz w:val="28"/>
          <w:sz w:val="28"/>
          <w:szCs w:val="28"/>
          <w:rtl w:val="true"/>
          <w:lang w:bidi="ar-SA"/>
        </w:rPr>
        <w:t xml:space="preserve">، وحديث أنّ عمده خطأ </w:t>
      </w:r>
      <w:r>
        <w:rPr>
          <w:rStyle w:val="FootnoteAnchor"/>
          <w:rtl w:val="true"/>
        </w:rPr>
        <w:footnoteReference w:id="106"/>
      </w:r>
      <w:r>
        <w:rPr>
          <w:rFonts w:ascii="Amiri" w:hAnsi="Amiri" w:eastAsia="Amiri" w:cs="Amiri"/>
          <w:color w:val="111111"/>
          <w:sz w:val="28"/>
          <w:sz w:val="28"/>
          <w:szCs w:val="28"/>
          <w:rtl w:val="true"/>
          <w:lang w:bidi="ar-SA"/>
        </w:rPr>
        <w:t xml:space="preserve">، ورواية أنّ جوازه أمره موقوف على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البلوغ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الحال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جواز استيجاره للعبادات التي يمكن النيابة فيها ، وإنّ الأحوط تركها ، خروجا عن مخالفة جمع كثير من أعاظم الفقهاء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نذره أن يفعل ما هو عبادة غير مالي ، فأيضا بناء على مشروعيّة عباداته ، فبمقتضى القواعد الأوّليّة ينبغي أن يقال بصحّته ، ولكن لا قائل بها ، بل الظاهر انعقاد الإجماع على اشتراط البلوغ في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صحّة النذر وجوب الوفاء 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فإذا لم يكن وجوب الوفاء في مورد فلا يصحّ النذر في ذلك المورد ، لانتفاء الملزوم بانتفاء اللازم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هذا بأنّ النذر لازمه أن يمكن الوفاء به ، ولذلك لا يجوز نذر ما لا يقدر عليه ، كما إذا نذر أن يحجّ ماشيا مع عدم قدرته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الوفاء ، فهذا من الأحكام الشرعيّة التي رتّب الشارع عليه ، فمن الممكن أن يرفع الشارع هذا الحكم رأفة وامتنانا في بعض الموارد ، فالعمدة في وجه بطلان نذر الصبيّ غير البالغ هو الإجماع لا غير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937_235031"/>
      <w:bookmarkStart w:id="100" w:name="pg15937_235031"/>
      <w:bookmarkEnd w:id="100"/>
    </w:p>
    <w:p>
      <w:pPr>
        <w:pStyle w:val="Heading2"/>
        <w:numPr>
          <w:ilvl w:val="1"/>
          <w:numId w:val="1"/>
        </w:numPr>
        <w:rPr/>
      </w:pPr>
      <w:bookmarkStart w:id="101" w:name="pg15937_235031"/>
      <w:bookmarkStart w:id="102" w:name="__RefHeading___Toc16073354_2142443653"/>
      <w:bookmarkStart w:id="103" w:name="_Toc32"/>
      <w:bookmarkEnd w:id="101"/>
      <w:bookmarkEnd w:id="102"/>
      <w:r>
        <w:rPr/>
        <w:t>40</w:t>
      </w:r>
      <w:r>
        <w:rPr>
          <w:rtl w:val="true"/>
        </w:rPr>
        <w:t xml:space="preserve"> - </w:t>
      </w:r>
      <w:r>
        <w:rPr>
          <w:rtl w:val="true"/>
        </w:rPr>
        <w:t>قاعدة الميسور</w:t>
      </w:r>
      <w:bookmarkEnd w:id="1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6073356_2142443653"/>
      <w:bookmarkStart w:id="105" w:name="_Toc33"/>
      <w:bookmarkEnd w:id="104"/>
      <w:r>
        <w:rPr>
          <w:rtl w:val="true"/>
        </w:rPr>
        <w:t>اشارة</w:t>
      </w:r>
      <w:bookmarkEnd w:id="1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937_235033"/>
      <w:bookmarkStart w:id="107" w:name="pg15937_235033"/>
      <w:bookmarkEnd w:id="107"/>
    </w:p>
    <w:p>
      <w:pPr>
        <w:pStyle w:val="BookText"/>
        <w:rPr/>
      </w:pPr>
      <w:bookmarkStart w:id="108" w:name="pg15937_235033"/>
      <w:bookmarkEnd w:id="108"/>
      <w:r>
        <w:rPr>
          <w:rFonts w:ascii="Amiri" w:hAnsi="Amiri" w:eastAsia="Amiri" w:cs="Amiri"/>
          <w:color w:val="111111"/>
          <w:sz w:val="28"/>
          <w:sz w:val="28"/>
          <w:szCs w:val="28"/>
          <w:rtl w:val="true"/>
          <w:lang w:bidi="ar-SA"/>
        </w:rPr>
        <w:t xml:space="preserve">قاعدة الميسور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جهات من البحث</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6073358_2142443653"/>
      <w:bookmarkStart w:id="110" w:name="_Toc34"/>
      <w:bookmarkEnd w:id="109"/>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مفادها</w:t>
      </w:r>
      <w:bookmarkEnd w:id="11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أنّ الشارع إذا أمر بمركب له أجزاء وشرائط وموانع ، فإذا تعذّر له إيجاد بعض الأجزاء أو بعض الشرائط أو تعسر عسرا يرفع التكليف عن المعسور ، أو تعذّر له ترك بعض الموانع ، أو تعسر فهل يسقط الوجوب بالمرّة ، ويرتفع عن جميع أجزاء ذلك المركّب مع شرائطه وموانعه ، المتعذّر منها وغير المتعذّر ، أم لا بل يرتفع عن خصوص ما هو المتعذّر منها ، وأمّا بالنسبة إلى الباقي فباق؟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قاعدة الميسور هو أنّ الوجوب بالنسبة إلى المقدار الميسور من المركّب باق ، ولا يرتفع عن ذلك المقدار بواسطة ارتفاعه عن المقدار المتعذّر أو المعسور</w:t>
      </w:r>
      <w:r>
        <w:rPr>
          <w:rFonts w:eastAsia="Amiri" w:cs="Amiri" w:ascii="Amiri" w:hAnsi="Amiri"/>
          <w:color w:val="111111"/>
          <w:sz w:val="28"/>
          <w:szCs w:val="28"/>
          <w:rtl w:val="true"/>
          <w:lang w:bidi="ar-SA"/>
        </w:rPr>
        <w:t xml:space="preserve">. </w:t>
      </w:r>
      <w:bookmarkStart w:id="111" w:name="pg15937_235034"/>
    </w:p>
    <w:p>
      <w:pPr>
        <w:pStyle w:val="Heading3"/>
        <w:numPr>
          <w:ilvl w:val="2"/>
          <w:numId w:val="1"/>
        </w:numPr>
        <w:rPr/>
      </w:pPr>
      <w:bookmarkStart w:id="112" w:name="__RefHeading___Toc16073360_2142443653"/>
      <w:bookmarkStart w:id="113" w:name="_Toc35"/>
      <w:bookmarkEnd w:id="111"/>
      <w:bookmarkEnd w:id="112"/>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مدركها</w:t>
      </w:r>
      <w:bookmarkEnd w:id="113"/>
    </w:p>
    <w:p>
      <w:pPr>
        <w:pStyle w:val="Heading4"/>
        <w:numPr>
          <w:ilvl w:val="3"/>
          <w:numId w:val="1"/>
        </w:numPr>
        <w:rPr/>
      </w:pPr>
      <w:bookmarkStart w:id="114" w:name="__RefHeading___Toc16073362_2142443653"/>
      <w:bookmarkStart w:id="115" w:name="_Toc36"/>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المركّب ، بمعنى أنّ دليل المركّب له إطلاق يشمل كلتا حالتي التمكّن من إيجاد الجزء وعدم التمكّن منه ، مثلا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لو فرض أنّه له إطلاق يشمل كلتا حالتي التمكّن من رمي الجمرة وعدم التمكّن منه ، فإذا لم يكن متمكّنا منه وسقط الأمر عنه بواسطة عدم القدرة ، يتمسك بإطلاق دليل وجوب الحجّ لوجوب الباقي وعدم سقوطه بسقوط وجوب ذلك الجزء أو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التمسّك بإطلاق دليل المركّب يتوقّف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مقدّمات الإطلاق فيه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لدليل ذلك الجزء أو الشرط المتعذّر إطلاق يدلّ على جزئيّته أو شرطيّته مطلقا ، سواء كان المكلّف متمكّنا من إيجاده أم لا ، إذ مع إطلاقه لا يبقى مجال للتمسّك بإطلاق دليل المركّب ، لحكومة إطلاق دليل الجزء على إطلاق دليل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اللفظ الموضوع لذلك المركّب موضوعا للصحيح إذا كان من العبادات ، وذلك لأنّه بناء على أن يكون كذلك لا يمكن التمسّك بإطلاقه في رفع جزئيّة مشكوك الجزئيّة ، أو شرطيّته كذلك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بالتمسّك بإطلاقها المقامي ، كما شرحنا كلّ ذلك مفصّلا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bookmarkStart w:id="116" w:name="pg15937_235035"/>
    </w:p>
    <w:p>
      <w:pPr>
        <w:pStyle w:val="BookText"/>
        <w:rPr/>
      </w:pPr>
      <w:bookmarkEnd w:id="1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بقاء الوجوب بالنسبة إلى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عدى المتعذّر من الأجزاء والشرائط والموانع وجودا بالنسبة إلى الأولين ، وعدما بالنسبة إلى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الاستصحاب حيث أنّه مفاد الأصل العملي ، فلا تصل النوبة إليه ، إلاّ بعد فقد إطلاق دليل المركّب وإطلاق دليل القيد ، أي الجزء والشرط وعدم المانع ، إذ مع فرض إطلاق دليل المركّب مع إجمال دليل القيد ، فبقاء الوجوب للبقيّة معلوم بواسطة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موضوع لجريان الاستصحاب ، لحكومة إطلاق دليل المركّب عليه ، ومع فرض إطلاق دليل القيد سواء كان إطلاق لدليل المركّب أو لم يكن ، يكون سقوط الوجوب بالنسبة إلى البقيّة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فرض إجمال دليل المركّب فواضح ، وأمّا في فرض إطلاقه فلحكومة إطلاق دليل القيد على إطلاق دليل المركّب ، فلا مجال لوصول النوبة إلى الاستصحاب ، إلاّ فيما إذا كان دليل المركّب ودليل القيد كلاهما مجملين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مطلقا ، أو كان كلاهما مطلقين ، فلا تصل النوبة إلى الأصل العملي ، وذلك لحكومة الأمارات التي منها الإطلاقات على الأصول مطلقا ، محرزة كانت أو غير محرزة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6073364_2142443653"/>
      <w:bookmarkStart w:id="118" w:name="_Toc37"/>
      <w:bookmarkEnd w:id="117"/>
      <w:r>
        <w:rPr>
          <w:rtl w:val="true"/>
        </w:rPr>
        <w:t xml:space="preserve">ثمَّ إنّ تقرير الاستصحاب ها هنا من وجوه </w:t>
      </w:r>
      <w:r>
        <w:rPr>
          <w:rtl w:val="true"/>
        </w:rPr>
        <w:t>:</w:t>
      </w:r>
      <w:bookmarkEnd w:id="11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الجامع بين الوجوب النفسي المحتمل الوجود المتعلّق بما عدا القيد بعد تعذّره ، ووجوب الغيري الذي كان متعلّقا بما عدا القيد المتعذّر من باب المقدّمة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هذا الوجه مبنيّ على وجوب المقدّمات الداخليّة بالوجوب الغيري ، مثل المقدّمات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ذلك الجامع في ضمن الوجوب الغيري لما عدا قيد المتعذّر كان متيقّن الوجود ، وحيث أنّه من المحتمل وجوب النفسي المستقلّ لما عدا ذلك القيد المتعذّر بعد تعذّره ، فيكون بقاء ذلك الجامع مشكوكا بعد تيقّن وجوده ، فيكون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أجزاء المركّب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 بالوجوب الغيري ، وقد حقّقنا ذلك في باب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يكون من القسم الثالث من أقسام استصحاب الكلّي ، الذي قلنا بعدم جريانه وعدم تماميّة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الإشكال فيه هو أنّ وجود الطبيعة في ضمن كلّ فرد غير وجوده في ضمن الفرد الآخر ، فوجود الجامع في ضمن الوجوب الغيري في المفروض متيقّن الارتفاع ، وفي ضمن الوجوب النفسي المحتمل مشكوك الحدوث ، فليس هناك وجود واحد متيقّن الحدوث ، ويكون هو 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الوجوب النفسي المستقلّ لما عدى القيد المتعذّر بهذا الاستصحاب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نفس الوجوب النفسي الذي كان متعلّقا بالمركّب قبل حدوث تعذّر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ذلك الوجوب كان مجموع المركّب ، والمفروض ارتفاع ذلك الموضوع بواسطة تعذّر بعض أجزائه ، والبقيّة على تقدير وجوبها تكون موضوعا آخر ، ولا يمكن بقاء الحكم مع ارتفاع موضوعه وتبدّله ، حتّى ولو كان الباقي واجبا لكان وجوبا آخر غير الوجوب الأوّل ، لما ذكرنا من تبدّل الموضوع من الأكثر إلى الأقلّ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وحدة القضيّة المشكوكة والمتيقّنة بحسب الموضوع عرفي ، ولا </w:t>
      </w:r>
    </w:p>
    <w:p>
      <w:pPr>
        <w:pStyle w:val="BookText"/>
        <w:rPr/>
      </w:pPr>
      <w:r>
        <w:rPr>
          <w:rFonts w:ascii="Amiri" w:hAnsi="Amiri" w:eastAsia="Amiri" w:cs="Amiri"/>
          <w:color w:val="111111"/>
          <w:sz w:val="28"/>
          <w:sz w:val="28"/>
          <w:szCs w:val="28"/>
          <w:rtl w:val="true"/>
          <w:lang w:bidi="ar-SA"/>
        </w:rPr>
        <w:t>يجب أن يكون الموضوع فيهما واحدا بالدقّة العقليّة ، وإلاّ لا يجري الاستصحاب في الأحكام الكلّية أصلا إلاّ من جهة احتمال النسخ ،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هذه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من تقرير الاستصحاب لا يفي إلاّ بالموارد التي يكون موضوع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بنظر العرف ، وأمّا فيما لا يكون كذلك ، كما هو الأكثر في أبواب العبادات ، فإنّ حكم العرف بوحدة الحجّ المتعذّر فيه الوقوف في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العرفات والمشعر ، الوقوف الاضطراري والاختياري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الحجّ المتمكّن فيه الوقوفان ، أو حكمه بوحدة صلاة فاقد الطهورين مع واجدهما أو أحدهما لا أثر له بعد العلم بأنّ الشارع يراهما متباينين حقيقة ، بل الواحدة العرفيّة ليست إلاّ بحسب الشكل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للعرف طريق إلى تشخيص الوحدة بين المركّب التامّ الأجزاء والناقص في أغلب العبادات ، لعدم طريق له إلى معرفة الأركان ، وتميّزها عن غيرها إلاّ بما صرّح الشارع بركنيّتها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يأتي في إجراء قاعدة الميسور أيضا وسنتكلّم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لا تنقض اليقين بالشكّ وإن كان تشخيص موضوعه بنظر العرف ، ولكن فيما يكون للعرف طريق إلى التشخيص ، لا فيما ليس لهم طريق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العرف أيضا ربما لا يرى الوحدة بين الفاقد للقيد والواجد له ، حتّى فيما إذا كان المركّب من الأمور العرفيّة ، فالاستصحاب بهذا الوجه لا يفي بجميع الموارد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المتعذّر لو كان من قبيل الشرط أو المانع ، فيحتمل أن يكون بنظر العرف من قبيل الواسطة في الثبوت ، لا الواسطة في العروض ، فيكون </w:t>
      </w:r>
    </w:p>
    <w:p>
      <w:pPr>
        <w:pStyle w:val="BookText"/>
        <w:rPr/>
      </w:pPr>
      <w:r>
        <w:rPr>
          <w:rFonts w:ascii="Amiri" w:hAnsi="Amiri" w:eastAsia="Amiri" w:cs="Amiri"/>
          <w:color w:val="111111"/>
          <w:sz w:val="28"/>
          <w:sz w:val="28"/>
          <w:szCs w:val="28"/>
          <w:rtl w:val="true"/>
          <w:lang w:bidi="ar-SA"/>
        </w:rPr>
        <w:t>ما هو الموضوع في القضيّتين بنظره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قبيل الأجزاء فلا يمكن ذلك ، إذ لا شكّ في أنّ الأمر المتعلّق بالمركّب ينبسط على جميع الأجزاء ، فكلّ جزء من الأجزاء يقع تحت الأمر المتعلّق بالمجموع ، فلا يكون من قبيل الواسطة في الثبوت ، بل هو بنفسه معروض ، ولا شكّ في انتفاء المركّب بانتفاء جزئه ، وأيضا انتفاء الحكم بانتفاء موضوعه ، فلا يبقى شكّ في بقاء الحكم عقلا ، وإن فرضنا وحدة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هذا البيان يأتي وجه آخر للاستصحاب الشخصي ،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في الأحكام الكلّيّة بناء على ما ذكر ، للقطع بانتفاء الحكم بعد تغيّر الموضوع ، وبدونه لا شكّ إلاّ من قبل احتمال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هناك من المحتمل أن يكون القيد المنفي من قبيل الواسطة في الثبوت لا العروض ، وهذا الاحتمال موجب للشكّ في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 فإنّ الجزء المتعذّر ها هنا ليس واسطة في الثبوت قطعا ، بل هو يكون بنفسه معروضا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المقامين في كمال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أنّ الباقي بعد تعذّر بعض الأجزاء كان واجبا نفسيّا في ضمن المجموع المركّب منه وممّا تعذّر ، والجامع بين هذا الوجوب النفسي الضمني والوجوب النفسي المستقلّ المتعلّق بالمجموع كان موجودا يقينا ، وبعد انتفاء أحد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النفسي المتعلّق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بقاؤه في ضمن الفرد الآخر ، وهو الوجوب المتعلّق بما عدا المتعذّر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وجوب الباقي بعد ما كان ضمنيّا ينقلب استقلاليّا ، ولا إشكال فيه ، لأنّ الاستقلاليّة مفهوم ينتزع من أمر وجودي وهو وجوب الباقي ، وأمر عدمي وهو عدم وجوب الجزء 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فهو المفروض ، وأمّا الأوّل فيثبت </w:t>
      </w:r>
    </w:p>
    <w:p>
      <w:pPr>
        <w:pStyle w:val="BookText"/>
        <w:rPr/>
      </w:pP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وجوب الباقي باستصحاب الجامع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هذا الوجه بشكل آخر ، وهو أنّ الجامع بين الوجوب النفسي الاستقلالي للمجموع مع الوجوب النفسي الاستقلالي للباقي بعد تعذّر بعض الأجزاء كان موجودا يقينا في ضمن وجوب المجموع ، وبعد تعذّر بعض الأجزاء وإن كان انعدم وجوب المجموع ، ولكنّه حيث أنّه من المحتمل حدوث وجوب نفسي استقلالي للباقي ، فوجود الجامع محتمل البقاء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القسم الثالث من أقسام استصحاب الكلّي الذي قلنا بعدم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الباقي باستصحاب الجامع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من القسم الثالث من أقسام الكلّي ، لأنّ الجامع الموجود يقينا كان وجوده في ضمن الوجوب المتعلّق بالكلّ ، وقد انعدم قطعا ، واحتمال بقائه من جهة احتمال حدوث فرد آخر من مصاديق ذلك الجامع حال انعدمه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النفسي الاستقلالي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إنّه مثبت ، فمن جهة أنّ الجامع في المفروض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الكلّ ، ووجوب الباقي ، وبعد انعدام أحد الفردين وهو وجوب الكلّ فلو فرضنا بقاء الجامع كما هو مفاد الاستصحاب ، فلا بدّ وأن يكون في ضمن الفرد الآخر وهو وجوب الباقي ، وهذا لازم عقلي لوجود الجامع وبقائه ، وليس عينه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الجامع بين الوجوب النفسي الضمني الذي كان لغير المتعذّر من الأجزاء قبل حدوث التعذّر ، والوجوب النفسي الاستقلالي المحتمل حدوثه للباقي بعد حدوث التعذّر ، ولا شكّ في أنّ هذا الجامع كان موجودا يقينا في ضمن الوجوب النفسي الضمني للباقي قبل حدوث التعذّر ويشكّ في بقائه بعد حدوث التعذّر لاحتمال </w:t>
      </w:r>
    </w:p>
    <w:p>
      <w:pPr>
        <w:pStyle w:val="BookText"/>
        <w:rPr/>
      </w:pPr>
      <w:r>
        <w:rPr>
          <w:rFonts w:ascii="Amiri" w:hAnsi="Amiri" w:eastAsia="Amiri" w:cs="Amiri"/>
          <w:color w:val="111111"/>
          <w:sz w:val="28"/>
          <w:sz w:val="28"/>
          <w:szCs w:val="28"/>
          <w:rtl w:val="true"/>
          <w:lang w:bidi="ar-SA"/>
        </w:rPr>
        <w:t>حدوث الوجوب النفسي الاستقلالي للباقي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أيضا أوّلا من القسم الثالث من أقسام الكلّي ، وثانيا 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كثرة وضوحه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اعتمد عليه وسليم عن هذه الإشكالات ، وإن ذكرته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ببيان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الإرادة إذا تعلّقت بمركّب ، فكلّ جزء من أجزاء ذلك المركّب يقع تحت قطعة من تلك الإرادة ، وليست الإرادة ، وليست الإرادة أمرا بسيطا متعلّقا بالمجموع بحيث يكون وجودها وجودا واحدا غير قابل للانحلال ، بل تنبسط على جميع الأجزاء نحو انبساط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الجسم المعروض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الجهة قلنا إنّ المقدّمات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 بالوجوب الغيري ، بل واجبة بالوجوب النفسي الضمني ، وأيضا لهذه الجهة قلنا بالانحلال في باب العلم الإجمالي بوجوب الأقلّ أو الأكثر ، فإنّ الأقلّ معلوم تفصيلا وجوبه النفسي وكونه تحت الإرادة ، ويبقى كون الزائد تحت الإرادة مشكوكا ، فيكون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وجوب الأقلّ مردّدا بين أن يكون ضمنيّا أو استقلاليّا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بالمقام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الاستقلاليّة مفهوم ينتزع عن وجوبه وعدم وجوب غيره معه ، ولا فرق في كونه واجبا ومتعلّقا للإرادة بين أن يكون معه غيره أو لا يكون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عدى الجزء المتعذّر قطعا كان قبل حدوث التعذّر واجبا وكان تحت الإرادة ، وبعد حدوث التعذّر بالنسبة إلى بعض الأجزاء يشكّ في بقاء تلك القطعة التي كانت متعلّقة بما عدا الجزء المتعذّر ، إذ من المحتمل ارتفاع خصوص تلك القطعة المتعلّقة بخصوص الجزء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أنّه تكليف بالمحال إذا كان ذلك الجزء متعذّرا ، أو من باب أنّ التكليف به مناف مع كون الشريعة سمحة </w:t>
      </w:r>
    </w:p>
    <w:p>
      <w:pPr>
        <w:pStyle w:val="BookText"/>
        <w:rPr/>
      </w:pPr>
      <w:r>
        <w:rPr>
          <w:rFonts w:ascii="Amiri" w:hAnsi="Amiri" w:eastAsia="Amiri" w:cs="Amiri"/>
          <w:color w:val="111111"/>
          <w:sz w:val="28"/>
          <w:sz w:val="28"/>
          <w:szCs w:val="28"/>
          <w:rtl w:val="true"/>
          <w:lang w:bidi="ar-SA"/>
        </w:rPr>
        <w:t xml:space="preserve">وسهلة إذا كان إيجاد ذلك الجزء متعسّرا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ارتفاع الإرادة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الإرادة بعد التمكّن من إيجاد متعلّقها تابعة للملاك وجودا وعدما ، فيتمّ أركان الاستصحاب من اليقين السابق والشكّ اللاحق ، وهذا الاستصحاب شخصي وليس بكلّي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الرجوع إلى الاستصحاب يكون بعد عدم دليل لفظي على لزوم الإتيان بالميسور ، أو أمارة لبيّة كالإجماع ، وإلاّ لو كان إطلاق دليل أو رواية معتبرة أو إجماع على لزوم الإتيان بما عدا الجزء المتعذّر أو عدم لزومه ، فلا تصل النوبة إلى 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والاتّفاق على أنّ الأمر المتعلّق بمركّب لا يسقط بصرف تعذّر بعض أجزائه أو تعسّره ، بل يكون ما عدا ذلك الجزء المتعذّر باق على مطلوبيّته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هذا العنوان العامّ وإن لم نتحقّقه ، ولكن لا سبيل إلى إنكاره بالنسبة إلى بعض مصاديقه وصغرياته ، خصوصا في مثل الحجّ والصلاة في غير الأجزاء الركنيّة لهما ، ومع ذلك لا يصحّ الاعتماد على مثل هذه الإجماعات التي يمكن أن يكون اتّفاقهم مستندا إلى بعض هذه الأدلّة التي أقيمت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هذه القاعدة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في خطبته في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قد فرض اللّه عليكم الحجّ فحجّوا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عام يا رسول اللّه؟ فسكت صلی اللّه علیه و آله حتى قالها ثلاثا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قلت نعم لوجبت ولما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ذروني ما تركتم فإنّما هلك من كان قبلكم بكثرة سؤالهم واختلافهم على أنبيائهم ، فإذا أمرتكم بشي‌ء فأتوا منه ما استطعتم ، وإذا نهيتكم عن شي‌ء فدعوه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19" w:name="pg15937_235042"/>
    </w:p>
    <w:p>
      <w:pPr>
        <w:pStyle w:val="BookText"/>
        <w:rPr/>
      </w:pPr>
      <w:bookmarkEnd w:id="119"/>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الثلاث لكثرة اشتهارها بين الفقهاء وعملهم بها لا يحتاج إلى التكلّم عن سندها ، أو الإشكال عليه بالضعف</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073366_2142443653"/>
      <w:bookmarkStart w:id="121" w:name="_Toc38"/>
      <w:bookmarkEnd w:id="120"/>
      <w:r>
        <w:rPr>
          <w:rtl w:val="true"/>
        </w:rPr>
        <w:t>وعمدة الكلام هو التكلّم في دلالتها</w:t>
      </w:r>
      <w:bookmarkEnd w:id="121"/>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الحديث الأوّل المرويّ عن النبيّ صلی اللّه علیه و آله ، فتقريب الاستدلال به على هذه القاعدة هو أنّه لا شكّ في أنّ مرجع الضمير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الشي‌ء المأمور به ، فتكون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التبعيض ، لأنّ الشي‌ء المأمور به له بالنسبة إلى قدرة المكلّف حالات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يكون تمامه مقدورا ، وأخرى تمامه غير مقدور ، وثالثة يكون بعضه مقدورا وبعضه غير 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الأوّلين فحاله معلوم ، فيجب إتيان تمامه على الأوّل ، ولا يجب عليه شي‌ء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الثالث فثلاث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إتيان تمامه ، وهذا لا يجب قطعا ، لأنّه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إتيان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بوجوب الإتيان بالمقدور منه فقط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الأخير هو مفاد القاعدة ،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هذا الأخير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وذلك من جهة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قد تأتي لبيان ما قبلها وأنّه من أيّ جنس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فضة ، لكنّه فيما نحن فيه لا يمكن ذلك ، لأنّ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راجع إلى نفس الشي‌ء ، فلا يمكن أن يكون مفسّرا ومبيّنا له ، كما هو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بمعنى الباء وإن كان ممكنا كي يكون المعنى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بذلك الشي‌ء ما دام استطاعتكم ، ولكن هذا المعنى مع أنّه لا ينطبق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السائل يسأل عن تعدّد الإتيان في كلّ عام بعد الفراغ عن القدرة على الإتيان في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القدرة على إتيان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ذكر هذا القيد ركيكا ، من جهة أنّ اشتراط التكليف ووجوب الإتيان بالقدرة عقليّ وأمر واضح معلوم ، فلا بدّ وأن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كما هو الظاهر والغالب من استعمالات هذه الكلمة ، فيكون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بعضه الذي تحت قدرتكم واستطاعتكم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الماء موصولة ، لا مصدريّة ولا ظرفيّة ، فيكون مفاد الحديث الشريف عين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ها هنا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الاستدلال بهذا الحديث على هذه القاعدة مبنيّ على 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الكلّ والمركّب من عدّة أجزاء ، وأمّا لو كان المراد به الكلّي والطبيعة المنطبقة على الأفراد والمصاديق المتعدّدة من دون ملاحظة خصوصيّات المشخّصة لها فيكون المعنى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أمرتكم بطبيعة كلّية ذات أفراد ومصاديق متعدّدة فأتوا بعض تلك الأفراد والمصاديق الذي تحت استطاعتكم وقدرتكم ، فيكون الحديث الشريف أجنبيّا عمّا نحن بصدده ، ويكون تامّ الانطباق على المورد ، لأنّ سؤال ذلك الصحابي كان عن لزوم تكرار الطبيعة وإيجادها في كلّ عام ، أو الاكتفاء بصرف الوجود منها ، والمتعيّن هو هذا الاحتمال وإلاّ يلزم عدم انطباقه على المورد وهو في غاية الركاكة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يقال بأنّ المراد من الشي‌ء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والكلّي ، فيشمل المورد </w:t>
      </w:r>
    </w:p>
    <w:p>
      <w:pPr>
        <w:pStyle w:val="BookText"/>
        <w:rPr/>
      </w:pPr>
      <w:r>
        <w:rPr>
          <w:rFonts w:ascii="Amiri" w:hAnsi="Amiri" w:eastAsia="Amiri" w:cs="Amiri"/>
          <w:color w:val="111111"/>
          <w:sz w:val="28"/>
          <w:sz w:val="28"/>
          <w:szCs w:val="28"/>
          <w:rtl w:val="true"/>
          <w:lang w:bidi="ar-SA"/>
        </w:rPr>
        <w:t>والقاعدة جميعا ، وذلك لتنافي اللحاظين ، فلا يمكن جمعهما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الكلّ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الواحد المركّب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 أيضا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الكلّية القابلة للانطباق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يمكن جمعهما في استعمال واحد ، لما ذكرت من تنافي اللحاظين ، إلاّ أنّه لا مانع من إرادة الجامع بينهما ، إذ ليس بناء على هذا إلاّ لحاظ واحد ، وهو لحاظ الجامع بين الكلّ والكلّي ، لا لحاظ الكلّ والكلّي بخصوصيّتهما كي يكون من الجمع بين اللحاظين المتنافيين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شيخنا الأستاذ قدس سره من عدم إمكان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الكلّ والكلّي كي يكون المعنى كما ذكرنا ، لعدم الجامع بينهما ، لأنّ لحاظ الأفراد يباين لحاظ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ما فيه ، لأنّ لحاظ الجامع بمكان من الإمكان ، إذ الشي‌ء من المفاهيم العامّة ، ومصدر مبنيّ للمفعول وبمعنى المشي وجوده ، ويكون مساوقا للوجود ولمفهوم الموجود في الممكنات ، فكلّ ممكن شي‌ء وجوده فهو موجود ، لعدم تخلّف الإرادة التكوينيّة عن المراد ، وأمّا ما ليس بممكن ، أو كان ولكن لم يشأ وجوده كالعنقاء مثلا فهو معدوم ،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واجب الوجود فهو شي‌ء لا كسائر الأشياء أي ما شي‌ء وجوده ، لأنّ الوجود عين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المركّب من الأجزاء الذي شي‌ء وجوده شي‌ء ، وكذلك الكلّي والطبيعة التي شي‌ء وجودها شي‌ء ، فوجود الجامع بين الكلّ والكلّي من أوضح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أخيرا من عدم صحّة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الأفراد والأجزاء ، وإن 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الكلّ والكلّي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الربط والنسبة التبعيضية بين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فأتوا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الكوز من النهر ، فالمراد أنّ ما ملأ الكوز بعض ماء النهر ، وليس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مستعملة في بعض ماء النهر ، بل استعملت في الربط التبعيضيّة الذي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المقام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الربط الكذائي بين الإتيان والشي‌ء ، وإذا كان المراد من الشي‌ء باعتبار كونه مصداقا للجامع بين الكلّ والكلّي هو الكلّ ، فيكون مصداق تلك النسبة هي الربط التبعيضية في الأجزاء ، وإذا كان المراد بذلك الاعتبار هو الكلّي فيكون المصداق هو الربط المذكور في المصاديق والأفراد ، وإن كان المراد هو الجامع فيشمل كلا الأمرين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المورد من قبيل الكلّي والأفراد لكان مقتضى 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الميزان في استظهار المعاني من الأحاديث والروايات ، بل الآيات أيضا وعليه مدار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 بقرينة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أنّ المورد ليس من قبيل الكلّ والأجزاء ، فلا بدّ وأن نقول بأنّ المراد منه هو الأعمّ من الكلّ والكلّي لكي يندرج فيه المورد ويخرج من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لو قلنا بمقالة صاحب الكفاية قدس سره في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له في الحروف والأسماء واحد كلّ لمرادفه ، </w:t>
      </w:r>
      <w:r>
        <w:rPr>
          <w:rStyle w:val="FootnoteAnchor"/>
          <w:rtl w:val="true"/>
        </w:rPr>
        <w:footnoteReference w:id="114"/>
      </w:r>
      <w:r>
        <w:rPr>
          <w:rFonts w:ascii="Amiri" w:hAnsi="Amiri" w:eastAsia="Amiri" w:cs="Amiri"/>
          <w:color w:val="111111"/>
          <w:sz w:val="28"/>
          <w:sz w:val="28"/>
          <w:szCs w:val="28"/>
          <w:rtl w:val="true"/>
          <w:lang w:bidi="ar-SA"/>
        </w:rPr>
        <w:t xml:space="preserve">فيكون في المقام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البعض الذي هو مفهوم اسميّ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شي‌ء على ما استظهرنا من الحديث من أنّ مفاده اعتبار هذه القاعدة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مفهومه مشترك بين بعض الأجزاء وبعض الأفراد ، فلو كانت ألفاظ الحديث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بمركّب ذي أجزاء أو بطبيعة ذات أفراد فأتوا بعضهما الذي تحت استطاعتكم وقدرتكم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ذلك </w:t>
      </w:r>
    </w:p>
    <w:p>
      <w:pPr>
        <w:pStyle w:val="BookText"/>
        <w:rPr/>
      </w:pPr>
      <w:r>
        <w:rPr>
          <w:rFonts w:ascii="Amiri" w:hAnsi="Amiri" w:eastAsia="Amiri" w:cs="Amiri"/>
          <w:color w:val="111111"/>
          <w:sz w:val="28"/>
          <w:sz w:val="28"/>
          <w:szCs w:val="28"/>
          <w:rtl w:val="true"/>
          <w:lang w:bidi="ar-SA"/>
        </w:rPr>
        <w:t>المركّب المأمور به ليس تمام أجزائه تحت قدرة المكلّف واستطاعته ، ولا تمامها خارج عن تحت قدرته ، بل يقدر على إتيان البعض دون البعض الآخر ، وكذلك في الطبيعة المأمور بها قادر على إتيان بعض الأفراد دون بعضها ، فهل يشكّ أحد في أنّ المراد به إتيان أجزاء المقدورة من ذلك المركّب والأفراد المقدورة من تلك الطبيعة؟</w:t>
      </w:r>
    </w:p>
    <w:p>
      <w:pPr>
        <w:pStyle w:val="BookText"/>
        <w:rPr/>
      </w:pPr>
      <w:r>
        <w:rPr>
          <w:rFonts w:ascii="Amiri" w:hAnsi="Amiri" w:eastAsia="Amiri" w:cs="Amiri"/>
          <w:color w:val="111111"/>
          <w:sz w:val="28"/>
          <w:sz w:val="28"/>
          <w:szCs w:val="28"/>
          <w:rtl w:val="true"/>
          <w:lang w:bidi="ar-SA"/>
        </w:rPr>
        <w:t>هذا تمام الكلام في الحديث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الحديث المرويّ عن أمير المؤمنين علیه السلام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فهو في دلالته على المطلوب أوضح ، لأنّ ظاهر هذا الكلام أنّ الميسور من كلّ ما أمر به الشارع الأقدس لا يسقط بواسطة سقوط المعسور من ذلك الشي‌ء ، فإذا أمر بالصلاة أو بعبادة أخرى ، فكان بعض أجزاء تلك العبادة معسورا وسقط التكليف عنه بواسطة تعسّره أو تعذّره ، فلا يوجب سقوط هذا البعض سقوط البعض الميسور من تلك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عين مفاد هذه القاعدة ، وليس ها هنا مورد مثل الحديث النبويّ صلی اللّه علیه و آله كي يأتي الإشكال المذكور فيه ، فيحتاج إلى الأجوبة التي تقدّمت ، أو إلى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يمكن أن يكون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الأجزاء والأفراد ، فباعتبار كونه الميسور من المركّب يكون الأجزاء غير المتعذّرة أو غير المتعسّرة ميسورة ، وباعتبار إضافته إلى الطبيعة الكليّة يكون ميسورها هو الأفراد غير المتعذّرة ، فيشمل كلا الأمرين ، ولا وجه لتخصيصه بأحدهما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إتيان بعض أجزائها دون البعض الآخر يشملها هذا الحديث ، فكذلك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السادات أو العلماء ، والمكلّف متمكّن من إكرام بعض دون بعض ، فلا يسقط وجوب إكرام الأفراد الميسور إكرامهم بواسطة تعذّر إكرام الآخرين أو تعسّره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هذه الرواية تشمل المستحبّات كما تشمل الواجبات ، فلو كان في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أذكارها المستحبّة ميسور له دون البعض الآخر ، فبتعذّر ذلك البعض لا يسقط البعض الميسور عن موضوعيّته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السقوط عبارة عن ارتفاع حكم المعسور ، إذ لا معنى لارتفاع نفس المعسور ، فنفي السقوط عبارة عن عدم ارتفاع حكم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النفي في النفي إثبات ، فيكون معنى الرواية أنّ حكم الميسور من كلّ شي‌ء باق ، ولا يسقط بسقوط حكم المعسور ، فإن كان حكمه الاستحباب فاستحبابه باق ، وإن كان الوجوب فوجوبه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المنفي إن كان هو اللزوم فلا تشمل الرواية المستحبّات ، لأنّ الأجزاء الميسورة من المستحبّات لا لزوم لها كي يحكم الشارع بعدم ارتفاعها ، فتكون الرواية مختصّة بالواجبات ، وإن كان المنفي هو مطلق المطلوبيّة والرجحان ، فلا يثبت بها لزوم الإتيان بالميسور ، ويدلّ على أنّ الإتيان به راجح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ما يراد من الرواية ، لأنّ المقصود إثبات وجوب الباقي بعد تعذّر بعض أجزاء المركّب إن كان واجبا ، وبناء على التعميم استحباب الباقي بعد تعذّر البعض إن كان المركّب مستحبّا فلا بدّ وأن نقول بأنّ المنفي هو ارتفاع الوجوب عن الباقي بعد تعذّر بعض أجزاء المركّب ، فتكون الرواية مختصّة بالواجبات ولا تشمل المستحبّات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هو سقوط موضوعيّة الميسور لحكمه السابق قبل حدوث التعذّر ، أو موضوعيّته لحكمه على تقدير عدم تعذّر بعض الأجزاء ، ولا فرق في ذلك بين أن يكون ذلك الحكم على تقدير عدم تعذّر بعض الأجزاء هو الاستحباب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الموضوعيّة للحكم الشرعي من الأحكام الوضعيّة القابلة للجعل التشريعي ، فيكون أمر وضعها ورفعها بيد الشارع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الواضح الجليّ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إخبارا عن أمر خارجي ، بل هو في مقام التشريع يحكم ببقاء موضوعيّة الميسور من كلّ مركّب كان موضوعا لحكم شرعي على ما كان ، وعدم سقوط موضوعيّته بتعذّر بعض أجزائه ، سواء كان حكمه السابق هو الوجوب ، أو كان هو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حكمه السابق هو كان الوجوب النفسي الضمني ، وهو في ضمن وجوب الكلّ ، فإذا ارتفع الوجوب عن الكلّ لتعذّر بعض أجزائه فيرتفع ذلك الوجوب الضمني عن الباقي قهرا ، ولو كان هناك بعد ذلك وجوب فهو الوجوب النفسي الاستقلالي ، وهو غير ذلك الوجوب الضمني ، فموضوعيّته ارتفع قهرا ولا معنى لعدم سقوطه ، ولو فرضنا أنّه كان له مثل الحكم السابق ، فهذا حكم جديد وموضوعيّة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في بعض صور جريان الاستصحاب في هذه المسألة ، أنّه على تقدير وجوب الباقي بعد تعذّر بعض الأجزاء فليس هذا وجوبا آخر ، بل هو عين الوجوب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ضمنيّا في السابق واستقلاليّا بعد حدوث تعذّر بعض الأجزاء لا يوجب تغيّرا في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والضمنيّة والاستقلاليّة مفهومان ينتزعان عن وجوب ما عدا الباقي وعدم وجوبه ، وبهذا الوجه أجرينا الاستصحاب الشخصي ، واعتمدنا عليه ودفعنا جميع الإشكالات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ظهر لك دلالة هذه الرواية على مفاد هذه القاعدة ، وشمولها للمركّب الواجب والمستحبّ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مقام إجراء هذه القاعدة كسائر القواعد إحراز موضوعها ، وتشخيص أنّ الباقي بعد تعذّر البعض ميسور ذلك المركّب الكلّ ، لأنّ موضوع الحكم بعدم السقوط هو كون الباقي المتمكّن منه ميسورا لذلك المركّب ، فلا بدّ وأن يكون من مراتب ذلك المركّب ، غاية الأمر ولو كان إحدى مراتب النازلة منه كي </w:t>
      </w:r>
    </w:p>
    <w:p>
      <w:pPr>
        <w:pStyle w:val="BookText"/>
        <w:rPr/>
      </w:pPr>
      <w:r>
        <w:rPr>
          <w:rFonts w:ascii="Amiri" w:hAnsi="Amiri" w:eastAsia="Amiri" w:cs="Amiri"/>
          <w:color w:val="111111"/>
          <w:sz w:val="28"/>
          <w:sz w:val="28"/>
          <w:szCs w:val="28"/>
          <w:rtl w:val="true"/>
          <w:lang w:bidi="ar-SA"/>
        </w:rPr>
        <w:t>يصدق عليها أنّها ميسورة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كان المراد من الميسور هو الميسور من نفس المركّب ، مثلا الميسور من الوضوء أو الغسل بعد تعذّر بعض أجزائهما هو مرتبة منهما دون المرتبة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أو الغسل مع المسح على الجبيرة في بعض أعضائهما مرتبة نازلة من الوضوء أو الغسل دون المرتبة الكاملة منهما ، التي في الوضوء عبارة عن غسل تمام بشرة الوجه واليدين من المرفق إلى رؤوس الأصابع ومسح الرأس والرجلين ، وفي الغسل عبارة عن إحاطة الماء على تمام بشرة البدن ، فالميسور من مركّب هو وجود مرتبة من ذلك المركّب وإلاّ إن لم يصدق عليه عنوان ذلك المركّب وكان أمرا مباينا له ، فلا يصدق عليه أنّه ميسورة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فيرد ها 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تشخيص هذا المعنى في الموضوعات العرفيّة ممكن غالبا ، لأنّ مفاهيم المركّبات العرفيّة غالبا معلوم عند العرف ، وأنّ الجزء المتعذّر هل له دخل في التسمية بحيث أنّه مع عدمه ينعدم المركّب ولا يصدق على الباقي عنوان ذلك المركّب ، أم ليس كذلك وليس له دخل في التسمية ، بل الجزء الفاقد يوجب سلب الكمال لا سلب أصل الحقيقة ، فإذا كان من القسم الأوّل فليس من ميسور المركّب ولا يشمله القاعدة ، بخلاف القسم الثاني فيصدق عليه أنّه ميسورة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المركّب الكلّ من الموضوعات الشرعيّة ، كالصلاة والصوم والحجّ ، بل وكالوضوء والغسل والتيمم ، فإذا تعذّر إيجاد بعض أجزاء هذه المذكورات ، أو بعض شرائطها ، أو تعذّر ترك بعض موانعها ، فإطلاق الميسور على الباقي المتمكّن منها لا يخلو من إشكال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عدم طريق للعرف إلى معرفة أنّ هذا الجزء أو الشرط المتعذّر وجودهما ، أو أنّ هذا المانع المتعذّر تركه هل له دخل في تحقّق ماهيّة هذا المركّب ، بحيث لو لم يكن في مورد تعذّر الجزء والشرط أو كان في مورد تعذّر ترك المانع لا </w:t>
      </w:r>
    </w:p>
    <w:p>
      <w:pPr>
        <w:pStyle w:val="BookText"/>
        <w:rPr/>
      </w:pPr>
      <w:r>
        <w:rPr>
          <w:rFonts w:ascii="Amiri" w:hAnsi="Amiri" w:eastAsia="Amiri" w:cs="Amiri"/>
          <w:color w:val="111111"/>
          <w:sz w:val="28"/>
          <w:sz w:val="28"/>
          <w:szCs w:val="28"/>
          <w:rtl w:val="true"/>
          <w:lang w:bidi="ar-SA"/>
        </w:rPr>
        <w:t>يوجد ماهيّة هذا المركّب ولو مرتبة ضعيفة منها ، ولا يصدق عنوان هذا المركّب الكلّ على الباقي المتمكّن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دخل الجزء أو الشرط الكذائي في تأثير المركّب في الأثر المطلوب منه بحيث لو لم يكن لا أثر له أصلا لا يعرف إلاّ من بيان نفس الشارع ، فلا طريق إلى معرفة أنّه بعد بعض الأجزاء أو بعض الشرائط وجودا ، أو تعذّر بعض الموانع عدما إلاّ من طرف نفس الشارع الذي هو جاعله للوصول إلى الغرض المطلوب منه ، فلو لم يكن بيان من قبل الشارع لما كان يعرف العرف أنّ الحاجّ الذي يتحمّل المشاقّ ويأتي بجميع أعمال الحجّ من الإحرام والسعي والطواف وصلاته وأعمال منى جميعا ، ولكن لم يقف في وادي العرفات ولا في المشعر ، فهذا لم يحصل له الحجّ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أتى بجميع أجزاء الصلاة وشرائطها وترك موانعها ، إلاّ أنّه ترك شرطا واحدا وهو أنّه أتى بها مثلا خمس دقائق قبل الوقت لا صلاة له ولو كانت مرتبة ضعيفة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الأجزاء الركنيّة وكذلك شرائطها لا طريق إليها إلاّ من طرف بيان الشارع ، فبناء على هذا لا يمكن إحراز موضوع قاعدة الميسور في الموضوعات والمهيّات المخترعة من قبل الشارع ، فلا يمكن إجرائها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أجزاء تلك العبادات ربما تكون من الموضوعات العرفيّة ، كالقيام والركوع والسجود في الصلاة ، وغسل البشرة في الوضوء أو الغسل ، والوقوف والسعي في الحجّ ، وأمثال ذلك ، فيمكن إجراء القاعدة في نفس هذا الجزء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القيام أو الركوع لكلّ واحد منهما مراتب عند العرف ، فإذا لم يتمكّن من المرتبة العليا منهما فلا يسقطان بالمرّة ، بل على المكلّف أن يأتي بالمرتبة النازلة منهما التي يتمكّن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سائر الأجزاء والشرائط ، فلا نطيل الكلام أزيد </w:t>
      </w:r>
    </w:p>
    <w:p>
      <w:pPr>
        <w:pStyle w:val="BookText"/>
        <w:rPr/>
      </w:pP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كلّ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عدم إمكان إحراز موضوع قاعدة الميسور في المهيّات المخترعة عن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إذا كان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المذكورة الميسور من المركّب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منه الميسور من أجزائه لا نفس المركّب ، فلا يأتي هذا الإشكال ، لأنّ الميسور من الأجزاء أمر عرفي يفهمه كلّ أحد ، فالمركّب عن عدّة أمور لو تعذّر بعض أجزائه ، فالباقي من الأجزاء الذي تحت قدرته وهو متمكّن من إتيانه يصدق عليه أنّه الميسور من أجزاء ذلك المركّب ، سواء صدق عليه عنوان ذلك المركّب أو 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المراد من الميسور في مقام الإثبات هل هو ميسور المركّب أو الميسور من الأجزاء؟</w:t>
      </w:r>
    </w:p>
    <w:p>
      <w:pPr>
        <w:pStyle w:val="BookText"/>
        <w:rPr/>
      </w:pPr>
      <w:r>
        <w:rPr>
          <w:rFonts w:ascii="Amiri" w:hAnsi="Amiri" w:eastAsia="Amiri" w:cs="Amiri"/>
          <w:color w:val="111111"/>
          <w:sz w:val="28"/>
          <w:sz w:val="28"/>
          <w:szCs w:val="28"/>
          <w:rtl w:val="true"/>
          <w:lang w:bidi="ar-SA"/>
        </w:rPr>
        <w:t xml:space="preserve">والإنصاف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 من هذه الجهة ، لأنّ كلّ واحد منهما يصدق عليه الميسور ، ولكن إرادة الميسور من الأجزاء منه بعيد جدّا ، لأنّ الميسور من الأجزاء يصدق على جزء واحد من المركّب الذي يكون أجزائه عشرين مثلا وتعذّر تسعة عشر منها وبقي واحد منها تحت التمكّن ، فيقال وجوب هذا الواحد لا يسقط بتعذّر باقي الأجزاء ، فهذا في غاية البعد من ظاهر هذا الكلام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على هذه القاعدة في غاية الوضوح ، لأنّ ظاهر هذا الكلام أنّ الشي‌ء الذي لا يمكن الإتيان بجميعه لا يجوز ترك جميعه ، بل يجب الإتيان بالمقدار الذي يمكنه أن يدركه ويكون تحت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أن يكون المراد من الموصول خصوص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أفراده المتعدّدة كي 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 يمكنه إدراك جميع أفراد الطبيعة التي أمر بها لا يجوز له ترك جميع تلك الأفراد ، بل يجب عليه أن يأتي بالمقدار المقدور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أصلا ، لأنّ ظهور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 أقوى من ظهورها في خصوص </w:t>
      </w:r>
      <w:bookmarkStart w:id="122" w:name="pg15937_235052"/>
    </w:p>
    <w:p>
      <w:pPr>
        <w:pStyle w:val="BookText"/>
        <w:rPr/>
      </w:pPr>
      <w:bookmarkEnd w:id="122"/>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يقال إطلاق لفظ الكلّ في الجملتين يشمل كلّ أجزاء المركّب المأمور به ، وكلّ أفراد الكلّي الذي أمر به ، وأمّا تخصيصه بكلّ أفراد الكلّي يكون بلا مخصّص وليس له وجه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ممّا ذكرنا أنّه إن كان إشكال في دلالة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القاعدة لما ذكرنا ، لكن لا إشكال في دلالة الروايتين الأولى والثالثة عليها ، وفيهما غنى وكفاية</w:t>
      </w:r>
      <w:r>
        <w:rPr>
          <w:rFonts w:eastAsia="IRNazanin" w:cs="IRNazanin"/>
          <w:color w:val="111111"/>
          <w:sz w:val="28"/>
          <w:szCs w:val="28"/>
          <w:rtl w:val="true"/>
          <w:lang w:bidi="fa-IR"/>
        </w:rPr>
        <w:t>.</w:t>
      </w:r>
    </w:p>
    <w:p>
      <w:pPr>
        <w:pStyle w:val="Heading3"/>
        <w:numPr>
          <w:ilvl w:val="2"/>
          <w:numId w:val="1"/>
        </w:numPr>
        <w:rPr/>
      </w:pPr>
      <w:bookmarkStart w:id="123" w:name="__RefHeading___Toc16073368_2142443653"/>
      <w:bookmarkStart w:id="124" w:name="_Toc39"/>
      <w:bookmarkEnd w:id="123"/>
      <w:r>
        <w:rPr>
          <w:rtl w:val="true"/>
        </w:rPr>
        <w:t xml:space="preserve">الجهة الثالثة </w:t>
      </w:r>
      <w:r>
        <w:rPr>
          <w:rtl w:val="true"/>
        </w:rPr>
        <w:t xml:space="preserve">: </w:t>
      </w:r>
      <w:r>
        <w:rPr>
          <w:rtl w:val="true"/>
        </w:rPr>
        <w:t>في موارد تطبيقها</w:t>
      </w:r>
      <w:bookmarkEnd w:id="12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تطبيقها في المسائل الفقهيّة كثيرة واستقصائها لا مجال له في هذا المختصر ، ولكن نذكر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أغلب موارد تطبيق هذا القاعدة ممّا نذكرها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لم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أدلّة خاصّة على لزوم الإتيان بالباقي الميسور في الواجبات ، وعلى استحبابه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تعذّر تعدّد الغسل في المتنجّس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التثنية في البول فيما إذا غسل بالماء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متمكّن من غسله مرّة واحدة ، فهل يجب لأثر تخفيف النجاسة أم لا؟ الظاهر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الإناء ولغ فيه الكلب والخنزير ولا يقدر على التعفير ، فهل يجب غسله بالماء القراح وحده بهذه القاعدة أم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جريان القاعدة ولزوم الإتيان بالمقدار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في هذين الموردين أنّ الشارع جعل سبب التطهير هو التعدّد في البول والغسل مع التعفير </w:t>
      </w:r>
    </w:p>
    <w:p>
      <w:pPr>
        <w:pStyle w:val="BookText"/>
        <w:rPr/>
      </w:pPr>
      <w:r>
        <w:rPr>
          <w:rFonts w:ascii="Amiri" w:hAnsi="Amiri" w:eastAsia="Amiri" w:cs="Amiri"/>
          <w:color w:val="111111"/>
          <w:sz w:val="28"/>
          <w:sz w:val="28"/>
          <w:szCs w:val="28"/>
          <w:rtl w:val="true"/>
          <w:lang w:bidi="ar-SA"/>
        </w:rPr>
        <w:t>في الولوغ ، فإذا لم يوجد السبب لا يوجد المسبّب ، ويبقى الإناء على نجاسته في مسألة الولوغ ، والثوب المتنجّس على نجاسته في مسألة المتنجّس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وجوب الغسل في المسألتين مقدّميّ ، وتحصيل طهارة الثوب وطهارة الإناء ليستعمل فيما هو مشروط بالطهارة ، فإذا علم بعدم حصول الطهارة بدون التعدّد في البول وبدون التعفير في الولوغ ، فيكون الغسل الواحد في الأوّل وبدون التعفير في الثاني لغوا وبلا فائدة ، فلا معنى لأن يكونا واجبين بالوجوب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بأنّهما يوجبان التخفيف في النجاسة ويرفعان مرتبة منها ، ولا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مقدار الذي عيّن الشارع من الدلاء في نزح البئر لوقوع النجاسات فيها ، ولكن يمكن له نزح بعض ذلك المقدار ، فهل تجري قاعدة الميسور لوجوب نزح مقدار الممكن إن قلنا بوجوب النزح ، أو لاستحبابه بناء على القول باستحبابه وبناء على القول بجريانها في المستحبّات ، كما 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جريانها إلاّ على الإشكال المتقدّم من كون وجوب النزح وجوبا مقدّميّا ، ومع عدم حصول ذي المقدمة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الإشكال هو الجواب المتقدّم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الميسور على تقدير شمولها للمستحبّات تجري في الواجبات والمستحبّات النفسيّة ، وأمّا جريانها في الواجبات المقدّميّة مع العلم بأنّ هذا المقدار الميسور من المقدّمة لا تأثير له في إيجاد ذي المقدّمة مشكل جدّا ، بل في بعض الموارد يكون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تعذّر السدر والكافور في غسل الميّت ، فهل يجب الغسل بالماء القراح باعتبار أنّه الميسور من الغسل مع الخليط بأحدها ، أم 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جريان القاعدة ها هنا بدون إشكال في البين ، لأنّ هذا الغسل واجب نفسيّ ، فلا مانع من أن يكون الواجب والمطلوب أغسال ثلاثة بالماء القراح ، أحدها </w:t>
      </w:r>
    </w:p>
    <w:p>
      <w:pPr>
        <w:pStyle w:val="BookText"/>
        <w:rPr/>
      </w:pPr>
      <w:r>
        <w:rPr>
          <w:rFonts w:ascii="Amiri" w:hAnsi="Amiri" w:eastAsia="Amiri" w:cs="Amiri"/>
          <w:color w:val="111111"/>
          <w:sz w:val="28"/>
          <w:sz w:val="28"/>
          <w:szCs w:val="28"/>
          <w:rtl w:val="true"/>
          <w:lang w:bidi="ar-SA"/>
        </w:rPr>
        <w:t>هو المشروع الأوّلي بجعله كذلك ، واثنان منها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الكفّارات لو تعذّر عتق الرقبة المؤمنة ، ولكنّه متمكّن من عتق غير المؤمنة ، فهل يجب بقاعدة الميسور ، أم لا؟</w:t>
      </w:r>
    </w:p>
    <w:p>
      <w:pPr>
        <w:pStyle w:val="BookText"/>
        <w:rPr/>
      </w:pPr>
      <w:r>
        <w:rPr>
          <w:rFonts w:ascii="Amiri" w:hAnsi="Amiri" w:eastAsia="Amiri" w:cs="Amiri"/>
          <w:color w:val="111111"/>
          <w:sz w:val="28"/>
          <w:sz w:val="28"/>
          <w:szCs w:val="28"/>
          <w:rtl w:val="true"/>
          <w:lang w:bidi="ar-SA"/>
        </w:rPr>
        <w:t>الظاهر جريانها ووجوب عتق الرقبة غير المؤمنة ، بناء على جريانها في الواجب المقيّد بقيد فيما إذا تعذّر قيده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يقال بأنّ المقيّد بقيد إذا تعلّق به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المثال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ففاقد ذلك القيد يباين الواجد له ، فليس بميسورة كي تشمله قاعدة الميسور ، كما أنّ ظاهر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فأتو منه ما استطعتم </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هو أن يكون المستطاع بعضا خارجيّا لذلك الشي‌ء الذي أمر به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الأمر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ويكون مفاده لزوم الإتيان بالبعض الخارجي لذلك الكلّ المأمور به ، وفاقد القيد ليس بعضا خارجيّا لواجد القيد ، بل هو بعض تحليلي له ، وذلك من جهة أنّ القيد مع ذات المقيّد لهما وجود واحد ، لا أنّ لكلّ واحد منهما وجود حتّى يكون من قبيل المركّب الخارجي والكلّ وجزئه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يشمله أدلّة قاعدة الميسور ، إذ ليس مجموع القيد والمقيّد كلاّ خارجيّا بالنسبة إلى ذات المقيّد وحدها ، ولا أنّ ذات المقيّد جزء خارجي للمجموع ، ولا أنّه ميسورة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قالوا في بيع الجارية المغنّية بالبطلان وعدم كونه من باب تبعّض الصفقة ، كلّ ذلك من جهة أنّ ذات المقيّد مع قيده موجودان بوجود واحد في الخارج ، لا أنّ لكلّ واحد منهما وجود يخصّه ، فالتركيب بينهما اتّحادي لا انضمامي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ليست على نسق واحد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 من قبيل الفصل ، وذات المقيّد من قبيل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أمره أن يأتي بحيوان ناطق ، وهو لا يقدر على الإتيان بهذا القيد ، ويقدر على إتيان الحيوان غير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في هذا القسم من القيد والمقيّد لا تجري قاعدة الميسور ، لعين ما ذكره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التركيب بين القيد والمقيّد في هذا القسم اتّحادي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المعرّف لموضوع الحكم وإن كان عرضيّا ، كالجارية الروميّة ، فالقيد في هذا القسم وإن لم يكن منوّعا لذات المقيّد عقلا ، بل أضافه عرضيّة لها ، ولكن ليس أيضا عند العرف عرضا منضما إليها ، وإن كان بحسب الدقّة العقليّة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القسم أيضا لا تجري قاعدة الميسور ، فإذا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جارية روميّة ، وهو لا يقدر على ذلك ولكن يقدر على عتق جارية حبشيّة ، فالعرف يرى هذا الأخير مباينا للمأمور به ، فلا تجري هذه القاعدة ها هنا ، وذلك من جهة أنّ الجارية الحبشيّة ليست ميسور الجارية الروميّة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تشخيص المفاهيم هو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وبحسب متفاهمهم أيضا يكون وجود القيد خصوصيّة زائدة على وجود ذات المقيّد ، كما في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القسم الظاهر جريان هذه القاعدة ، فإذا أمر المولى بالصلاة الجهريّة وهو لا يقدر على إتيانها جهرا لجهة من الجهات ، فهل ترضى من نفسك بأن تقول بعدم كون الصلاة الغير الجهريّة ميسور الصلاة الجهريّة ، ولا يجب عليه شي‌ء حتّى مع قطع النظر عن الأدلّة الخارجيّة وأنّها لا تترك بحال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العرف يرى الصلاة شيئا ، وكونا جهرا شيئا خارجيّا زائدا على ذات الصلاة ومن الصفات العارضة عليها ، ويرى التركيب بينهما انضماميّا ، </w:t>
      </w:r>
    </w:p>
    <w:p>
      <w:pPr>
        <w:pStyle w:val="BookText"/>
        <w:rPr/>
      </w:pPr>
      <w:r>
        <w:rPr>
          <w:rFonts w:ascii="Amiri" w:hAnsi="Amiri" w:eastAsia="Amiri" w:cs="Amiri"/>
          <w:color w:val="111111"/>
          <w:sz w:val="28"/>
          <w:sz w:val="28"/>
          <w:szCs w:val="28"/>
          <w:rtl w:val="true"/>
          <w:lang w:bidi="ar-SA"/>
        </w:rPr>
        <w:t>وإن كان العرض يتّحد مع الذات بعد أخذه لا بشرط وجعله بصورة المشتقّ لا بصورة مبدأ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 بيع الجارية المغنّية من قبيل تبعّض الصفقة ، فليس من جهة عدم كون وصف الغناء أمرا زائدا على الذات ، بل من جهة عدم الانحلال عند العرف إلى كون الذات مبيعا والوصف مبيعا آخر ، بل العرف يرى الذات المتّصفة بهذا الوصف مبيعا واحدا ، كما أنّ الجارية مع أنّه لها أجزاء يقينا ، من الرأس واليد والرجل وغيرها من سائر الأعضاء ، ومع ذلك لا ينحلّ إلى بيوع متعدّدة بعدد الأعضاء ، وذلك كلّه لأنّ العرف والعقلاء يرون المجموع مبيعا واحدا غير قابل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باعتبار كسور المشاع يرونها بيوعا متعدّدة ، فلو ظهر أنّ نصف هذه الجارية ملك لغير البائع أو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بإمكان ذلك وعدم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إلى بيعين ، ويكون من باب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لو تعلّق الوجوب بذات متّصفة بصفة عرضيّة ، وكانت تلك الصفة من الأعراض الخارجيّة المحمولات بالضمائم ، وتعذّر تلك الصفة ، ولم تكن تلك الصفة عنوانا معرفة لذلك الشي‌ء ، ولم يكن منوّعا له عند العرف ، فبتعذّرها لا يسقط الوجوب أو الاستحباب عن ذلك الذات ، وتجري فيها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باب الكفّارات في عدد الأيّام في الصوم الذي جعل كفارة ، فلو لم يقدر على تمام العدد ولكن قدر على بعضها ، فهل تجري قاعدة الميسور ويحكم بوجوب المقدار المقدور منه ، أم لا فيسقط وجوب الباقي؟</w:t>
      </w:r>
    </w:p>
    <w:p>
      <w:pPr>
        <w:pStyle w:val="BookText"/>
        <w:rPr/>
      </w:pPr>
      <w:r>
        <w:rPr>
          <w:rFonts w:ascii="Amiri" w:hAnsi="Amiri" w:eastAsia="Amiri" w:cs="Amiri"/>
          <w:color w:val="111111"/>
          <w:sz w:val="28"/>
          <w:sz w:val="28"/>
          <w:szCs w:val="28"/>
          <w:rtl w:val="true"/>
          <w:lang w:bidi="ar-SA"/>
        </w:rPr>
        <w:t>الظاهر أنّها تجري ويحكم بوجوب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لم يكن للصوم عدل لا تخييرا ولا ترتيبا واضح ، لأدلّة القاعدة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له عدل بأحد الوجهين ، فإن كان تخييرا كما فيما إذا أفطر في نهار شهر </w:t>
      </w:r>
    </w:p>
    <w:p>
      <w:pPr>
        <w:pStyle w:val="BookText"/>
        <w:rPr/>
      </w:pPr>
      <w:r>
        <w:rPr>
          <w:rFonts w:ascii="Amiri" w:hAnsi="Amiri" w:eastAsia="Amiri" w:cs="Amiri"/>
          <w:color w:val="111111"/>
          <w:sz w:val="28"/>
          <w:sz w:val="28"/>
          <w:szCs w:val="28"/>
          <w:rtl w:val="true"/>
          <w:lang w:bidi="ar-SA"/>
        </w:rPr>
        <w:t>رمضان متعمّدا بلا عذر بالحلال ، فبعد تعذّر إحدى الخصال الثلاث بتعيّن الآخران ، ولا تصل النوبة إلى إجراء قاعدة الميسور بالنسبة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العدل ترتيبا ، كما في كفّارة الظهار ، فإنّ إطعام ستّين مسكين جعل عدلا لصيام شهرين متتابعين بعد عدم استطاعة الصيام والعجز عنه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ففي هذا القسم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النوبة إلى العدل بعد العجز عن تمام مراتب السابقة لا العجز عن خصوص المرتبة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الترتيب بين المرتبة التامّة وما رتّب عليها ، لا تمام مراتب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بعض المستحبّات من قراءة السور المتعدّدة ، كما ورد في عمل أمّ داود ، أو السورة الواحدة مرّات كثيرة محدودة بحدّ كعشرة أو مائة أو ألف سورة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أعمال ليلة القدر ، أو بعض ليالي الآخر من شهر رمضان المبارك ، أو ليلة النصف من شعبان أو الأذكار الواردة في صلاة الليل من الاستغفار وغيره ، أو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الحسين وأصحابه وأولاده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عاشوراء ، فلو لم يقدر على إتيان الجميع في الجميع ، ولكن قدر على إتيان البعض في جميع ما ذكرنا وغير ما ذكرنا من المستحبّات الكثيرة المشتملة على الأذكار المتعدّدة ، فهل تجري قاعدة الميسور ، أم لا بناء على ما اخترناه من تعميم القاعدة ، وشمولها للواجبات والمستحبّات؟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جريانها ، فتعذّر البعض لا يوجب سقوط الاستحباب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لو تعذّر عليه الاستغفار سبعين مرّة في صلاة الليل مثلا ويقدر على ثلاثين </w:t>
      </w:r>
    </w:p>
    <w:p>
      <w:pPr>
        <w:pStyle w:val="BookText"/>
        <w:rPr/>
      </w:pPr>
      <w:r>
        <w:rPr>
          <w:rFonts w:ascii="Amiri" w:hAnsi="Amiri" w:eastAsia="Amiri" w:cs="Amiri"/>
          <w:color w:val="111111"/>
          <w:sz w:val="28"/>
          <w:sz w:val="28"/>
          <w:szCs w:val="28"/>
          <w:rtl w:val="true"/>
          <w:lang w:bidi="ar-SA"/>
        </w:rPr>
        <w:t>مثلا فليأت به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والفروع لهذه القاعدة كثيرة لا يمكن استقصاؤها في هذا المختصر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125" w:name="pg15937_2350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6073370_2142443653"/>
      <w:bookmarkStart w:id="127" w:name="_Toc40"/>
      <w:bookmarkEnd w:id="125"/>
      <w:bookmarkEnd w:id="126"/>
      <w:r>
        <w:rPr/>
        <w:t>41</w:t>
      </w:r>
      <w:r>
        <w:rPr>
          <w:rtl w:val="true"/>
        </w:rPr>
        <w:t xml:space="preserve"> - </w:t>
      </w:r>
      <w:r>
        <w:rPr>
          <w:rtl w:val="true"/>
        </w:rPr>
        <w:t>قاعدة السوق</w:t>
      </w:r>
      <w:bookmarkEnd w:id="1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5937_235061"/>
      <w:bookmarkStart w:id="129" w:name="pg15937_235061"/>
      <w:bookmarkEnd w:id="129"/>
    </w:p>
    <w:p>
      <w:pPr>
        <w:pStyle w:val="BookText"/>
        <w:rPr/>
      </w:pPr>
      <w:bookmarkStart w:id="130" w:name="pg15937_235061"/>
      <w:bookmarkEnd w:id="130"/>
      <w:r>
        <w:rPr>
          <w:rFonts w:ascii="Amiri" w:hAnsi="Amiri" w:eastAsia="Amiri" w:cs="Amiri"/>
          <w:color w:val="111111"/>
          <w:sz w:val="28"/>
          <w:sz w:val="28"/>
          <w:szCs w:val="28"/>
          <w:rtl w:val="true"/>
          <w:lang w:bidi="ar-SA"/>
        </w:rPr>
        <w:t xml:space="preserve">قاعدة السوق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أمارة على التذكية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073372_2142443653"/>
      <w:bookmarkStart w:id="132" w:name="_Toc41"/>
      <w:bookmarkEnd w:id="131"/>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132"/>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سيرة المسلمين والمؤمنين على أنّهم يدخلون الأسواق ويشترون اللحوم والجلود من دون السؤال عن أنّها ميتة أو مذكّى ، حتّى أنّ صاحب الشريعة صلی اللّه علیه و آله ، والأئمّة المعصومين علیهم السلام أيضا كانوا كذلك ، وهذا شي‌ء لا يقبل الإنكار ، ولم يرد عنهم علیهم السلام ردع عن هذه السيرة ، بل هم أنفسهم علیهم السلام كانوا كسائر المسلمين يعملون بها ، فيدخلون سوق النخاسين ويشترون العبيد والإماء ، من دون أن يسألوا ويفتشوا هل هم أحرار قهروا فيبيعونهم ، أو عبيد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أنّه قال علیه السلام في رواية حفص بن غياث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يجز هذا لم يقم للمسلمين سوق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وظاهر هذه العبارة أنّ الاعتناء بهذه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عدم التذكية في </w:t>
      </w:r>
    </w:p>
    <w:p>
      <w:pPr>
        <w:pStyle w:val="BookText"/>
        <w:rPr/>
      </w:pPr>
      <w:r>
        <w:rPr>
          <w:rFonts w:ascii="Amiri" w:hAnsi="Amiri" w:eastAsia="Amiri" w:cs="Amiri"/>
          <w:color w:val="111111"/>
          <w:sz w:val="28"/>
          <w:sz w:val="28"/>
          <w:szCs w:val="28"/>
          <w:rtl w:val="true"/>
          <w:lang w:bidi="ar-SA"/>
        </w:rPr>
        <w:t xml:space="preserve">اللحوم والجلود ، واحتمال كونهم أحرار في العبيد والإماء ، واحتمال كونه مال الغير وأنّه سرق أو غصب في سائر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تعطيل الأسواق ، واختلال أمر المسلمين في معاملاتهم ، وهذا أمر مرغوب عنه عند الشارع ، فعدم الاعتناء بأسواق المسلمين وترتيب الأثر على هذه الوساوس منفور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حجّية السوق ، فإنّه من قديم الزمان لم يشكّك أحد في حجّية السوق وفي أنّها أمارة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ولكنّك عرفت ما ذكرنا مرارا من عدم اعتبار مثل هذه الإجماعات التي لها مدارك للمتّفقين يعتمدون عليها ، وليس من الإجماع المصطلح الذي بنينا في الأصول على حجّيته ، وكشفه عن رأي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الخفاف التي تباع في السوق؟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وصلّ فيها حتّى تعلم أنّه ميتة بعينه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الفراغ من أنّ الظاهر أنّ المراد من السوق هو سوق المسلمين ، فأمره علیه السلام باشتراء تلك الخفاف المشكوكة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مأخوذة من المذكّى أو من الميتة والصلاة فيها حتّى تعلم بأنّها مصنوعة من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السوق أمارة التذكية ، إلاّ أن تعلم بخلافها ، وإلاّ فمقتضى أصالة عدم التذكية التي هي من الأصول التنزيليّة هو عدم جواز شرائها ، وعدم جواز الصلاة فيها ، فلا بدّ وأن يكون هناك أمارة حاكمة على ذلك الأصل ، وليست هي إلاّ السوق حسب المتفاهم العرفي من نفس هذه الرواية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علیه السلام بالاشتراء والصلاة فيها حكم ظاهري مجعول للشاكّ ، حتّى يعلم من قبيل أصالة الطهارة ، لأنّه لو كان كذلك لكان استصحاب عدم التذكية حاكما على ذلك الأصل غير التنزيلي ، وعلى فرض عدم حجّية الاستصحاب نفس أصالة عدم التذكية تجري ، لأدلّة خاصّة ، فلا يبقى محلّ لذلك الحكم الظاهري الموهوم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بناء على مسلك صاحب المدارك قدس سره من أنّ أصالة عدم التذكية ليست أصلا برأسها ، وإنّما هو نفس الاستصحاب في مورد الشكّ في التذكية ، والاستصحاب ليس بحجّة </w:t>
      </w:r>
      <w:r>
        <w:rPr>
          <w:rStyle w:val="FootnoteAnchor"/>
          <w:rtl w:val="true"/>
        </w:rPr>
        <w:footnoteReference w:id="122"/>
      </w:r>
      <w:r>
        <w:rPr>
          <w:rFonts w:ascii="Amiri" w:hAnsi="Amiri" w:eastAsia="Amiri" w:cs="Amiri"/>
          <w:color w:val="111111"/>
          <w:sz w:val="28"/>
          <w:sz w:val="28"/>
          <w:szCs w:val="28"/>
          <w:rtl w:val="true"/>
          <w:lang w:bidi="ar-SA"/>
        </w:rPr>
        <w:t>، لكان لهذا الكلام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تردّه أدلّة حجّية الاستصحاب أوّلا ، وعلى تقدير تسليم عدم حجّيته تردّه الأدلّة الخاصّة التي تدل على حجّية 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يأتي السوق فيشتري جبّة فراء لا يدري أذكيّة هي أم غير ذكية ، أيصلّي فيها؟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ليس عليكم المسألة ، 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ضيّقوا على أنفسهم بجهالتهم ، إنّ الدين أوسع من ذلك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ظاهرة بل نصّ في أنّ في مورد الشكّ في التذكية لا يجب السؤال والتفتيش ويصلّى فيها ، مع أنّ مقتضى أصالة عدم التذكية هو عدم جواز الصلاة فيها ، إلاّ بعد المسألة وتبيّن أنّها ذكيّة ، فليس هذا إلاّ لأجل وجود أمارة على التذكية ، وهو هنا ليس إلاّ السوق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سليمان بن جعفر الجعفري ، عن العبد الصالح </w:t>
      </w:r>
      <w:bookmarkStart w:id="133" w:name="pg15937_235064"/>
    </w:p>
    <w:p>
      <w:pPr>
        <w:pStyle w:val="BookText"/>
        <w:rPr/>
      </w:pPr>
      <w:bookmarkEnd w:id="133"/>
      <w:r>
        <w:rPr>
          <w:rFonts w:ascii="IRNazanin" w:hAnsi="IRNazanin" w:eastAsia="IRNazanin"/>
          <w:color w:val="111111"/>
          <w:sz w:val="28"/>
          <w:sz w:val="28"/>
          <w:szCs w:val="28"/>
          <w:rtl w:val="true"/>
          <w:lang w:bidi="fa-IR"/>
        </w:rPr>
        <w:t>موسى بن جعفر علیه السلام مثله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عن ابن أبي نصر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يأتي السوق فيشترى الخفّ لا يدري أذكيّ هو أم لا ، ما تقول في الصلاة فيه وهو لا يدري ، يصلّي فيه؟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أنا اشترى الخفّ من السوق ويصنع لي وأصلي فيه ، وليس عليكم المسألة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الحسن بن 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اعترض السوق فاشترى خفّا لا أدري أذكيّ هو أم لا؟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فالنعل؟ قال علیه السلام مثل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أضيق من هذا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أترغب عمّا كان أبو الحسن يفعله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هاتين الروايتين الأخيرتين على أماريّة السوق على حذو ما سبق ، بلا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أخبار أخر تدلّ على اعتبار سوق المسلمين ، وأنّه أمارة التذكية ، </w:t>
      </w:r>
      <w:r>
        <w:rPr>
          <w:rStyle w:val="FootnoteAnchor"/>
          <w:rtl w:val="true"/>
        </w:rPr>
        <w:footnoteReference w:id="127"/>
      </w:r>
      <w:r>
        <w:rPr>
          <w:rFonts w:ascii="Amiri" w:hAnsi="Amiri" w:eastAsia="Amiri" w:cs="Amiri"/>
          <w:color w:val="111111"/>
          <w:sz w:val="28"/>
          <w:sz w:val="28"/>
          <w:szCs w:val="28"/>
          <w:rtl w:val="true"/>
          <w:lang w:bidi="ar-SA"/>
        </w:rPr>
        <w:t>تركنا ذكرها ، لأنّ في ما ذكرنا غنى وكفاية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6073374_2142443653"/>
      <w:bookmarkStart w:id="135" w:name="_Toc42"/>
      <w:bookmarkEnd w:id="134"/>
      <w:r>
        <w:rPr>
          <w:rtl w:val="true"/>
        </w:rPr>
        <w:t>الجهة الثانية</w:t>
      </w:r>
      <w:bookmarkEnd w:id="1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اعتبار هذه القاعدة هل هو في خصوص إثبات التذكية في مورد الشكّ </w:t>
      </w:r>
      <w:bookmarkStart w:id="136" w:name="pg15937_235065"/>
    </w:p>
    <w:p>
      <w:pPr>
        <w:pStyle w:val="BookText"/>
        <w:rPr/>
      </w:pPr>
      <w:bookmarkEnd w:id="136"/>
      <w:r>
        <w:rPr>
          <w:rFonts w:ascii="Amiri" w:hAnsi="Amiri" w:eastAsia="Amiri" w:cs="Amiri"/>
          <w:color w:val="111111"/>
          <w:sz w:val="28"/>
          <w:sz w:val="28"/>
          <w:szCs w:val="28"/>
          <w:rtl w:val="true"/>
          <w:lang w:bidi="ar-SA"/>
        </w:rPr>
        <w:t>فيها ، أو أوسع من هذا فيثبت بها الملكيّة أيضا ، فإذا دخل السوق ويريد أن يشتري متاعا ويحتمل أن يكون مسروقا ، أو يدخل سوق النخاسين ويريد أن يشتري عبدا أو أمة ويحتمل أن يكونا حرّين ، فهل السوق أمارة على أنّ ذلك ملك للبائع ، والأمة والعبد مملوكان لبايعهما أم لا ، بل الذي هو أمارة الملكيّة هي اليد ، فلو فرضنا عدم وجود يد عليه فلا طريق إلى إثبات ملكيته؟</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أمارة الملكيّة هي اليد ، وصرف كونه في السوق لا يدلّ على أنّه ملك لأحد أهل هذا السوق ، أو لأحد من الناس ، إلاّ أن يكون من الأموال التي يعلم بأنّها ملك لأحدهم وإن كان المالك مجهولا ، فبصرف وجود أشخاص في سوق النخاسين في صفّ العبيد والإماء لا يمكن الحكم عليهم بالمملوكيّة ما لم يكونوا تحت يد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الطهارة في بيع ما يتوقّف صحّة بيعه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يكن طاهرا لا يكون له منفعة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كالسكنجبين مثلا من جهة أصالة الطهارة ، ولذلك في الموارد التي يجري استصحاب النجاسة فيها يحكم بالنجاسة ، وبصرف كونه في السوق ووقوع البيع والشراء لا يحكم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موارد الشكّ في الطهارة والنجاسة من جهة الشكّ في التذكية وأن يحكم عليه بالطهارة بواسطة كونه في السوق ، ولكن ذلك ليس من جهة إثبات الطهارة بأماريّة السوق عليها أوّلا وبالذات ، بل من جهة أنّ السوق أمارة التذكية ، ومن آثار التذكية هي الطهارة ، وكذلك الأمر في الحلّية ، فلا يثبت به الحلّية ابتداء ، بل من آثار التذكية الواقعة على الحيوان المحلّل الأكل هو حلّية أكل لحمه بعد التذكية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6073376_2142443653"/>
      <w:bookmarkStart w:id="138" w:name="_Toc43"/>
      <w:bookmarkEnd w:id="137"/>
      <w:r>
        <w:rPr>
          <w:rtl w:val="true"/>
        </w:rPr>
        <w:t>الجهة الثالثة</w:t>
      </w:r>
      <w:bookmarkEnd w:id="1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السوق أمارة في عرض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كان من في السوق في دكّانه </w:t>
      </w:r>
    </w:p>
    <w:p>
      <w:pPr>
        <w:pStyle w:val="BookText"/>
        <w:rPr/>
      </w:pPr>
      <w:r>
        <w:rPr>
          <w:rFonts w:ascii="Amiri" w:hAnsi="Amiri" w:eastAsia="Amiri" w:cs="Amiri"/>
          <w:color w:val="111111"/>
          <w:sz w:val="28"/>
          <w:sz w:val="28"/>
          <w:szCs w:val="28"/>
          <w:rtl w:val="true"/>
          <w:lang w:bidi="ar-SA"/>
        </w:rPr>
        <w:t xml:space="preserve">اللحم ويبيعه كالقصّاب أو كالفراء الذي يبيع في دكّانه الفراء ، وهكذا أمثالهما ، فهاهنا أمارتان على التذكية في عرض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بل السوق أمارة على الأمارة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أمارة على التذكية أوّلا وبالذات هي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سوق المسلمين فيستكشف منه أنّ البائع المجهول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حاله أنّه مسلم كي تكون يده أمارة التذكية ، أم لا فتجري أصالة عدم التذكية ويحكم بلزوم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ويده يد المسلم وأمارة ، وبناء على كونه أمارة على الأمارة ، فلو كان البائع معلوم الحال فلا أثر للسوق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أماريّة الأمارة متقوّمة بعدم العلم على خلافها ولا على وفاقها ، فلو علم أنّ البائع مسلم تكون يده حجّة قطعا ، ولا حاجة إلى السوق أصلا ، كما أنّه لو علم أنّ البائع مشرك ، فكونه في سوق المسلمين لا أثر له ، وإن احتمل التذكية بأن تلقاه هذا المشرك من يد مسلم ، ولكن هذا الاحتمال لا أثر له ، لأنّه لا يثبت به التذكية ، لأنّ السوق المعلوم الوجود ليس أمارة على التذكية على الفرض ، ويد المسلم الذي معلوم الأماريّة مشكوك الوجود ، لأنّ المفروض أنّه ليس إلاّ صرف احتمال أن تكون يد هذا المشرك مسبوقا بيد المسلم وأنّه تلقاه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قيام سيرة المتديّنين على الاعتماد على سوق المسلمين في أمر التذكية ، وعدم السؤال والتفتيش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كون هذا الجلد أو اللحم في سوق المسلمين يباع ويقع عليه التعاطي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أنّهم يرونه مذكّى في الغالب ، كما هو الشأن في أغلب الأمارات ، وإلاّ فليس هناك أمارة تكون دائم المطابقة ، حتّى القطع الوجداني ، فضلا عن الأمارات الظنيّة التي مناط حجّيتها كونها غالب المطابقة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في هذا المقام هو أنّه بعد العلم بأنّ المسلمين يجتنبون عن لحم غير المذكّى بنصّ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فتعاطي اللحم بالبيع والشراء في </w:t>
      </w:r>
    </w:p>
    <w:p>
      <w:pPr>
        <w:pStyle w:val="BookText"/>
        <w:rPr/>
      </w:pPr>
      <w:r>
        <w:rPr>
          <w:rFonts w:ascii="Amiri" w:hAnsi="Amiri" w:eastAsia="Amiri" w:cs="Amiri"/>
          <w:color w:val="111111"/>
          <w:sz w:val="28"/>
          <w:sz w:val="28"/>
          <w:szCs w:val="28"/>
          <w:rtl w:val="true"/>
          <w:lang w:bidi="ar-SA"/>
        </w:rPr>
        <w:t>أسواق المسلمين يوجب الظنّ القويّ بأنّه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الظنّ أقوى بكثير عن الظنّ الحاصل عن كونه في يد مسلم خارج السوق ، لأنّ احتمال كونه ممن لا يبالي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الاشتباه في إجراء شرائط التذكية ، أو نسيان بعضها ممّا يضرّ 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هو يباع في سوق المسلمين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قيام السيرة على حجّية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 على أن يكون مدركها الأخبار فلعلّ الأمر أوضح ، وذلك من جهة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أشتري الخفّ من السوق ويصنع لي وأصلّي فيه ، وليس عليكم المسألة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ظاهر في أنّ مراده علیه السلام من نفي لزوم السؤال ، نفي السؤال عن كونه مذكّى أو غير مذكّى ، لا نفي السؤال عن أنّ البائع مسلم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ومرجع هذا إلى أنّ كونه في السوق كاف في إثبات أنّه مذكّى ، فلا يحتاج إلى السؤال والفحص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المراد منه أنّ السوق كاف في إثبات أنّ اليد يد المسلم ، وأنّها يثبت أنّ اللحم والجلد أو غيرهما من الأجزاء أو مشتقّات حيوان مأكول اللحم من المذكّى ، يكون من قبيل الأكل من القفى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في خبر إسماعيل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جلود الفراء يشتريها الرجل في سوق من أسواق الجبل ، أيسأل عن ذكاته إذا كان البائع مسلما غير عارف؟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أنتم أن تسألوا عنه إذا رأيتم المشركين يبيعون ذلك ، وإذا رأيتم يصلّون فيه فلا تسألوا عنه </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أنتم أن تسئلوا عنه إذا رأيتم المشركين يبيعون ذلك ، وإذا رأيتم يصلّون فيه فلا تسئلوا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اعتبار السوق بالنسبة إلى كشفه عن أصل التذكية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السوق كاشفا عن ذلك فلم يكن معنى للسؤال إذا رأوا أنّ المشركين يبيعونه ، وأيضا لم يكن معنى لتعليق عدم السؤال على صلاتهم فيه ، وذلك من جهة أنّ كلامه علیه السلام ظاهر في أنّ السوق أمارة وحجّة كاشفة عن التذكية فيما كان السوق والبيع والمعاملة مخصوصا بالمسلمين ، فلا يحتاج إلى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المشركون أيضا يبيعون ذلك ، بحيث يكون السوق مشتركا ، أو كان البيع مخصوصا بهم ، فعند ذلك يجب عليكم المسألة والفحص ، ولا أثر لكون البائع وحده في ذلك السوق مسلما في عدم وجوب السؤال ، فيمكن أن تعدّ هذه الرواية من جملة أنّ دلالة السوق إذا كان مخصوصا بالمسلمين على التذكية أهمّ من دلالة يد المسلم ، خصوصا إذا كان ذلك المسلم في السوق المخصوص بالكفّار ، بل وفي السوق المشترك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رأيتم يصلّون فيه فلا تسألوا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 صلاتهم فيه بمنزلة شهادتهم عملا بأنّه مذكّى ، فهو أيضا طريق إلى أنّه صار مذكّى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ما ذكرناه من أنّ سوق المسلمين بنفسه طريق إلى أنّه مذكّى رواية إسحاق بن عمّار عن العبد الصالح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في الفراء اليماني وفيما صنع في أرض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فيها غير أهل الإسلام؟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الغالب عليها المسلمين فلا بأس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ظاهرة في أنّ كون الجلد في أرض تكون مخصوصة بالمسلمين ، أو كان أغلب أهلها من المسلمين موجب لثبوت كونه من المذكّى ، ولا موجب لذلك ظاهرا إلاّ أماريّة كونه في تلك الأرض لكونه من المذكّى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أنّه لو كان بصرف وجوده في أرض الإسلام ، أو ما كان الغالب عليها </w:t>
      </w:r>
    </w:p>
    <w:p>
      <w:pPr>
        <w:pStyle w:val="BookText"/>
        <w:rPr/>
      </w:pPr>
      <w:r>
        <w:rPr>
          <w:rFonts w:ascii="Amiri" w:hAnsi="Amiri" w:eastAsia="Amiri" w:cs="Amiri"/>
          <w:color w:val="111111"/>
          <w:sz w:val="28"/>
          <w:sz w:val="28"/>
          <w:szCs w:val="28"/>
          <w:rtl w:val="true"/>
          <w:lang w:bidi="ar-SA"/>
        </w:rPr>
        <w:t>الإسلام يثبت أنّه من المذكّى ، فبكونه في سوق المسلمين يثبت بطريق أولى ، وذلك من جهة أنّ طريقيّة السوق إلى ذلك أقوى من طريقيّة كونه في أرضهم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رواية السكوني عن أبي عبد اللّه علیه السلام أنّ أمير المؤمنين علیه السلام سئل عن سفرة وجدت في الطريق مطروحة ، كثير لحمها وخبزها وجبها وبيضها ، وفيها سكّين؟ 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ما فيها ، ثمَّ يؤكل ، لأنّه يفسد وليس له بقاء ، فإذا جاء طالبها غرموا له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يدري سفره مسلم أو سفرة مجوسي؟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في سعة حتّى يعلموا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يحتمل أن يكون المراد من قوله علیه السلام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في سعة حتّى يعلموا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اللحم الذي مشتبه تذكيته ، ولا يعلم أنّه مذكّى أو ميتة؟ وأنّه علیه السلام بيّن أنّ حكم المشتبه هي الحلّية ، كي يعلموا بأنّه من غير المذكّى الذي هو حرام ، فيكون مفادها أصالة الحلّ في مشتبه المذكّى والميتة ، فيكون كأصالة الطهارة في مشتبه الطهارة والنجاسة ، وأصالة الحلّ في مشتبه الحلّية والحرمة أصلا عمليّا غير تنزيلي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ينفي هذا الاحتمال أنّ أصالة عدم التذكية الجارية في المقام يثبت موضوع الحرمة ، فليسوا في سعة حتّى يعلموا ، فلا بدّ من جعل أصل تنزيلي يكون مقدّما على أصالة عدم التذكية عند المعارضة ، أو أمارة تكون حاكمة عليها ، أو رفع اليد عن حرمة غير المذكّى في ظرف الشكّ في التذكية رفعا واقعيّا ، كي يكون حال الشكّ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هذا الأخير ، لاستلزامه للتصويب الباطل ، فلا بدّ من القول بأحد الأوّلين ، أي الأصل المقدّم ، أو الأمارة الحاكمة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الأمارة الحاكمة المحتملة هو كون السفرة المطروحة في أرض الإسلام </w:t>
      </w:r>
    </w:p>
    <w:p>
      <w:pPr>
        <w:pStyle w:val="BookText"/>
        <w:rPr/>
      </w:pPr>
      <w:r>
        <w:rPr>
          <w:rFonts w:ascii="IRNazanin" w:hAnsi="IRNazanin" w:eastAsia="IRNazanin"/>
          <w:color w:val="111111"/>
          <w:sz w:val="28"/>
          <w:sz w:val="28"/>
          <w:szCs w:val="28"/>
          <w:rtl w:val="true"/>
          <w:lang w:bidi="fa-IR"/>
        </w:rPr>
        <w:t xml:space="preserve">طريقا إلى ثبوت تذكيته ، أو أصلا تنزيليّا ، ولا بعد في ذلك ، من جهة غلبة كون اللحم الموجود في مثل هذه السفرة المطروحة في بلاد الإسلام من القسم المذكّى ، ولذلك حكم أمير المؤمنين علیه السلام بجواز وحلّية أكل ما فيها من حيث التذكية لكونها مطروحة في بلاد الإسلام ، والتقويم وتغريمهم لما فيها لصاحب السفرة إذا جاء ، لقاعدة احترام الأموال إن كان المالك مسلما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 المسلم كحرمة دمه </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المالك مسلما لكن كان في ذمّة الإسلام ، أو كان من المعاهدين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ما ذكرنا هو أنّه إذا اشترى من سوق المسلمين ، أو وجد في أراضيهم التي كلّ أهلها مسلمون أو كان للغالب عليها المسلمون ، وكان شاكّا في تذكيته ، فكونه في سوق الإسلام وكذلك كون ذلك اللحم أو الجلد في أراضيهم موجب للحكم بأنّه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لا يعلم أنّ البائع ليس بمسلم واضح ، سواء أكان معلوم الإسلام أو كان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بأنّه ليس بمسلم ، ولكن يحتمل أنّه تلقّاه من يد مسلم مع فرض أنّ السوق سوق الإسلام ، كما أنّه إذا اشترى جلدا أو لحما من نصراني في بغداد ، ويحتمل أنّه تلقّاه من يد مسلم ، فبناء على كون السوق أمارة في عرض اليد ، فلا بدّ من القول بأنّه في حكم المذكّى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أنّه أمارة على الأمارة ، فمع العلم بأنّه غير مسلم ليس للسوق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تقييد أماريّة السوق بعدم كونه في يد غير المسلم ، أو يقال بأنّه كما أنّ سوق المسلمين أمارة على التذكية كذلك يد الكافر أمارة على عدم </w:t>
      </w:r>
      <w:bookmarkStart w:id="139" w:name="pg15937_235071"/>
    </w:p>
    <w:p>
      <w:pPr>
        <w:pStyle w:val="BookText"/>
        <w:rPr/>
      </w:pPr>
      <w:bookmarkEnd w:id="139"/>
      <w:r>
        <w:rPr>
          <w:rFonts w:ascii="Amiri" w:hAnsi="Amiri" w:eastAsia="Amiri" w:cs="Amiri"/>
          <w:color w:val="111111"/>
          <w:sz w:val="28"/>
          <w:sz w:val="28"/>
          <w:szCs w:val="28"/>
          <w:rtl w:val="true"/>
          <w:lang w:bidi="ar-SA"/>
        </w:rPr>
        <w:t>التذكية ، فتتعارض الأمارتان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تساقطهما بالمعارضة فالمرجع أصالة عدم التذكية ، وإلاّ فإنكار كون سوق المسلمين في عرض اليد لا مجال له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073378_2142443653"/>
      <w:bookmarkStart w:id="141" w:name="_Toc44"/>
      <w:bookmarkEnd w:id="140"/>
      <w:r>
        <w:rPr>
          <w:rtl w:val="true"/>
        </w:rPr>
        <w:t xml:space="preserve">[ </w:t>
      </w:r>
      <w:r>
        <w:rPr>
          <w:rtl w:val="true"/>
        </w:rPr>
        <w:t xml:space="preserve">الجهة </w:t>
      </w:r>
      <w:r>
        <w:rPr>
          <w:rtl w:val="true"/>
        </w:rPr>
        <w:t xml:space="preserve">] </w:t>
      </w:r>
      <w:r>
        <w:rPr>
          <w:rtl w:val="true"/>
        </w:rPr>
        <w:t>الرابعة</w:t>
      </w:r>
      <w:bookmarkEnd w:id="141"/>
    </w:p>
    <w:p>
      <w:pPr>
        <w:pStyle w:val="BookText"/>
        <w:rPr/>
      </w:pPr>
      <w:r>
        <w:rPr>
          <w:rFonts w:ascii="Amiri" w:hAnsi="Amiri" w:eastAsia="Amiri" w:cs="Amiri"/>
          <w:color w:val="111111"/>
          <w:sz w:val="28"/>
          <w:sz w:val="28"/>
          <w:szCs w:val="28"/>
          <w:rtl w:val="true"/>
          <w:lang w:bidi="ar-SA"/>
        </w:rPr>
        <w:t xml:space="preserve">في أنّه هل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اعتباره وحجّيته لإثبات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أو أصل؟ وعلى تقدير كونه أصلا هل هو أصل تنزيلي ، أو يكون من الأصول غير التنزيلية؟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أصلا غير تنزيلي فمما لا ينبغي أن يحتمل ، لأنّه لو كان أصلا غير تنزيلي لكان أصالة عدم التذكية حاكما عليه ، وكان لا يبقى مورد لجريانه ، كما هو الشأن في كلّ أصل حاكم مع محكومة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السيرة على اعتباره ليس إلاّ لأجل أنّ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علموا أنّ الصلاة لا يجوز في غير المذكّى ، ومع ذلك كانوا يشترون المشكوك من أسواقهم ، وكانوا يرتّبون آثار التذكية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سوق المسلمين كاشفا وطريقا إلى كونه مذكّى ، فلذلك كانوا يرتّبون آثار التذكية عليه ، لا من جهة صرف التعبّد بالتذكية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أصل تنزيلي أو أمارة ، فالظاهر أنّها أمارة ، وذلك لما ذكرنا من أنّ قيام السيرة على دخول المتديّنين في الأسواق الإسلاميّة ، وشرائهم المشكوك التذكية ، والمعاملة معه معاملة المذكّى ، مع أنّهم يدرون أنّ الصلاة في غير المذكّى ليست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أنّهم يرون أسواق المسلمين طريقا وكاشفا عن كونه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بيّنّا في محلّه في الفرق بين الأصل والأمارة ، أنّ الأمارية متقوّمة بأمرين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الشي‌ء الذي جعل أمارة ، فيه جهة كشف عن مؤدّاه ، ولو </w:t>
      </w:r>
    </w:p>
    <w:p>
      <w:pPr>
        <w:pStyle w:val="BookText"/>
        <w:rPr/>
      </w:pPr>
      <w:r>
        <w:rPr>
          <w:rFonts w:ascii="Amiri" w:hAnsi="Amiri" w:eastAsia="Amiri" w:cs="Amiri"/>
          <w:color w:val="111111"/>
          <w:sz w:val="28"/>
          <w:sz w:val="28"/>
          <w:szCs w:val="28"/>
          <w:rtl w:val="true"/>
          <w:lang w:bidi="ar-SA"/>
        </w:rPr>
        <w:t>كان كشفا ناقصا ، وإلاّ فالشي‌ء الذي في حدّ نفسه ليس فيه جهة الكاشفيّة أصلا ، لا يمكن جعله كاشفا في عالم الاعتبار التشريعي ، إذ الكاشفيّة أمر تكويني لا توجد إلاّ بأسبابها التكوينيّة ، وذلك مثل رافعيّة شرب الماء للعطش ، فإنّه أمر تكويني لا يمكن جعله لشي‌ء ليس رافعا للعطش أصلا ، وبالجعل في عالم الاعتبار والتشريع لا ينجعل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قلنا هناك إنّ معنى تتميم الكشف في باب جعل الأمارات ليس أن يضمّ الجاعل مقدارا من الكشف في عالم الاعتبار إلى ذلك المقدار الناقص الذي لذلك الشي‌ء موجود كي يصير المجموع كشفا تامّا ، بل المراد منه أنّ الشارع يرى ذلك المقدار من الكشف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ذلك الشي‌ء في حدّ نفسه في عالم الاعتبار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 تامّا ومثبتا لمؤدّاه وطريقا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 الجاعل في مقام جعل الحجّية للأمارة إلى تلك الجهة من الكشف الموجود فيه في حدّ نفسه ، وإلاّ فبصرف الأمر بالعمل به والتعبّد بمؤدّاه لا يصير ذلك الشي‌ء أمارة ، بل يمكن أن يكون أصلا عمليّا في عالم الجعل التشريعي مع وجود تلك الجهة من الكشف فيه تكوينا ، فأماريّته متوقّفة على أن يكون جعل حجّيته بلحاظ تتميم ذلك الكشف الناقص الموجود فيه تكوينا في عالم التشريع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كون اللحم أو الجلد الذي في سوق المسلمين يباع ، فيه جهة كشف عن أنّه مذكّى ، لأنّهم غالبا لا يقدمون على بيع لحم الميتة أو جلده ، ووقوعه في بعض الأوقات من بعض الأفراد وإن كان لا ينكر ، ولكن هذا المقدار القليل لا يمنع عن حصول الظنّ بكونه من المذكّى ، لغلبة وجود هذا القسم مقابل القسم الآخر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شكّ في أنّ سيرة المتديّنين من الصدر الأوّل في دخولهم الأسواق واشترائهم اللحوم والجلود بلحاظ أنّ كونها في أسواق المسلمين تباع ، يكشف عن </w:t>
      </w:r>
    </w:p>
    <w:p>
      <w:pPr>
        <w:pStyle w:val="BookText"/>
        <w:rPr/>
      </w:pPr>
      <w:r>
        <w:rPr>
          <w:rFonts w:ascii="Amiri" w:hAnsi="Amiri" w:eastAsia="Amiri" w:cs="Amiri"/>
          <w:color w:val="111111"/>
          <w:sz w:val="28"/>
          <w:sz w:val="28"/>
          <w:szCs w:val="28"/>
          <w:rtl w:val="true"/>
          <w:lang w:bidi="ar-SA"/>
        </w:rPr>
        <w:t>أنّها مذكّى ، وسيرة المتديّنين لا تحتاج إلى الإمضاء مثل سيرة العقلاء ، وذلك من جهة كون شي‌ء طريقا عند العقلاء يمكن أن يقبل الشارع طريقيّته ويمكن أن يردّها ، فيحتاج إلى الإمضاء ، وإلاّ يبقى على كونه مشكوك الطريقيّة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سيرة المتديّنين بما هم متديّنين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ابتداء عملهم هذا عن موافقته لرأي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السيرة فيما نحن فيه من القسم الثاني ، لأنّ التذكية من الأمور الشرعيّة التي لا شأن للعقلاء بها بما هم عقلاء ، نعم العقلاء بما هم عقلاء ينظرون إلى اللحم بنظر أنّه من الطيّبات أو من الخبائث ، لا أنّه مذكّى أو غير مذكّى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الواردة في هذه القاعدة واعتبارها ، فالظاهر من بعضها أيضا أماريّتها ، كرواية إسحاق بن عمّار ، عن العبد الصالح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في الفراء اليماني وفيما صنع في أرض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فيها غير أهل الإسلام؟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الغالب عليها المسلمين فلا بأس </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المشترك أهلها بين المسلمين وغيرهم بتعليق الحكم بعدم اليأس على غلبة المسلمين من حيث كثرتهم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 نظرهم علیهم السلام في هذا الحكم إلى جهة كاشفيّة الأرض التي أهاليها المسلمون عن كونه مذكّى ، فإذا كان المسلمون هم الغالبون على الأرض فيكون احتمال التذكية أقوى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الأمر في رواية إسماعيل بن عيسى ، ففي قوله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أنتم أن تسألوا عنه إذا رأيتم المشركين يبيعون ذلك ، وإذا رأيتم يصلّون فيه فلا تسألوا عنه </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علّق السؤال والفحص عن أنّه مذكّى أو غير مذكّى على بيع المشركين ذلك ، وعدم السؤال والفحص على رؤية أنّهم يصلّون فيه</w:t>
      </w:r>
      <w:r>
        <w:rPr>
          <w:rFonts w:eastAsia="Amiri" w:cs="Amiri" w:ascii="Amiri" w:hAnsi="Amiri"/>
          <w:color w:val="111111"/>
          <w:sz w:val="28"/>
          <w:szCs w:val="28"/>
          <w:rtl w:val="true"/>
          <w:lang w:bidi="ar-SA"/>
        </w:rPr>
        <w:t xml:space="preserve">. </w:t>
      </w:r>
      <w:bookmarkStart w:id="142" w:name="pg15937_235074"/>
    </w:p>
    <w:p>
      <w:pPr>
        <w:pStyle w:val="BookText"/>
        <w:rPr/>
      </w:pPr>
      <w:bookmarkEnd w:id="142"/>
      <w:r>
        <w:rPr>
          <w:rFonts w:ascii="Amiri" w:hAnsi="Amiri" w:eastAsia="Amiri" w:cs="Amiri"/>
          <w:color w:val="111111"/>
          <w:sz w:val="28"/>
          <w:sz w:val="28"/>
          <w:szCs w:val="28"/>
          <w:rtl w:val="true"/>
          <w:lang w:bidi="ar-SA"/>
        </w:rPr>
        <w:t>ولا شكّ في أنّ الأوّل يوجب ضعف احتمال التذكية ، فحكم عليهم بلزوم الفحص والسؤال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يوجب قوّة احتمال تحقّق التذكية ، لأنّ المسلم بعد أن عرف أنّ الصلاة لا يجوز في غير المذكّى ، فإذا صلّى فيه ، فيكون ظاهره أنّه أحرز أنّه مذكّى ، فلا يبقى مجال ومورد للسؤال ، ولذلك نفي السؤال عنه على هذا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هاتين الروايتين حكمه علیه السلام بالصلاة فيه ناظر إلى جهة كشفه ، فبناء على الأصل الذي تقدّم يكون السوق أمارة ، لا أصلا بكلا قسميه من التنزيلي وغير التنزيلي</w:t>
      </w:r>
      <w:r>
        <w:rPr>
          <w:rFonts w:eastAsia="IRNazanin" w:cs="IRNazanin"/>
          <w:color w:val="111111"/>
          <w:sz w:val="28"/>
          <w:szCs w:val="28"/>
          <w:rtl w:val="true"/>
          <w:lang w:bidi="fa-IR"/>
        </w:rPr>
        <w:t>.</w:t>
      </w:r>
    </w:p>
    <w:p>
      <w:pPr>
        <w:pStyle w:val="Heading3"/>
        <w:numPr>
          <w:ilvl w:val="2"/>
          <w:numId w:val="1"/>
        </w:numPr>
        <w:rPr/>
      </w:pPr>
      <w:bookmarkStart w:id="143" w:name="__RefHeading___Toc16073380_2142443653"/>
      <w:bookmarkStart w:id="144" w:name="_Toc45"/>
      <w:bookmarkEnd w:id="143"/>
      <w:r>
        <w:rPr>
          <w:rtl w:val="true"/>
        </w:rPr>
        <w:t xml:space="preserve">[ </w:t>
      </w:r>
      <w:r>
        <w:rPr>
          <w:rtl w:val="true"/>
        </w:rPr>
        <w:t xml:space="preserve">الجهة </w:t>
      </w:r>
      <w:r>
        <w:rPr>
          <w:rtl w:val="true"/>
        </w:rPr>
        <w:t xml:space="preserve">] </w:t>
      </w:r>
      <w:r>
        <w:rPr>
          <w:rtl w:val="true"/>
        </w:rPr>
        <w:t xml:space="preserve">الخامسة </w:t>
      </w:r>
      <w:r>
        <w:rPr>
          <w:rtl w:val="true"/>
        </w:rPr>
        <w:t xml:space="preserve">: </w:t>
      </w:r>
      <w:r>
        <w:rPr>
          <w:rtl w:val="true"/>
        </w:rPr>
        <w:t>في نسبة هذه القاعدة مع غيرها من الأدلّة في مقام التعارض</w:t>
      </w:r>
      <w:bookmarkEnd w:id="14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استصحاب عدم التذكية الجارية في المقام لو لم يكن السوق ، فإن قلنا بأنّه أمارة كما هو كذلك ، فيكون حاكما عليه بلا كلام ، كما هو شأن كلّ أمارة بالنسبة إلى كلّ أصل ، ولو كان من أقوى الأصول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أنّه من الأصول وأنّه أصل 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 أنّ احتمال أنّه أصل غير تنزيلي واضح البطلان فلا ينبغي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يكون مقدّما عليه ، وإن كان مقتضى القاعدة التعارض والتساقط ، لأنّ كليهما أصلان تنزيليان ، ولا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المقام لا بدّ من ذلك ، أي تقديمه على الاستصحاب ، وإلاّ لا يبقى له مورد أصلا ، فيكون جعله لغوا ، فبدلالة الاقتضاء لا بدّ من تقديم السوق على استصحاب عدم التذكية وإن كان مثله أصلا تنزيليّا وفي رتبته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البيّنة فلو قامت البيّنة العادلة على أنّ هذا اللحم ، أو هذا الجلد من غير المذكّى ، أو هذا الحيوان الميّت مات حتف أنفه ، أو ذبح ولكن لم يكن الذبح </w:t>
      </w:r>
      <w:bookmarkStart w:id="145" w:name="pg15937_235075"/>
    </w:p>
    <w:p>
      <w:pPr>
        <w:pStyle w:val="BookText"/>
        <w:rPr/>
      </w:pPr>
      <w:bookmarkEnd w:id="145"/>
      <w:r>
        <w:rPr>
          <w:rFonts w:ascii="Amiri" w:hAnsi="Amiri" w:eastAsia="Amiri" w:cs="Amiri"/>
          <w:color w:val="111111"/>
          <w:sz w:val="28"/>
          <w:sz w:val="28"/>
          <w:szCs w:val="28"/>
          <w:rtl w:val="true"/>
          <w:lang w:bidi="ar-SA"/>
        </w:rPr>
        <w:t>واجدا لشرائط التذكية وهكذا ، فبناء على كونه أصلا وإن كان أصلا تنزيليا فتقديم البيّنة عليه واضح ، لأنّ البيّنة أمارة ، وكلّ أمارة تكون لها الحكومة على كلّ أصل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 أمارة كما هو المختار ، وإن كان مقتضى القاعدة هو التساقط ، كما هو الشأن في باب تعارض الأمارتين إن لم يكن أحدهما أقوى ، ولكن مع ذلك تكون البيّنة مقدّمة عليه لإحدى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من أقوى الأمارات ، ولذلك جعلها الشارع ميزانا للقضاء على ذي اليد ، مع أنّ اليد أيضا من الأمارات ، فإذا كانت تقدّم على اليد مع أنّها من الأمارات القويّة ، تقدّم على السوق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الوجه في حجّية السوق هي السيرة العمليّة من المتديّنين ، وهذه ليست قطعا فيما قامت البيّنة العادلة على عدم التذكية ، بل ولا فيما أخبر البائع بأنّه غير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على فرض التعارض النتيجة هو التساقط ، فيكون المرجع استصحاب عدم التذكية ، فنتيجة التساقط وتقديم البيّنة واحدة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073382_2142443653"/>
      <w:bookmarkStart w:id="147" w:name="_Toc46"/>
      <w:bookmarkEnd w:id="146"/>
      <w:r>
        <w:rPr>
          <w:rtl w:val="true"/>
        </w:rPr>
        <w:t xml:space="preserve">[ </w:t>
      </w:r>
      <w:r>
        <w:rPr>
          <w:rtl w:val="true"/>
        </w:rPr>
        <w:t xml:space="preserve">الجهة </w:t>
      </w:r>
      <w:r>
        <w:rPr>
          <w:rtl w:val="true"/>
        </w:rPr>
        <w:t xml:space="preserve">] </w:t>
      </w:r>
      <w:r>
        <w:rPr>
          <w:rtl w:val="true"/>
        </w:rPr>
        <w:t xml:space="preserve">السادسة </w:t>
      </w:r>
      <w:r>
        <w:rPr>
          <w:rtl w:val="true"/>
        </w:rPr>
        <w:t xml:space="preserve">: </w:t>
      </w:r>
      <w:r>
        <w:rPr>
          <w:rtl w:val="true"/>
        </w:rPr>
        <w:t>في مورد تطبيق هذه القاعدة</w:t>
      </w:r>
      <w:bookmarkEnd w:id="1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موضوع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إحراز أنّه سوق الإسلام ، إمّا لأنّ كلّهم مسلمون ، وإمّا لأنّ الغالب ممّن يكون فيه من أرباب المكاسب 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مثل هذا السوق أو استعار أو انتقل إليه بسبب آخر من أسباب الانتقال ، وشكّ في أنّه مذكّى أو غير مذكّى فلا يخلو الأمر ، فإمّا يكون الطرف الآخر الذي انتقل منه إليه معلوم أنّه مسلم ، أو معلوم أنّه ليس بمسلم ، أو 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الأمارة تدلّ على أنّه مذكّى في المعلوم أنّه أخذ من يد مسلم ، وكذلك في المأخوذ من يد مشكوك الإسلام إذا كان السوق سوق الإسلام ، وهذا معنى أماريّته عند الشكّ في أنّه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هذين القسمين أنّ القسم الأوّل فيه أمارتان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سوق المسلم ، والأخرى يد المسلم ، بناء على ما اخترناه من عرضيّة هاتين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القول بأنّه ليس إلاّ أمارة واحدة وهي يد المسلم ، لأنّ السوق بناء على ذلك القول الآخر أمارة على أنّ اليد يد مسلم ، ومع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لأماريّة السوق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فأمارة واحدة فقط ، وهو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فقد بيّنّا أنّه من تعارض البيّنتين على تقدير وعدم حجّية السوق على تقدير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وآخرا ، وظاهرا وباطنا</w:t>
      </w:r>
      <w:r>
        <w:rPr>
          <w:rFonts w:eastAsia="IRNazanin" w:cs="IRNazanin"/>
          <w:color w:val="111111"/>
          <w:sz w:val="28"/>
          <w:szCs w:val="28"/>
          <w:rtl w:val="true"/>
          <w:lang w:bidi="fa-IR"/>
        </w:rPr>
        <w:t xml:space="preserve">. </w:t>
      </w:r>
      <w:bookmarkStart w:id="148" w:name="pg15937_235077"/>
    </w:p>
    <w:p>
      <w:pPr>
        <w:pStyle w:val="Heading2"/>
        <w:numPr>
          <w:ilvl w:val="1"/>
          <w:numId w:val="1"/>
        </w:numPr>
        <w:rPr/>
      </w:pPr>
      <w:bookmarkStart w:id="149" w:name="__RefHeading___Toc16073384_2142443653"/>
      <w:bookmarkStart w:id="150" w:name="_Toc47"/>
      <w:bookmarkEnd w:id="148"/>
      <w:bookmarkEnd w:id="149"/>
      <w:r>
        <w:rPr/>
        <w:t>42</w:t>
      </w:r>
      <w:r>
        <w:rPr>
          <w:rtl w:val="true"/>
        </w:rPr>
        <w:t xml:space="preserve"> - </w:t>
      </w:r>
      <w:r>
        <w:rPr>
          <w:rtl w:val="true"/>
        </w:rPr>
        <w:t>قاعدة عدم اشتراط الأحكام الوضعيّة بالبلوغ</w:t>
      </w:r>
      <w:bookmarkEnd w:id="1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6073386_2142443653"/>
      <w:bookmarkStart w:id="152" w:name="_Toc48"/>
      <w:bookmarkEnd w:id="151"/>
      <w:r>
        <w:rPr>
          <w:rtl w:val="true"/>
        </w:rPr>
        <w:t>اشارة</w:t>
      </w:r>
      <w:bookmarkEnd w:id="1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937_235079"/>
      <w:bookmarkStart w:id="154" w:name="pg15937_235079"/>
      <w:bookmarkEnd w:id="154"/>
    </w:p>
    <w:p>
      <w:pPr>
        <w:pStyle w:val="BookText"/>
        <w:rPr/>
      </w:pPr>
      <w:bookmarkStart w:id="155" w:name="pg15937_235079"/>
      <w:bookmarkEnd w:id="155"/>
      <w:r>
        <w:rPr>
          <w:rFonts w:ascii="Amiri" w:hAnsi="Amiri" w:eastAsia="Amiri" w:cs="Amiri"/>
          <w:color w:val="111111"/>
          <w:sz w:val="28"/>
          <w:sz w:val="28"/>
          <w:szCs w:val="28"/>
          <w:rtl w:val="true"/>
          <w:lang w:bidi="ar-SA"/>
        </w:rPr>
        <w:t xml:space="preserve">قاعدة عدم اشتراط الأحكام الوضعيّة بالبلوغ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شرطيّة البلوغ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جهات من الكلام</w:t>
      </w:r>
    </w:p>
    <w:p>
      <w:pPr>
        <w:pStyle w:val="Heading3"/>
        <w:numPr>
          <w:ilvl w:val="2"/>
          <w:numId w:val="1"/>
        </w:numPr>
        <w:rPr/>
      </w:pPr>
      <w:bookmarkStart w:id="156" w:name="__RefHeading___Toc16073388_2142443653"/>
      <w:bookmarkStart w:id="157" w:name="_Toc49"/>
      <w:bookmarkEnd w:id="156"/>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مدلولها</w:t>
      </w:r>
      <w:bookmarkEnd w:id="157"/>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فإنّه لا خلاف بينهم في أنّ إتلاف الصبي مال الغير كإتلاف البالغين موجب للضمان ، واشتغال ذمّته بمثل ما أتلف إن كان مثليّا ، وبقيمته إن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ضمان اليد ، فلو استولى الصبي على مال الغير وغصبه فتلف ذلك المال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كان التلف في يد غيره ، غاية الأمر استقرار الضمان على من وقع التلف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ضامنا وإن لم يكن بإتلافه ، بل كان بتلف سماوي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الإجماع محقّق لكلّ من تتبّع في الفقه ، إذ لم ينقل الخلاف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يكون اعتمادهم في هذا الاتّفاق على عمومات أدلّة الضمان ، 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أتلف مال الغير فهو له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ممّا ذكرناها في قاعدة الإتلاف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من جهة وقوع الخلاف بينهم في انصراف الأدلّة العامّة عن الصبي ، ولم يقع خلاف في أصل الضمان ، فهذا إجماع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ما أوردنا على الإجماعات التي ادّعيت في أغلب القواعد الفقهيّة المذكورة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المتديّنين ، بل العقلاء قاطبة على أنّ الصبي إذا أتلف مال الغير أو غصبه ، فوقع عليه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التلف في غير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ضامن ، بل ربما يقولون بضمانه إن فوّته على المالك وإن لم يقع يده عليه ولا أتلفه ، كما لو حبس حرّا ففوّت عليه منافعه ، خصوصا إذا كان عاقلا ذا شعور وإدراك وفهم حادّ وكان أقلّ من زمان البلوغ بزمان يسير ، ولم يردع الشارع عن هذه السيرة بل أمضاها بإطلاقات الأدلّة العامّة ، كما سنتكلّم عنها وعمّا قيل بأنّها رادعة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والأدلّة العامّة الواردة في أبواب الضمانات والنجاسات والطهارات ، وفي باب إحياء أراضي الموات ، وفي أبواب الديات والحيازات ، فإنّه في جميع الأدلّة عامّة أو مطلقة تشمل البالغ والصبيّ على نهج واحد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أحيا أرضا مواتا فهي له </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حاز شيئا من المباحات ملكه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وأمثال ذلك ممّا يدلّ على جنابة الواطى والموطوء وإن لم ينزل ، ولكن بعد غيبوبة الحشفة في أحد المأتيين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يدلّ على نجاسة بدن الذي لاقى النجس أو المتنجّس مع الرطوبة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المتتبّع إذا نظر في تلك الأدلّة مع كثرتها يتيقّن بشمولها لغير البالغين مثل البالغين ، خصوصا إذا كان غير البالغ واجدا لجميع شرائط التكليف ما عدى مقدار قليل من الزمان كيوم ، بل وإن كان كشهر باقيا إلى أن يصير بالغا بحسب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أنّ دعوى انصراف تلك الأدلّة عن مثل هذا الصبي الذي لم يبق إلى بلوغه بحسب العمر إلاّ يوما ، لا يخلو عن مجازفة ، فإذا شمل مثل هذا الفرض يتمّ في سائر الموارد بعدم القول بالفصل ، ولا مخصّص ولا مقيّد في البين لهذه العمومات والإطلاقات بعد الفراغ عن عدم انصرافها إلى خصوص البالغين ، عدا ما يتخيّل من 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حتّى يحتلم ، وعن المجنون حتّى يفيق ، وعن النائم حتّى يستيقظ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القلم عن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الصبيّ ليس عليه جعل من قبل الشارع ، وكذلك الحال في المجنون حتّى يفيق ، والنائم حتّى يستيقظ ، فأهملهم كما أهمل الحيوانات ، ولم يكتب عليهم شيئا ، لا وضعا ولا تكليفا ، فالمنفيّ في هذا الحديث الشريف هو قلم جعل الأحكام مطلقا ، سواء أكانت الأحكام وضعيّة أم تكليفيّة ، فهذا الحديث الشريف تخصّص به الأدلّة العامّة ، أو تقيّد به الإطلاقات الواردة في الأبواب المختلفة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مقام الامتنان والتسهيل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المؤاخذة عن هذه الثلاثة ، لعدم التفاهم إلى المصالح والمفاسد ، أمّا المجنون لعدم عقله </w:t>
      </w:r>
    </w:p>
    <w:p>
      <w:pPr>
        <w:pStyle w:val="BookText"/>
        <w:rPr/>
      </w:pPr>
      <w:r>
        <w:rPr>
          <w:rFonts w:ascii="Amiri" w:hAnsi="Amiri" w:eastAsia="Amiri" w:cs="Amiri"/>
          <w:color w:val="111111"/>
          <w:sz w:val="28"/>
          <w:sz w:val="28"/>
          <w:szCs w:val="28"/>
          <w:rtl w:val="true"/>
          <w:lang w:bidi="ar-SA"/>
        </w:rPr>
        <w:t>قبل أن يفيق ، وأما الصبيّ لقلّة عقله غالبا ، وأمّا النائم لغفلته بواسطة نومه وعدم تنبّهه إلى المضارّ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والمؤاخذة من آثار مخالفة التكاليف الإلزاميّة أي ترك الواجب وفعل الحرام ، فيستكشف من نفي اللازم الذي هو المؤاخذة ، نفي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تنجّز التكاليف الإلزاميّة على النائم لغفلته ، وعدم توجيه التكليف الإلزامي إلى الصبيّ والمجنون لقلّة عقله في الأوّل ، وعدمه في الثاني ، ولا يدلّ على نفي الأحكام التكليفيّة غير الإلزاميّة ، فضلا عن نفي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مناسب مع ما اشتهر بينهم من عدم اشتراط البلوغ في الأحكام الوضعيّة ، وأيضا ما اشتهر بينهم من مشروعيّة عبادات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أنّه ليس المراد من رفع القلم خصوص نفي العقاب والمؤاخذة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نفي قلم الجعل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المراد منه أنّ الأفعال التي تترتّب عليها الآثار لو صدرت عن البالغ العاقل المستيقظ ، لو صدرت عن الصبيّ أو المجنون أو النائم لا تترتّب عليها ، وذلك من جهة فقد البلوغ في الصبيّ ، والعقل في المجنون ، والانتباه في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المعنى لا يشمل الحديث الشريف الأفعال التي تترتّب عليها الآثار ، من دون فرق بين الالتفات وعدمه ، وكذلك الاختيار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مثل هذه الأفعال خارجة عن مورد هذا الحديث تخصّصا ، فتكون أبواب الديات والجنايات والجنابة والأحداث مطلقا ، والإتلاف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والطهارة خارجة عن مورد هذا الحديث الشريف تخصّصا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هذا الحديث الشريف وذكر الصبيّ في سياق المجنون والنائم ، هو أنّه كما لا قصد في المجنون والنائم تكوينا قصد الصبي في حكم العدم تشريعا ، فكلّ أثر فعل كان مترتّبا على تعمّد ذلك الفعل وقصده ، بحيث لو صدر عنه </w:t>
      </w:r>
    </w:p>
    <w:p>
      <w:pPr>
        <w:pStyle w:val="BookText"/>
        <w:rPr/>
      </w:pPr>
      <w:r>
        <w:rPr>
          <w:rFonts w:ascii="Amiri" w:hAnsi="Amiri" w:eastAsia="Amiri" w:cs="Amiri"/>
          <w:color w:val="111111"/>
          <w:sz w:val="28"/>
          <w:sz w:val="28"/>
          <w:szCs w:val="28"/>
          <w:rtl w:val="true"/>
          <w:lang w:bidi="ar-SA"/>
        </w:rPr>
        <w:t>بلا التفات ليس ذلك الأثر له ، فإذا صدر عن الصبيّ لا يترتّب عليه ذلك الأثر وإن قصده وصدر عنه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المعنى ما رواه في قرب الإسناد بسنده عن أبي البختري ، عن جعفر علیه السلام ، عن أبيه علیه السلام ، عن علي علیه السلام ، أنّه كان يقول في المجنون المعتوه الذي لا يفيق ، والصبيّ الذي لم يبلغ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عمدهما خطأ تحمله العاقلة ، وقد رفع عنهما القلم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رفع عنهما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حكمه بأنّ عمده خطأ بمنزلة العلّة لهذا الحكم ، فيكون معنى رفع القلم عنه أنّ الأثر الذي كان يترتّب على الفعل الذي يصدر عن العاقل عن عمد وقصد لو كان بالغا لا يترتّب على مثل ذلك الفعل لو صدر عن الصبيّ غير البالغ ، فيكون قصده كلا قصد ، وعمده كالخطإ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فالأفعال التي لا فرق في ترتّب الأثر عليها بين أن تكون صادرة عن قصد 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إليها أو عدم الالتفات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مشمولة لهذا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الوضعيّة اعتبارات من قبل الشارع ابتداء أو إمضاء من قبله لما اعتبره العرف والعقلاء ، والأمور الاعتباريّة سواء أكانت اعتبارات ابتدائيّة من قبله أو كانت إمضائية ، تكون اعتبارها بلحاظ الآثار المترتّبة عليها ، وإن قلنا بأنّها مستقلّة في الجعل ، وليست منتزعة عن الأحكام التكليفيّة كما هو المختار عندنا ، وإلاّ لو يكن لها أثر يكون اعتبارها لغوا لا يصدر عن عاقل فضلا عن الشارع الحكيم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اعتبار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ترتّب الأحكام التكليفيّة عليها ، والفرق بين هذا القول المشهور والمذهب المنصور مع ما ذهب إليه شيخنا الأعظم قدس سره هو أنّ الحكم الوضعي عند المشهور ملزوم وموضوع </w:t>
      </w:r>
    </w:p>
    <w:p>
      <w:pPr>
        <w:pStyle w:val="BookText"/>
        <w:rPr/>
      </w:pPr>
      <w:r>
        <w:rPr>
          <w:rFonts w:ascii="Amiri" w:hAnsi="Amiri" w:eastAsia="Amiri" w:cs="Amiri"/>
          <w:color w:val="111111"/>
          <w:sz w:val="28"/>
          <w:sz w:val="28"/>
          <w:szCs w:val="28"/>
          <w:rtl w:val="true"/>
          <w:lang w:bidi="ar-SA"/>
        </w:rPr>
        <w:t xml:space="preserve">للأحكام التكليفيّة </w:t>
      </w:r>
      <w:r>
        <w:rPr>
          <w:rStyle w:val="FootnoteAnchor"/>
          <w:rtl w:val="true"/>
        </w:rPr>
        <w:footnoteReference w:id="144"/>
      </w:r>
      <w:r>
        <w:rPr>
          <w:rFonts w:ascii="Amiri" w:hAnsi="Amiri" w:eastAsia="Amiri" w:cs="Amiri"/>
          <w:color w:val="111111"/>
          <w:sz w:val="28"/>
          <w:sz w:val="28"/>
          <w:szCs w:val="28"/>
          <w:rtl w:val="true"/>
          <w:lang w:bidi="ar-SA"/>
        </w:rPr>
        <w:t xml:space="preserve">، وعند الشيخ قدس سره من لوازمها ومنتزعة عنها </w:t>
      </w:r>
      <w:r>
        <w:rPr>
          <w:rStyle w:val="FootnoteAnchor"/>
          <w:rtl w:val="true"/>
        </w:rPr>
        <w:footnoteReference w:id="145"/>
      </w:r>
      <w:r>
        <w:rPr>
          <w:rFonts w:ascii="Amiri" w:hAnsi="Amiri" w:eastAsia="Amiri" w:cs="Amiri"/>
          <w:color w:val="111111"/>
          <w:sz w:val="28"/>
          <w:sz w:val="28"/>
          <w:szCs w:val="28"/>
          <w:rtl w:val="true"/>
          <w:lang w:bidi="ar-SA"/>
        </w:rPr>
        <w:t xml:space="preserve">، وإلاّ ففي كلا القولين الحكم الوضعي بدون الحكم التكليفي لا يمكن أن يوجد ، إمّا لعدم إمكان وجود الملزوم بدون اللازم كما هو المذهب المشهور المنصور ، أو لعدم إمكان وجود اللازم بدون الملزوم ، كما هو المنسوب إلى الشيخ الأعظم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أنّ معنى الحديث الشريف هو رفع خصوص الأحكام التكليفيّة ، لا الأعمّ منها ومن الوضعيّة ، لكن النتيجة في كلتا الصورتين واحدة ، إذ رفع الأحكام التكليفيّة ملازم مع رفع الأحكام الوضعيّة أيضا ، لما قلنا من عدم إمكان وجود اللازم بدون الملزوم ، بناء على أنّها منتزعات عن الأحكام التكليفيّة ، وعدم إمكان وجود الملزوم بدون اللازم ، بناء على المختار من أنّ الأحكام التكليفيّة من لوازم الأحكام الوضعيّة ، لأنّها بمنزلة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فجواز الاستمتاعات من لوازم الزوجية ، لا أنّ الزوجيّة منتزعة عن جواز الاستمتاعات ، وكذلك جواز التصرّفات ونفوذها من لوازم الملكيّة وآثارها ، لا أنّ الملكيّة منتزعة عن جواز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الأدلّة الواردة في الموارد المتفرّقة من الأحكام الوضعيّة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يدلّ على أنّ موضوع السلطنة وجواز التصرّفات هي الملكيّة وكون الشي‌ء مالا له ، وموضوع وجوب الإطاعة والتمكين هي الزوجيّة ، وموضوع عدم جواز الأكل والشرب هو كون المأكول والمشروب نجسا ، وهكذا الأمر في سائر الموارد ، وهذا ينبغي أن يعدّ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أجيب عنه بوجوه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رفع القلم هو رفع المؤاخذة التي من لوازم مخالفة التكليف </w:t>
      </w:r>
    </w:p>
    <w:p>
      <w:pPr>
        <w:pStyle w:val="BookText"/>
        <w:rPr/>
      </w:pPr>
      <w:r>
        <w:rPr>
          <w:rFonts w:ascii="Amiri" w:hAnsi="Amiri" w:eastAsia="Amiri" w:cs="Amiri"/>
          <w:color w:val="111111"/>
          <w:sz w:val="28"/>
          <w:sz w:val="28"/>
          <w:szCs w:val="28"/>
          <w:rtl w:val="true"/>
          <w:lang w:bidi="ar-SA"/>
        </w:rPr>
        <w:t xml:space="preserve">الإلزامي بترك الواجب وإتيان الحرام ، وحيث أنّ رفع اللازم مستلزم لرفع الملزوم ، فالمرفوع هي التكاليف الإلزاميّة لا مطلق التكاليف ، فالأحكام الوضعيّة لا تبقى 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عليه إتيان الواجبات وترك المحرّمات ، بناء على شرعيّة عبادات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أثر الوضع هو وجوب تفريغ ذمّة الصبيّ على الوليّ ، إذ لا مانع من أن يكون فعل الصبيّ موضوعا للحكم التكليفي الإلزامي على شخص آخر ، وها هنا هو الولي ، بل هذا المعنى صريح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 الصبيان خطأ يحمل على العاقلة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فجناية الصبيّ إن كان عن عمد موضوع لوجوب الدية على العاقلة ، ولذلك لو أتلف الصبيّ مال شخص ، أو تلف بعد وقوع يده عليه ولو كان بتلف سماويّ يجب على الولي أداء مثله من مال ذلك الصبي إن كان مثليّا ، وقيمته إن كان قيميّا ، وهكذا الحال في باب جناياته ودياته التي اشتغلت ذمّته بها ، بل وكفّاراته التي تعلّقت به ، وسائر الضمانات التي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الأثر عليه بعد البلوغ ، وهذا كاف في عدم لغويّة ذلك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الأدلّة الواردة في الأبواب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أنّ بعض الأفعال موضوع أو سبب لثبوت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أو مطلقات تشمل أفعال البالغين وغير البالغين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حاز شيئا من المباحات ملكه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أحيا أرضا مواتا فهي له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وكذلك سائر الأدلّة الكثيرة المتفرّقة في الأبواب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لها بالبالغين ، وحديث رفع القلم لا يخصّصها</w:t>
      </w:r>
      <w:r>
        <w:rPr>
          <w:rFonts w:eastAsia="Amiri" w:cs="Amiri" w:ascii="Amiri" w:hAnsi="Amiri"/>
          <w:color w:val="111111"/>
          <w:sz w:val="28"/>
          <w:szCs w:val="28"/>
          <w:rtl w:val="true"/>
          <w:lang w:bidi="ar-SA"/>
        </w:rPr>
        <w:t xml:space="preserve">. </w:t>
      </w:r>
      <w:bookmarkStart w:id="158" w:name="pg15937_235086"/>
    </w:p>
    <w:p>
      <w:pPr>
        <w:pStyle w:val="BookText"/>
        <w:rPr/>
      </w:pPr>
      <w:bookmarkEnd w:id="158"/>
      <w:r>
        <w:rPr>
          <w:rFonts w:ascii="Amiri" w:hAnsi="Amiri" w:eastAsia="Amiri" w:cs="Amiri"/>
          <w:color w:val="111111"/>
          <w:sz w:val="28"/>
          <w:sz w:val="28"/>
          <w:szCs w:val="28"/>
          <w:rtl w:val="true"/>
          <w:lang w:bidi="ar-SA"/>
        </w:rPr>
        <w:t>وأمّا الروايات الواردة في أنّ عمد الصبيان خطأ يحمل على العاقلة فموافق للعمومات ، لا أنّها مخصّصة لها ، لأنّ مفادها أنّ الصبي إذا صدر عنه فعل عن عمد لا يترتّب عليه أثر العمد ، بل يترتّب عليه أثر الخطأ ، فكلّ فعل إذا صدر عن الصبي وكان لصدوره خطأ أثر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الجنايات والديات والجنابة من هذا القبيل ، فإذا وجدت أسباب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صدورها منه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عليها تلك الأمور ، فالنتيجة ثبوت الأحكام الوضعيّة لغير البالغ أيضا مثل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التي مفادها توقّف نفوذ أمره على البلوغ </w:t>
      </w:r>
      <w:r>
        <w:rPr>
          <w:rStyle w:val="FootnoteAnchor"/>
          <w:rtl w:val="true"/>
        </w:rPr>
        <w:footnoteReference w:id="150"/>
      </w:r>
      <w:r>
        <w:rPr>
          <w:rFonts w:ascii="Amiri" w:hAnsi="Amiri" w:eastAsia="Amiri" w:cs="Amiri"/>
          <w:color w:val="111111"/>
          <w:sz w:val="28"/>
          <w:sz w:val="28"/>
          <w:szCs w:val="28"/>
          <w:rtl w:val="true"/>
          <w:lang w:bidi="ar-SA"/>
        </w:rPr>
        <w:t>فأجنبيّ عن محلّ كلامنا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073390_2142443653"/>
      <w:bookmarkStart w:id="160" w:name="_Toc50"/>
      <w:bookmarkEnd w:id="159"/>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بيان المراد من هذه القاعدة</w:t>
      </w:r>
      <w:bookmarkEnd w:id="160"/>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الذي يكون موضوعا لحكم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ذلك الفعل سببا لذلك الحكم ، ولكن التحقيق أنّ ذلك الفعل موضوع لذلك الحكم ، وليس سببيّة في البين ، لأنّ سبب الحكم هو الجعل الشرعي ، فالشارع هو السبب الموجد له ، وإنّما موضوع حكمه يكون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يصدر من البالغ وقد يصدر من غير البالغين ، وليس بلوغ الفاعل شرطا لتحقق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حيازة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كالاحتطاب والاعتشاب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لملكيّة ذلك الحطب وذلك العشب للفاعل ، سواء صدر عن البالغ أو من غيره ، فليس بلوغ من احتطب أو اعتشب شرطا في تحقق ملكيّة ذلك الحطب أو ذلك العشب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الدليل على عدم شرطيّة البلوغ لحصول الحكم الوضعي في الجهة </w:t>
      </w:r>
      <w:bookmarkStart w:id="161" w:name="pg15937_235087"/>
    </w:p>
    <w:p>
      <w:pPr>
        <w:pStyle w:val="BookText"/>
        <w:rPr/>
      </w:pPr>
      <w:bookmarkEnd w:id="161"/>
      <w:r>
        <w:rPr>
          <w:rFonts w:ascii="IRNazanin" w:hAnsi="IRNazanin" w:eastAsia="IRNazanin"/>
          <w:color w:val="111111"/>
          <w:sz w:val="28"/>
          <w:sz w:val="28"/>
          <w:szCs w:val="28"/>
          <w:rtl w:val="true"/>
          <w:lang w:bidi="fa-IR"/>
        </w:rPr>
        <w:t xml:space="preserve">الأولى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حاز شيئا من المباحات فقد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الأمر في سائر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ذكر هذه الجهة بيان مفهوم هذه القاعدة</w:t>
      </w:r>
      <w:r>
        <w:rPr>
          <w:rFonts w:eastAsia="IRNazanin" w:cs="IRNazanin"/>
          <w:color w:val="111111"/>
          <w:sz w:val="28"/>
          <w:szCs w:val="28"/>
          <w:rtl w:val="true"/>
          <w:lang w:bidi="fa-IR"/>
        </w:rPr>
        <w:t>.</w:t>
      </w:r>
    </w:p>
    <w:p>
      <w:pPr>
        <w:pStyle w:val="Heading3"/>
        <w:numPr>
          <w:ilvl w:val="2"/>
          <w:numId w:val="1"/>
        </w:numPr>
        <w:rPr/>
      </w:pPr>
      <w:bookmarkStart w:id="162" w:name="__RefHeading___Toc16073392_2142443653"/>
      <w:bookmarkStart w:id="163" w:name="_Toc51"/>
      <w:bookmarkEnd w:id="162"/>
      <w:r>
        <w:rPr>
          <w:rtl w:val="true"/>
        </w:rPr>
        <w:t xml:space="preserve">[ </w:t>
      </w:r>
      <w:r>
        <w:rPr>
          <w:rtl w:val="true"/>
        </w:rPr>
        <w:t xml:space="preserve">الجهة </w:t>
      </w:r>
      <w:r>
        <w:rPr>
          <w:rtl w:val="true"/>
        </w:rPr>
        <w:t xml:space="preserve">] </w:t>
      </w:r>
      <w:r>
        <w:rPr>
          <w:rtl w:val="true"/>
        </w:rPr>
        <w:t xml:space="preserve">الثالثة </w:t>
      </w:r>
      <w:r>
        <w:rPr>
          <w:rtl w:val="true"/>
        </w:rPr>
        <w:t xml:space="preserve">: </w:t>
      </w:r>
      <w:r>
        <w:rPr>
          <w:rtl w:val="true"/>
        </w:rPr>
        <w:t>في بيان موارد تطبيق هذه القاعدة</w:t>
      </w:r>
      <w:bookmarkEnd w:id="163"/>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الجنابة لغير البالغ بغيبوبة الحشفة في أحد فرجيه ، سواء أكان مع إنزال الواطي البالغ أو مع عدمه ، بل وكذلك تحصل الجنابة له مع غيبوبة حشفته في فرج الآخر ، سواء أكان الموطوء بالغا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الحدث الأصغر لمن خرج عنه البول أو الغائط أو الريح أو نام ، سواء أكان بالغا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الضمان واشتغال ذمّة من أتلف مال الغير ، سواء أكان المتلف بالغا أو لم يكن ، ودليله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شرح هذه القاعدة في بعض مجلّدات هذا الكتاب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مخصّص لذلك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الضمان لمن تلف ماله في يده غير المأذونة ، سواء أكان صاحب تلك اليد بالغا أو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ودليله عموم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من دون وجود مخصّص لهذا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هذا الحديث الشريف دلالة وسندا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فوّت على الحرّ منافعه ، بأن حبسه عن شغله ، ففاتت تلك المنافع التي </w:t>
      </w:r>
    </w:p>
    <w:p>
      <w:pPr>
        <w:pStyle w:val="BookText"/>
        <w:rPr/>
      </w:pPr>
      <w:r>
        <w:rPr>
          <w:rFonts w:ascii="Amiri" w:hAnsi="Amiri" w:eastAsia="Amiri" w:cs="Amiri"/>
          <w:color w:val="111111"/>
          <w:sz w:val="28"/>
          <w:sz w:val="28"/>
          <w:szCs w:val="28"/>
          <w:rtl w:val="true"/>
          <w:lang w:bidi="ar-SA"/>
        </w:rPr>
        <w:t>كان يحصلها لو لم يحبسه فهو له ضامن ، سواء أكان هذا الذي فوّت منافعه بالغا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إمّا قاعدة الإتلاف بناء على صدق الإتلاف عليه عرفا ، ولا شكّ في أنّه لو حبس مالك الأغنام والأغنام في برية فأكلها الذئب ، يصدق على الحابس عرفا أنّه أتلف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حبس مالك البستان ، ففسدت ثمراته لعدم من يصلحها ، أو يبست أشجارها لعدم من يسقيها ، فيصدق على الحابس أنّه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لو حبس ذا صنعة أو منعه عن الاشتغال بشغله ، كما لو منع البنّاء من أن يبنى ، أو الصائغ من الصياغة ، يصدق عليه عرفا أنّه أتلف منافعه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إعدام شي‌ء موجود ، لا المنع عن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قاعدة احترام مال المسلم وأنّ احترامه كاحترام دمه ، فإذا حبس ذا صنعة فوت عليه منافع إشغاله وأعماله التي كان يعملها لو لا منع الحابس عن الاشتغال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تلك المنافع مال ، وماله محترم ، فمن فوّته يجب عليه تدركه وغرمه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المنافع وإن كانت مالا ولكن بعد وجوده لا قبل ، والحابس لم يتلف مالا موجودا ولا فوّته على صاحبه ، بل إنّما منع عن أن يوجد ، فلم يفوت مالا على صاحبه كي يكون ضامنا له بقاعدة الاحترام ولكنّه حيث يصحّ أن يواجر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تمليك منفعة معلومة بعوض معلوم عند أكثر الفقهاء قدس سره وإن عرف بتعاريف أخر ، ولا يمكن تمليك ما ليس بمالك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يقال بأنّ أعماله قبل وجودها مال ، ولذلك تبادل بالمال ، فإذا فوّتها على المالك فقد فوّت مالا محترما عليه ، فيضمن بقاعدة الاحترام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ولا شكّ أنّ من حبسه ومنعه عن عمله واستيفاء منافعه فقد اعتدى عليه ، فله أن يعتدى عليه بمقدار الضرر الذي أورده عليه ويغرمه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مسألة تفويت المنافع غير المستوفاة ، هو أنّه إن كانت تفويت المنافع بواسطة وقوع ذي المنفعة تحت يده ، كما لو حبس عبده أو دابّته ومنعهما عن إيجاد منافعهما ، فهذا يرجع إلى ضمان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جهة أنّ اليد على الشي‌ء يد على منافعه ، فكما أنّه يجب إرجاع العين وردّه إلى صاحبه يجب عليه إرجاع المنافع غير المستوفاة أيضا ، لأنّها وقعت تحت يده بتبع وقوع العين تحت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لا يمكن في حبس الحرّ ، لعدم إمكان وقوع الحرّ تحت يده ، وعدم صدق الموصول عليه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 ليس شيئا مأخوذا بحيث يكون الأخذ سلطانا عليه ، ويكون له التصرّف فيه بالبيع والهبة وغير ذلك من التصرّفات ، فلا بدّ لإثبات الضمان فيه إلى التماس دليل آخر غير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ما قالوا من اندراجه تحت قاعدة الإتلاف ، وقاعدة الاحترام أو الاعتداء في الآية المباركة ، وقد عرفت ما فيها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من حيث الأقوال أيضا فيها اختلاف كثير ، ذكرها شيخنا الأعظم قدس سره في مكاسبه ، وهو بنفسه له كرّ 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المشهور القول بالضمان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عرفت أنّ هذا فيما يقع تحت اليد لا إشكال فيه ، وإنّما الكلام فيما لا يقع تحتها ، كما قلنا في صورة حبس الحرّ وهو الذي يقال أنّه مورد لقاعدة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يمكن أن يكون مدركا لقاعدة التفويت ، مع ما فيها من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مدركها الروايات ، فالروايات التي نحن اطّلعنا عليها ترجع إلى قاعدة الإتلاف ، وقد ذكرنا عدّة منها في مقام بيان مدرك قاعدة الإتلاف </w:t>
      </w:r>
      <w:r>
        <w:rPr>
          <w:rStyle w:val="FootnoteAnchor"/>
          <w:rtl w:val="true"/>
        </w:rPr>
        <w:footnoteReference w:id="155"/>
      </w:r>
      <w:r>
        <w:rPr>
          <w:rFonts w:ascii="Amiri" w:hAnsi="Amiri" w:eastAsia="Amiri" w:cs="Amiri"/>
          <w:color w:val="111111"/>
          <w:sz w:val="28"/>
          <w:sz w:val="28"/>
          <w:szCs w:val="28"/>
          <w:rtl w:val="true"/>
          <w:lang w:bidi="ar-SA"/>
        </w:rPr>
        <w:t xml:space="preserve">، وعلى كلّ حال كون قاعدة التفويت في قبال قاعدة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الاحترام وقاعدة على اليد قاعدة أخرى ويكون لها مدرك مختصّ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منع الحرّ عن استيفاء منافعه بواسطة منعه عن العمل ، أو بواسطة منعه عن استثمار أملاكه موجب للضمان مع عدم كونه مندرجا تحت قاعدة الإتلاف ، ولا تحت قاعدة الاحترام ، ولا تحت قاعدة على اليد ، كما هو المفروض ، فلا بدّ وأن نقول إنّ هناك قاعدة أخرى ، وهي قاعدة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فضمان المنافع غير المستوفاة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وقوعها تحت اليد ولو بتبع العين ، مدركه قاعدة التفويت ، ومدرك قاعدة 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كون المذكورات مدركا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بناء العقلاء على ذلك ، مع عدم صدور ردع عن قبل الشارع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أبواب الضمانات غالبا أمضى الشارع الطرق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العرف والعقلاء يرون من حبس شخصا حرّا ومنعه عن الاشتغال باشغاله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إشغاله ذات فائدة كثيرة وقيمة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 ويحكمون بتغريمه وأخذ ما خسره المحبوس عنه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دليل قطعيّ على أنّ تفويت المنافع على شخص موجب للضمان ، وإن كانت تلك المنافع غير مستوفاة ، وحيث أنّ الشارع لم يردع عن هذه الطريقة العقلائيّة فعدم </w:t>
      </w:r>
    </w:p>
    <w:p>
      <w:pPr>
        <w:pStyle w:val="BookText"/>
        <w:rPr/>
      </w:pPr>
      <w:r>
        <w:rPr>
          <w:rFonts w:ascii="Amiri" w:hAnsi="Amiri" w:eastAsia="Amiri" w:cs="Amiri"/>
          <w:color w:val="111111"/>
          <w:sz w:val="28"/>
          <w:sz w:val="28"/>
          <w:szCs w:val="28"/>
          <w:rtl w:val="true"/>
          <w:lang w:bidi="ar-SA"/>
        </w:rPr>
        <w:t>الردع دليل على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المباحات ، فإنّه لا فرق بين أن يكون من حاز بالغا أو غير بالغ في حصول الملكيّة له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على عموم الحكم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حاز شيئا من المباحات ملكه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من دون مخصّص لهذا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حكم الشارع بتعلّق الدية بذمّة من أوجد سببها ، سواء أكان بالغا أو غير بالغ ، من دون مخصّص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ودليله الأخبار الكثيرة الواردة في موارد الديات ، كرواية أبي الصباح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أضرّ بشي‌ء من طريق المسلمين فهو له ضامن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وكرواية السكوني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أخرج ميزابا أو كنيفا ، أو أوتد وتدا ، أو أوثق دابّة ، أو حفر شيئا في طريق المسلمين ، فأصاب شيئا فعطب فهو له ضامن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إلى غير ذلك من الأخبار الواردة في أبواب الديات والجنايات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الموصول عامّ يشمل غير البالغين كما يشمل البالغين ، ولا مخصّص في البين ، عدا ما 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صحّة ما ذكروه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حصول ملكيّة كلّ من أحيا أرضا ميتة ، سواء أكان بالغا أو لم يكن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والدليل عليه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أحيا أرضا مواتا فهي له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164" w:name="pg15937_235093"/>
    </w:p>
    <w:p>
      <w:pPr>
        <w:pStyle w:val="Heading2"/>
        <w:numPr>
          <w:ilvl w:val="1"/>
          <w:numId w:val="1"/>
        </w:numPr>
        <w:rPr/>
      </w:pPr>
      <w:bookmarkStart w:id="165" w:name="__RefHeading___Toc16073394_2142443653"/>
      <w:bookmarkStart w:id="166" w:name="_Toc52"/>
      <w:bookmarkEnd w:id="164"/>
      <w:bookmarkEnd w:id="165"/>
      <w:r>
        <w:rPr/>
        <w:t>43</w:t>
      </w:r>
      <w:r>
        <w:rPr>
          <w:rtl w:val="true"/>
        </w:rPr>
        <w:t xml:space="preserve"> - </w:t>
      </w:r>
      <w:r>
        <w:rPr>
          <w:rtl w:val="true"/>
        </w:rPr>
        <w:t>قاعدة الشرط الفاسد ليس بمفسد للعقد</w:t>
      </w:r>
      <w:bookmarkEnd w:id="1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6073396_2142443653"/>
      <w:bookmarkStart w:id="168" w:name="_Toc53"/>
      <w:bookmarkEnd w:id="167"/>
      <w:r>
        <w:rPr>
          <w:rtl w:val="true"/>
        </w:rPr>
        <w:t>اشارة</w:t>
      </w:r>
      <w:bookmarkEnd w:id="1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5937_235095"/>
      <w:bookmarkStart w:id="170" w:name="pg15937_235095"/>
      <w:bookmarkEnd w:id="170"/>
    </w:p>
    <w:p>
      <w:pPr>
        <w:pStyle w:val="BookText"/>
        <w:rPr/>
      </w:pPr>
      <w:bookmarkStart w:id="171" w:name="pg15937_235095"/>
      <w:bookmarkEnd w:id="171"/>
      <w:r>
        <w:rPr>
          <w:rFonts w:ascii="Amiri" w:hAnsi="Amiri" w:eastAsia="Amiri" w:cs="Amiri"/>
          <w:color w:val="111111"/>
          <w:sz w:val="28"/>
          <w:sz w:val="28"/>
          <w:szCs w:val="28"/>
          <w:rtl w:val="true"/>
          <w:lang w:bidi="ar-SA"/>
        </w:rPr>
        <w:t xml:space="preserve">قاعدة الشرط الفاسد ليس بمفسد للعقد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هي أنّ الشرط الفاسد هل هو مفسد للعقد أم لا؟ 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6073398_2142443653"/>
      <w:bookmarkStart w:id="173" w:name="_Toc54"/>
      <w:bookmarkEnd w:id="172"/>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الأقوال فيها</w:t>
      </w:r>
      <w:bookmarkEnd w:id="173"/>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w:t>
      </w:r>
      <w:r>
        <w:rPr>
          <w:rStyle w:val="FootnoteAnchor"/>
          <w:rtl w:val="true"/>
        </w:rPr>
        <w:footnoteReference w:id="161"/>
      </w:r>
      <w:r>
        <w:rPr>
          <w:rFonts w:ascii="Amiri" w:hAnsi="Amiri" w:eastAsia="Amiri" w:cs="Amiri"/>
          <w:color w:val="111111"/>
          <w:sz w:val="28"/>
          <w:sz w:val="28"/>
          <w:szCs w:val="28"/>
          <w:rtl w:val="true"/>
          <w:lang w:bidi="ar-SA"/>
        </w:rPr>
        <w:t xml:space="preserve">والقاضي </w:t>
      </w:r>
      <w:r>
        <w:rPr>
          <w:rStyle w:val="FootnoteAnchor"/>
          <w:rtl w:val="true"/>
        </w:rPr>
        <w:footnoteReference w:id="162"/>
      </w:r>
      <w:r>
        <w:rPr>
          <w:rFonts w:ascii="Amiri" w:hAnsi="Amiri" w:eastAsia="Amiri" w:cs="Amiri"/>
          <w:color w:val="111111"/>
          <w:sz w:val="28"/>
          <w:sz w:val="28"/>
          <w:szCs w:val="28"/>
          <w:rtl w:val="true"/>
          <w:lang w:bidi="ar-SA"/>
        </w:rPr>
        <w:t xml:space="preserve">وابن سعيد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وجماعة أخرى إلى عدم كونه مفسدا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من المحقّقين كالعلاّمة </w:t>
      </w:r>
      <w:r>
        <w:rPr>
          <w:rStyle w:val="FootnoteAnchor"/>
          <w:rtl w:val="true"/>
        </w:rPr>
        <w:footnoteReference w:id="164"/>
      </w:r>
      <w:r>
        <w:rPr>
          <w:rFonts w:ascii="Amiri" w:hAnsi="Amiri" w:eastAsia="Amiri" w:cs="Amiri"/>
          <w:color w:val="111111"/>
          <w:sz w:val="28"/>
          <w:sz w:val="28"/>
          <w:szCs w:val="28"/>
          <w:rtl w:val="true"/>
          <w:lang w:bidi="ar-SA"/>
        </w:rPr>
        <w:t xml:space="preserve">والمحقّق الثاني </w:t>
      </w:r>
      <w:r>
        <w:rPr>
          <w:rStyle w:val="FootnoteAnchor"/>
          <w:rtl w:val="true"/>
        </w:rPr>
        <w:footnoteReference w:id="165"/>
      </w:r>
      <w:r>
        <w:rPr>
          <w:rFonts w:ascii="Amiri" w:hAnsi="Amiri" w:eastAsia="Amiri" w:cs="Amiri"/>
          <w:color w:val="111111"/>
          <w:sz w:val="28"/>
          <w:sz w:val="28"/>
          <w:szCs w:val="28"/>
          <w:rtl w:val="true"/>
          <w:lang w:bidi="ar-SA"/>
        </w:rPr>
        <w:t xml:space="preserve">، والشهيدين </w:t>
      </w:r>
      <w:r>
        <w:rPr>
          <w:rStyle w:val="FootnoteAnchor"/>
          <w:rtl w:val="true"/>
        </w:rPr>
        <w:footnoteReference w:id="166"/>
      </w:r>
      <w:r>
        <w:rPr>
          <w:rFonts w:ascii="Amiri" w:hAnsi="Amiri" w:eastAsia="Amiri" w:cs="Amiri"/>
          <w:color w:val="111111"/>
          <w:sz w:val="28"/>
          <w:sz w:val="28"/>
          <w:szCs w:val="28"/>
          <w:rtl w:val="true"/>
          <w:lang w:bidi="ar-SA"/>
        </w:rPr>
        <w:t xml:space="preserve">وغيرهم قدس سرهم بل </w:t>
      </w:r>
      <w:bookmarkStart w:id="174" w:name="pg15937_235096"/>
    </w:p>
    <w:p>
      <w:pPr>
        <w:pStyle w:val="BookText"/>
        <w:rPr/>
      </w:pPr>
      <w:bookmarkEnd w:id="174"/>
      <w:r>
        <w:rPr>
          <w:rFonts w:ascii="Amiri" w:hAnsi="Amiri" w:eastAsia="Amiri" w:cs="Amiri"/>
          <w:color w:val="111111"/>
          <w:sz w:val="28"/>
          <w:sz w:val="28"/>
          <w:szCs w:val="28"/>
          <w:rtl w:val="true"/>
          <w:lang w:bidi="ar-SA"/>
        </w:rPr>
        <w:t>قيل جلّ المتأخّرين إلى أنّه مفسد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ابن زهرة </w:t>
      </w:r>
      <w:r>
        <w:rPr>
          <w:rStyle w:val="FootnoteAnchor"/>
          <w:rtl w:val="true"/>
        </w:rPr>
        <w:footnoteReference w:id="167"/>
      </w:r>
      <w:r>
        <w:rPr>
          <w:rFonts w:ascii="Amiri" w:hAnsi="Amiri" w:eastAsia="Amiri" w:cs="Amiri"/>
          <w:color w:val="111111"/>
          <w:sz w:val="28"/>
          <w:sz w:val="28"/>
          <w:szCs w:val="28"/>
          <w:rtl w:val="true"/>
          <w:lang w:bidi="ar-SA"/>
        </w:rPr>
        <w:t>بين ما إذا كان سبب فساد الشرط كونه غير مقدور فقال بالإفساد ، وبين ما إذا كان سببه كونه مخالفا لمقتضى العقد ، أو كونه مخالفا للسنّة فقال بعدم الإفساد وادّعى الإجماع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تفصيل آخر نسب إلى ابن المتوج البحراني </w:t>
      </w:r>
      <w:r>
        <w:rPr>
          <w:rStyle w:val="FootnoteAnchor"/>
          <w:rtl w:val="true"/>
        </w:rPr>
        <w:footnoteReference w:id="168"/>
      </w:r>
      <w:r>
        <w:rPr>
          <w:rFonts w:ascii="Amiri" w:hAnsi="Amiri" w:eastAsia="Amiri" w:cs="Amiri"/>
          <w:color w:val="111111"/>
          <w:sz w:val="28"/>
          <w:sz w:val="28"/>
          <w:szCs w:val="28"/>
          <w:rtl w:val="true"/>
          <w:lang w:bidi="ar-SA"/>
        </w:rPr>
        <w:t>، وهو الإفساد إن كان سبب فساد الشرط كونه غير عقلائي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 وسيأتي بيانه وبرهانه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6073400_2142443653"/>
      <w:bookmarkStart w:id="176" w:name="_Toc55"/>
      <w:bookmarkEnd w:id="175"/>
      <w:r>
        <w:rPr>
          <w:rtl w:val="true"/>
        </w:rPr>
        <w:t xml:space="preserve">[ </w:t>
      </w:r>
      <w:r>
        <w:rPr>
          <w:rtl w:val="true"/>
        </w:rPr>
        <w:t xml:space="preserve">الجهة </w:t>
      </w:r>
      <w:r>
        <w:rPr>
          <w:rtl w:val="true"/>
        </w:rPr>
        <w:t xml:space="preserve">] </w:t>
      </w:r>
      <w:r>
        <w:rPr>
          <w:rtl w:val="true"/>
        </w:rPr>
        <w:t>الثانية</w:t>
      </w:r>
      <w:bookmarkEnd w:id="176"/>
    </w:p>
    <w:p>
      <w:pPr>
        <w:pStyle w:val="BookText"/>
        <w:rPr/>
      </w:pPr>
      <w:r>
        <w:rPr>
          <w:rFonts w:ascii="Amiri" w:hAnsi="Amiri" w:eastAsia="Amiri" w:cs="Amiri"/>
          <w:color w:val="111111"/>
          <w:sz w:val="28"/>
          <w:sz w:val="28"/>
          <w:szCs w:val="28"/>
          <w:rtl w:val="true"/>
          <w:lang w:bidi="ar-SA"/>
        </w:rPr>
        <w:t xml:space="preserve">في أنّه بعد الفراغ من أنّ الشرط الفاسد لا يجب الوفاء به لفساده وبطلانه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لم يعتن بهذا الالتزام والإلزام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يستحبّ الوفاء به ، من حيث أنّه وعد ابتدائي ، لا من حيث أنّه إلزام أو التزام في ضمن العقد اللازم ، كي تقول بأنّه من هذه الجهة فاسد وباطل ولم يمضه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إذا كان منشأ بطلان الشرط وفساده كونه ممّا أحلّ حراما ، فلا وجه لإتيان هذا الاحتمال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عداه ممّا ليس مخالفا للمشروع ، فقد أفاد شيخنا الأعظم قدس سره أنّه لا تأمّل فيه ، لكونه من الوفاء بالوعد الذي لا شبهة في حسنه عقلا واستحبابه شرعا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واستشكل عليه شيخنا الأستاذ قدس سره بأنّ الوعد إخبار ، فلا ربط له بباب الشروط التي تكون من مقولة الإنشاءات ، لما قلنا إنّها إلزامات والتزامات في ضمن العقود اللازمة ، فلا يشملها دليل استحباب الوفاء بالوعد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w:t>
      </w:r>
    </w:p>
    <w:p>
      <w:pPr>
        <w:pStyle w:val="BookText"/>
        <w:rPr/>
      </w:pPr>
      <w:r>
        <w:rPr>
          <w:rFonts w:ascii="Amiri" w:hAnsi="Amiri" w:eastAsia="Amiri" w:cs="Amiri"/>
          <w:color w:val="111111"/>
          <w:sz w:val="28"/>
          <w:sz w:val="28"/>
          <w:szCs w:val="28"/>
          <w:rtl w:val="true"/>
          <w:lang w:bidi="ar-SA"/>
        </w:rPr>
        <w:t xml:space="preserve">واليوم الآخر فليف إذا وعد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وكقوله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المؤمن أخاه نذر لا كفّارة له ، فمن أخلف فيخلف اللّه بذا ولمقته تعرّض ،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ولا دليل لزوم الوفاء بالشرط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لأنّ المراد من الشروط هي الشروط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الواعد أيضا نحو التزام بإيجاد أمر في المستقبل ، فيكون من قبيل الإنشاءات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وفي بوعده ، ولو كان صرف الإخبار عن أمر فيما سيأتي لما كان للوفاء به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اتّصافه بالكذب والصدق في الكتاب العزيز في موارد كثيرة ، فلا دلالة فيه على أنّه ليس من الإنشاءات ، لأنّ الإنشاء لا يتّصف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الإنشاء وإن لم يتّصف بهما باعتبار نفس الإنشاء ، لأنّه لا حكاية في الإنشاء كي تكون مطابقة للمحكي أو غير مطابقة له ، ولكن ربما يتّصف بهما باعتبار قصد الحقيقي وعدمه بالنسبة إلى وقوع المنشأ وعدمه ، فيكون اتّصاف الوعد بهما من باب الوصف بحال متعلّق الموصوف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العمل بالالتزام بأمر لا شكّ في حسنه عقلا وشرعا وإن لم يكن ذلك الالتزام مشمولا لدليل وجوب الوفاء بالشروط ، إذا لم يكن ممّا ندب </w:t>
      </w:r>
      <w:bookmarkStart w:id="177" w:name="pg15937_235098"/>
    </w:p>
    <w:p>
      <w:pPr>
        <w:pStyle w:val="BookText"/>
        <w:rPr/>
      </w:pPr>
      <w:bookmarkEnd w:id="177"/>
      <w:r>
        <w:rPr>
          <w:rFonts w:ascii="Amiri" w:hAnsi="Amiri" w:eastAsia="Amiri" w:cs="Amiri"/>
          <w:color w:val="111111"/>
          <w:sz w:val="28"/>
          <w:sz w:val="28"/>
          <w:szCs w:val="28"/>
          <w:rtl w:val="true"/>
          <w:lang w:bidi="ar-SA"/>
        </w:rPr>
        <w:t>الشارع إلى تركه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073402_2142443653"/>
      <w:bookmarkStart w:id="179" w:name="_Toc56"/>
      <w:bookmarkEnd w:id="178"/>
      <w:r>
        <w:rPr>
          <w:rtl w:val="true"/>
        </w:rPr>
        <w:t xml:space="preserve">[ </w:t>
      </w:r>
      <w:r>
        <w:rPr>
          <w:rtl w:val="true"/>
        </w:rPr>
        <w:t xml:space="preserve">الجهة </w:t>
      </w:r>
      <w:r>
        <w:rPr>
          <w:rtl w:val="true"/>
        </w:rPr>
        <w:t xml:space="preserve">] </w:t>
      </w:r>
      <w:r>
        <w:rPr>
          <w:rtl w:val="true"/>
        </w:rPr>
        <w:t xml:space="preserve">الثالثة </w:t>
      </w:r>
      <w:r>
        <w:rPr>
          <w:rtl w:val="true"/>
        </w:rPr>
        <w:t xml:space="preserve">: </w:t>
      </w:r>
      <w:r>
        <w:rPr>
          <w:rtl w:val="true"/>
        </w:rPr>
        <w:t>في تعيين ما هو محلّ النزاع ، وبيان مورد ما وقع فيه الخلاف</w:t>
      </w:r>
      <w:bookmarkEnd w:id="179"/>
    </w:p>
    <w:p>
      <w:pPr>
        <w:pStyle w:val="Heading4"/>
        <w:numPr>
          <w:ilvl w:val="3"/>
          <w:numId w:val="1"/>
        </w:numPr>
        <w:rPr/>
      </w:pPr>
      <w:bookmarkStart w:id="180" w:name="__RefHeading___Toc16073404_2142443653"/>
      <w:bookmarkStart w:id="181" w:name="_Toc57"/>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في مقام تحرير محلّ الخلاف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كان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به أو إلزام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لاختلال العقد أو العوضين أو غيرهما من أركان المعاملة ، فهو خارج عن محلّ النزاع ، ولا شكّ في أنّ مثل هذه الشروط فاسدة ومفسدة للعقد ، فلو باعه شيئا بشرط أن لا يملكه ، أو زوّجه بشرط عدم جميع الاستمتاعات منها ، فمثل هذا الشرط فاسد ومفسد يقينا ، لأنّه مناقض للعقد ، غاية الأمر أنّه في المثال الأوّل تكون المناقضة بين الالتزامين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الالتزام العقدي والشرطي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 لأنّ مفاد الأوّل تمليك ، ومفاد الثاني نفي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الثاني تكون بالدلالة الالتزامية ، لأنّ الزوجيّة المنشأة بالعقد وإن كانت غير جواز الاستمتاعات منها ، إلاّ أنّ جواز الاستمتاع منها بطور الموجبة الجزئيّة من لوازمها ، وإلاّ يكون اعتبارها لغوا وباطلا ، فمفاد الشرط يكون نفي الزوجيّة من باب نفي الملزوم بنفي اللازم ، فيتناقضان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ربما يتوهّم أنّ التناقض يكون فيما إذا أمضى الشارع هذا الشرط ورتّب عليه الأثر ، فصحّة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ترتيب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متناقضان ، ولا تناقض بين العقد وصرف وجود هذا الشرط ، فلو قلنا بفساد الشرط وعدم لزوم ترتيب الأثر عليه فلا تناقض في البين ، في كلا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صريحا ولا 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بناء على هذا يكون صرف لقلقة لسان ، ووجوده كعدمه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أنت خبير بأنّ مثل هذا الكلام متناقض من حيث المتفاهم العرفي ، سواء أمضى الشارع مثل هذا الشرط أو لم يمضه ، ولا يصحّ إنشاء النقل والانتقال أو الزوجيّة بمثل هذا الكلام المتناقض الذي ليس له مفهوم عرفي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الإشكال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الشرط بوجوده موجبا لاختلال العقد أو أحد أركانه ، بل يكون موجبا للاختلال على تقدير صحّته وإمضائه من قبل الشارع ، كما إذا باع العنب بشرط أن يعمله خمرا ، أو الخشب على أن يعمله صليبا أو صنما ، فحصر المنفعة في هذه المنفعة المحرّمة موجب لسقوط ماليّته وبطلان البيع وفساده لذلك ، لصيرورة المبيع بلا منفعة بناء على هذا ، فيخرج عن الماليّة ويختلّ أحد أركان العقد وهو ماليّة أحد العوضين ، ولكن هذا الخروج عن الماليّة حيث أنّه ليس خروجا تكوينيّا ، بل يكون خروجا تشريعيا ، فيحتاج إلى إمضاء الشارع لهذا الشرط ، وإلاّ فبصرف وجوده لا يوجب سقوط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المالك منفعة المبيع في هذا المحرّم موجب لسلب سائر المنافع عن ذلك المال ، سواء أكان هذا الشرط صحيحا أم لا ، فلا يبقى للمشتري إلاّ هذه المنفعة وهي محرّمة ، سواء أكان الشرط صحيحا أم فاسدا ، فيكون الشرط من ذلك القسم الذي بوجوده يوجب الاختلال ، لا باعتباره وإمضائه من طرف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تدبّرت فيما ذكرنا تعرف أنّ بعض التفاصيل في هذه القاعدة ليس قولا بالتفصيل ، بل خارج عمّا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إذا كان فساد الشرط موجبا لعدم القدرة على تسليم المبيع مثلا ، أو صيرورة البيع غرريّا ، أو التناقض بين مفاد الشرط ومفاد العقد ، فهذه الصور وأمثالها خارجة عن محلّ الكلام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الشرط الفاسد هل هو مفسد للعقد الذي وقع هذا الشرط في ضمنه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فيما إذا كان وجه كونه مفسدا </w:t>
      </w:r>
    </w:p>
    <w:p>
      <w:pPr>
        <w:pStyle w:val="BookText"/>
        <w:rPr/>
      </w:pPr>
      <w:r>
        <w:rPr>
          <w:rFonts w:ascii="Amiri" w:hAnsi="Amiri" w:eastAsia="Amiri" w:cs="Amiri"/>
          <w:color w:val="111111"/>
          <w:sz w:val="28"/>
          <w:sz w:val="28"/>
          <w:szCs w:val="28"/>
          <w:rtl w:val="true"/>
          <w:lang w:bidi="ar-SA"/>
        </w:rPr>
        <w:t xml:space="preserve">تقييد المعاملة ، أو إناطة الرضا بالنقل والانتقال ، أو بأيّ شي‌ء كان مضمون العقد ومفاده بذلك الشرط؟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إذا كان فاسدا ولا يجب الوفاء به ، بل لا يجوز فيما إذا كان محرّما ، فهل ذلك العقد وتلك المعاملة تكون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الرضا بمضمونها ، أو من جهة انتفاء المقيّد بانتفاء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إذ لا يلزم محذور؟</w:t>
      </w:r>
    </w:p>
    <w:p>
      <w:pPr>
        <w:pStyle w:val="BookText"/>
        <w:rPr/>
      </w:pPr>
      <w:r>
        <w:rPr>
          <w:rFonts w:ascii="Amiri" w:hAnsi="Amiri" w:eastAsia="Amiri" w:cs="Amiri"/>
          <w:color w:val="111111"/>
          <w:sz w:val="28"/>
          <w:sz w:val="28"/>
          <w:szCs w:val="28"/>
          <w:rtl w:val="true"/>
          <w:lang w:bidi="ar-SA"/>
        </w:rPr>
        <w:t xml:space="preserve">وأمّا لو كان الشرط سببا لاختلال أحد أركان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شرائط العوضين أو المتعاملين ، فهذا لا ربط له بهذه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الأمور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الإفساد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أدلّة المعاملات والعقود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وغيره من العمومات والإطلاقات الواردة في أبواب المعاملات من العقود والإيقاعات ، ولا يجوز الخروج عنها إلاّ بمخصّص أو مقيّد ، وليس في البين ما يكون صالحا لأن يكون مخصّصا ، أو يكون مقيّدا عدا ما توهّم من إناطة الرضا في العقد المشروط بذلك الشرط المذكور فيه ، ومن بعض الروايات التي ذكروها في مقام إثبات الإفساد ، </w:t>
      </w:r>
      <w:r>
        <w:rPr>
          <w:rStyle w:val="FootnoteAnchor"/>
          <w:rtl w:val="true"/>
        </w:rPr>
        <w:footnoteReference w:id="175"/>
      </w:r>
      <w:r>
        <w:rPr>
          <w:rFonts w:ascii="Amiri" w:hAnsi="Amiri" w:eastAsia="Amiri" w:cs="Amiri"/>
          <w:color w:val="111111"/>
          <w:sz w:val="28"/>
          <w:sz w:val="28"/>
          <w:szCs w:val="28"/>
          <w:rtl w:val="true"/>
          <w:lang w:bidi="ar-SA"/>
        </w:rPr>
        <w:t>ومن أنّ للشرط قسطا من الثمن ، فإذا كان الشرط فاسدا يكون العوض في العقد مجهولا ، لأنّه لا يعلم أيّ مقدار منه بإزاء نفس المبيع مثلا ، وأيّ مقدار بإزاء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إن شاء اللّه تعالى عن هذه الأمور الثلاثة مفصّلا في مقام الجواب عن أدلّة القول بالإفساد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السيّد أبو المكارم ابن زهرة </w:t>
      </w:r>
      <w:r>
        <w:rPr>
          <w:rStyle w:val="FootnoteAnchor"/>
          <w:rtl w:val="true"/>
        </w:rPr>
        <w:footnoteReference w:id="176"/>
      </w:r>
      <w:r>
        <w:rPr>
          <w:rFonts w:ascii="Amiri" w:hAnsi="Amiri" w:eastAsia="Amiri" w:cs="Amiri"/>
          <w:color w:val="111111"/>
          <w:sz w:val="28"/>
          <w:sz w:val="28"/>
          <w:szCs w:val="28"/>
          <w:rtl w:val="true"/>
          <w:lang w:bidi="ar-SA"/>
        </w:rPr>
        <w:t xml:space="preserve">قدس سره ولكن فيه على فرض تسليم وجوده لا وجه لحجّيته مع وجود المدارك التي ذكرناها من العمومات </w:t>
      </w:r>
    </w:p>
    <w:p>
      <w:pPr>
        <w:pStyle w:val="BookText"/>
        <w:rPr/>
      </w:pPr>
      <w:r>
        <w:rPr>
          <w:rFonts w:ascii="Amiri" w:hAnsi="Amiri" w:eastAsia="Amiri" w:cs="Amiri"/>
          <w:color w:val="111111"/>
          <w:sz w:val="28"/>
          <w:sz w:val="28"/>
          <w:szCs w:val="28"/>
          <w:rtl w:val="true"/>
          <w:lang w:bidi="ar-SA"/>
        </w:rPr>
        <w:t>والإطلاقات ، وما سنذكرها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المشهور بين الفريقين المرويّة في كتب العامّة والخاصّة في قصة بريرة التي اشتراها أمّ المؤمنين عائشة ، وهو ما رواه المشايخ الثلاثة في الصحيح عن الحلبي عن الصادق علیه السلام أنّه ذكر أنّ بريرة كانت عند زوج لها وهي 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فاشترتها عائشة فأعتقتها ، فخيّرها رسول اللّه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قعدت عند زوجها وإن شاءت فارقته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مواليها الذين باعوها اشترطوا على عائشة أنّ لهم ولاؤها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هذا الحديث الشريف المشهور بيننا وبين الجمهور على عدم إفساد الشرط الفاسد للعقد ممّا لا ريب فيه وواضحة جدّا ، وذلك لحكمه صلی اللّه علیه و آله بفساد الشرط وصحّة العقد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حكمه صلی اللّه علیه و آله بفساد الشرط وأنّه خلاف السنّة فلقوله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شرط اللّه قبل شرطكم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حكمه بصحة العقد المشتمل على هذا الشرط الفاسد ، فلقوله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شاءت قعدت عند زوجها ، وإن شاءت فارقتها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تخييرها بين العقود عند زوجها وبين مفارقتها له موقوف على صحّة عتقها ، وهي موقوفة على صحّة بيعها كي يكون </w:t>
      </w:r>
    </w:p>
    <w:p>
      <w:pPr>
        <w:pStyle w:val="BookText"/>
        <w:rPr/>
      </w:pPr>
      <w:r>
        <w:rPr>
          <w:rFonts w:ascii="Amiri" w:hAnsi="Amiri" w:eastAsia="Amiri" w:cs="Amiri"/>
          <w:color w:val="111111"/>
          <w:sz w:val="28"/>
          <w:sz w:val="28"/>
          <w:szCs w:val="28"/>
          <w:rtl w:val="true"/>
          <w:lang w:bidi="ar-SA"/>
        </w:rPr>
        <w:t>العتق في ملك المعتق ، وإلاّ فلا يصحّ العتق ، فلا يكون لها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وصحيحة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 عن أحدهما في رجل اشترى جارية وشرط لأهلها أن لا يبيع ولا يهب؟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يفي بذلك إذا شرط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آخر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الميراث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الشرط في الإماء لا تباع ولا تورث ولا توهب؟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غير الميراث ، فإنّها تورث ، وكلّ شرط خالف كتاب اللّه فهو ردّ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الصحيحة والمرسلة هو أنّ البائع لو شرط على الذي اشترى جاريته أن لا يبيعها ولا يوهبها ولا تورث ، فيجب على المشتري أن يفي بالشرطين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بيعها وعدم 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عدم الإرث لا ينفذ ، لأنّه خلاف كتاب اللّه تعالى ، فهو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وجوب الوفاء بذينك الشرطين موقوف على صحّة البيع الذي وقعا في ضمنه ، مع أنّ ذلك البيع مشروط بشرط فاسد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أنّها لا تورث ، لأنّه خلاف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تدلّ على أنّ الشرط الفاسد لا يكون مفسدا للعقد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يشكل الاستدلال بهذه الرواية على عدم كون الشرط الفاسد مفسدا بأنّه مبنيّ على صحّة اشتراط بيع الجارية بعدم بيعها وعدم هبتها كي يكون الوفاء بهما واجب ، والمشهور يقولون بفساد هذين الشرطين وأنّهما خلاف السنة ، فلا يجب الوفاء بهما ، فتكون الرواية قد أعرض عنها المشهور ، بل ربما ادّعى الإجماع على خلافه ، إذ </w:t>
      </w:r>
    </w:p>
    <w:p>
      <w:pPr>
        <w:pStyle w:val="BookText"/>
        <w:rPr/>
      </w:pPr>
      <w:r>
        <w:rPr>
          <w:rFonts w:ascii="Amiri" w:hAnsi="Amiri" w:eastAsia="Amiri" w:cs="Amiri"/>
          <w:color w:val="111111"/>
          <w:sz w:val="28"/>
          <w:sz w:val="28"/>
          <w:szCs w:val="28"/>
          <w:rtl w:val="true"/>
          <w:lang w:bidi="ar-SA"/>
        </w:rPr>
        <w:t xml:space="preserve">حكى عن كاشف الرموز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عاملا بهذه الرواية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شيخنا الأعظم قدس سره عن هذا الإشكال بحمل الأمر بالوفاء بالشرطين على الاستحباب </w:t>
      </w:r>
      <w:r>
        <w:rPr>
          <w:rStyle w:val="FootnoteAnchor"/>
          <w:rtl w:val="true"/>
        </w:rPr>
        <w:footnoteReference w:id="182"/>
      </w:r>
      <w:r>
        <w:rPr>
          <w:rFonts w:ascii="Amiri" w:hAnsi="Amiri" w:eastAsia="Amiri" w:cs="Amiri"/>
          <w:color w:val="111111"/>
          <w:sz w:val="28"/>
          <w:sz w:val="28"/>
          <w:szCs w:val="28"/>
          <w:rtl w:val="true"/>
          <w:lang w:bidi="ar-SA"/>
        </w:rPr>
        <w:t>، إذ المشهور لا ينكرون استحباب الوفاء ، بل يقولون بعدم وجوب الوفاء بالشرطين ، لعدم صحّتهما ، ولا ينافي عدم صحّة الشرط مع استحباب الوفاء به ، كما نبّهنا عليه في صدر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ظاهر الرواية هو وجوب الوفاء بالشرطين ، وقلنا في الأصول إنّ الجملة الخبريّة إذا وقعت موقع الطلب تكون آكد في الوجوب من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بظاهرها أعرض عنها الأصحاب ، فلا تكون صالحة للاستدلال بها على المطلوب ، وهو عدم كون الشرط الفاسد مفسدا للعقد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الملك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الرجل ابتاع منه طعاما ، أو ابتاع منه متاعا على أن ليس منه على وضيعة هل يستقيم هذا؟</w:t>
      </w:r>
    </w:p>
    <w:p>
      <w:pPr>
        <w:pStyle w:val="BookText"/>
        <w:rPr/>
      </w:pPr>
      <w:r>
        <w:rPr>
          <w:rFonts w:ascii="IRNazanin" w:hAnsi="IRNazanin" w:eastAsia="IRNazanin"/>
          <w:color w:val="111111"/>
          <w:sz w:val="28"/>
          <w:sz w:val="28"/>
          <w:szCs w:val="28"/>
          <w:rtl w:val="true"/>
          <w:lang w:bidi="fa-IR"/>
        </w:rPr>
        <w:t xml:space="preserve">وكيف يستقيم وجه 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 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هذه الرواية أنّ المشتري لو شرط أن تكون الوضيعة عن الثمن الذي اشترى به لو باع يكون على البائع الأوّل ،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خسر المشتري في بيعه هذا المتاع لغيره تكون الخسارة على البائع الذي اشتراه منه ، لا على نفسه ، وهذا شرط فاسد ، لأنّه خلاف الكتاب والسنّة ، ومع ذلك لم يحكم الإمام علیه السلام بفساد البيع الأوّل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احتمالان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أن يشرط على البائع مثل هذا الشرط ، فيكون نفس </w:t>
      </w:r>
    </w:p>
    <w:p>
      <w:pPr>
        <w:pStyle w:val="BookText"/>
        <w:rPr/>
      </w:pPr>
      <w:r>
        <w:rPr>
          <w:rFonts w:ascii="Amiri" w:hAnsi="Amiri" w:eastAsia="Amiri" w:cs="Amiri"/>
          <w:color w:val="111111"/>
          <w:sz w:val="28"/>
          <w:sz w:val="28"/>
          <w:szCs w:val="28"/>
          <w:rtl w:val="true"/>
          <w:lang w:bidi="ar-SA"/>
        </w:rPr>
        <w:t>الاشتراط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هذا فيما إذا كان أصل المعاملة صحيحة ، وإلاّ فلا معنى لكراهة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المعاملة لا ينبغي وقوعها وصدورها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يدلّ على فساد هذه المعاملة ، بل معنى كراهيّتها أنّها تقع ولكن مع كونها مكروهة وفيها حزازة ، كما في سائر المعاملات المكروهة كالحياكة وبيع الأكفان وغيرهما ، فهذه الرواية أيضا تدلّ على القول المختار ، وهو عدم إفساد الشرط الفاسد للعقد الواقع هذا الشرط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هذا الشرط في خارج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أجنبيّة عن محلّ الكلام ، لأنّ محلّ كلامنا هو الشرط الفاسد الواقع في ضمن العقد ، لا الواقع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 ظاهرها ، 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ليس منه على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بابتاع ، فيكون المعنى أنّ الابتياع مبنيّ على هذا الشرط ، فلا وجه لاحتمال أن يكون هذا الشرط في خارج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لا وجه لكراهة مثل هذا الشرط في خارج العقد ، بل يكون وعدا ابتدائيّا يستحبّ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إلى عدم وقوع هذه المعاملة المشروطة بمثل هذا الشرط ، فبعيد إلى أقصى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إرشادا إلى عدم صحّة هذا الشرط ، فيكون مفاده لغويّة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أيضا خلاف الظاهر ، بل ظاهره هو أنّ المعاملة المشتملة على هذا الشرط مكروهة كسائر المعاملات المكروهة ، فلا قصور في دلالة هذه الرواية على المطلوب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قيس عن أبي جعفر علیه السلام أنّه قضى في رجل تزوّج امرأة وأصدقته هي واشترطت عليه أنّ بيدها الجماع والطلاق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خالفت السنّة </w:t>
      </w:r>
    </w:p>
    <w:p>
      <w:pPr>
        <w:pStyle w:val="BookText"/>
        <w:rPr/>
      </w:pPr>
      <w:r>
        <w:rPr>
          <w:rFonts w:ascii="Amiri" w:hAnsi="Amiri" w:eastAsia="Amiri" w:cs="Amiri"/>
          <w:color w:val="111111"/>
          <w:sz w:val="28"/>
          <w:sz w:val="28"/>
          <w:szCs w:val="28"/>
          <w:rtl w:val="true"/>
          <w:lang w:bidi="ar-SA"/>
        </w:rPr>
        <w:t xml:space="preserve">وولّيت حقّا ليس بأهله ، فقضى أنّ عليه الصداق وبيده الجماع والطلاق ، وذلك السنّة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فساد الشرط وبطلانه ، وصحة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سنده من جهة اشتراك محمّد بن قيس بين من هو ثقة ومن هو ضعيف ، لا وجه له بعد عمل الأصحاب بها ، وبعد أن ذكرها المشايخ الثلاثة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ورود روايات كثيرة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في أبواب المهور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صحّة عقد النكاح وبطلان الشروط الواقعة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إذا شرط في ضمن عقد النكاح لزوجته إن تزوّج عليها ، أو تسرى ، أو هجرها فهي طالق ، أو شرط عليها الإتيان وقتا خاصّا ، أو شرط ترك القسم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بين عقد النكاح وسائر العقود بعدم الإفساد في الأوّل والإفساد في سائر العقود لأجل هذه الأخبار ، فكان من الممكن لو كان مدرك الإفساد وعدمه هو الأخبار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هذا الباب مختلفة من حيث المفاد ، فالواردة منها في باب النكاح مفادها فساد الشرط وصحّة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الواردة في غيره فمفادها فساد الشرط والعقد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ينسب هذا التفصيل إلى صاحب المدارك قدس سره </w:t>
      </w:r>
      <w:r>
        <w:rPr>
          <w:rStyle w:val="FootnoteAnchor"/>
          <w:rtl w:val="true"/>
        </w:rPr>
        <w:footnoteReference w:id="185"/>
      </w:r>
      <w:r>
        <w:rPr>
          <w:rFonts w:ascii="Amiri" w:hAnsi="Amiri" w:eastAsia="Amiri" w:cs="Amiri"/>
          <w:color w:val="111111"/>
          <w:sz w:val="28"/>
          <w:sz w:val="28"/>
          <w:szCs w:val="28"/>
          <w:rtl w:val="true"/>
          <w:lang w:bidi="ar-SA"/>
        </w:rPr>
        <w:t xml:space="preserve">وقبله إلى العلاّمة قدس سره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عمدة مدرك القائلين بالإفساد ونظرهم إلى إناطة الرضا بمضمون العقد بوجود الشرط ، ففي مورد الشرط الفاسد الذي لا يجب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لا يجوز إن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رضاء في البين ، وفي هذا المعنى لا فرق بين النكاح وسائر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قيام الدليل على أنّ الشرط الفاسد لا يفسد العقد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القائلين بعدم الإفساد وصحة العقد مع فساد الشرط هو أنّه لو كان صحّة العقد متوقّفة على صحّة الشرط يلزم منه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ليست متوقّفة على صحّة الشرط ، لأنّ العقد صحيح وإن لم يكن فيه شرط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العقد الذي وقع في ضمنه شرط صحّته موقوفة على أن لا يكون ذلك الشرط فاسدا ، وعدم كون الشرط المذكور في ضمن العقد فاسدا ليس متوقّفا على صحّة العقد ، كي يكون دورا ، بل موقوف على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جعل الشرط الفاسد في ضمن ذلك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 ، لأنّه من الممكن أن يكون الشرط الفاسد مفسدا بدون أن يكون دور في البين ، والأمر واضح جدّا ، فلا يحتاج إلى تطويل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صحّة الشرط من مقدّمات وجود العقد الصحيح ، إذ من الممكن وجود العقد الصحيح بدون أن يكون شرط في ضمنه ، لا الشرط الصحيح ولا الشرط الفاسد ، نعم الشرط الفاسد مانع عن صحّة العقد ، فيسري فساده إلى العقد ، فيكون وجود العقد الصحيح موقوفا على عدم وجود الشرط الفاسد في ضمنه ، توقّف وجود الشي‌ء على عدم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عدم وجود الشرط الفاسد ليس موقوفا على صحّة العقد كي يكون دورا ، بل موقوف على عدم علّته ، أي عدم اشتراط مثل ذلك الشرط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أنّ الشرط الفاسد لا يوجب فساد العقد ، فهل يوجب الخيار أم لا؟ </w:t>
      </w:r>
    </w:p>
    <w:p>
      <w:pPr>
        <w:pStyle w:val="BookText"/>
        <w:rPr/>
      </w:pPr>
      <w:r>
        <w:rPr>
          <w:rFonts w:ascii="Amiri" w:hAnsi="Amiri" w:eastAsia="Amiri" w:cs="Amiri"/>
          <w:color w:val="111111"/>
          <w:sz w:val="28"/>
          <w:sz w:val="28"/>
          <w:szCs w:val="28"/>
          <w:rtl w:val="true"/>
          <w:lang w:bidi="ar-SA"/>
        </w:rPr>
        <w:t xml:space="preserve">الظاهر هو الأوّل ، وذلك من جهة أنّ المناط الذي أوجب الخيار في تخلّف الشرط الصحيح أو تعذّره موجود ها هنا ، بناء على ما حقّقنا في وجه ثبوت الخيار عند تعذّر الشرط أو عدم العمل على طبقه وعدم الوفاء به ، لا بناء على ما استند إليه شيخنا الأعظم قدس سره من الإجماع أو قاعدة الضرر في الشروط الصحيحة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من جهة أنّ المناط في مجي‌ء الخيار عند التخلّف في الشروط الصحيحة هو أنّ دليل اللزوم لا يشمل مورد تخلّف الشرط أو تعذّره ، أو عدم الوفاء به ، لأنّ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الذي هو عمدة أدلّة لزوم العقود هو وجوب الوفاء بما التزم به والثبوت عند تعهّده ، فإذا لم يكن له التزام لا يبقى موضوع لوجوب الوفاء به ، فالعقد إن لم يكن شرط في ضمنه عبارة عن تعهّده والتزامه بما هو مضمون العقد ، فبمقتضى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بالتزامه بمضمون ذلك العقد والثبوت عنده وإبرامه ، وليس له حلّه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مشروطا بشرط ، سواء أكان ذلك الشرط صحيحا أم فاسدا ، فالتزامه بمضمون ذلك العقد ليس مطلقا ، بل منوط بالعمل على طبق ذلك الشرط ووجوده في وعائه ، فإن تخلّف أو تعذّر ليس له التزام بالوفاء بذلك العقد في ظرف عدم وجود ذلك الشرط ، فموضوع وجوب الوفاء ودليل اللزوم يذهب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عدم شمول دليل اللزوم لمورد تخلّف الشرط أو تعذّره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ممّا ذكرنا أنّ مناط ثبوت الخيار في باب الشروط الصحيحة هو إناطة الالتزام بالوفاء بمضمون العقد بوجود ما اشترط ، فإذا تعذّر أو تخلّف المشروط عليه عن الوفاء به لا التزام من طرف المشروط له ، وعدم الوفاء قد يكون من جهة تعذّره عقلا وقد يكون من جهة فساده شرعا ، والممتنع شرعا كالممتنع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المشروط بالشرط الفاسد إن لم يوجب ذلك الشرط اختلالا في أركان العقد يكون صحيحا ، غاية الأمر مع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الأوّل ، أي القول بعدم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له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الشرط يوجب سقوطه عن الاعتبار ، ولا يجب الوفاء به ، بل لا يجوز إذا كان حراما ، المشهور أنّ له قسطا من الثمن ، فبعد سقوطه يكون عوض المثمن مجهولا ، ولا يعلم أنّه أيّ مقدار من الثمن بإزاء المثمن ، فإذا صار عوض المثمن مجهولا تكون المعاملة باطلة ، لأنّه من شرائط صحّة المعاملة معلوميّة العوضين ، وإلاّ تكون غرريّة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وقوع شي‌ء من الثمن بإزاء الشرط ، بل المبادلة والمعاوضة تقع بين الثمن ونفس المثمن في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الشرط أو الوصف يوجبان ازدياد ماليّة المثمن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يقسط عليهما وعلى المبيع مثلا ، وهذا أمر وجدانيّ ارتكازيّ للعرف والعقلاء في معاملاتهم في أسواقهم ، فيصفون سلعتهم بأوصاف مرغبة ، وربما يذكرون تلك الأوصاف بصورة الشرط لجلب المشتري ورغبته ، ولكن المبادلة تقع بين نفس المثمن وذلك العوض ، وليس الوصف والشرط مثل الجزء كي يقع شي‌ء من الثمن في مقابلهما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إجزاء المبيع كلّ واحد منها يقع مقابل جزء من الثمن ، خصوصا إذا كان متساوي الأجزاء من حيث القيمة كالحنطة والشعير ، وهذا مناط المثليّة في باب تعيين المثلي والقيمي ، ولكن الشرط أو الوصف ليسا كذلك ، ولا يوجبان إلاّ ازدياد قيمة نفس العوض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الشروط ربما يكون كذلك ، أي له قسط من الثمن عند العرف والعقلاء ، </w:t>
      </w:r>
    </w:p>
    <w:p>
      <w:pPr>
        <w:pStyle w:val="BookText"/>
        <w:rPr/>
      </w:pPr>
      <w:r>
        <w:rPr>
          <w:rFonts w:ascii="Amiri" w:hAnsi="Amiri" w:eastAsia="Amiri" w:cs="Amiri"/>
          <w:color w:val="111111"/>
          <w:sz w:val="28"/>
          <w:sz w:val="28"/>
          <w:szCs w:val="28"/>
          <w:rtl w:val="true"/>
          <w:lang w:bidi="ar-SA"/>
        </w:rPr>
        <w:t>كما إذا كان الشرط عملا يبذل بإذائه المال ، كخياطة ثوبه مثلا ، أو عمارة داره وأمثال ذلك ، ولكن عند التدقيق أيضا لم يقع شي‌ء من الثمن في مقابله في مقام الإنشاء ، وإن كان في مقام اللبّ للمشروط له نظر إلى ذلك الشرط في مقام تعيين الثمن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مقام إنشاء المبادلة والمعاوضة لم تنشأ المبادلة إلاّ بين نفس العوضين ، والشروط خارجة عن دائرة المبادلة ، ففي عالم الإنشاء عوض تمام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المبيع ، وإن كان في مقام اللبّ يبذل مقدارا من الثمن بإزاء الشرط ، ولكن لا اعتبار في باب المعاوضات بأنظار المتعاملين ، بل المدار على إنشائهما ، وهو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أنّ التزامه بهذه المبادلة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بذله تمام الثمن بإزاء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منوطا بوجود ذلك الشرط ، فلو لم يوجد بأيّ سبب كان لا التزام له ، فلا لزوم ويكون له الخيار ، ولذلك قلنا في باب تخلّف الشروط الصحيحة ليس له أخذ الأرش ، بل له الخيار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وقوع مقدار من الثمن مقابل الشرط وبإزائه مطلقا ، أو في خصوص ما إذا كان الشرط ممّا يبذل بإزائه المال مستقلا بتعذّره أو عدم وفاء المشروط عليه بما التزم ، لا يصير العوض مجهولا ، إذ العرف وأهل الخبرة يعيّنون مقدار المقابل للشرط وما هو بإزاء أصل المبيع مثلا ، فلا يبقى جهالة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يأتي في الشروط الصحيحة إذا تعذّرت أو لم يف المشروط بها ، وأيضا يأتي في باب تبعّض الصفقة ، فيلزم القول ببطلان المعاملة في الجميع ، ونفس المستشكل لا يقول به هناك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في الجميع واحد ، وهو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شي‌ء من الثمن بإزاء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على تقدير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يقع قطعا مقدار منه مقابل الجزء الذي لا يملك أو الذي لا يملكه ، كما في باب تبعّض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فبتعيين أهل الخبرة ترتفع الجهالة ، ومثل هذه الجهالة لا تكون غررا ، ولا تضرّ بصحّة المعاملة ، ولذلك لم يقولوا ببطلان المعاملة </w:t>
      </w:r>
    </w:p>
    <w:p>
      <w:pPr>
        <w:pStyle w:val="BookText"/>
        <w:rPr/>
      </w:pPr>
      <w:r>
        <w:rPr>
          <w:rFonts w:ascii="Amiri" w:hAnsi="Amiri" w:eastAsia="Amiri" w:cs="Amiri"/>
          <w:color w:val="111111"/>
          <w:sz w:val="28"/>
          <w:sz w:val="28"/>
          <w:szCs w:val="28"/>
          <w:rtl w:val="true"/>
          <w:lang w:bidi="ar-SA"/>
        </w:rPr>
        <w:t>في باب تبعّض الصفقة مع وقوع مقدار من الثمن بإزاء الجزء الفائت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رضاء المشروط له بهذا العقد والمعاملة منوط بوجود هذا الشرط ووفاء المشروط عليه به ، وأمّا إذا لم يكن الوفاء لازما وواجبا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جائزا فيما إذا كان الفساد لحرمته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رضاء له ، ومن المعلوم أنّ المعاوضة والتجارة بدون الرضاء لا أثر لها ، بل الرضاء بمضمون العقد لازم في تأثيره ، ولو كان في غير باب المعاوضات 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حلاّ ونقضا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فبالشروط الفاسدة في عقد النكاح ، فإنّه قد استفاضت الأخبار والروايات الصحيحة على فساد الشرط وصحّة العقد </w:t>
      </w:r>
      <w:r>
        <w:rPr>
          <w:rStyle w:val="FootnoteAnchor"/>
          <w:rtl w:val="true"/>
        </w:rPr>
        <w:footnoteReference w:id="189"/>
      </w:r>
      <w:r>
        <w:rPr>
          <w:rFonts w:ascii="Amiri" w:hAnsi="Amiri" w:eastAsia="Amiri" w:cs="Amiri"/>
          <w:color w:val="111111"/>
          <w:sz w:val="28"/>
          <w:sz w:val="28"/>
          <w:szCs w:val="28"/>
          <w:rtl w:val="true"/>
          <w:lang w:bidi="ar-SA"/>
        </w:rPr>
        <w:t>، وقد ذكرنا جملة من تلك الأخبار وتقدّمت ، ولا فرق فيما ذكرنا بين الشروط الفاسدة الراجعة إلى المهر ، أو إلى نفس مضمون العقد وحصول 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كما لا تحصل المبادلة والمعاوضة بينهما بدون رضاء الطرفين ، كذلك لا تحصل علاقة الزوجيّة بينهما بدون رضائهما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الشروط في باب النكاح يوجب فساد العقد وبطلانه ، كما إذا شرطت الزوجة عدم جميع الاستمتاعات ، فكون هذا الشرط وأمثاله موجبا لبطلان النكاح ليس لخصوصيّة في النكاح ، بل لأجل الاختلال في أركان العقد ، أو التناقض بين مفاد الشرط ومفاد العقد ولو بالالتزام ، كما في المثال المذكور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يجري في جميع العقود ، فما ذكره شيخنا الأستاذ قدس سره في هذا المقام من أنّ المراد بالشروط الفاسدة في مورد النقض هي الشروط الراجعة إلى المهر لا إلى أصل عقد النكاح ، لا يخلو عن إشكال ، لما ذكرنا من ورود الأخبار الكثيرة في فساد بعض الشروط الراجعة إلى أصل النكاح ، مع صحّة أصل ذلك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النقض بصورة تعذّر الشرط ، أو عدم وفاء المشروط عليه وعدم إمكان إجباره ، وكذلك بصورة تخلّف الوصف ، فإنّهم لا يقولون بالبطلان وفساد العقد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يقولون بالخيار للمشروط له ، وفي تخلّف الوصف أيضا ، كما أنّنا نقول ها هنا أيضا ، وكذلك النقض بصورة تبعّض الصفقة ، فإنّهم لا يقولون بالبطلان ، مع 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إناطة الرضا بوجود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أقوى ، من جهة أنّه في باب الشروط غالبا الغرض الأصلي يتعلّق بمبادلة نفس العوضين ، أو حصول علاقة الزوجيّة بين الطرفين ، والشروط الواقعة في ضمن تلك العقود مقاصد فرعيّة ، بخلاف باب تبعّض الصفقة ، فإنّ المقصود الأصلي الأوّلي هو وقوع المبادلة بين تمام كلّ واحد من العوضين مع تمام العوض الآخر ، فأمر إناطة الرضاء بمجموع كلّ واحد من العوضين أهمّ من إناطة الرضا بمضمون العقد بوجود الشرط ، فكلّ ما يجيبون عن هذا الإشكال في تلك الموارد ، فليكن الجواب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في مسألة تعذّر الشرط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من هذا الكتاب </w:t>
      </w:r>
      <w:r>
        <w:rPr>
          <w:rStyle w:val="FootnoteAnchor"/>
          <w:rtl w:val="true"/>
        </w:rPr>
        <w:footnoteReference w:id="190"/>
      </w:r>
      <w:r>
        <w:rPr>
          <w:rFonts w:ascii="Amiri" w:hAnsi="Amiri" w:eastAsia="Amiri" w:cs="Amiri"/>
          <w:color w:val="111111"/>
          <w:sz w:val="28"/>
          <w:sz w:val="28"/>
          <w:szCs w:val="28"/>
          <w:rtl w:val="true"/>
          <w:lang w:bidi="ar-SA"/>
        </w:rPr>
        <w:t>، ولا بأس بالإشارة إليه ها هنا أيضا إجمالا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المبادلة والمعاوضة وقعت بين العوضين مع التراضي ، أي بدون إكراه ولا إجبار ، والمراد في باب المعاوضة والتجارة من التراضي هو هذا المعنى ، لا طيب النفس ، وإلاّ لو كان المراد من التراضي هو هذا المعنى الأخير ، فلا بدّ وأن يقال ببطلان بيع المضطرّ إلى البيع لغرض عقلائيّ مع كمال كراهته لهذا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اضطرّ إلى بيع داره التي يسكنها لأجل أداء دينه ، أو لأجل حاجة أخرى ، فهو غير راض بهذا البيع ، بل ربما يبكي ويبيع لأجل تلك الضرورة ، حيث لا حيلة له في رفع حاجته إلاّ بهذا </w:t>
      </w:r>
    </w:p>
    <w:p>
      <w:pPr>
        <w:pStyle w:val="BookText"/>
        <w:rPr/>
      </w:pPr>
      <w:r>
        <w:rPr>
          <w:rFonts w:ascii="Amiri" w:hAnsi="Amiri" w:eastAsia="Amiri" w:cs="Amiri"/>
          <w:color w:val="111111"/>
          <w:sz w:val="28"/>
          <w:sz w:val="28"/>
          <w:szCs w:val="28"/>
          <w:rtl w:val="true"/>
          <w:lang w:bidi="ar-SA"/>
        </w:rPr>
        <w:t>الأمر ، مع أنّ صحّة بيع المضطرّ لرفع حاجته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يستكشف أنّ التراضي المعتبر في أبواب المعاملات والتجارات هو الاختيار المقابل للإكراه والإجبار ، بمعنى أنّه ليس هناك من يكرهه أو يجبره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باب النكاح المراد من رضاء الطرفين ليس طيب نفسيهما ، بل ربما يكون العقد الواقع بينهما لدواع أخر ، من إرضاء أبويهما ، أو شي‌ء آخر مع كمال كراهتهما ، أو كراهة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 ففي مورد تخلّف الشرط أو الوصف تارة يكون الشرط المتخلّف أو وصفه من قبيل العنوان للموصوف والمشروط به ، بمعنى أنّ ذلك الوصف أو الشرط يكون من قبيل الصورة النوعيّة للموصوف والمشروط به ولو عند العرف ، وإن كان بحسب الدقّة العقليّة ليسا كذلك ، بمعنى أنّ ذلك الوصف أو الشرط ليسا إلاّ من قبيل الأعراض الضمنيّة للحقيقة النوعيّة المشتركة بين واجد الوصف أو الشرط ، وبين فاقدهما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كالجارية الموصوفة أو المشروطة بكونها روميّة ، وهي حبشيّة ، فالجارية الروميّة والحبشيّة وإن كانتا بحسب الحقيقة النوعيّة واحدة ، ولكن عند العرف في مقام المعاملة حقيقتان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كذلك ، بل يكون من العوارض والطواري التي لا توجب اختلاف حقيقة الواجد والفاقد حتّى عند العرف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من قبيل الأوّل ، فالمعاملة باطلة قطعا ، لأنّه لم يقع التراضي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إنشاء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الفاقد للوصف أو الشرط ، وذلك لما قلنا من أنّ المبيع الموجود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وقع عليه النقل والانتقال حقيقة ، فما أنشأ نقله ليس بموجود ، بل الموجود حقيقة أخرى ، ولو عند العرف الذي نظرهم هو المتّبع في أبواب المعاملات ، وما هو الموجود لم يقع عليه نقل وإنشاء</w:t>
      </w:r>
      <w:r>
        <w:rPr>
          <w:rFonts w:eastAsia="Amiri" w:cs="Amiri" w:ascii="Amiri" w:hAnsi="Amiri"/>
          <w:color w:val="111111"/>
          <w:sz w:val="28"/>
          <w:szCs w:val="28"/>
          <w:rtl w:val="true"/>
          <w:lang w:bidi="ar-SA"/>
        </w:rPr>
        <w:t xml:space="preserve">. </w:t>
      </w:r>
      <w:bookmarkStart w:id="182" w:name="pg15937_235113"/>
    </w:p>
    <w:p>
      <w:pPr>
        <w:pStyle w:val="BookText"/>
        <w:rPr/>
      </w:pPr>
      <w:bookmarkEnd w:id="182"/>
      <w:r>
        <w:rPr>
          <w:rFonts w:ascii="Amiri" w:hAnsi="Amiri" w:eastAsia="Amiri" w:cs="Amiri"/>
          <w:color w:val="111111"/>
          <w:sz w:val="28"/>
          <w:sz w:val="28"/>
          <w:szCs w:val="28"/>
          <w:rtl w:val="true"/>
          <w:lang w:bidi="ar-SA"/>
        </w:rPr>
        <w:t>وأمّا إن كان من قبيل الثاني ، فإنشاء النقل والانتقال وقع على هذا الموجود بلا إكراه ولا إجبار ، فهذه المعاملة وقعت عن تراض معاملي ، ولا وجه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التزامه بالوفاء بهذه المعاملة منوط بوجود ذلك الوصف أو الشرط ، فعند تخلّفهما لا التزام له ، فلا يشملها دليل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هذا الإشكال بتعدّد المطلوب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طرف المبادلة هو الواجد للوصف أو الواجد للشرط هو مطلوب أوّلي ، وكون الفاقد لهما طرفا للمعاملة مطلوب آخر ، غاية الأمر أنّه مطلوب ثانوي ، بمعنى أنّه على تقدير فقد الوصف أو الشرط أيضا مطلوب ، لكن في طول الأوّل ،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 العقد ينحلّ إلى عقدين ، وكلاهما صادران عن تراض بينهما ، حتّى ولو كان المراد من التراضي هو طيب النفس ، أي الحالة النفسانيّة التي يعبّر عنها بالرضاء الباطني ، فكأنّه في الدرجة الأولى يكون المشروط له رضاءه بهذه المعاملة مع وجود الشرط وعدم تخلّفه ، وكذلك الأمر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الثانية يكون أيضا راضيا حتّى مع فقد الوصف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هذا المجيب أنّ المشخّص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من قبيل وحدة المطلوب كي تكون المعاملة فاسدة مع فقدهما ، أو من قبيل تعدّد المطلوب كي تكون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مطرد في العبادات والمعاملات والأوقاف والنذور ، ثمَّ استظهر اتّفاقهم على أنّ الشروط الواقعة في ضمن العقود من قبيل تعدّد المطلوب ، لأنّهم اتّفقوا على أنّ الشرط الخارج عن غرض العقلاء فاسد ، ولا يوجب فساده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أفاده بعض الأجلّة من تلاميذ شيخنا الأعظم قدس سره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073406_2142443653"/>
      <w:bookmarkStart w:id="184" w:name="_Toc58"/>
      <w:bookmarkEnd w:id="183"/>
      <w:r>
        <w:rPr>
          <w:rtl w:val="true"/>
        </w:rPr>
        <w:t xml:space="preserve">وفي هذا الجواب نظر من وجوه عديدة </w:t>
      </w:r>
      <w:r>
        <w:rPr>
          <w:rtl w:val="true"/>
        </w:rPr>
        <w:t>:</w:t>
      </w:r>
      <w:bookmarkEnd w:id="1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لا طريق لهم إلى تشخيص وحدة المطلوب أو تعدّده ، لاختلاف الناس بحسب الأغراض والموارد ، فربّ شخص يريد مبادلة ماله بمال آخر مشروطا </w:t>
      </w:r>
    </w:p>
    <w:p>
      <w:pPr>
        <w:pStyle w:val="BookText"/>
        <w:rPr/>
      </w:pPr>
      <w:r>
        <w:rPr>
          <w:rFonts w:ascii="Amiri" w:hAnsi="Amiri" w:eastAsia="Amiri" w:cs="Amiri"/>
          <w:color w:val="111111"/>
          <w:sz w:val="28"/>
          <w:sz w:val="28"/>
          <w:szCs w:val="28"/>
          <w:rtl w:val="true"/>
          <w:lang w:bidi="ar-SA"/>
        </w:rPr>
        <w:t>بأمر ، وفي صورة عدم وجود ذلك الشرط لا يريد المبادلة أصلا ، وشخص آخر يريد مع وجود ذلك الشرط وعدمه ، غاية الأمر مع وجود الشرط مطلوب أوّلي ، وفي صورة عدمه مطلوب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الاختلاف بحسب الموارد ، حتّى بالنسبة إلى شخص واحد ، فذلك الشخص الواحد في مورد تكون مبادلته بالنسبة إلى ذلك الشرط من قبيل تعدّد المطلوب ، وفي مورد آخر تكون بنحو وحدة المطلوب ، فلا يمكن تعيين ضابط كلّي لتشخيص أنّ المعاملة المشروطة بشرط هل تكون بنحو وحدة المطلوب بالنسبة إلى ذلك الشرط ، كي يكون تخلّف ذلك الشرط موجبا لفسادها ، أو بنحو تعدّد المطلوب كي لا يكون موجبا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الأغراض والدواعي في أبواب المعاملات والعقود ما لم تدخل في مرحلة الإنشاء ، لا يترتّب عليها أثر من الصحّة والفساد ، بل المدار فيهما على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الإنشاء بلا قصد أيضا لا أثر له ، بل يكون صرف لقلقة لسان ، فصرف أنّ مطلوبه واحد أو متعدّد لا أثر له ما لم يقع على طبقه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ينظر ويلاحظ العقد المنشأ ، فإن كان المنشأ مقيّدا بالوصف أو الشرط ، فالنقل والانتقال تعلّق بالمقيّد ، فمطلوبيّة نقل الذات بلا قيد لا أثر له ، لأنّه لم يقع تحت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موارد تخلّف الوصف والشرط علاج هذا الإشكال ، وهو لا يرتفع بتعدّد المطلوب ، لما قلنا من أنّه لا أثر للمطلوبيّة ما لم يقع ذلك المطلوب تحت الإنشاء ، والتراضي أيضا لا بدّ وأن يكون بما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فصرف الرضاء بالمبادلة بدون الإنشاء ليس تجارة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فالعقد المتعلّق بعوض موصوف 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الكاتب ، أو المشروط كما إذا قال في نفس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كاتبا ، تعلّق بالمقيّد ، وتحقّق </w:t>
      </w:r>
    </w:p>
    <w:p>
      <w:pPr>
        <w:pStyle w:val="BookText"/>
        <w:rPr/>
      </w:pPr>
      <w:r>
        <w:rPr>
          <w:rFonts w:ascii="Amiri" w:hAnsi="Amiri" w:eastAsia="Amiri" w:cs="Amiri"/>
          <w:color w:val="111111"/>
          <w:sz w:val="28"/>
          <w:sz w:val="28"/>
          <w:szCs w:val="28"/>
          <w:rtl w:val="true"/>
          <w:lang w:bidi="ar-SA"/>
        </w:rPr>
        <w:t xml:space="preserve">الرضاء المعاملي أيضا به ، فلو كان هناك له رضاء آخر في الرتبة الثانية بفاقد القيد أيضا ، لا يصير بصرف هذا الرضاء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يقع تحت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ومعاملة من بيع أو غيره ، ولا يمكن أن يقال بالنسبة إلى فاقد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بيع صحيح بواسطة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الجواب عن هذا الإشكال إلاّ بما قلنا ، من أنّ إنشاء المبادلة والمعاوضة تعلّق بنفس هذه العين الخارجيّة ، والتزام الطرف بالشرط أمر آخر غير مربوط بنقل هذه العين ، بل هو التزام آخر في ضمن التزامه بهذا النقل ، فالتزامه بنقل هذه العين منوط بالتزام الطرف بالشرط أو الوصف ، لا أصل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أو الوصف عنوانا ، ومن قبيل الصورة النوعيّة بالنسبة إلى ما وقع عليه إنشاء النقل ، فتخلّفه يوجب فساد النقل وبطلان المعاملة ، لأنّ ما قصد لم يقع عليه الإنشاء ، وما وقع عليه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من قبيل الصورة النوعيّة للشي‌ء يكون من الدواعي والأغراض الخارجة عن حقيقة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استدلّوا على فساد العقد بفساد الشرط طائفة من الأخبار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الملك بن عتبة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علیه السلام عن الرجل ابتاع منه طعاما ، أو ابتاع منه متاعا على أن ليس منه على وضيعة هل يستقيم هذا؟ وكيف يستقيم وجه 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فقالوا إنّ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مثل هذا البيع المشتمل على هذا الشرط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الوضيعة والخسارة في البيع الثاني على البائع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ينبغي صدوره من المؤمنين ، فلا بدّ وأن يكون البيع بواسطة ذلك الشرط الفاسد فاسدا كي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كان بيعا صحيحا لا وجه لنهيه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النهي عن هذه المعاملة مع صحّتها لحزازة فيها كسائر المعاملات المكروهة ، ولا إشكال في كون معاملة صحيحة يترتّب عليها الأثر ، ومع ذلك تكون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في المعاملات كثيرة ، فهذه الرواية لا تدلّ على فساد الشرط ، فضلا عن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القائلين بعدم كون الشرط الفاسد مفسدا للعقد أيضا تمسّكوا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لا تدلّ على كلّ واحد من الطرفين ، كما بيّنّاه وشرحناه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الحسين ابن منذر عن أبي عبد اللّه علیه السلام في بيع العينة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يجيئني الرجل فيطلب العينة ، فاشترى له المتاع مرابحة ، ثمَّ أبيعه إيّاه ، ثمَّ أشتريه منه مكاني؟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بالخيار إن شاء باع وإن شاء لم يبع ، وكنت بالخيار إن شئت اشتريت وإن شئت لم تشتر ،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المسجد يزعمون أنّ هذا فاسد ، ويقولون إن جاء به بعد أشهر 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هذا تقديم وتأخير فلا بأس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الشرط الفاسد مفسد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مفهوم القضيّة الشرطيّة أنّه إن لم يكن بالخيار وكان ملزما بأن يبيع على البائع ، ففي هذه المعاملة بأس ، أي فاسد ، ومنشأ فسادها هو اشتراط البائع على المشتري أن يبيعه بعد اشترائه منه ، وهذا الشرط فاسد ، لما تقدّم في شرائط صحّة الشروط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فصار سببا لفساد العقد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البيّاع المذكورون في هذه الرواية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الأوّل هو الذي يبيع المتاع مرابحة من هذا السائل عن الإمام قدس سره ، ولكن فرض هذا البائع أجنبيّ عن مسألتنا ، وإنّما فرض لأجل أنّ الجنس لم يكن عنده ، ففي الحقيقة البائع اثنان ، وظاهر </w:t>
      </w:r>
    </w:p>
    <w:p>
      <w:pPr>
        <w:pStyle w:val="BookText"/>
        <w:rPr/>
      </w:pPr>
      <w:r>
        <w:rPr>
          <w:rFonts w:ascii="Amiri" w:hAnsi="Amiri" w:eastAsia="Amiri" w:cs="Amiri"/>
          <w:color w:val="111111"/>
          <w:sz w:val="28"/>
          <w:sz w:val="28"/>
          <w:szCs w:val="28"/>
          <w:rtl w:val="true"/>
          <w:lang w:bidi="ar-SA"/>
        </w:rPr>
        <w:t>الرواية أنّه 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والبائع الثاني هو نفس هذا السائل الذي اشتراه مرابحة عن البائع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والبائع الثالث هو ذلك الرجل الذي يطلب 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الرواية ما هو ظاهرها هو أنّ البائع الثالث كان ملزما بالبيع من البائع الثاني ، بواسطة شرط البائع الثاني عليه أن يبيعه منه ، فهذا البيع الثاني باطل وفاسد لفساد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تدلّ الرواية على فساد العقد بواسطة فساد الشرط ، وبيع العينة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مال نسيئة بقيمة أزيد ممّا يباع نقدا ، فيكون الزائد مقابل ذلك الأجل الذي عينه في بيعه نسيئة ، ثمَّ يشتريه منه نقدا بقيمة أقلّ ممّا باعه ، وفي الواقع هذا القسم من البيع للفرار عن الرباء مع تحصيل ما هو نتيجتها من أخذ الزائد على ما يعطي بعد مضيّ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دلالة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العقد بواسطة فساد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الذي تقدّم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القضيّة الشرطيّة وإن كان بطلان البيع الثاني إن كان البائع ألزم المشتري بالشرط أن يبيعه ثانيا منه ، فيكون سبب بطلانه وفساده هو فساد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يكون جهة بطلانه أنّ هذا الشرط مستلزم للمحال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 كما ذكره العلاّمة قدس سره </w:t>
      </w:r>
      <w:r>
        <w:rPr>
          <w:rStyle w:val="FootnoteAnchor"/>
          <w:rtl w:val="true"/>
        </w:rPr>
        <w:footnoteReference w:id="194"/>
      </w:r>
      <w:r>
        <w:rPr>
          <w:rFonts w:ascii="Amiri" w:hAnsi="Amiri" w:eastAsia="Amiri" w:cs="Amiri"/>
          <w:color w:val="111111"/>
          <w:sz w:val="28"/>
          <w:sz w:val="28"/>
          <w:szCs w:val="28"/>
          <w:rtl w:val="true"/>
          <w:lang w:bidi="ar-SA"/>
        </w:rPr>
        <w:t>فليس جهة الفساد فساد الشرط ، كما توهّمه المستدلّ ، بل الجهة أنّ البيع الثاني من البيوع الثلاثة المذكورة في الرواية باطل من جهة استلزامه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الجواب غير تامّ ، وقد ذكرنا في شرائط صحّة الشروط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السابع أنّ هذا الشرط لا يستلزم منه محال ، فلا يمكن حمل البطلان في الرواية على هذا المعنى ، وإن شئت فراجع هناك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شيخنا الأستاذ قدس سره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الاستدلال تكلّف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القضيّة الشرطيّة هو أن يكون البيع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الثاني من </w:t>
      </w:r>
    </w:p>
    <w:p>
      <w:pPr>
        <w:pStyle w:val="BookText"/>
        <w:rPr/>
      </w:pPr>
      <w:r>
        <w:rPr>
          <w:rFonts w:ascii="Amiri" w:hAnsi="Amiri" w:eastAsia="Amiri" w:cs="Amiri"/>
          <w:color w:val="111111"/>
          <w:sz w:val="28"/>
          <w:sz w:val="28"/>
          <w:szCs w:val="28"/>
          <w:rtl w:val="true"/>
          <w:lang w:bidi="ar-SA"/>
        </w:rPr>
        <w:t xml:space="preserve">البيوع الثلاثة المذكورة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جدّيا لا صوريّا ومقدّمة للبيع الثاني ، أي البيع الثالث من البيوع الثلاثة المذكورة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البيع الأوّل إن كان صوريّا غير جدّي ، فلم يصير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طلب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 فبيعه من البائع الأوّل باطل وفيه بأس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فلا يكون لها ربط بمحلّ كلامنا ، أي كون الشرط الفاسد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ما ذكره قدس سره أكثر تكلّفا من الاستدلال ، لأنّ ظاهر الرواية تعليق عدم البأس على اختيار البائع والمشتري في البيع والشراء ، وعدم كونهما ملزمين بواسطة التزامهما ، أو إلزام الغير إيّاهما على البيع والشراء شرعا ، ولا شكّ في أنّ التزامهما أو إلزامهما شرعا بالأمرين لا بدّ وأن يكون بواسطة الشرط ، فعدم البأس معلّق على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وجود ذلك الشرط الفاسد ففيه بأس ، ومنشأ البأس ليس إلاّ 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البيع فيه بأسا لا يدلّ على فساده ، إذ البأس يصدق مع الحرمة التكليفيّة وإن لم يكن فساد وضعا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وإن لم تكن ملازمة مع الفساد ، إلاّ أنّه لا وجه للحرمة التكليفيّة بدون الفساد ، وذلك من جهة أنّ الحرمة التكليفيّة لا بدّ وأن يتعلّق بفعل اختياري يكون فيه مفسدة ملزمة ، وأيّ مفسدة يمكن أن يكون في البيع الثاني كي يكون حراما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باع ثوبا بعشرة دراهم ثمَّ اشتراه بخمسة دراهم ، أيحلّ؟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يشترط </w:t>
      </w:r>
    </w:p>
    <w:p>
      <w:pPr>
        <w:pStyle w:val="BookText"/>
        <w:rPr/>
      </w:pPr>
      <w:r>
        <w:rPr>
          <w:rFonts w:ascii="Amiri" w:hAnsi="Amiri" w:eastAsia="Amiri" w:cs="Amiri"/>
          <w:color w:val="111111"/>
          <w:sz w:val="28"/>
          <w:sz w:val="28"/>
          <w:szCs w:val="28"/>
          <w:rtl w:val="true"/>
          <w:lang w:bidi="ar-SA"/>
        </w:rPr>
        <w:t xml:space="preserve">ورضيا به فلا بأس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عليّ بن جعفر في كتابه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إلى أجل ثمَّ اشتراه بخمسة دراهم بنقد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بهذه الرواية مثل الرواية السابقة ، بل هي أوضح دلالة منها ، لأنّها صريحة مفهوما في أنّ البائع الأوّل إذا اشترط على المشتري أن يبيعه ما اشتراه ، ففي هذه المعاملة بأس ، وحيث علّق علیه السلام عدم البأس على عدم الاشتراط فيكون الاشتراط سببا للبأس ، ومعنى هذا هو فساد العقد لفساد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شيخنا الأعظم قدس سره عن هاتين الروايتين بأنّ غاية مدلوليهما فساد البيع المشروط فيه بيعه عليه ثانيا ، وهو ممّا لا خلاف فيه ، حتّى ممّن قال بعدم فساد العقد بفساد الشرط كالشيخ قدس سره في المبسوط ، فلا يتعدّى منه إلى غيره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قدس سره لا بأس به إن لم يستظهر من الروايتين أنّ علّة فساد ذلك العقد هو فساد الشرط ، وإلاّ فيكون حكمه علیه السلام عامّا يشمل كلّ شرط فاسد ، ولا يقف على مورده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في أنّ ظاهر التعليق في القضيّة الشرطيّة في الروايتين هو علّيّة فساد الشرط لفساد العقد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علّيّة هذا الشرط الفاسد لفساد العقد ، لا كلّ شرط فاسد ، فافهم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أفاده أوّلا من أنّ فساد البيع الثاني لعلّه من جهة عدم الرضا وعدم طيب النفس بواسطة التزامه في خارج العقد ، فهذا كلام عجيب ، من جهة أنّ في جميع الشروط يسلب اختيار المشروط عليه شرعا بالنسبة إلى ما اشترط عليه ، سواء أكان </w:t>
      </w:r>
    </w:p>
    <w:p>
      <w:pPr>
        <w:pStyle w:val="BookText"/>
        <w:rPr/>
      </w:pPr>
      <w:r>
        <w:rPr>
          <w:rFonts w:ascii="Amiri" w:hAnsi="Amiri" w:eastAsia="Amiri" w:cs="Amiri"/>
          <w:color w:val="111111"/>
          <w:sz w:val="28"/>
          <w:sz w:val="28"/>
          <w:szCs w:val="28"/>
          <w:rtl w:val="true"/>
          <w:lang w:bidi="ar-SA"/>
        </w:rPr>
        <w:t>الاشتراط في ضمن العقد ، أو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الكلام بطلان أيّ معاملة أو معاوضة اشترط عليه ، بل بطلان أيّ معاملة نذر أن يوجدها ، لأنّه ملزم في جميع ذلك بإيجادها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بطلان المذكورات أنّ الإلزام الآتي من قبل التزامه باختياره من قبل شرط أو نذر لا ينافي الرضا المعاملي ، ولا فرق في عدم تنافي الإلزام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التزامه مع الرضا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هذا الإلزام إلزاما واقعيّا ومن قبل الشارع ، أو كان إلزاما تخيليّا وهميّا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أو أوقع إحدى المعاملات الأخر بتوهّم أنّه نذر أو شرط ، وفي الواقع لم ينذر ولم يكن شرط في البين ، فهذه المعاملة صحيحة وإن لم يكن له الرضا الباطني وطيب النفس ، بل إنّما أوجدها باعتقاد أنّه واجب عليه من باب النذر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الروايتين وإن كان لهما ظهور ما في علّيّة فساد مطلق الشرط للعقد الذي وقع هذا الشرط في ضمنه ، ولكن لا بدّ من رفع اليد عن هذا الظهور وحمله على علّيّة خصوص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أن يبيع المشتري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لتلك الأدلّة القطعيّة التي تقدّمت ، وكانت تدلّ على أنّ الشرط الفاسد ليس بمفسد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قضيّة بريرة التي أعتقها عائشة ، وكان بائعوها شرطوا عليها أن يكون ولائها لهم ، فحكم رسول اللّه صلی اللّه علیه و آله بصحّة البيع وبطلان الشرط</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ادّعاء القطع بصدور هذا الحديث الشريف عنه صلی اللّه علیه و آله ، لما رواه الفريقان من غير نكير لأحد من الفريقين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أيضا جليّة يشبه أن يكون نصّا ، مع ما في سند الروايتين من عدم الوثوق مع عدم جابر في البين ، واللّه الهادي إلى الصواب</w:t>
      </w:r>
      <w:r>
        <w:rPr>
          <w:rFonts w:eastAsia="Amiri" w:cs="Amiri" w:ascii="Amiri" w:hAnsi="Amiri"/>
          <w:color w:val="111111"/>
          <w:sz w:val="28"/>
          <w:szCs w:val="28"/>
          <w:rtl w:val="true"/>
          <w:lang w:bidi="ar-SA"/>
        </w:rPr>
        <w:t xml:space="preserve">. </w:t>
      </w:r>
      <w:bookmarkStart w:id="185" w:name="pg15937_235121"/>
    </w:p>
    <w:p>
      <w:pPr>
        <w:pStyle w:val="Heading4"/>
        <w:numPr>
          <w:ilvl w:val="3"/>
          <w:numId w:val="1"/>
        </w:numPr>
        <w:rPr/>
      </w:pPr>
      <w:bookmarkStart w:id="186" w:name="__RefHeading___Toc16073408_2142443653"/>
      <w:bookmarkStart w:id="187" w:name="_Toc59"/>
      <w:bookmarkEnd w:id="185"/>
      <w:bookmarkEnd w:id="186"/>
      <w:r>
        <w:rPr>
          <w:rtl w:val="true"/>
        </w:rPr>
        <w:t>ها هنا أمور يجب أن يذكر</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 المشروط له الشرط الفاسد ، فهل على القول بأنّه مفسد يصحّ العقد ، لأنّه بعد سقوطه بإسقاط المشروط له ليس شي‌ء في البين كي يكون مفسدا ، أم لا يصح؟ لأنّ الشي‌ء بعد ما وجد لا ينقلب عمّا هو عليه ، والمفروض أنّه وجد باطلا؟</w:t>
      </w:r>
    </w:p>
    <w:p>
      <w:pPr>
        <w:pStyle w:val="BookText"/>
        <w:rPr/>
      </w:pPr>
      <w:r>
        <w:rPr>
          <w:rFonts w:ascii="Amiri" w:hAnsi="Amiri" w:eastAsia="Amiri" w:cs="Amiri"/>
          <w:color w:val="111111"/>
          <w:sz w:val="28"/>
          <w:sz w:val="28"/>
          <w:szCs w:val="28"/>
          <w:rtl w:val="true"/>
          <w:lang w:bidi="ar-SA"/>
        </w:rPr>
        <w:t xml:space="preserve">أمّا أنّه قابل للإسقاط فقد تقدّم الكلام فيه في الجزء الثالث من هذا الكتاب في شرح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وقد بيّنّا هناك أنّ ظاهر أدلّة وجوب الوفاء بالشروط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والثبوت والوقوف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يحدث حقّا للمشروط له على المشروط عليه ، ومن هذه الجهة قابل للإسقاط ، وذلك من جهة القابليّة للإسقاط خاصّة شاملة للحقّ ، ولذلك عرفوا الحقّ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في الشروط الصحيحة ، ومحلّ بحثنا ليس فيها ، بل كلامنا فعلا في الشروط الفاسدة ، وتلك الشروط لا توجب ثبوت حقّ للمشروط له على المشروط عليه ، فالإسقاط لا معنى له ، إذ ليس شي‌ء في البين كي يسقطه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بالإسقاط ها هنا ليس بمعناه المعروف ، بل المراد به رضا المشروط له بالعقد والمعاملة بدون ذلك الشرط الفاسد ، وإذا كان الأمر كذلك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جهة بطلان العقد بالشرط الفاسد هو عدم الرضا بالعقد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الفاسد لا يجب الوفاء به ، بل لا يجوز إذا كان محرّما ، فلو كان العقد مع ذلك صحيحا يجب الوفاء بالعقد المجرّد عن ذلك الشرط ، مع أنّ رضائه كان بالعقد المقيّد بذلك الشرط ، فبعد أن أسقط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الإسقاط رضا بالعقد ، فيرتفع المانع من البين ، فيكون العقد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أنت خبير بأنّ العقد تعلّق بالمقيّد ، والرضاء المتجدّد تعلّق بالعقد المجرّد ، فما تعلّق به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به الرضا ، وما تعلّق به الرضا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به العقد ، والمعتبر هو أن يكون ما تعلّق به العقد يكون متعلّقا للرضا كي يصدق عليه أنّه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العقد تعلّق بالذات وبالقيد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تعلّقان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بالذات ، وتعلّق آخر بالقيد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هذا العنب بشرط أن تعصره لي خمرا ، والتزم الطرف بذلك ، فكان ها هنا تعهّدان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نقل العنب إلى ذلك المشتري ، ثانيهما أن يعصره خمرا ، والمشتري قبل كذلك ورضى به ، فلما منع الشارع عن العمل بأحد التعهّدين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والممتنع الشرعي كالعقلي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تعهّد نقل العنب فقط ، ولكن المشتري لم يرض بهذا التعهّد وحده ، أي بانتقال العنب إليه وحده من دون أن يعصره البائع خمرا ، فيبقى العقد المتعلّق بنقل العنب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رضا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العلاّمة قدس سره من الإيقاف هو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رجوع من القول بالإفساد إلى القول بعدمه ، وقد تقدّم تفصيل ذلك ،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مدرك القائلين بالإفساد هو عدم الرضا بالعقد المجرّد عن الشرط ، وأمّا لو كان مدركهم جهالة عوض المبيع ، لأنّ للشرط قسط من الثمن ، وقد تقدّم تفصيل ذلك ، أو كان مدركهم الروايات ، فالرضا المتجدّد وإن كان يرتفع به جهالة الثمن ، لأنّه يرضى بكون تمام الثمن في مقابل نفس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الشرط ، ولكن صرف هذا لا يصدق عليه التجارة ، ولا بدّ من وقوع العقد عليه ، وقد عرفت عدم وقوعه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مفاد الروايات على تقدير دلالتها على الإفساد وصحّة سندها ، فمفادها أنّ ذلك العقد الذي وقع من حيث اشتماله على الشرط الفاسد باطل ، فكأنّه لم يكن ولم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رضائه بالانتقال المجرّد عن الشرط لا يجعله معاملة وتجارة عن تراض بدون عقد جديد ، لأنّ العقد الأوّل بناء على هذا انعدم في عالم </w:t>
      </w:r>
    </w:p>
    <w:p>
      <w:pPr>
        <w:pStyle w:val="BookText"/>
        <w:rPr/>
      </w:pPr>
      <w:r>
        <w:rPr>
          <w:rFonts w:ascii="Amiri" w:hAnsi="Amiri" w:eastAsia="Amiri" w:cs="Amiri"/>
          <w:color w:val="111111"/>
          <w:sz w:val="28"/>
          <w:sz w:val="28"/>
          <w:szCs w:val="28"/>
          <w:rtl w:val="true"/>
          <w:lang w:bidi="ar-SA"/>
        </w:rPr>
        <w:t>التشريع ، والشارع في عالم اعتباره لا يرى له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أنّه ليس عقد جديد في البين ، فلا وجه للقول بصحّة تلك المعاملة ، فيكون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بالإفساد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قبضه بعنوان أنّه ملكه بذلك العقد ، حتّى مع رضا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المقبوض بالعقد الفاسد الذي يجري مجرى الغصب عند المحصّلين بقول ابن إدريس قدس سره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الشرط الفاسد قبل العقد ولم يذكره في متنه ، فهل يكون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فيه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مطلقا ، وعدمه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الشهيد الثاني قدس سره في المسالك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علما أنّ الشرط المتقدّم على العقد لا يؤثّر فلا يفسد ، وبين ما لو لم يعلما ذلك فيكون موجبا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أنّه مع العلم بعدم تأثير الشرط المتقدّم على العقد لم يقدّما على ثبوت ذلك الشرط والوفاء به ، بخلاف ما إذا كان جاهلين ، فبنائهما على العمل بذلك الشرط ولزوم الوفاء به ، فهما أقدما على هذا الشرط الفاسد ، فيكون مفسدا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بالإفساد مطلقا ، فمبنيّ على أنّ الشرط الخارج عن العقد مطلقا ، سواء أكان صحيحا أم فاسدا ، لا أثر له ، لأنّ وجوده بالنسبة إلى العقد كالعدم ، إذ الالتزام بالوفاء بمضمون العقد غير مربوط بشي‌ء ، وكذلك تعهّده بالنقل والانتقال غير منوط بشي‌ء ، فيجب عليه الوفاء بتعهّده وعقده ، ويكون عقده مشمولا لأوفوا بالعقود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قلنا بأنّ الشرط المتقدّم يؤثّر أثره ، خصوصا إذا وقع العقد مبنيّا عليه ، </w:t>
      </w:r>
    </w:p>
    <w:p>
      <w:pPr>
        <w:pStyle w:val="BookText"/>
        <w:rPr/>
      </w:pPr>
      <w:r>
        <w:rPr>
          <w:rFonts w:ascii="Amiri" w:hAnsi="Amiri" w:eastAsia="Amiri" w:cs="Amiri"/>
          <w:color w:val="111111"/>
          <w:sz w:val="28"/>
          <w:sz w:val="28"/>
          <w:szCs w:val="28"/>
          <w:rtl w:val="true"/>
          <w:lang w:bidi="ar-SA"/>
        </w:rPr>
        <w:t>فيكون العقد فاسدا وباطلا ، لأنّه بناء على هذا يكون الشرط الخارج عن العقد مثل الداخل فيه في الآثار والأحكام ، فبناء على القول بالإفساد لا محالة يكون مفسدا ، لما قلنا من أنّ الشرط الخارج على هذا المبنى مثل الداخل ، ويجري فيه ما يجري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أيّ واحد من المبنيين صحيح ، فالحقّ أنّ الشرط في خارج العقد لا أثر له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هذا الأمر في بعض شرائط صحّة الشروط الصحيحة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هذا الكتاب وهو الشرط الثامن ، وهو عبارة عن التزام المشروط عليه بذلك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ذكرنا هناك في وجه هذا الشرط هو أنّه بعد الفراغ عن أنّ الشروط الابتدائيّة ليس واجبة الوفاء ، فالشروط التي لم تذكر في متن العقد إن لم يقع العقد مبنيّا عليها ، فلا وجه لتوهّم وجوب ترتيب الأثر عليها ، لأنّها تكون من قبيل الشروط الابتدائيّة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وقع العقد مبنيّا عليها بدون أن تذكر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اصطلحوا على تسميتها بشروط التباني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كالشروط المذكورة في ضمن العقد ، أو عدمه كالتي لم تذكر ولم يقع العقد مبنيّا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بوجوب الوفاء بتلك الشروط ذكروا وجوها ذكرناها هناك مع ردّها ، وإن شئت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شروط التباني لا يجب الوفاء بها ، فضلا عمّا ذكر في خارج العقد ولم يقع العقد مبنيّا عليها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لك حال نسيان الشرط حال العقد ، بعد أن كان بناء الطرفين على ذكره ، وهو على كلّ حال حاله حال سائر شروط التباني ولا أثر له ، لأنّ العقد وقع بلا قيد ولا شرط ، وصرف نيّتهما بدون الإنشاء لا أثر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تابعة للقصود </w:t>
      </w:r>
      <w:r>
        <w:rPr>
          <w:rFonts w:eastAsia="Amiri" w:cs="Amiri" w:ascii="Amiri" w:hAnsi="Amiri"/>
          <w:color w:val="111111"/>
          <w:sz w:val="28"/>
          <w:szCs w:val="28"/>
          <w:rtl w:val="true"/>
          <w:lang w:bidi="ar-SA"/>
        </w:rPr>
        <w:t xml:space="preserve">» - </w:t>
      </w:r>
      <w:r>
        <w:rPr>
          <w:rStyle w:val="FootnoteAnchor"/>
          <w:rtl w:val="true"/>
        </w:rPr>
        <w:footnoteReference w:id="203"/>
      </w:r>
      <w:r>
        <w:rPr>
          <w:rFonts w:ascii="Amiri" w:hAnsi="Amiri" w:eastAsia="Amiri" w:cs="Amiri"/>
          <w:color w:val="111111"/>
          <w:sz w:val="28"/>
          <w:sz w:val="28"/>
          <w:szCs w:val="28"/>
          <w:rtl w:val="true"/>
          <w:lang w:bidi="ar-SA"/>
        </w:rPr>
        <w:t xml:space="preserve">أنّ وجوب الوفاء يحتاج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باللفظ ، مع القصد ، وإنّ القصد بلا إنشاء أو الإنشاء بلا قصد لا أثر له ، فلا بدّ من اجتماع كلا الأمرين ، ففي صورة النسيان لا لفظ قطعا ، كما هو المفروض ، وقد لا يكون القصد أيضا ، كما إذا كان غافلا حال العقد عن أصل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فرّق شيخنا الأعظم قدس سره </w:t>
      </w:r>
      <w:r>
        <w:rPr>
          <w:rStyle w:val="FootnoteAnchor"/>
          <w:rtl w:val="true"/>
        </w:rPr>
        <w:footnoteReference w:id="204"/>
      </w:r>
      <w:r>
        <w:rPr>
          <w:rFonts w:ascii="Amiri" w:hAnsi="Amiri" w:eastAsia="Amiri" w:cs="Amiri"/>
          <w:color w:val="111111"/>
          <w:sz w:val="28"/>
          <w:sz w:val="28"/>
          <w:szCs w:val="28"/>
          <w:rtl w:val="true"/>
          <w:lang w:bidi="ar-SA"/>
        </w:rPr>
        <w:t>بين هذه الصورة فقال فيها بالصحّة لما ذكرنا من وقوع العقد مجرّدا عن كلّ قيد وشرط ، وبين الصورة التي لم يكن غافلا من أصل الشرط ، وإنّما غفل عن ذكره في محلّه ، فقال في هذه الصورة بأنّه كتارك ذكر الشرط عمدا ، تعويلا على تواطئهما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الشرط غير المذكور لا أثر له أصلا ، سواء أكان مغفولا بالمرّة ، أو كان ملتفتا إليه حال العقد ، غاية الأمر نسي ذكره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فساد الشرط لأجل عدم تعلّق غرض عقلائي معتدّ به بذلك الشرط ، فقالوا بأنّ مثل هذا الشرط الفاسد لا يفسد به العقد ، وإن قيل بالإفساد في سائر أقسام الشروط الفاسدة ، فقد حكى على العلاّمة قدس سره </w:t>
      </w:r>
      <w:r>
        <w:rPr>
          <w:rStyle w:val="FootnoteAnchor"/>
          <w:rtl w:val="true"/>
        </w:rPr>
        <w:footnoteReference w:id="205"/>
      </w:r>
      <w:r>
        <w:rPr>
          <w:rFonts w:ascii="Amiri" w:hAnsi="Amiri" w:eastAsia="Amiri" w:cs="Amiri"/>
          <w:color w:val="111111"/>
          <w:sz w:val="28"/>
          <w:sz w:val="28"/>
          <w:szCs w:val="28"/>
          <w:rtl w:val="true"/>
          <w:lang w:bidi="ar-SA"/>
        </w:rPr>
        <w:t>التصريح بصحّة العقد ولغويّة الشرط</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الوجه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الشرط لا يعتنى به عند العقلاء ، ويرون وجوده كالعدم ، فليس قابلا لأن يقيّد به العقد ، ويكون كالكلام اللغو والمهمل الذي يصدر عنه في أثناء العقد ، ولذلك ذكروا في باب السلم لغويّة بعض الشروط غير العقلائيّة ، وعدم لزوم ترتيب أثر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ولكن الإنصاف أنّه لو قلنا بأنّ الشرط الفاسد يفسد العقد ، فجملة من الأدلّة التي استدلّوا بها يشمل المقام ، خصوصا مسألة الرضا بمضمون العقد ، فلا ريب في أنّ رضا المشروط له بمضمون هذا العقد مقيّد بوجود هذا الشرط ، وذلك لاختلاف الأنظار ، فربما يكون أمر عند نوع العقلاء لغوا ولا يعتنون به ولا يبذلون بإزائه المال ، بل إذا كان في ملكهم وأتلفه الغير لا يرونه ضامنا لعدم الاعتناء به ، ولكن مع ذلك كلّه هناك شخص يهتمّ به كلّ الاهتمام ، ويعتني به كلّ الاعتناء لغرض من الأغراض ، وإن كان ذلك الغرض غير عقلائي لا يعتني به نوع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خرجت عن تحت الكلّية التي اخترناها ، وهي أنّ كلّ شرط فاسد لا يوجب فساده فساد العقد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 الشرط مجهولا وسرى جهالته إلى أحد العوضين ، فالمعاملة فاسدة ، وإن قلنا بأنّ الشرط الفاسد لا يفسد العقد ، وذلك من جهة أنّه من شرائط صحّة المعاوضة أن يكون العوضان معلومين ، وجهالتهما أو أحدهما موجب لبطلان المعاملة ، لنهيه صلی اللّه علیه و آله عن بيع الغرر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البائع على المشتري أن يبيعه عليه بعد اشترائه ، فهذا البيع فاسد ، حتّى عند القائلين بأنّ الشرط الفاسد لا يفسد العقد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لذلك وجوها ذكرناها مفصّلا مع أجوبتها في الشرط السابع من شروط صحّة الشروط في الجزء الثالث من هذا الكتاب في مقام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المخالفة لمقتضى العقد ، فيكون العقد المشتمل على مثل هذا الشرط فاسدا ، للتناقض بين مدلول العقد ومفاد الشرط ، إمّا مطابقة وصريحا ، وإمّا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بشرط أن لا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كما إذا قالت هي أو قال وكيلها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موكّلتي فلانه بشرط أن لا تستمتع منها أيّ 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فساد هذا الشرط ومفسديته للعقد واضح ، وقد بيّنّا ذلك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الشرط غير مقدور ، فيكون العقد المشتمل على مثل هذا الشرط غير قابل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أدلّة وجوب الوفاء بالعقد ، ولا أدلّة وجوب الوفاء بالشرط ، فيكون مثل هذه المعاملة لغوا وباطلا عند العقلاء ، ولا يمضيه الشارع أيضا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حراما ، وذلك مثل أن يبيع العنب على أن يجعله خمرا ، أو الخشب على أن يعمله صنما أو 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أسقط أمثال هذه المنافع عن درجة الاعتبار في عالم التشريع ، فلا يملكها المالك للعنب ، أو الخشب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حصر المنفعة التي يبيعهما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والخشب لأجل تلك المنفعة في المذكورات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أكل المال بإزائها أكلا بالباطل ، فتكون المعاملة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خروج هذه الموارد عن تحت تلك الكلّية بالتخصّص لا بالتخصيص ، وذلك من جهة أنّ فساد العقد في تلك الموارد ليس لفساد العقد كما توهّم ، بل لوقوع خلل في بعض أركان العقد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هذه الكلّية هي فيما إذا كان فساد الشرط من قبيل الواسطة في العروض ، بمعنى أنّ الفساد أوّلا وبالذات عرض على الشرط ، ويكون انتسابه إلى العقد بالعرض والمجاز ، لا أن يكون الشرط واسطة في الثبوت ، بمعنى أنّ </w:t>
      </w:r>
    </w:p>
    <w:p>
      <w:pPr>
        <w:pStyle w:val="BookText"/>
        <w:rPr/>
      </w:pPr>
      <w:r>
        <w:rPr>
          <w:rFonts w:ascii="Amiri" w:hAnsi="Amiri" w:eastAsia="Amiri" w:cs="Amiri"/>
          <w:color w:val="111111"/>
          <w:sz w:val="28"/>
          <w:sz w:val="28"/>
          <w:szCs w:val="28"/>
          <w:rtl w:val="true"/>
          <w:lang w:bidi="ar-SA"/>
        </w:rPr>
        <w:t>الفساد أوّلا وبالذات عرض على نفس العقد لاختلال بعض أركانه ، ويكون الشرط سببا وعلّة لعروض ذلك الاختلال على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مجهولا ، كما إذا شرط أن يكون المبيع بكيل كذا ، أو بوزن كذا ، وكان ذلك الكيل أو ذلك الوزن مجهولا ، فتسرى الجهالة إلى نفس المبيع ، فيكون البيع غرريّا وفاسدا ، ففساد البيع ليس إلاّ لوقوع غرر في نفس البيع ، لا لفساد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شرط البيع على البائع يكون بطلان مثل هذا البيع لأجل استلزامه للمحال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فساده ، لأجل فساد الشرط ، بل لو كان هذا الشرط جائزا كان هذا البيع فاسدا ، لما ذكرنا من استلزامه للمحال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بوجوده يوجب فساد العقد ، لا بفساده ، لما قلنا إنّ وجود هذا الشرط موجب لصيرورة البيع الأوّل مستلزما للمحال وهو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أجبنا عن الدور ، فيخرج عن محلّ الكلام بالمرّة ، فلا يكون العقد ولا الشرط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هو التحقيق فيه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وكذا الشروط المنافية لمقتضى العقد بوجودها يوجب التناقض بين مفاد العقد ومفاد الشرط ، ولا يكون مستندا إلى فساد الشرط ، وكذلك الشرط غير المقدور بوجوده يوجب لغويّة المعاملة ، فليس فساده مستندا إلى فساد الشرط ، بل يكون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الموارد المذكورة خارجة عن تحت هذه الكلّية تخصّصا ، لا تخصيصا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الذين اختاروا عكس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قالوا بأنّ كلّ شرط فاسد يوجب 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قالوا بخروج الشرط الذي يكون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وجوب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لغويّته وعدم تعلّق غرض العقلاء به ، مع أنّه فاسد لا يوجب </w:t>
      </w:r>
    </w:p>
    <w:p>
      <w:pPr>
        <w:pStyle w:val="BookText"/>
        <w:rPr/>
      </w:pPr>
      <w:r>
        <w:rPr>
          <w:rFonts w:ascii="IRNazanin" w:hAnsi="IRNazanin" w:eastAsia="IRNazanin"/>
          <w:color w:val="111111"/>
          <w:sz w:val="28"/>
          <w:sz w:val="28"/>
          <w:szCs w:val="28"/>
          <w:rtl w:val="true"/>
          <w:lang w:bidi="fa-IR"/>
        </w:rPr>
        <w:t>فساد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كان منشأ تفصيل ابن المتوج البحراني بأنّ الشرط الفاسد مفسدا للعقد ، إلاّ فيما إذا كان جهة فساد الشرط لغويّته وعدم تعلّق غرض العقلاء به ، فإنّ العقد لا يفسد به </w:t>
      </w:r>
      <w:r>
        <w:rPr>
          <w:rStyle w:val="FootnoteAnchor"/>
          <w:rtl w:val="true"/>
        </w:rPr>
        <w:footnoteReference w:id="210"/>
      </w:r>
      <w:r>
        <w:rPr>
          <w:rFonts w:ascii="Amiri" w:hAnsi="Amiri" w:eastAsia="Amiri" w:cs="Amiri"/>
          <w:color w:val="111111"/>
          <w:sz w:val="28"/>
          <w:sz w:val="28"/>
          <w:szCs w:val="28"/>
          <w:rtl w:val="true"/>
          <w:lang w:bidi="ar-SA"/>
        </w:rPr>
        <w:t>، لأنّ وجود ذلك الشرط وعدمه سواء ، فلا يؤثّر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خروج هذا القسم أيضا من قبيل التخصّص لا التخصيص ، لأنّ أدلّة وجوب الوفاء بالشرط منصرفة عن مثل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باب النكاح ورد الدليل على أنّ بعض الشروط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عدم التزويج والتسرّي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فساد عقد النكاح ، وقلنا إنّ تلك الروايات الواردة في باب النكاح ممّا تدلّ على أنّ الشرط الفاسد لا يفسد العقد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وقد ظهر لك ممّا ذكرنا أنّ التفاصيل في هذه المسألة لا وجه لها ، وأنّه ينبغي أن تحرّر المسألة ذات قول بالإفساد مطلقا ، وقول بعدمه مطلقا كما هو المختار ، وأمّا الموارد التي صارت سببا لتلك التفاصيل فهي خارجة عن تحت القاعدة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موارد جريان هذه القاعدة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 هذه القاعدة في جميع العقود ، فإذا باع شيئا وشرط عليه شرطا مخالفا للكتاب والسنّة أو لمقتضى أصل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مقتضى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مقدورا ، أو لم يكن ممّا فيه غرض عقلائي ، أو كان مجهولا ، أو كان مستلزما للمحال ، أو لم يكن منجّزا ، أو لم يلتزم به في متن العقد ، فمثل هذه الشروط لا يجب الوفاء بها قطعا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جميع ذلك في شرح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الخلاف في بعضها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هذه المذكورات توجب فساد ذلك العقد الذي وقعت هذه </w:t>
      </w:r>
    </w:p>
    <w:p>
      <w:pPr>
        <w:pStyle w:val="BookText"/>
        <w:rPr/>
      </w:pPr>
      <w:r>
        <w:rPr>
          <w:rFonts w:ascii="Amiri" w:hAnsi="Amiri" w:eastAsia="Amiri" w:cs="Amiri"/>
          <w:color w:val="111111"/>
          <w:sz w:val="28"/>
          <w:sz w:val="28"/>
          <w:szCs w:val="28"/>
          <w:rtl w:val="true"/>
          <w:lang w:bidi="ar-SA"/>
        </w:rPr>
        <w:t>الشروط في ضمنه أم لا؟</w:t>
      </w:r>
    </w:p>
    <w:p>
      <w:pPr>
        <w:pStyle w:val="BookText"/>
        <w:rPr/>
      </w:pPr>
      <w:r>
        <w:rPr>
          <w:rFonts w:ascii="Amiri" w:hAnsi="Amiri" w:eastAsia="Amiri" w:cs="Amiri"/>
          <w:color w:val="111111"/>
          <w:sz w:val="28"/>
          <w:sz w:val="28"/>
          <w:szCs w:val="28"/>
          <w:rtl w:val="true"/>
          <w:lang w:bidi="ar-SA"/>
        </w:rPr>
        <w:t>وقد عرفت أنّ بعضها خارج عن محلّ الخلاف تخصّصا لا تخصيصا ، وعمدة ما هو داخل في محلّ الخلاف هو الشرط الذي مخالف للكتاب والسنّة ، فإذا باع أو أجار أو أعار أو رهن أو اقترض أو أودع أو صالح أو وكل ، أو أيّ عقد من العقود المذكورة في أبواب المعاملات ، وشرط شرطا مخالفا للكتاب والسنّة ، يكون 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اخترناه في هذه القاعدة الشرط فاسد لا يجب الوفاء به ، ولكن لا يكون مفسدا لذلك العقد الذي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عقد النكاح ادّعى بعضهم خروجه عن محلّ الخلاف ، لورود أخبار كثيرة تدلّ على عدم فساد عقد النكاح بالشرط المخالف للكتاب والسنّة </w:t>
      </w:r>
      <w:r>
        <w:rPr>
          <w:rStyle w:val="FootnoteAnchor"/>
          <w:rtl w:val="true"/>
        </w:rPr>
        <w:footnoteReference w:id="212"/>
      </w:r>
      <w:r>
        <w:rPr>
          <w:rFonts w:ascii="Amiri" w:hAnsi="Amiri" w:eastAsia="Amiri" w:cs="Amiri"/>
          <w:color w:val="111111"/>
          <w:sz w:val="28"/>
          <w:sz w:val="28"/>
          <w:szCs w:val="28"/>
          <w:rtl w:val="true"/>
          <w:lang w:bidi="ar-SA"/>
        </w:rPr>
        <w:t>، مع دلالتها على أنّ ذلك الشرط فاسد لا يجب العمل به ، وقد عرفت أنّ تلك الأخبار كانت من جملة ما استدلنا بها على عدم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يأتي هذا الخلاف في الإيقاعات أم 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عبده ، أو طلّق امرأته وشرط عليهما شرطا مخالفا للكتاب والسنّة ، فهل يوجب ذلك الشرط بطلان ذلك العتق وذلك الطلاق ، أم لا؟</w:t>
      </w:r>
    </w:p>
    <w:p>
      <w:pPr>
        <w:pStyle w:val="BookText"/>
        <w:rPr/>
      </w:pPr>
      <w:r>
        <w:rPr>
          <w:rFonts w:ascii="Amiri" w:hAnsi="Amiri" w:eastAsia="Amiri" w:cs="Amiri"/>
          <w:color w:val="111111"/>
          <w:sz w:val="28"/>
          <w:sz w:val="28"/>
          <w:szCs w:val="28"/>
          <w:rtl w:val="true"/>
          <w:lang w:bidi="ar-SA"/>
        </w:rPr>
        <w:t>ربما يقال بعدم دخول الشرط في الإيقاعات مطلقا ، سواء أكان شرطا صحيحا أو فاسدا ، وذلك من جهة أنّ الشرط لا بدّ وأن يكون بين اثنين ، والإيقاع ليس بين اثنين ، بل هو متقوّم بواحد ، فهو يعتق عبده من دون اطلاع أحد ، لا العبد ولا غيره ، أو يطلق زوجته من دون إخبارها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كونه بحضور شاهدين عدلين ، فهو من باب الإشهاد ، لا أنّ الطلاق بين المطلّق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بجواز اشتراط خدمة مدّة في عتق عبده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الشرط لا بدّ وأن يكون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أنّه لا بدّ من </w:t>
      </w:r>
    </w:p>
    <w:p>
      <w:pPr>
        <w:pStyle w:val="BookText"/>
        <w:rPr/>
      </w:pPr>
      <w:r>
        <w:rPr>
          <w:rFonts w:ascii="Amiri" w:hAnsi="Amiri" w:eastAsia="Amiri" w:cs="Amiri"/>
          <w:color w:val="111111"/>
          <w:sz w:val="28"/>
          <w:sz w:val="28"/>
          <w:szCs w:val="28"/>
          <w:rtl w:val="true"/>
          <w:lang w:bidi="ar-SA"/>
        </w:rPr>
        <w:t xml:space="preserve">المشروط له والمشروط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الشارط والمشروط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موجود في الإيقاعات ، مثلا في الإطلاق المشروط له أو الشارط هو الزوج ، والمشروط عليها هي الزوجة ، وفي الإبراء بين الدائن والمديون ، وفي العتق بين السيد وعبده ، وهكذا في سائر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أنّه يحتاج إلى إيجاب من الشارط وقبول من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الشرط من العقود ، لا أنّه فقط في ضمن العقود أو الإيقاعات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ليس 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الشروط الواقعة في ضمن العقود لم يقل أحد إنّه يحتاج صحّة الشرط إلى قبول مستقلّ من طرف المشروط عليه عدا قبول ذلك العقد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قبوله يتحقّق في ضمن قبول العقد وليس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قبوله في الإيقاعات أيضا كما أنّهم قالوا في اشتراط خدمة العبد في عتقه بلزوم قبوله من طرف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عقليّا ولا شرعيّا عن دخول الشرط في الإيقاعات ، إلاّ أن يأتي دليل خاصّ في مورد مخصوص على المنع ، أو كان في الشرط خصوصيّة لا يلائم مع ذلك الإيقاع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وآخرا ، وظاهرا وباطنا</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937_235133"/>
      <w:bookmarkStart w:id="189" w:name="pg15937_235133"/>
      <w:bookmarkEnd w:id="189"/>
    </w:p>
    <w:p>
      <w:pPr>
        <w:pStyle w:val="Heading2"/>
        <w:numPr>
          <w:ilvl w:val="1"/>
          <w:numId w:val="1"/>
        </w:numPr>
        <w:rPr/>
      </w:pPr>
      <w:bookmarkStart w:id="190" w:name="pg15937_235133"/>
      <w:bookmarkStart w:id="191" w:name="__RefHeading___Toc16073410_2142443653"/>
      <w:bookmarkStart w:id="192" w:name="_Toc60"/>
      <w:bookmarkEnd w:id="190"/>
      <w:bookmarkEnd w:id="191"/>
      <w:r>
        <w:rPr/>
        <w:t>44</w:t>
      </w:r>
      <w:r>
        <w:rPr>
          <w:rtl w:val="true"/>
        </w:rPr>
        <w:t xml:space="preserve"> - </w:t>
      </w:r>
      <w:r>
        <w:rPr>
          <w:rtl w:val="true"/>
        </w:rPr>
        <w:t>قاعدة الوقوف على حسب ما يوقفها أهلها</w:t>
      </w:r>
      <w:bookmarkEnd w:id="1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6073412_2142443653"/>
      <w:bookmarkStart w:id="194" w:name="_Toc61"/>
      <w:bookmarkEnd w:id="193"/>
      <w:r>
        <w:rPr>
          <w:rtl w:val="true"/>
        </w:rPr>
        <w:t>اشارة</w:t>
      </w:r>
      <w:bookmarkEnd w:id="19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5937_235135"/>
      <w:bookmarkStart w:id="196" w:name="pg15937_235135"/>
      <w:bookmarkEnd w:id="196"/>
    </w:p>
    <w:p>
      <w:pPr>
        <w:pStyle w:val="BookText"/>
        <w:rPr/>
      </w:pPr>
      <w:bookmarkStart w:id="197" w:name="pg15937_235135"/>
      <w:bookmarkEnd w:id="197"/>
      <w:r>
        <w:rPr>
          <w:rFonts w:ascii="Amiri" w:hAnsi="Amiri" w:eastAsia="Amiri" w:cs="Amiri"/>
          <w:color w:val="111111"/>
          <w:sz w:val="28"/>
          <w:sz w:val="28"/>
          <w:szCs w:val="28"/>
          <w:rtl w:val="true"/>
          <w:lang w:bidi="ar-SA"/>
        </w:rPr>
        <w:t xml:space="preserve">قاعدة الوقوف على حسب ما يوقفها أهلها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073414_2142443653"/>
      <w:bookmarkStart w:id="199" w:name="_Toc62"/>
      <w:bookmarkEnd w:id="198"/>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بيان مدركها</w:t>
      </w:r>
      <w:bookmarkEnd w:id="199"/>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عن الصفّار أنّه كتب إلى أبي محمّد الحسن بن علي علیه السلام في الوقف وما روى فيه عن آبائه علیهم السلام ،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تكون على حسب ما يوقفها أهلها إن شاء اللّه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قدس سره عن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محمّد علیه السلام في الوقوف وما روى فيها ،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يقفها أهلها إن شاء اللّه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أنّها رواية واحدة ، ومراد الكليني قدس سره من بعض أصحابنا هو محمّد بن </w:t>
      </w:r>
      <w:bookmarkStart w:id="200" w:name="pg15937_235136"/>
    </w:p>
    <w:p>
      <w:pPr>
        <w:pStyle w:val="BookText"/>
        <w:rPr/>
      </w:pPr>
      <w:bookmarkEnd w:id="200"/>
      <w:r>
        <w:rPr>
          <w:rFonts w:ascii="Amiri" w:hAnsi="Amiri" w:eastAsia="Amiri" w:cs="Amiri"/>
          <w:color w:val="111111"/>
          <w:sz w:val="28"/>
          <w:sz w:val="28"/>
          <w:szCs w:val="28"/>
          <w:rtl w:val="true"/>
          <w:lang w:bidi="ar-SA"/>
        </w:rPr>
        <w:t xml:space="preserve">الحسن الصفّار أيضا ، إلاّ أنّ في الأولى بزيادة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باب الإفعال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الثلاثي ، ولعلّ الثانية أصحّ ، لما ذكره في نهاية ابن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يقال وقفت الشي‌ء اقفه وقفا ، ولا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أوقفت ، إلاّ على لغة رديئة </w:t>
      </w:r>
      <w:r>
        <w:rPr>
          <w:rStyle w:val="FootnoteAnchor"/>
          <w:rtl w:val="true"/>
        </w:rPr>
        <w:footnoteReference w:id="216"/>
      </w:r>
      <w:r>
        <w:rPr>
          <w:rFonts w:ascii="Amiri" w:hAnsi="Amiri" w:eastAsia="Amiri" w:cs="Amiri"/>
          <w:color w:val="111111"/>
          <w:sz w:val="28"/>
          <w:sz w:val="28"/>
          <w:szCs w:val="28"/>
          <w:rtl w:val="true"/>
          <w:lang w:bidi="ar-SA"/>
        </w:rPr>
        <w:t>، وإن كان بصورة باب الإفعال في الروايات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حجّية لما 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بإسناده عن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أسأله عن الوقف الذي يصحّ كيف هو؟ فقد روى أنّ الوقف إذا كان غير موقّت فهو باطل مردود على الورثة ، وإذا كان موقّتا فهو صحيح ممضى ،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الموقّت الذي يذكر فيه أنّه وقف على فلان وعقبه ، فإذا انقرضوا فهو للفقراء والمساكين إلى أن يرث اللّه الأرض ومن عليها ، والذي هو غير موقّت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ولم يذكر أحدا ، فما الذي يصحّ من ذلك ، وما الذي يبطل؟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بحسب ما يوقفها أهلها إن شاء اللّه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6073416_2142443653"/>
      <w:bookmarkStart w:id="202" w:name="_Toc63"/>
      <w:bookmarkEnd w:id="201"/>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بيان المراد منها</w:t>
      </w:r>
      <w:bookmarkEnd w:id="202"/>
    </w:p>
    <w:p>
      <w:pPr>
        <w:pStyle w:val="Heading4"/>
        <w:numPr>
          <w:ilvl w:val="3"/>
          <w:numId w:val="1"/>
        </w:numPr>
        <w:rPr/>
      </w:pPr>
      <w:bookmarkStart w:id="203" w:name="__RefHeading___Toc16073418_2142443653"/>
      <w:bookmarkStart w:id="204" w:name="_Toc64"/>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بعد ثبوتها بهذه الروايات المعتبرة التي يثق الإنسان بصدورها وإن كانت مكاتيب ، لما ذكره المشايخ الثلاث في جوامعهم ، وصحّة سندها ، واعتماد جلّ الأصحاب في فتاواهم عليها واستنادهم إليها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علیه السلام بعد السؤال عن الوقف وأحكامه وكيفيّته وما روي </w:t>
      </w:r>
    </w:p>
    <w:p>
      <w:pPr>
        <w:pStyle w:val="BookText"/>
        <w:rPr/>
      </w:pPr>
      <w:r>
        <w:rPr>
          <w:rFonts w:ascii="IRNazanin" w:hAnsi="IRNazanin" w:eastAsia="IRNazanin"/>
          <w:color w:val="111111"/>
          <w:sz w:val="28"/>
          <w:sz w:val="28"/>
          <w:szCs w:val="28"/>
          <w:rtl w:val="true"/>
          <w:lang w:bidi="fa-IR"/>
        </w:rPr>
        <w:t xml:space="preserve">عنهم علیهم السلام فيه ، يجيب بصورة كبرى كلّية لهذه الأسئلة ، فيكون مفادها أنّ كلّ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جمع المعروف بالألف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يعامل معه بحسب ما وقفه الواقف ، من الشروط ، والخصوصيّات ، والكيفيّات ، وما عيّنه من التصرّفات فيه ، ومن عيّنه لأن يكون ناظرا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مراده علیه السلام عن لزوم العمل مع الوقف على طبق جعل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كان أصل الوقف وجميع خصوصيّاته وكيفيّته وشرائطه المجهولة مشروعة ، ولم تكن ممّا منع عنه الشارع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الذي شرطه الواقف في ضمن عقد الوقف يكون واجدا لشرائط صحّة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تدلّ هذه الجملة على أنّه لا يجوز أن يعامل مع الوقف ما ينافي حقيقته وإن لم يشترط فيه شرط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 المراد 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الوقف وشرح ماهيته؟</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الفقهاء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تحبيس الأصل وتسبيل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التعريف مأخوذ من الأحاديث والروايات المرويّة عن النبي صلی اللّه علیه و آله وعن الأئمّة المعصومين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أبي جمهور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الأصل وسبل الثمرة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عمر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حبست أصلها وتصدّقت </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التصدّق بثمرتها ، وهو عبارة أخرى عن تسبيل ثمرتها ، لأن الصدقة هو الإعطاء مجّانا بقصد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تكرّر ذكره في روايات الباب عن الأئمّة المعصومين علیهم السلام ، وهو قولهم وتعبيرهم عن الوقف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لا تباع ولا تورث </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تارة ، وتعبيرهم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مبتولة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أخرى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بتلا </w:t>
      </w:r>
      <w:r>
        <w:rPr>
          <w:rFonts w:eastAsia="IRNazanin" w:cs="IRNazanin"/>
          <w:color w:val="111111"/>
          <w:sz w:val="28"/>
          <w:szCs w:val="28"/>
          <w:rtl w:val="true"/>
          <w:lang w:bidi="fa-IR"/>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 وكلّ هذه الجمل يرجع مفادها إلى تحبيس الأصل وتسبيل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الفقهاء بدّلوا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 والمراد واحد في الجميع كما هو ظاهر ، وإن كان الأقرب هو الأوّل ، بناء على أنّه من العبادات ويحتاج في وقوعه وصحّته إلى قصد القربة ، كما 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بدّل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المنفعة ، ولا فرق بينهما ، وقد عبّر عنه في الروايات بالصدقة ، ولكن بوصف لا تباع ولا توهب ولا تورث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الصدقة المتّصفة بهذه الصفات معناها أن يكون الشي‌ء موقوفا محبوسا عن النقل والانتقال ، وأن تكون ثمرته ومنفعته في سبيل اللّه ، ولفظ الوقف </w:t>
      </w:r>
    </w:p>
    <w:p>
      <w:pPr>
        <w:pStyle w:val="BookText"/>
        <w:rPr/>
      </w:pPr>
      <w:r>
        <w:rPr>
          <w:rFonts w:ascii="Amiri" w:hAnsi="Amiri" w:eastAsia="Amiri" w:cs="Amiri"/>
          <w:color w:val="111111"/>
          <w:sz w:val="28"/>
          <w:sz w:val="28"/>
          <w:szCs w:val="28"/>
          <w:rtl w:val="true"/>
          <w:lang w:bidi="ar-SA"/>
        </w:rPr>
        <w:t xml:space="preserve">أيضا يفيد معنى التحبيس أو الحبس عن النقل والانتقال ، ولكن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الوقف قصد القربة ، وأيضا صرف حبس المال من دون تسبيل الثمرة أو المنفعة لغو ، فلذا يكون أخصّ من مطلق الحبس ، وإلاّ فلا فرق بين أن يقال وقفته وأوقفته ووقّفته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وأحبسته وحبّسته بالتضعيف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فالوقف المصطلح عند الفقهاء وعند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استعماله في لسان الشرع قليلا ، ويعبّر عنه في لسان الشرع غالبا بالصدقة ، غاية الأمر مقيّدة بالعناوين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الأصل وتسبيل الثمرة ، كما عرّفه الفقهاء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التسبيل هو جعلها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كان لشرح حقيقة الوقف وماهيّته ، وإلاّ فتعاريف الفقهاء لموضوعات الأحكام غالبا تكون تعاريف لفظيّة ، تكون بالأعم تارة ، وبالأخصّ أخرى ، لا طرد ولا عكس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أنّ هذا المعنى الذي ذكرنا للوقف ليس أمرا تكوينيا ، كحبس إنسان ، أو حيوان في الخارج ، فإنّه لا يحصل إلاّ بأسباب خارجيّة ، بل هو اعتبار عرفي أو تشريعي لا يوجد إلاّ بالإنشاء ممّن له أهليّة هذا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فربما يعتبر الشارع أو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هذا المعنى عندهم قبل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في جانب العقد والوقف والواقف والموقوف والموقوف عليه ، كما أنّه ظاهرهم الاتّفاق على لزوم كون الإنشاء بالصيغة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يقع الكلام في أنّه عقد يحتاج إلى القبول ، أو لا يحتاج مع أنّه عقد ، أو لأنّه إيقاع ، وكما أنّه شرط الشارع في طرف المنشئ أن يكون عاقلا بالغا مالكا غير ممنوع التصرّف بحجر من فلس أو سفه وأمثال ذلك ، وكما أنّه شرط في جانب المنشأ أيضا أمورا نذكرها إن شاء اللّه تعالى</w:t>
      </w:r>
      <w:r>
        <w:rPr>
          <w:rFonts w:eastAsia="Amiri" w:cs="Amiri" w:ascii="Amiri" w:hAnsi="Amiri"/>
          <w:color w:val="111111"/>
          <w:sz w:val="28"/>
          <w:szCs w:val="28"/>
          <w:rtl w:val="true"/>
          <w:lang w:bidi="ar-SA"/>
        </w:rPr>
        <w:t xml:space="preserve">. </w:t>
      </w:r>
      <w:bookmarkStart w:id="205" w:name="pg15937_235140"/>
    </w:p>
    <w:p>
      <w:pPr>
        <w:pStyle w:val="BookText"/>
        <w:rPr/>
      </w:pPr>
      <w:bookmarkEnd w:id="205"/>
      <w:r>
        <w:rPr>
          <w:rFonts w:ascii="Amiri" w:hAnsi="Amiri" w:eastAsia="Amiri" w:cs="Amiri"/>
          <w:color w:val="111111"/>
          <w:sz w:val="28"/>
          <w:sz w:val="28"/>
          <w:szCs w:val="28"/>
          <w:rtl w:val="true"/>
          <w:lang w:bidi="ar-SA"/>
        </w:rPr>
        <w:t xml:space="preserve">ونبيّن هذه الأمور في ضمن مطالب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073420_2142443653"/>
      <w:bookmarkStart w:id="207" w:name="_Toc65"/>
      <w:bookmarkEnd w:id="206"/>
      <w:r>
        <w:rPr>
          <w:rtl w:val="true"/>
        </w:rPr>
        <w:t xml:space="preserve">المطلب الأوّل </w:t>
      </w:r>
      <w:r>
        <w:rPr>
          <w:rtl w:val="true"/>
        </w:rPr>
        <w:t xml:space="preserve">: </w:t>
      </w:r>
      <w:r>
        <w:rPr>
          <w:rtl w:val="true"/>
        </w:rPr>
        <w:t>في أنّ الوقف عقد يحتاج إلى القبول ، أو إيقاع</w:t>
      </w:r>
      <w:bookmarkEnd w:id="207"/>
    </w:p>
    <w:p>
      <w:pPr>
        <w:pStyle w:val="Heading5"/>
        <w:numPr>
          <w:ilvl w:val="4"/>
          <w:numId w:val="1"/>
        </w:numPr>
        <w:rPr/>
      </w:pPr>
      <w:bookmarkStart w:id="208" w:name="__RefHeading___Toc16073422_2142443653"/>
      <w:bookmarkStart w:id="209" w:name="_Toc6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أو عقد ولكن لا يحتاج إلى القبول القولي ، بل يكون نفس تصرّف الموقوف عليهم في العين الموقوفة وقبضهم لها قبولا فعليّا ، كما يكون الأمر كذلك في باب الجعالة بناء على أنّه عقد لا إيقاع ، بل في باب الوصيّة بناء على أنّها عقد ولا يعتبر القبول ، وإن رجّحنا نحن اعتبار القبول فيها ، وظاهر الأصحاب أنّه عقد وإن اختلفوا في اعتبار القبول فيه؟</w:t>
      </w:r>
    </w:p>
    <w:p>
      <w:pPr>
        <w:pStyle w:val="BookText"/>
        <w:rPr/>
      </w:pPr>
      <w:r>
        <w:rPr>
          <w:rFonts w:ascii="Amiri" w:hAnsi="Amiri" w:eastAsia="Amiri" w:cs="Amiri"/>
          <w:color w:val="111111"/>
          <w:sz w:val="28"/>
          <w:sz w:val="28"/>
          <w:szCs w:val="28"/>
          <w:rtl w:val="true"/>
          <w:lang w:bidi="ar-SA"/>
        </w:rPr>
        <w:t xml:space="preserve">والظاهر أنّه عقد كما هو ظاهر الأصحاب ، بل صريح جماعة ، بل جماعة منهم كالمحقّق رحمهم اللّه وغيره يعرفون الوقف بأنّه عقد ثمرته تحبيس الأصل وإطلاق المنفعة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ويحكي تعريفه بما ذكر عن القواعد </w:t>
      </w:r>
      <w:r>
        <w:rPr>
          <w:rStyle w:val="FootnoteAnchor"/>
          <w:rtl w:val="true"/>
        </w:rPr>
        <w:footnoteReference w:id="224"/>
      </w:r>
      <w:r>
        <w:rPr>
          <w:rFonts w:ascii="Amiri" w:hAnsi="Amiri" w:eastAsia="Amiri" w:cs="Amiri"/>
          <w:color w:val="111111"/>
          <w:sz w:val="28"/>
          <w:sz w:val="28"/>
          <w:szCs w:val="28"/>
          <w:rtl w:val="true"/>
          <w:lang w:bidi="ar-SA"/>
        </w:rPr>
        <w:t xml:space="preserve">والتنقيح </w:t>
      </w:r>
      <w:r>
        <w:rPr>
          <w:rStyle w:val="FootnoteAnchor"/>
          <w:rtl w:val="true"/>
        </w:rPr>
        <w:footnoteReference w:id="225"/>
      </w:r>
      <w:r>
        <w:rPr>
          <w:rFonts w:ascii="Amiri" w:hAnsi="Amiri" w:eastAsia="Amiri" w:cs="Amiri"/>
          <w:color w:val="111111"/>
          <w:sz w:val="28"/>
          <w:sz w:val="28"/>
          <w:szCs w:val="28"/>
          <w:rtl w:val="true"/>
          <w:lang w:bidi="ar-SA"/>
        </w:rPr>
        <w:t xml:space="preserve">وإيضاح النافع والكفاية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جهة أنّه لا ريب في أنّ الوقف حقيقة واحدة ، بمعنى أنّه ليس الوقف على الجهات كالمسجد والرباط والقنطرة حقيقة ، وعلى العناوين العامّة كالفقراء والعلماء والسادات وغير ذلك من العناوين وعلى الذريّة مثلا حقيقة أخرى ، بل الوقوف في الجميع بمعنى واحد كما هو الظاهر المتبادر من استعمالاتهم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الظاهر بل المعلوم أنّ الوقف على العناوين العامّة أو الخاصّة تمليك لهم كما سيأتي ، وظاهر التمليك والتملّك الاختياري هو أنّه معاهدة من الطرفين ، فيكون عقدا </w:t>
      </w:r>
    </w:p>
    <w:p>
      <w:pPr>
        <w:pStyle w:val="BookText"/>
        <w:rPr/>
      </w:pPr>
      <w:r>
        <w:rPr>
          <w:rFonts w:ascii="Amiri" w:hAnsi="Amiri" w:eastAsia="Amiri" w:cs="Amiri"/>
          <w:color w:val="111111"/>
          <w:sz w:val="28"/>
          <w:sz w:val="28"/>
          <w:szCs w:val="28"/>
          <w:rtl w:val="true"/>
          <w:lang w:bidi="ar-SA"/>
        </w:rPr>
        <w:t>حتّى إذا كان على الجهات العامّة كالمدارس والمساجد والقناطر والخانات والرباطات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صرّح جماعة ببطلانه بالردّ ، ولو كان إيقاعا لم يبطل ، وإذا كان عقدا فمقتضى الأصل هو احتياجه إلى القبول ، وهو أصالة عدم ترتّب الأثر إلاّ مع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لا يكون القبول دخيلا في تحقّق عنوان الوقف عرفا ، فإذا تحقّق عنوانه فإطلاقه ينفي شرطيّة القبول 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وعمدة استدلال القائلين بعدم لزوم القبول خلوّ الأخبار المشتملة على أوقاف الأئمّة المعصومين علیهم السلام وسيّدة نساء العالمين علیهم السلام عن ذكر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يمكن أن يكون خلوّ الأخبار المشتملة على أوقافهم من ذكر القبول من جهة أنّها في مقام بيان صدور كيفيّة الوقف عنهم علیهم السلام لا في مقام بيان تمام سبب حصول الوقف ، فلا إطلاق لها كي يتمسّك بها ، وأيضا يمكن أن يقال باكتفاء القبول من قيّم الوقف وإن كان هو نفسه ، كما في الجواهر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التفصيل بين الوقف الخاصّ والوقف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وجيه له أصلا ، لأنّ اعتمادهم في هذا التفصيل على عدم من هو يقبل ، وجوابه إمكان قبول الحاكم أو 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الفضولي فيه أوّلا فمبنيّ على أنّه عقد أو إيقاع ، وأنّ الفضولي في البيع هل على القاعدة أو لأدلّة خاصّة؟ فإن قلنا إنّه إيقاع ، فالظاهر الإجماع على عدم جريان الفضولي في الإيقاعات ، وقد تقدّم أنّه ليس بإيقاع ، وقد تقرّر في محلّه أنّ صحّة معاملة الفضولي على القاعدة ، فمقتضى القاعدة جريانه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بأنّه وإن لم يكن مانع عن جريانه فيه بمقتضى القاعدة ، إلاّ أنّه بناء على اعتبار قصد القربة فيه حال العقد وإنشائه ، فلا يحصل هذا الشرط وإن </w:t>
      </w:r>
      <w:bookmarkStart w:id="210" w:name="pg15937_235142"/>
    </w:p>
    <w:p>
      <w:pPr>
        <w:pStyle w:val="BookText"/>
        <w:rPr/>
      </w:pPr>
      <w:bookmarkEnd w:id="210"/>
      <w:r>
        <w:rPr>
          <w:rFonts w:ascii="Amiri" w:hAnsi="Amiri" w:eastAsia="Amiri" w:cs="Amiri"/>
          <w:color w:val="111111"/>
          <w:sz w:val="28"/>
          <w:sz w:val="28"/>
          <w:szCs w:val="28"/>
          <w:rtl w:val="true"/>
          <w:lang w:bidi="ar-SA"/>
        </w:rPr>
        <w:t>قصد الفضول القربة حال العقد ، لأنّ قصد القربة عن غير الواقف لا أثر له وإن كان بعنوان النيابة عن المالك ، خصوصا من غير استنابة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المالك حال الإجازة فغير مفيد ، لأنّ الشي‌ء بعد وقوعه لا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اعتبار قصد القربة فيه ، وبناء على كونه عقدا لا إيقاعا ، وبناء على أنّ جريان الفضولي في المعاملات على القاعدة لا أنّه فقط في البيع وبالأدلّة الخاصّة ، فلا إشكال في جريان الفضولي ، فإذا وقف شخص فضولة ملك شخص وأجازه المالك الواجد لشرائط الإجازة ولكونه واقفا يصحّ ذلك الوقف ، ويكون كما صدر عن نفس المالك</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6073424_2142443653"/>
      <w:bookmarkStart w:id="212" w:name="_Toc67"/>
      <w:bookmarkEnd w:id="211"/>
      <w:r>
        <w:rPr>
          <w:rtl w:val="true"/>
        </w:rPr>
        <w:t>وأمّا اعتبار كونه بقصد القربة في وقوعه وتحقّقه شرعا أو لا؟</w:t>
      </w:r>
      <w:bookmarkEnd w:id="212"/>
    </w:p>
    <w:p>
      <w:pPr>
        <w:pStyle w:val="BookText"/>
        <w:rPr/>
      </w:pPr>
      <w:r>
        <w:rPr>
          <w:rFonts w:ascii="Amiri" w:hAnsi="Amiri" w:eastAsia="Amiri" w:cs="Amiri"/>
          <w:color w:val="111111"/>
          <w:sz w:val="28"/>
          <w:sz w:val="28"/>
          <w:szCs w:val="28"/>
          <w:rtl w:val="true"/>
          <w:lang w:bidi="ar-SA"/>
        </w:rPr>
        <w:t xml:space="preserve">فقد اختلف الفقهاء في ذلك ، واختار العلاّمة قدس سره في قواعده الاعتبار </w:t>
      </w:r>
      <w:r>
        <w:rPr>
          <w:rStyle w:val="FootnoteAnchor"/>
          <w:rtl w:val="true"/>
        </w:rPr>
        <w:footnoteReference w:id="228"/>
      </w:r>
      <w:r>
        <w:rPr>
          <w:rFonts w:ascii="Amiri" w:hAnsi="Amiri" w:eastAsia="Amiri" w:cs="Amiri"/>
          <w:color w:val="111111"/>
          <w:sz w:val="28"/>
          <w:sz w:val="28"/>
          <w:szCs w:val="28"/>
          <w:rtl w:val="true"/>
          <w:lang w:bidi="ar-SA"/>
        </w:rPr>
        <w:t xml:space="preserve">، وحكى ذلك أيضا عن الشهيد قدس سره في الدروس </w:t>
      </w:r>
      <w:r>
        <w:rPr>
          <w:rStyle w:val="FootnoteAnchor"/>
          <w:rtl w:val="true"/>
        </w:rPr>
        <w:footnoteReference w:id="229"/>
      </w:r>
      <w:r>
        <w:rPr>
          <w:rFonts w:ascii="Amiri" w:hAnsi="Amiri" w:eastAsia="Amiri" w:cs="Amiri"/>
          <w:color w:val="111111"/>
          <w:sz w:val="28"/>
          <w:sz w:val="28"/>
          <w:szCs w:val="28"/>
          <w:rtl w:val="true"/>
          <w:lang w:bidi="ar-SA"/>
        </w:rPr>
        <w:t xml:space="preserve">، ويظهر من السرائر </w:t>
      </w:r>
      <w:r>
        <w:rPr>
          <w:rStyle w:val="FootnoteAnchor"/>
          <w:rtl w:val="true"/>
        </w:rPr>
        <w:footnoteReference w:id="230"/>
      </w:r>
      <w:r>
        <w:rPr>
          <w:rFonts w:ascii="Amiri" w:hAnsi="Amiri" w:eastAsia="Amiri" w:cs="Amiri"/>
          <w:color w:val="111111"/>
          <w:sz w:val="28"/>
          <w:sz w:val="28"/>
          <w:szCs w:val="28"/>
          <w:rtl w:val="true"/>
          <w:lang w:bidi="ar-SA"/>
        </w:rPr>
        <w:t xml:space="preserve">والغنية </w:t>
      </w:r>
      <w:r>
        <w:rPr>
          <w:rStyle w:val="FootnoteAnchor"/>
          <w:rtl w:val="true"/>
        </w:rPr>
        <w:footnoteReference w:id="231"/>
      </w:r>
      <w:r>
        <w:rPr>
          <w:rFonts w:ascii="Amiri" w:hAnsi="Amiri" w:eastAsia="Amiri" w:cs="Amiri"/>
          <w:color w:val="111111"/>
          <w:sz w:val="28"/>
          <w:sz w:val="28"/>
          <w:szCs w:val="28"/>
          <w:rtl w:val="true"/>
          <w:lang w:bidi="ar-SA"/>
        </w:rPr>
        <w:t>دعوى الإجماع على الاعتبار ، وحكى عن بعض دعوى الاشتهار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يوجد دليل لا على اعتبار قصد القربة في تحقّقه ووقوعه ولا عدم الاعتبار ، فهل مقتضى الأصل أيّ واحد منهما؟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أصالة عدم الاعتبار الذي ذكرها في الجواهر </w:t>
      </w:r>
      <w:r>
        <w:rPr>
          <w:rStyle w:val="FootnoteAnchor"/>
          <w:rtl w:val="true"/>
        </w:rPr>
        <w:footnoteReference w:id="232"/>
      </w:r>
      <w:r>
        <w:rPr>
          <w:rFonts w:ascii="Amiri" w:hAnsi="Amiri" w:eastAsia="Amiri" w:cs="Amiri"/>
          <w:color w:val="111111"/>
          <w:sz w:val="28"/>
          <w:sz w:val="28"/>
          <w:szCs w:val="28"/>
          <w:rtl w:val="true"/>
          <w:lang w:bidi="ar-SA"/>
        </w:rPr>
        <w:t>فليس لها حالة سابقة على تقدير كون العدم نعتيّا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ومثبت إن كان محموليّا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أصالة الفساد في المعاملات والعقود محكما ، لاحتمال دخله في تحقق ماهيّة الوقف شرعا ، ومع هذا الشكّ والاحتمال لا يبقى مجال للتمسّك بإطلاقات أدلّة الوقف ، </w:t>
      </w:r>
      <w:bookmarkStart w:id="213" w:name="pg15937_235143"/>
    </w:p>
    <w:p>
      <w:pPr>
        <w:pStyle w:val="BookText"/>
        <w:rPr/>
      </w:pPr>
      <w:bookmarkEnd w:id="213"/>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على الوقوف بعد الفراغ عن تحقّق أصل حقيقة الوقف وماهيّته بجميع ما له دخل في تلك الماهيّة عرفا أو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الوقف معنى عرفيّا كالبيع ، ويكون في نظر العرف موجودا بدون قصد القربة ، وتكون المطلقات باعتبار ما هو المفهوم منها عرفا ، فإذا احتملنا دخل شي‌ء فيه شرعا ، ولم يدلّ دليل على اعتباره فيمكن التمسّك بالمطلق لرفع الشكّ وعدم اعتبار ما شكّ في اعتباره شرعا في تلك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المبنى سلك شيخنا الأعظم قدس سره في التمسّك بالمطلقات في باب البيع في مكاسبه </w:t>
      </w:r>
      <w:r>
        <w:rPr>
          <w:rStyle w:val="FootnoteAnchor"/>
          <w:rtl w:val="true"/>
        </w:rPr>
        <w:footnoteReference w:id="233"/>
      </w:r>
      <w:r>
        <w:rPr>
          <w:rFonts w:ascii="Amiri" w:hAnsi="Amiri" w:eastAsia="Amiri" w:cs="Amiri"/>
          <w:color w:val="111111"/>
          <w:sz w:val="28"/>
          <w:sz w:val="28"/>
          <w:szCs w:val="28"/>
          <w:rtl w:val="true"/>
          <w:lang w:bidi="ar-SA"/>
        </w:rPr>
        <w:t>، ولكن فيما نحن فيه لا نعلم بتحقّق حقيقة الوقف ، لأنّ الوقف ليس من العناوين العرفيّة المحضة ، بل تصرّف فيها الشارع بضمّ بعض الخصوصيّات وحذف أخرى ، فليس المطلق ملقى إلى العرف بما يفهمه العرف ويكون عندهم هو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من هذه الجهة شبيها بمفاهيم عناوين العبادات ، فإنّه هناك يصحّ التمسّك بالمطلقات بعد إحراز عنوان المطلق شرعا ، وإن احتمل دخل خصوصيّة أخرى زائدة على المسمّى ، وإلاّ لا بدّ من القول بعدم جواز التمسّك بالإطلاقات في أبواب العبادات بناء على الصحيحي ، والاكتفاء بالإطلاق المقامي في رفع الشكّ</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6073426_2142443653"/>
      <w:bookmarkStart w:id="215" w:name="_Toc68"/>
      <w:bookmarkEnd w:id="214"/>
      <w:r>
        <w:rPr>
          <w:rtl w:val="true"/>
        </w:rPr>
        <w:t xml:space="preserve">وأمّا الدليل على اعتبار قصد القربة في الوقف </w:t>
      </w:r>
      <w:r>
        <w:rPr>
          <w:rtl w:val="true"/>
        </w:rPr>
        <w:t>:</w:t>
      </w:r>
      <w:bookmarkEnd w:id="215"/>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من السرائر والغنية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ويجيب عنه صاحب الجواهر قدس سره بأنّه لم نتحقّقه ، لخلوّ كثير من عبارات الأصحاب المشتملة على بيان شرائطه عنه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منّا عدم صحّة التمسّك بأمثال هذه الإجماعات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الاعتبار ، وذلك من جهة معلوميّة مدرك إجماعهم واتّفاقهم ، ولا أقلّ من احتمال كون مدركهم هذه الأدلّة التي سنذكرها ، ومع وجود هذا الاحتمال فلا يبقى مجال استكشاف رأي المعصوم علیه السلام بالحدس القطعي من هذا الإجماع والاتّفاق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ولا عتق إلاّ ما أريد به وجه اللّه عزّ وجلّ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على أنّ ماهيّة الوقف من أنواع الصدقة ، فهو صدقة خاصّة ، ولذا وصفوها علیهم السلام في الروايات العديدة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تباع ولا توهب ولا تورث </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فيكون مفهوم الوقف أخصّ من مفهوم الصدقة ، ولذلك عبّر عنه بالصدقة في جميع أصناف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فالصدقات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من الصدقات الواجبة والمندوبة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عبّر عن الوقف على الولد بالصدقة في بعض الروايات ، كرواية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يتصدّق على بعض ولده بطرف من ماله ، ثمَّ يبدو له بعد ذلك أن يدخل معه غيره من ولده؟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إرادة غير الوقف من الصدقة بعيد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تعبيرهم علیهم السلام عن الوقف بالصدقة كثير في الروايات في الأقسام المختلفة من الوقف ، في الوقف على الجهات ، وعلى العناوين ، وعلى الذريّة والأولاد ، فادّعاء أنّ النسبة بينهما عموم من وجه لا يخلو عن مجازفة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في بيان الوقف على ما رواه ابن أبي جمهور في عوالي اللئالي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الأصل وسبل الثمرة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حتّى أنّ أكثر الفقهاء عرّفوا الوقف بأنّه تحبيس الأصل وتسبيل الثمرة ، ويقول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وسبله تسبيلا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سبيل اللّه تعالى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هذا المعنى يكون حقيقة الوقف عبارة عن حبس الأصل وتوقيفه عن التقلّبات في عالم الاعتبار التشريعي ، وجعل ثمرته ومنفعته في سبيل اللّه ، وهل مع هذا يبقى شكّ في أنّ قصد القربة داخل في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قدس سره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فالوقف والصدقة شي‌ء واحد ، ولا يصحّ شي‌ء منهما إلاّ ما يتقرّب به إلى اللّه تعالى ، فإن لم يقصد بذلك وجه اللّه لم يصحّ الوقف </w:t>
      </w:r>
      <w:r>
        <w:rPr>
          <w:rStyle w:val="FootnoteAnchor"/>
          <w:rtl w:val="true"/>
        </w:rPr>
        <w:footnoteReference w:id="2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ما في كلام صاحب الجواهر قدس سره </w:t>
      </w:r>
      <w:r>
        <w:rPr>
          <w:rStyle w:val="FootnoteAnchor"/>
          <w:rtl w:val="true"/>
        </w:rPr>
        <w:footnoteReference w:id="241"/>
      </w:r>
      <w:r>
        <w:rPr>
          <w:rFonts w:ascii="Amiri" w:hAnsi="Amiri" w:eastAsia="Amiri" w:cs="Amiri"/>
          <w:color w:val="111111"/>
          <w:sz w:val="28"/>
          <w:sz w:val="28"/>
          <w:szCs w:val="28"/>
          <w:rtl w:val="true"/>
          <w:lang w:bidi="ar-SA"/>
        </w:rPr>
        <w:t>من حصول القطع للفقيه بعدم اعتباره بأدنى ملاحظة فيما ذكره من الوجوه لعدم الاعتبار ، فإنّا لاحظنا في جميع ما ذكره ولم يحصل لنا الظنّ ، فضلا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كون الوقف صدقة لعدم اعتبار الفقر فيه مع اعتباره فيها ، فلا يدلّ على عدم كونه صدقة ، لأنّه من الممكن أن تكون أصناف الصدقة مختلفة في الأحكام والآثار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صحّة الوقف على الكافر أو من الكافر ، فلا ينافي اعتبار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الكافر الذمّي إذا كان أحد أبويه ، لأنّه يمكن أن يتقرّب به إلى اللّه في إحسانه إليهم الذي أمر به اللّه ، بل وفي غير الأبوين من الكفّار غير الحربيّين لا ريب في حسن </w:t>
      </w:r>
    </w:p>
    <w:p>
      <w:pPr>
        <w:pStyle w:val="BookText"/>
        <w:rPr/>
      </w:pPr>
      <w:r>
        <w:rPr>
          <w:rFonts w:ascii="Amiri" w:hAnsi="Amiri" w:eastAsia="Amiri" w:cs="Amiri"/>
          <w:color w:val="111111"/>
          <w:sz w:val="28"/>
          <w:sz w:val="28"/>
          <w:szCs w:val="28"/>
          <w:rtl w:val="true"/>
          <w:lang w:bidi="ar-SA"/>
        </w:rPr>
        <w:t>الإحسان إليهم ، خصوصا إذا كانوا عجزة فقراء فأيضا ممكن التقرّب إلى اللّه بهذا 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الكافر الذمّي ، فلأنّه من الممكن أن يقصد القربة وإن لم يحصل له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اشتراط الإيمان في صحّة العبادة يدلّ على عدم كونه عبادة منه ، لا على عدم اعتبار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ولا عتق إلاّ ما أريد به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نفي الحقيقة مبالغة في نفي الكمال ، فنفي الحقيقة ادّعائيّ لا 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الادّعاء خلاف ظاهر الكلام وما يفهمه العرف من هذه الجملة ،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نفي الحقيقة حقيقة ، لا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الاعتبار بأنّ الوقف على الأولاد والذرّيّة بل سائر الأقارب ليس المحرّك والداعي إلى الوقف هو التقرب إلى اللّه ، بل الداعي إلى ذلك هو حبّه لهم والعطف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يبقوا محتاجين وفقراء معرزين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 لهم ليس مانعا عن قصد القربة ، لأنّ اللّه تبارك وتعالى أيضا يحبّ التودّد إليهم والعطف عليهم ، فالعاقل إذا علم أنّ نفي قصد التقرب بهذا الفعل يحصل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 أقربائه بنفس هذا الفعل ، وثواب الآخرة والدرجات الرفيعة بقصده القربة فيه ، فلا محالة يقصد القربة بفعله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صدوره في بعض الأحيان عن بعض الأشخاص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العطف على أقربائه من قلّة مبالاته بأمور الآخرة وثوابها وعقابها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دليلا على عدم الاعتبار ، كما أنّ الذين لا يبالون بمخالفة أحكام الدين يراءون في عباداتهم لأغراض دنيويّة ، ولا مانع من الالتزام ببطلان وقفهم في هذه الصورة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في العتق أيضا لو أعتق أحد أقربائه غير الذين ينعتقون عليه قهرا لحبّه </w:t>
      </w:r>
      <w:bookmarkStart w:id="216" w:name="pg15937_235147"/>
    </w:p>
    <w:p>
      <w:pPr>
        <w:pStyle w:val="BookText"/>
        <w:rPr/>
      </w:pPr>
      <w:bookmarkEnd w:id="216"/>
      <w:r>
        <w:rPr>
          <w:rFonts w:ascii="IRNazanin" w:hAnsi="IRNazanin" w:eastAsia="IRNazanin"/>
          <w:color w:val="111111"/>
          <w:sz w:val="28"/>
          <w:sz w:val="28"/>
          <w:szCs w:val="28"/>
          <w:rtl w:val="true"/>
          <w:lang w:bidi="fa-IR"/>
        </w:rPr>
        <w:t xml:space="preserve">إيّاهم لا بقصد القربة ، خصوصا إذا كان في كفّارة ، لا مانع من القول بعدم وقوع الكفّارة ، بل عدم صحّة العتق بناء على اعتبار قصد القربة ، كما هو كان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ولا عتق إلاّ ما أريد به وجه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من جميع ما ذكرنا أنّ القول بعدم اعتبار قصد القربة في الوقف لا يخلو من نظر وتأمّل ، بل الأحوط وجوبا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يعتبر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أو في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الإقباض ، وسنتكلّم عنه في شرائط الوقف ، وأنّه هل من شرائط صحّة الوقف أو من شرائط لزومه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وقوع عقد الوقف مع القبول وقصد القربة من الأصيل أو الفضولي ، وأجاز المالك بناء على جريان الفضولي فيه واجدا لجميع شرائط الوقف والواقف والموقوف والموقوف عليه يكون من المنجزات ، فيكون حاله حال سائر المنجّزات في دخوله في مفاد المسألة المعروفة ، وهي أنّ منجّزات المريض الذي يموت في ذلك المرض هل مثل الوصية ، ويكون نفوذها في الزائد على الثلث منوطا بإجازة الورثة أم لا ، بل يكون من أصل التركة وليس معلّقا على إجازتهم؟</w:t>
      </w:r>
    </w:p>
    <w:p>
      <w:pPr>
        <w:pStyle w:val="BookText"/>
        <w:rPr/>
      </w:pPr>
      <w:r>
        <w:rPr>
          <w:rFonts w:ascii="Amiri" w:hAnsi="Amiri" w:eastAsia="Amiri" w:cs="Amiri"/>
          <w:color w:val="111111"/>
          <w:sz w:val="28"/>
          <w:sz w:val="28"/>
          <w:szCs w:val="28"/>
          <w:rtl w:val="true"/>
          <w:lang w:bidi="ar-SA"/>
        </w:rPr>
        <w:t>وتحقيق الحقّ والمختار في تلك المسألة موكول إلى محلّه ، والغرض ها هنا بيان أنّ الوقف بعد وقوعه وتماميّته بشرائطه يكون مثل البيع والصلح وسائر العقود المنجّزة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6073428_2142443653"/>
      <w:bookmarkStart w:id="218" w:name="_Toc69"/>
      <w:bookmarkEnd w:id="217"/>
      <w:r>
        <w:rPr>
          <w:rtl w:val="true"/>
        </w:rPr>
        <w:t xml:space="preserve">المطلب الثاني </w:t>
      </w:r>
      <w:r>
        <w:rPr>
          <w:rtl w:val="true"/>
        </w:rPr>
        <w:t xml:space="preserve">: </w:t>
      </w:r>
      <w:r>
        <w:rPr>
          <w:rtl w:val="true"/>
        </w:rPr>
        <w:t>في شرائط الوقف</w:t>
      </w:r>
      <w:bookmarkEnd w:id="218"/>
    </w:p>
    <w:p>
      <w:pPr>
        <w:pStyle w:val="Heading5"/>
        <w:numPr>
          <w:ilvl w:val="4"/>
          <w:numId w:val="1"/>
        </w:numPr>
        <w:rPr/>
      </w:pPr>
      <w:bookmarkStart w:id="219" w:name="__RefHeading___Toc16073430_2142443653"/>
      <w:bookmarkStart w:id="220" w:name="_Toc7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وهي أمور أربعة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أصل شرطيّته واعتباره في الوقف عندنا ، </w:t>
      </w:r>
    </w:p>
    <w:p>
      <w:pPr>
        <w:pStyle w:val="BookText"/>
        <w:rPr/>
      </w:pPr>
      <w:r>
        <w:rPr>
          <w:rFonts w:ascii="Amiri" w:hAnsi="Amiri" w:eastAsia="Amiri" w:cs="Amiri"/>
          <w:color w:val="111111"/>
          <w:sz w:val="28"/>
          <w:sz w:val="28"/>
          <w:szCs w:val="28"/>
          <w:rtl w:val="true"/>
          <w:lang w:bidi="ar-SA"/>
        </w:rPr>
        <w:t>وإنّما الخلاف في أنّه هو شرط الصحّة أو شرط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ثمرة القولين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اعتباره في لزومه الروايات الواردة الدالة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صفوان بن يحيي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يقف الضيعة ثمَّ يبدو له أن يحدث في ذلك شيئا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وقفها لولده ولغيرهم ثمَّ جعل لها قيّما لم يكن له أن يرجع فيها ، وإن كانوا صغارا وقد شرط ولايتها لهم حتّى بلغوا فيحوزها لهم لم يكن له أن يرجع فيها ، وإن كانوا كبارا ولم يسلمها إليهم ولم يخاصموا حتّى يحوزوها عنه فله أن يرجع فيها ، لأنّهم لا يحوزونها عنه وقد بلغوا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محمّد بن جعفر الأسدي فيما ورد عليه من جواب مسائله عن محمّد بن عثمان العمري ، عن صاحب الزمان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سألت عنه من الوقف على ناحيتنا وما يجعل لنا ثمَّ يحتاج إليه صاحبه ، فكلّ ما لم يسلم فصاحبه فيه بالخيار ، وكلّما سلم فلا خيار فيه لصاحبه ، احتاج أو لم يحتج ، افتقر إليه أو استغنى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سألت عنه من أمر الرجل الذي يجعل لناحيتنا ضيعة ويسلمها من قيّم يقوم فيها ويعمرها ويؤدّي من دخلها خراجها ومئونتها ، ويجعل ما بقي من الدخل لناحيتنا ، فإنّ ذلك جائز لناحيتنا ، فإنّ ذلك جائز لمن جعله صاحب الضيعة قيّما عليها ، إنّما لا يجوز ذلك لغيره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 رواية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يحوزونها عنه وقد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علّة جواز الرجوع هو عدم حيازتهم وقبضهم للضيعة ، وهذه العلّة بمفهومها تدلّ على أنّ </w:t>
      </w:r>
      <w:bookmarkStart w:id="221" w:name="pg15937_235149"/>
    </w:p>
    <w:p>
      <w:pPr>
        <w:pStyle w:val="BookText"/>
        <w:rPr/>
      </w:pPr>
      <w:bookmarkEnd w:id="221"/>
      <w:r>
        <w:rPr>
          <w:rFonts w:ascii="Amiri" w:hAnsi="Amiri" w:eastAsia="Amiri" w:cs="Amiri"/>
          <w:color w:val="111111"/>
          <w:sz w:val="28"/>
          <w:sz w:val="28"/>
          <w:szCs w:val="28"/>
          <w:rtl w:val="true"/>
          <w:lang w:bidi="ar-SA"/>
        </w:rPr>
        <w:t>الحيازة والقبض موجب لعدم جواز الرجوع الذي هو من لوازم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وظهور هذا التعليل في هذا المفهوم عرفي ، وإنكاره مكابرة ، والفقرة السابقة على هذه الفقرة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كانوا صغارا وقد شرط ولايتها لهم حتّى بلغوا فيحوزها لهم لم يكن له أن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علیه السلام عدم جواز رجوعه الذي هو كناية عن اللزوم على الحيازة لهم ، لأنّ حيازته حيازة لهم ، لأنّه وليّ عليهم ، فيكون القبض والحيازة علّة للزوم الوقف ، وهذا منطوق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رواية الأسدي ، الفقرة الأولى من تلك الرواية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لم يسلم فصاحبه فيه بالخيار ، وكلما سلم فلا خيار فيه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 ، فصريحة في أنّه شرط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بالخيار في صورة عدم التسليم الذي هو بمعنى عدم الإقباض ، وحكم بعدم الخيار في صورة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عدم الخيار كناية عن اللزوم ، فعلّق اللزوم على التسليم الذي هو بمعنى الإقباض الملازم 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ظهور هاتين الروايتين في أنّ القبض موجب للزوم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يقال ، بل قال بعض الأعاظم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بطلان الوقف بموت الواقف قبل إقباضه دليل على أنّ القبض شرط الصحّة لا شرط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نفس الموت موجبا لبطلانه إن كان قبله صحيحا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ثمرة القولين في النماءات ، فبناء على أنّه شرط اللزوم تكون النماءات من زمان وقوع العقد للموقوف عليهم ، وبناء على أنّه شرط الصحّة تكون للواقف</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6073432_2142443653"/>
      <w:bookmarkStart w:id="223" w:name="_Toc71"/>
      <w:bookmarkEnd w:id="222"/>
      <w:r>
        <w:rPr>
          <w:rtl w:val="true"/>
        </w:rPr>
        <w:t>وها هنا فروع لا بأس بذكرها</w:t>
      </w:r>
      <w:bookmarkEnd w:id="22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الواقف قبل القبض بطل الوقف ، لخبر عبيد بن زرارة عن أبي </w:t>
      </w:r>
    </w:p>
    <w:p>
      <w:pPr>
        <w:pStyle w:val="BookText"/>
        <w:rPr/>
      </w:pPr>
      <w:r>
        <w:rPr>
          <w:rFonts w:ascii="IRNazanin" w:hAnsi="IRNazanin" w:eastAsia="IRNazanin"/>
          <w:color w:val="111111"/>
          <w:sz w:val="28"/>
          <w:sz w:val="28"/>
          <w:szCs w:val="28"/>
          <w:rtl w:val="true"/>
          <w:lang w:bidi="fa-IR"/>
        </w:rPr>
        <w:t xml:space="preserve">عبد اللّه علیه السلام في رجل تصدّق على ولد له قد أدركوا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يقبضوا حتّى يموت فهو ميراث ، فإن تصدّق على من لم يدرك من ولده فهو جائز ، لأنّ الوالد هو الذي يلي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في الصدقة إذا تصدّق بها ابتغاء وجه اللّه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الخبر على بطلان الوقف بموت الواقف واضح لا يحتاج إلى البيان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ولد له قد 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 في الوقف بالخصوص ، أو يشمله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المدارك اختصاصه بالصدقة بالمعنى الأخصّ فلا يشمل الوقف ممّا لا شاهد له ، لعدم دليل على انصراف المطلق إلى أحد فرديه مع كثرة الاستعمال في الفرد الآخر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تأييده هذا الاحتمال بذيل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يرجع في الصدقة إذا تصدق بها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أصلا ، لأنّه من المحتمل القريب أن تكون هذه الجملة بمنزلة التعليل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مفاده لا يرجع في الوقف إذا كان ابتغاء لوجه اللّه ، أو مطلق الصدقة ، وقفا كانت أو الصدقة الخاصّة ، حيث تصدّق بها ابتغاء وجه اللّه لا يجوز أن يرجع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فيما إذا مات الواقف ، وأمّا إن مات الموقوف عليه قبل أن يقبض ، فبناء على ما اخترناه من أنّ القبض شرط اللزوم لا الصحّة ، فالوقف وقع صحيحا ولا وجه لخروجه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للواقف أن يرجع قبل قبض الطبقة اللاحقة أو الشخص اللاحق ، ولا إشكال في البين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أنّه شرط الصحّة ، فالصحّة التأهليّة باقية ، فإذا قبض البطن اللاحق </w:t>
      </w:r>
    </w:p>
    <w:p>
      <w:pPr>
        <w:pStyle w:val="BookText"/>
        <w:rPr/>
      </w:pPr>
      <w:r>
        <w:rPr>
          <w:rFonts w:ascii="Amiri" w:hAnsi="Amiri" w:eastAsia="Amiri" w:cs="Amiri"/>
          <w:color w:val="111111"/>
          <w:sz w:val="28"/>
          <w:sz w:val="28"/>
          <w:szCs w:val="28"/>
          <w:rtl w:val="true"/>
          <w:lang w:bidi="ar-SA"/>
        </w:rPr>
        <w:t>مثلا تصير فعليّة ، وإن شكّ في بقائها فيمكن إحرازها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بأنّه نظير قبول غير من خوطب به ، لأنّ ظاهر الاشتراط بالقبض هو القبض ممّن كان الطرف في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 لأنّ المفروض أنّ العقد تمَّ من الإيجاب والقبول ممّن لهما أهليّة ذلك ، وإنّما الذي بقي حسب اشتراط الشارع صحّة الوقف هو قبض طبيعة الموقوف عليه ، وقبل موت الطبقة الأولى كان مصداق الطبيعة هو ذلك الشخص في الوقف الترتيبي ، وبعد موته صارت الطبقة المتأخّرة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أن يكون الوقف على عنوان عامّ ، كأولادي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نسلا بعد نسل ، أو كان على أشخاص معيّنين ، أو على شخص معيّن ثمَّ على أشخاص معيّنين أخر ، أو ثمَّ على شخص معيّن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يشترط في تحقّق القبض الذي هو شرط صحّة الوقف أو شرط لزومه أن يكون بإذن الواقف ،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الاشتراط ، خصوصا بناء على أنّه شرط اللزوم لا الصحّة ، لأنّ العقد تمَّ من الطرفين بشرائطه ، غاية الأمر اشتراط الشارع شرطا للصحّة أو اللزوم ، وشرطيّة أصل القبض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بإذن الواقف غير معلوم ، فيكون مجرى أصالة عدم الاشتراط ، وأصالة عدم تأثير العقد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بأصالة الفساد في أبواب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بإطلاقات أدلّة الوقف ، لأنّ الوقف تحقّق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اعتبار آخر زائد على تحقّق حقيقة الوقف عرفا ، وإثباته يحتاج إلى دليل معتبر ، وليس في البين شي‌ء يكون مانعا من جريان الإطلاقات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من قبيل الشكّ في اعتبار بعض الخصوصيّات في عقد البيع شرعا بعد تحقّق ماهيّته عرفا ، كالعربيّة والماضويّة مثلا الذي قلنا بجريان إطلاقات أدلّة البيع ورفع </w:t>
      </w:r>
    </w:p>
    <w:p>
      <w:pPr>
        <w:pStyle w:val="BookText"/>
        <w:rPr/>
      </w:pPr>
      <w:r>
        <w:rPr>
          <w:rFonts w:ascii="Amiri" w:hAnsi="Amiri" w:eastAsia="Amiri" w:cs="Amiri"/>
          <w:color w:val="111111"/>
          <w:sz w:val="28"/>
          <w:sz w:val="28"/>
          <w:szCs w:val="28"/>
          <w:rtl w:val="true"/>
          <w:lang w:bidi="ar-SA"/>
        </w:rPr>
        <w:t>الشكّ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لاعتبار اذن الواقف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ما لم يسلم فصاحبه فيه بالخيار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علیه السلام علّق الخيار على عدم التسليم لا عدم القبض ، فيستفاد منه اشتراط الصحّة أو اللزوم بالتسليم وإقباض الواقف ، فلا أثر لصرف قبض الموقوف عليه بدون إقباض الواقف وتسليمه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هذه الجملة هو وصول المال الموقوف إلى الموقوف عليه وصيرورته تحت يده ، ولذلك عبّر عنه علیه السلام في صحيح محمّد بن مسلم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يقبضوا فهو ميراث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إطلاق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يقبضوا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وشمولها لكلتا حالتي الإذن وعدمه ، وأزيد من هذا قوله علیه السلام في صحيحة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يخاصموا حتّى يحوزوها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أنّ أخذهم بالقوّة ورغما لأنف الواقف كاف في الصحّة أو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القبض أن يكون فورا أم لا؟</w:t>
      </w:r>
    </w:p>
    <w:p>
      <w:pPr>
        <w:pStyle w:val="BookText"/>
        <w:rPr/>
      </w:pPr>
      <w:r>
        <w:rPr>
          <w:rFonts w:ascii="IRNazanin" w:hAnsi="IRNazanin" w:eastAsia="IRNazanin"/>
          <w:color w:val="111111"/>
          <w:sz w:val="28"/>
          <w:sz w:val="28"/>
          <w:szCs w:val="28"/>
          <w:rtl w:val="true"/>
          <w:lang w:bidi="fa-IR"/>
        </w:rPr>
        <w:t xml:space="preserve">الظاهر عدم اشتراطه ، للأصل المتقدّم في الفرع السابق ، ويمكن أن يستظهر أيضا من قوله علیه السلام في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يقبضوا حتّى يموت فهو ميراث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وإطلاقه يشمل حتّى فيما إذا كان بين العقد مدّة طويلة ، فإذا حصل القبض بعد العقد بمدّة ولكن قبل الموت بساعة مثلا فيؤثّر أثره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الوقف يتمّ صحيحا ويصير لازما بقبض الطبقة الأولى ، ولا يحتاج صحّته أو لزومه بقبض الطبقة الثانية والثالثة ، وهذا لأنّه بعد ما تمَّ وصار لازما لا يخرج عن الصحّة أو اللزوم الاّ بدليل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كلام في أنّ قبض بعض الموقوف عليهم يكفي عن قبض الآخرين ، أم لا بل يقسط ، ويكون صحيحا أو لازما بالنسبة إلى حصّة ذلك البعض فقط؟</w:t>
      </w:r>
    </w:p>
    <w:p>
      <w:pPr>
        <w:pStyle w:val="BookText"/>
        <w:rPr/>
      </w:pPr>
      <w:r>
        <w:rPr>
          <w:rFonts w:ascii="IRNazanin" w:hAnsi="IRNazanin" w:eastAsia="IRNazanin"/>
          <w:color w:val="111111"/>
          <w:sz w:val="28"/>
          <w:sz w:val="28"/>
          <w:szCs w:val="28"/>
          <w:rtl w:val="true"/>
          <w:lang w:bidi="fa-IR"/>
        </w:rPr>
        <w:t xml:space="preserve">الظاهر أنّه يحتاج إلى قبض جميع الطبقة الأولى ، ولا يكفي قبض بعضهم عن الآخرين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يقبضوا حتّى يموت فهو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اللزوم أو الصحّة متوقّف على قبض الجميع ، وكذلك قوله علیه السلام في صحيحة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يخاصموا حتّى يحوزوها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عليه جميعهم ، فإذا كان قبض الموقوف عليه شرطا في صحّة الوقف أو في لزومه ، فيجب قبض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الطبقات المتأخّرة أيضا هم الموقوف عليهم ، فبناء على هذا يجب أيضا قبضهم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الطبقة الأولى إذا قبضوا كلّهم إمّا أن يتمّ الوقف ، فلا مجال لاشتراط قبض الباقين لحصول الصحّة أو اللزوم ، لأنّه من قبيل تحصيل الحاصل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يتمّ ، فلا يتمّ إلى الأبد فيما إذا كان وراء كلّ طبقة طبقة ، وهذا شي‌ء مستنكر ومخالف للضرورة الفقهيّة ، فلا بدّ من القول بأنّه يتمّ بقبض الطبقة الأولى ، فلا يحتاج إلى قبض سائر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وقف على أولاد زيد نسلا بعد 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لزيد أولاد موجودين حال الوقف ، وقبضوا ، فتجدّد له أولاد أو ولد واحد مثلا ، لا يبعد أن يكون قبض الولد المتجدّد أيضا معتبرا في صحّة الوقف أو لزومه ، لأنّهم أيضا من الطبقة الأولى ، وإن كان القول بتماميّة الوقف بقبض الموجودين حال الوقف أيضا له وجه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الموجودين حال الوقف من الطبقة الأولى إن قبض بعضهم دون بعض ، فهل يصحّ الوقف أو يلزم في التمام ، أو لا يصحّ في التمام ، أو يصحّ بالنسبة إلى حصّة القابضين دون الباقين؟ وجوه ، والأظهر هو الوجه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نسلا بعد نسل ، وكان الموجودون كلّهم صغارا ، فلا يحتاج إلى الإقباض ، لأنّ يد الأب والجدّ الأبي يدهم ، وقبضهما قبضهم ، وهذا الحكم جار في كلّ من هو وليّ شرعا بالنسبة إلى المولى عليه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ينبغي أن يتكلّم فيه ، هو أنّه هل يحتاج إلى القصد عن قبلهم أم لا يحتاج؟ بل حكى عن كاشف الغطاء قدس سره أنّ قبض الوليّ هو قبض المولى عليه وان نوى الخلاف </w:t>
      </w:r>
      <w:r>
        <w:rPr>
          <w:rStyle w:val="FootnoteAnchor"/>
          <w:rtl w:val="true"/>
        </w:rPr>
        <w:footnoteReference w:id="246"/>
      </w:r>
      <w:r>
        <w:rPr>
          <w:rFonts w:ascii="Amiri" w:hAnsi="Amiri" w:eastAsia="Amiri" w:cs="Amiri"/>
          <w:color w:val="111111"/>
          <w:sz w:val="28"/>
          <w:sz w:val="28"/>
          <w:szCs w:val="28"/>
          <w:rtl w:val="true"/>
          <w:lang w:bidi="ar-SA"/>
        </w:rPr>
        <w:t>، مثلا لو اشترى شيئا للمولى عليه وقبضه وقصد أن لا يكون للمولى عليه ، بل لنفسه فتلف ، فليس هذا التلف من مصاديق تلف قبل القبض ، وليس ضمانه على البائع لحصول القبض بفعله له قهرا ، وإن قصد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لأنّ وقوع فعل شخص عن شخص آخر بحيث يصحّ استناده إلى ذلك الآخر ، لا بدّ وأن يكون بقصد أنّه عن قبله ، وإلاّ لا مصحّح للاستناد إليه ، بحيث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هذا الوليّ أو هذا الوكيل قبضه ، خصوصا مع قصد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خبر عبيد بن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تصدّق على من لم يدرك من ولده فهو جائز ، لأنّ الوالد هو الذي يلي أمره </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فلا إطلاق فيه يشمل صورة عدم القصد ، لأنّ الظاهر منه أنّه لا يحتاج إلى قبض نفس المولى عليه ، إذ الوالد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ولايته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مع القصد عن قبله أو بدون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مقام بيان هذا ، فلا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ما قلنا من كفاية قبض الولي فيما إذا كان في يده ، وأمّا إذا كان في يد غيره من غاصب ، أو آخذ بالعقد الفاسد أو غيرهما ، فيحتاج إلى قبض الولي وأخذه من يد غيره بعنوان الولاية على الموقوف عليهم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كونه في يد غير الوليّ خروجه عن تحت سيطرته ، فلا يضرّ كونه في </w:t>
      </w:r>
    </w:p>
    <w:p>
      <w:pPr>
        <w:pStyle w:val="BookText"/>
        <w:rPr/>
      </w:pPr>
      <w:r>
        <w:rPr>
          <w:rFonts w:ascii="Amiri" w:hAnsi="Amiri" w:eastAsia="Amiri" w:cs="Amiri"/>
          <w:color w:val="111111"/>
          <w:sz w:val="28"/>
          <w:sz w:val="28"/>
          <w:szCs w:val="28"/>
          <w:rtl w:val="true"/>
          <w:lang w:bidi="ar-SA"/>
        </w:rPr>
        <w:t>يد وكيله أو من استأجر أو استودع عنه ، بحيث لا ينافي كونه عند غيره مع سيطرته عليه وكونه في يد نفسه ، كما أنّه لو كان الوقف بيد الموقوف عليهم فلا يحتاج بعد الوقف إلى قبض جديد ، بأن يستردّه الواقف ويعطيهم ويقبضهم ثانيا ، لأنّ الشرط حاصل ، فتحصيله ثانيا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باعتبار إذن الواقف في القبض ، فيحتاج إلى الاذن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ما قلنا من كفاية كونه في يدهم وأنّه لا يحتاج إلى قبض جديد بين أن يكون يدهم يد عادية ، أو يد أمانة شرعيّة ، أو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قبض المسجد والمقبرة لكافّة المسلمين أو لطائفة خاصّة صلاة شخص واحد في الأوّل ، ودفن ميّت واحد في الثاني ، بقصد أنّه وقف المسجد في الأوّل ، وأنّه مقبرة وقف على كافّة المسلمين ، أو خصوص طائفة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بناء على اشتراط القبض في صحّة الوقف أو لزومه ، وقد تقدّم اعتباره ، وبناء على أنّ القبض لا بدّ وأن يكون بإذن الواقف ، فلا بدّ في تحقّق قبض المسجد بصلاة واحدة ، وقبض المقبرة بدفن رجل واحد أن تكون تلك الصلاة وذلك الدفن بإذن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يحتاج صحّة الوقف أو لزومه على القبض في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الجهات العامّة ، كالمساجد والقناطر والرباطات والآبار في الطرق العامّة وأمثالها ، وهكذا الوقف على العناوين العامّة ، كالعلماء والسادات والفقراء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يستدلّ له بقوله علیه السلام في صحيح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 أن يرجع فيها ، لأنهم لا يحوزونها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فعلّل علیه السلام جواز الرجوع بعدم حيازتهم لها ، فيستكشف من هذا التعليل أنّ حقيقة الوقف وطبيعته لا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Amiri" w:hAnsi="Amiri" w:eastAsia="Amiri" w:cs="Amiri"/>
          <w:color w:val="111111"/>
          <w:sz w:val="28"/>
          <w:sz w:val="28"/>
          <w:szCs w:val="28"/>
          <w:rtl w:val="true"/>
          <w:lang w:bidi="ar-SA"/>
        </w:rPr>
        <w:t>بحيازة الموقوف عليهم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ليس هناك في الوقف على الجهات العامّة من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هذا الكلام في اشتراط الوقف بالقبول ، وقد أجبنا عنه بأنّه إمّا أن يقبل الحاكم أو أحد مصاديق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ها هنا أيضا نظير ما تقدّم ، مضافا إلى أنّ مقتضى الأصل أيضا هو اعتبار القبض فيه ، إذ ليس عموم يتمسّك به لعدم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فلما ذكرنا من أنّ هذه الجملة ناظرة إلى أحكام الوقف بعد الفراغ عن تحقّق ماهيّته ، وفيما نحن فيه من المحتمل أن يكون القبض دخيلا في تحقّق ماهيّته بناء على أنّه شرط صحّته لا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عدم كونه عقدا ، بل يكون إيقاعا ، فيكون خارجا عن موضوع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أنّه عقد ، فالتمسّك لاحتياج كلّ وقف إلى القبض لصحّته أو للزومه بالروايات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لزوم القبض حتّى في الوقف على الجهات ، يكفي قبض المتولّي ، أو الحاكم ، أو أحد المسلمين ممّن كان مصداقا لتلك الجهة إن كان قبضه بعنوان أنّه مصداق لتلك الجهة ، فلو عبّر أحد المسلمين من القنطرة التي وقفها لأجل عبور المسلمين بعنوان أنّه من مصاديق هذه الجهة ، فهذا يعتبر قبضا منه لتلك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 من شرائط الوقف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هذا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الزوّار مدّة عشر سنين ، فلا يصحّ ولا يقع وقفا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الإجماع على اعتبار هذا الشرط ، وتمسّكوا أيضا بوجوه أخر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كيفيّة وقف الأئمّة علیهم السلام ومن تعبيرهم علیهم السلام في تلك الروايات عن أوقافهم بالصدقة التي لا تباع ولا توهب ولا تورث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نفي هذه الأمور الثلاثة معا ملازم للدوام ، بل نفي خصوص الإرث يكفي في إثبات شرطيّة الدوام لتحقّق حقيقة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يرثها وارث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وقف أمير المؤمنين علیه السلام داره التي كانت في بني زريق هذه العبارة مرويّة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لا تباع ولا توهب حتّى يرثها اللّه الذي يرث السماوات والأرض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بهذه الروايات هو أنّ الصدقة أنواع ، والوقف نوع من تلك الأنواع ، فهم علیهم السلام لتعيين هذا النوع من بين سائر الأنواع وصفوها بهذه الأوصاف ، وقيّدوها بهذه القيود ، وليست هذه الأوصاف من الشروط الضمنيّة الخارجة عن ماهيّة الوقف ، لأنّ ظاهر هذه الروايات حسب القواعد العربيّة أنّ الصدقة هو مفعول مطلق نوعيّ ويكون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تباع ولا توهب ولا تورث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معيّنة لذلك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حاصل المعنى أنّه علیه السلام يتصدّق بهذه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كذائيّة التي متّصفة بكذا وكذا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الصدقة التي من آثارها وأحكامها عدم جواز بيعها ولا هبتها ولا إرثها حتّى قيام القيامة ، فعيّن الوقف وعرّفه بهذه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بأنّ الصدقة مصدر ، فلا يتّصف بصفات العين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تتّصف بها باعتبار ما يتصدّق به ، فتدلّ هذه الروايات على أنّ الدوام والتأبيد داخلان في حقيقة الوقف وماهيّته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من العقود المملّكة ، ومفادها تمليك الموقوف للموقوف عليه ، والتمليك لا يمكن بدون التأبيد ، فإنّ الملكيّة الموقّتة غير معهود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ممنوع بكلتا مقدّمتيه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حقيقة الوقف تمليكا ، فمنقوض بالوقف على المساجد ، ووقف نفس المساجد ، حيث أنّ المشهور قالوا بأنّه فكّ ملك ، لا أنّه تمليك للمسلمين ، بل منقوض بجميع الأوقاف التي تقفها الملاّك على الجهات العامّة ، بل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النبوي المشهور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تحبيس الأصل وتسبيل الثمرة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هذه العبارة ما يفيد أنّه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الملك الموقّت فلا مانع منه إذا دلّ الدليل عليه ، لأنّه أمر اعتباري قابل للتوقيت وللتأبيد ، فتابع للدليل واعتبار الشارع ، أو لاعتبار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فيه في بدل الحيلولة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ردّه كون بدل الحيلولة ملكا موقّتا إلى زمان حصول المغصوب ، أو إمكان ، أو إلى زمان نفس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وقف على زيد عشر سنين ثمَّ على الفقراء ، فملكيّة زيد عشرة سنين تكون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بطلان كلتا المقدّمتين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حقيقة الوقف هو التمليك ، ولا يمتنع أيضا الملكيّة الموقّتة ، بل هو معهود من الشارع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هذا الوجه لاعتبار التأبيد عن تقرير بحث شيخنا الأعظم قدس سره وهو من مثله لا يخلو عن غرابة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عبارة عن توقيف العين الموقوفة ، وحبسه عن التقلّبات والنقل والانتقال في عالم الاعتبار التشريعي ، ومثل هذا المعنى يلائم مع التأبيد بل ينافي التوقيت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الحبس في عالم الاعتبار عن التقلبّات ، مثل الحبس الخارجي عن الانتقال من مكان إلى مكان ، يمكن أن يكون مؤبّدا ، ويمكن أن يكون موقّتا ، فالعمدة في دليله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أنّ الإجماع أيضا يمكن أن يكون اتّكاء المجمعين على بعض هذه الوجوه المذكورة أو على جميعها ، فليس من الإجماع المصطلح الذي قلنا في الأصول بحجّيته ، ولكن مع ذلك كلّه الاتّفاق التامّ بحيث لم يوجد مخالف واحد في جميع الأعصار ممّا يوجب الاطمئنان باعتبار هذا الشرط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وقّت الوقف بسنة أو أكثر أو أقلّ مثلا ، فلا يقع الوقف بناء على اعتبار الدوام ، ولكن هل يكون هذا الإنشاء باطلا وبلا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حبسا يترتّب عليه آثار الحبس وأحكامه؟</w:t>
      </w:r>
    </w:p>
    <w:p>
      <w:pPr>
        <w:pStyle w:val="BookText"/>
        <w:rPr/>
      </w:pPr>
      <w:r>
        <w:rPr>
          <w:rFonts w:ascii="Amiri" w:hAnsi="Amiri" w:eastAsia="Amiri" w:cs="Amiri"/>
          <w:color w:val="111111"/>
          <w:sz w:val="28"/>
          <w:sz w:val="28"/>
          <w:szCs w:val="28"/>
          <w:rtl w:val="true"/>
          <w:lang w:bidi="ar-SA"/>
        </w:rPr>
        <w:t>وتحقيق الحقّ في هذا المقام هو أنّ الوقف والحبس إن قلنا بأنّهما مختلفتان بحسب الماهيّة والحقيقة ، فلو قصد الوقف بذلك الإنشاء فلا يقع شي‌ء منهما ، ويكون ذلك الإنشاء لغوا وبلا أثر ، أما عدم وقوع الوقف ، لانتفاء شرط الصحّة ، وأمّا عدم وقوع الحبس ، لعدم قصده ، والعقود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قصد الحبس فعدم وقوعه وقفا واضح ، لعدم قصده ، مضافا إلى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وقوعه حبسا فمبنيّ على أنّ إنشاء الحبس هل يلزم أن يكون بصيغة خاصّة ، أو يصحّ وإن كان بصيغة وقفت مثلا؟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يعلم أنّه قصد أيّ واحد منهما ، بعد الفراغ عن أنّه ليس في مقام أداء هذا الكلام بلا قصد ، وأيضا لم يقصد المعنى الجنسي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المعلوم أنّه لو كان أحد هذين الأمرين فلا يقع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التوقيت بمدّة معيّنة يكون قرينة على إرادة خصوص الحبس فتدخل المسألة حينئذ في ما ذكرنا من أنّ الحبس هل يصحّ بلفظ الوقف ، أم لا؟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تكون قرينة على إرادة الحبس فيما إذا يعلم باشتراط التأبيد في الوقف ، وأمّا تعين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قصد الحبس ولم يقصد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الصحّة ، فممّا لا ينبغي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بأنّهما حقيقة واحدة ، وكلاهما عبارة عن حبس الأصل وتسبيل الثمرة ، غاية الأمر أنّ الواقف مشروط صحّته بأن يكون حبس الأصل دائميّا حتّى يرث اللّه السماوات والأرض ، فيكون حبسا بلا كلام ، لأنّ المفروض أنّه لا امتياز بينهما إلاّ بالتوقيت وعدمه ، فإنّ الوقف غير موقّت والحبس موقّت ، فإذا وقّته يكون حبسا ، ويكون حال هذه المسألة حال عقد الدوام والانقطاع وعدم 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هناك بناء على أنّ الزوجيّة في الدائمة والمنقطعة حقيقة واحدة ، والفارق بينهما ليس إلاّ بذكر الأجل في المنقطعة دون الدائمة ، فإذا لم يذكر الأجل وإن كان نسيانا تقع دائمة وإن قصد الانقطاع ، لأنّهما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ها هنا إذا لم يذكر التأبيد بل وقّته بوقت معيّن قليلا كان أو كثيرا ، فلا محالة يكون حبسا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يستدلّ لكونه حبسا أيضا بصحيحة عليّ بن مهزيار ، قلت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بعض مواليك عن آبائك علیهم السلام أنّ كلّ وقف إلى وقت معلوم فهو واجب على الورثة ، وكل وقف إلى غير وقت جهل مجهول فهو باطل مردود على الورثة ، وأنت أعلم بقول آبائك علیهم السلام ؟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هو عندي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أسأله عن الوقف الذي يصحّ كيف هو؟ فقد روي أنّ الوقف إذا كان غير موقّت فهو باطل مردود على الورثة ، وإذا كان موقّتا فهو صحيح ممضى ،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الموقّت هو الذي يذكر فيه أنّه وقف على فلان وعقبه ، فإذا انقرضوا فهو للفقراء والمساكين إلى أن يرث اللّه الأرض </w:t>
      </w:r>
    </w:p>
    <w:p>
      <w:pPr>
        <w:pStyle w:val="BookText"/>
        <w:rPr/>
      </w:pPr>
      <w:r>
        <w:rPr>
          <w:rFonts w:ascii="IRNazanin" w:hAnsi="IRNazanin" w:eastAsia="IRNazanin"/>
          <w:color w:val="111111"/>
          <w:sz w:val="28"/>
          <w:sz w:val="28"/>
          <w:szCs w:val="28"/>
          <w:rtl w:val="true"/>
          <w:lang w:bidi="fa-IR"/>
        </w:rPr>
        <w:t xml:space="preserve">ومن عليها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موقّت إذا ذكر أنّه لفلان وعقبه ما بقوا ، ولم يذكر في آخره للفقراء والمساكين إلى أن يرث اللّه الأرض ومن عليها ، والذي هو غير موقّت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ولم يذكر أحدا ، فما الذي يصحّ من ذلك؟ وما الذي يبطل؟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بحسب ما يوقفها إن شاء اللّه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الأولى أنّ الوقف الموقّت بوقت معلوم صحيح ، والموقّت بوقت مجهول باطل ، فالظاهر أنّه يقع في الشقّ الأوّل وقفا صحيحا ، لا حبسا صحيحا ، ولذا استدلّ بعض بها على وقوع الموقّت المعلوم وقفا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الفرق بين الوقف والحبس بصرف التأبيد والتوقيت ، فالصحيحة تدلّ على صحّته حبسا ، وإن عبّر في السؤال بلفظ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الصحيحة الثانية هو أنّ الواقف بأيّ كيفيّة من الكيفيّات المذكورة وقف يكون صحيحا ، لأنّ الوقوف بحسب ما يوقفها أهلها ، فعلى أيّ حال كلتا الصحيحتين تدلاّن على أنّ الوقف الموقّت يقع صحيحا ، غاية الأمر إمّا وقفا وإمّا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تدلّ الأولى على أنّه إذا كان جهلا مجهولا فهو باطل ، ولذلك ترى أنّ الذي يقول بأنّ الموقّت حبس صحيح والذي يقول بأنّه وقف صحيح ، كلاهما استدلاّ بهاتين 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 بمعنى أنّه يلزم أن ينشأ الوقف منجّزا غير معلّق على شي‌ء ، وهذا الشرط لا اختصاص له بالوقف ، بل اعتبروه في جميع العقود ، وأنّ التعليق فيها مبطل لها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دليلهم على اعتبار التنجيز في العقود هو الإجماع المدعى في المقام ، وإلاّ ليس دليل عقليّ على تنافي التعليق مع العقد والعهد إذا كان التعليق في المنشأ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الإنشاء فلا يمكن التعليق فيه ، سواء أكان الإنشاء والإيجاد متعلقه أمرا تكوينيّا وموجودا خارجيّا أو أمرا اعتباريّا ، وذلك من جهة أنّ الإنشاء والإيجاد أمره دائر بين الوجود والعدم منجّزا ، لأنّه إن أوجد ذلك الشي‌ء الخارجي ، والموجود التكويني في عالم الخارج ، أو الموجود الذهني في الذهن ، أو الأمر الاعتباري كالملكيّة في عالم الاعتبار فقد تحقّق الإنشاء جزما بدون أيّ تعليق في البين ، وإن لم يوجد ذلك الشي‌ء فلم يتحقّق الإيجاد قطعا وجزما ، وعلى كلّ حال ليس تعليق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تعليق المنشأ فلا مانع منه عقلا ، بل واقع في الشرعيّات كثيرا ، ففي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الجاعل ملكيّة الجعل لكلّ من ردّ عليه ضالّته ، فالملكيّة المعلّقة على ردّ الضالّة هي التي تعلّق بها الإنشاء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وهكذا الحال في الوصيّة ، فهو ينشأ الملكيّة المعلّقة على موته وفي التدبير ينشأ حرّية عبده معلّقا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النذر ينشأ ملكيّة المنذور للمنذور له معلّقا على برء مرضه مثلا ، أو قدوم ابنه عن سفره ، وأمثال ذلك ممّا يتداول بين الناس النذر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قولهم أنّ التعليق في الإنشاء محال ، وأمّا في المنشأ فلا مانع منه عقلا ، إلاّ أنّ الإجماع قام على بطلان العقود بالتعليق في منشآتها إلاّ ما خرج بالدليل ، فيكون ذلك الدليل مخصّصا للإجماع ، كما ورد في الوصيّة والجعالة والتدبير كما عرفت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صاحب الجواهر قدس سره على بطلان التعليق في العقود ، لأنّه مناف مع ظاهر أدلّة تسبيب الأسباب لترتّب آثارها عليها ، </w:t>
      </w:r>
      <w:r>
        <w:rPr>
          <w:rStyle w:val="FootnoteAnchor"/>
          <w:rtl w:val="true"/>
        </w:rPr>
        <w:footnoteReference w:id="257"/>
      </w:r>
      <w:r>
        <w:rPr>
          <w:rFonts w:ascii="Amiri" w:hAnsi="Amiri" w:eastAsia="Amiri" w:cs="Amiri"/>
          <w:color w:val="111111"/>
          <w:sz w:val="28"/>
          <w:sz w:val="28"/>
          <w:szCs w:val="28"/>
          <w:rtl w:val="true"/>
          <w:lang w:bidi="ar-SA"/>
        </w:rPr>
        <w:t xml:space="preserve">وذلك لأنّ ظاهرها حسب </w:t>
      </w:r>
    </w:p>
    <w:p>
      <w:pPr>
        <w:pStyle w:val="BookText"/>
        <w:rPr/>
      </w:pPr>
      <w:r>
        <w:rPr>
          <w:rFonts w:ascii="Amiri" w:hAnsi="Amiri" w:eastAsia="Amiri" w:cs="Amiri"/>
          <w:color w:val="111111"/>
          <w:sz w:val="28"/>
          <w:sz w:val="28"/>
          <w:szCs w:val="28"/>
          <w:rtl w:val="true"/>
          <w:lang w:bidi="ar-SA"/>
        </w:rPr>
        <w:t xml:space="preserve">المتفاهم العرفي آثارها عليها حال وقوعها ، فإنّ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ترتيب آثار العقد على كلّ واحد من العقود حال وقوع ذلك العقد ، لا أنّه يرتّب آثار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النكاح أو الصلح أو غيرها على تلك العقود بعد مضيّ زمان من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تلك الأدلّة هو العمل على طبق العقد أو الشرط الواقع ، ووجوب الوفاء بمضمونهما ، فإن كانا مطلقين فمطلقا ، وإن كانا معلّقين على أمر فعند حصول ذلك الأمر ، سواء أكان معلوم الحصول أو مشكوكه ، بل إن كان العقد أو الشرط معلّقا وعمل بهما قبل حصول المعلّق عليه لم يف بعقده أو بشرطه ، وعمل بخلاف ظاهر دليل ذلك العقد أو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الكلام لا يأتي فيما إذا كان المعلّق عليه حاصلا حال العقد أو الشرط ، فإنّه لا يتأخّر ترتيب الأثر عنهما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البين إلاّ الإجماع وقد عرفت في هذا الكتاب مرارا حال هذه الإجماعات وأنّ أغلبها مستند إلى أصل أو رواية ضعيفة بحسب المسند ، أو الدلالة ، أو كلاهما ، أو اعتمد المجمعون على وجوه استحسانيّة التي أشبه بالقياس من الدليل الشرعي ، مع أنّ في بعض صور التعليق اختلاف كثير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التعليق على أمر محقّق الوقوع ، أو كان معلوم الحصول حال العقد ، فالأوّل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هذه الدار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طلعت الشمس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هذه الدار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عادلا ثمَّ على الفقراء ، وعدالة زيد معلوم عنده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عن نفسه ، بمعنى أن لا يكون هو الموقوف عليه ولا </w:t>
      </w:r>
    </w:p>
    <w:p>
      <w:pPr>
        <w:pStyle w:val="BookText"/>
        <w:rPr/>
      </w:pPr>
      <w:r>
        <w:rPr>
          <w:rFonts w:ascii="Amiri" w:hAnsi="Amiri" w:eastAsia="Amiri" w:cs="Amiri"/>
          <w:color w:val="111111"/>
          <w:sz w:val="28"/>
          <w:sz w:val="28"/>
          <w:szCs w:val="28"/>
          <w:rtl w:val="true"/>
          <w:lang w:bidi="ar-SA"/>
        </w:rPr>
        <w:t>داخلا فيه أو شريكا معه ، فبناء على هذا لا يصحّ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الإجماع على اعتبار هذا الشرط تارة ، وعدم إمكان الوقف على النفس أخرى ، لأنّ حقيقة الوقف هو إمّا تمليك المنافع للموقوف عليه وحده ، وإمّا مع العين ، ولا يمكن أن يملك الإنسان نفسه ، لأنّه تحصيل الحاصل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هذا الدليل بأنّ حقيقة الوقف ليس هو التمليك ، لا تمليك العين ولا تمليك المنفعة ، بل حقيقته تحبيس الأصل عن التقلّبات الاعتباريّة الواردة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كبيعه وهبته وعتقه والصلح عليه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وتسبيل ثمرته ، وأيضا ليس التسبيل أيضا تمليك الثمرة والمنفعة ، بل إباحتها طلبا لمرضاة اللّه وفي سبيله ، فلا مانع عقلا من جعل نفسه موقوفا عليه أو شريكا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دلالة الروايات على عدم جواز الوقف على نفسه ، ولزوم إخراج الواقف الوقف عن نفسه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علي بن سليمان بن 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ليس لي ولد ولي ضياع ورثتها عن أبي وبعضها استفدتها ولا آمن الحدثان ، فإن لم يكن لي ولد وحدث بي حدث فما ترى جعلت فداك لي أن أقف بعضها على فقراء إخواني والمستضعفين ، أو أبيعها وأتصدّق بثمنها عليهم في حياتي؟ فإني أتخوّف أن لا ينفذ الوقف بعد موتي ، فإن وقفتها في حياتي فلي أن آكل منها أيّام حياتي أم لا؟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فهمت كتابك في أمر ضياعك ، فليس لك أن تأكل منها من الصدقة ، فإن أنت أكلت منها لم تنفذ إن كان لك ورثة ، وبع وتصدّق ببعض ثمنها في حياتك ، وإن تصدّقت أمسك لنفسك ما يقوتك مثل ما صنع أمير المؤمنين علیه السلام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طلحة بن زيد عن أبي عبد اللّه علیه السلام ، عن أبيه علیه السلام أنّ رجلا تصدّق بدار له وهو ساكن فيها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الحين أخرج منها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الروايتين أجنبيّتان عمّا هو 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الأولى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فيه عن جواز أكله عنها بعد وقفه على الفقراء المفروض في الرواية ، فأجاب علیه السلام بالعدم ، لأنّه صدقة ووقف على الفقراء ، وهو ليس من الموقوف عليهم ، فلا يجوز له أن يأكل منها ، وهذا المعنى غير مربوط بجواز الوقف على نفسه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فيه أوضح ، لأنّ السؤال عن أنّ الرجل تصدّق بداره التي يسكن فيها ، وظاهر هذه العبارة أنّه تصدّق بها على غيره ، فهو ليس من الموقوف عليه ، فيجب خروجه عنها فورا ، ولذلك أمر علیه السلام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ممّا ذكرنا أنّه لا دليل في المسألة يدلّ على عدم جواز الوقف على النفس استقلالا أو تشريكا إلاّ الإجماع ، وما ذكرنا من عدم صحّة الوقف على نفسه مستقلا أو تشريكا على فرض تسليمه فيما إذا كان الواقف بنفسه موقوفا عليه مستقلا أو تشريكا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وقف على عنوان ينطبق عليه أيضا ، كعنوان الفقراء والفقهاء ، فالظاهر صحّة مثل هذا الوقف ودخوله فيهم ، وجواز أخذه من ثمرة المال الموقوف وانتفاعه بها ، وليس من قبيل الوقف على النفس ، لأنّ الموقوف عليه هي الطبيعة الكلّية ، لا الأشخاص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لا يملكون الثمرة إلاّ بعد الأخذ وتطبيق الطبيعة ، وذلك من جهة أنّ أخذ </w:t>
      </w:r>
    </w:p>
    <w:p>
      <w:pPr>
        <w:pStyle w:val="BookText"/>
        <w:rPr/>
      </w:pPr>
      <w:r>
        <w:rPr>
          <w:rFonts w:ascii="Amiri" w:hAnsi="Amiri" w:eastAsia="Amiri" w:cs="Amiri"/>
          <w:color w:val="111111"/>
          <w:sz w:val="28"/>
          <w:sz w:val="28"/>
          <w:szCs w:val="28"/>
          <w:rtl w:val="true"/>
          <w:lang w:bidi="ar-SA"/>
        </w:rPr>
        <w:t>العنوان متعلّقا وموضوعا للوقف من قبيل القضايا الحقيقيّة ، لا من قبيل 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أخذ العنوان موضوعا للوقف من قبيل القضايا الخارجيّة ، بأن تكون مشيرة إلى أشخاص معيّنين وموجودين في الخارج ، والواقف أحدهم ، كما إذا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داري على الجالسين تحت هذه الخيمة ، أو الساكنين في هذه الدار الساعة وهو أحدهم ، فلا يجوز ، لأنّه 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تمَّ الوقف واجدا لهذه الشروط الأربعة وسائر الشروط التي نذكرها إن شاء اللّه تعالى يكون لازما ، ليس للواقف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مضافا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في القبض ، وأنّه بعده يلزم ولا يجوز الرجوع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ذيل خبر عبيد بن زرارة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في الصدقة إذا تصدّق بها ابتغاء وجه اللّه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الصدقة في هذه الرواية هو الوقف ، ولا أقلّ من شمولها له بالإطلاق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ممّا تقدّم في مسألة اشتراط القبض في صحّة الوقف أو لزومه ، كصحيح صفوان </w:t>
      </w:r>
      <w:r>
        <w:rPr>
          <w:rStyle w:val="FootnoteAnchor"/>
          <w:rtl w:val="true"/>
        </w:rPr>
        <w:footnoteReference w:id="263"/>
      </w:r>
      <w:r>
        <w:rPr>
          <w:rFonts w:ascii="Amiri" w:hAnsi="Amiri" w:eastAsia="Amiri" w:cs="Amiri"/>
          <w:color w:val="111111"/>
          <w:sz w:val="28"/>
          <w:sz w:val="28"/>
          <w:szCs w:val="28"/>
          <w:rtl w:val="true"/>
          <w:lang w:bidi="ar-SA"/>
        </w:rPr>
        <w:t xml:space="preserve">ورواية العمري </w:t>
      </w:r>
      <w:r>
        <w:rPr>
          <w:rStyle w:val="FootnoteAnchor"/>
          <w:rtl w:val="true"/>
        </w:rPr>
        <w:footnoteReference w:id="264"/>
      </w:r>
      <w:r>
        <w:rPr>
          <w:rFonts w:ascii="Amiri" w:hAnsi="Amiri" w:eastAsia="Amiri" w:cs="Amiri"/>
          <w:color w:val="111111"/>
          <w:sz w:val="28"/>
          <w:sz w:val="28"/>
          <w:szCs w:val="28"/>
          <w:rtl w:val="true"/>
          <w:lang w:bidi="ar-SA"/>
        </w:rPr>
        <w:t xml:space="preserve">وعلى كلّ تقدير لا شكّ في أنّ الوقف من العقود اللازمة عندنا ، خلافا لأبي حنيفة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بعد ما عرفت أنّ من شروط صحّة الوقف الدوام والتأبيد ، فلو وقف على من ينقرض غالبا ، كما إذا وقف على أولاده بلا فصل ، أي البطن الأوّل مثلا ، أو ولو قال بطنا بعد بطن إلى عشرة أبطن ، أو مطلقا ولكن لم يذكر عنوانا آخر كالفقراء أو الفقهاء بعدهم ، فهل يبطل فلا يقع وقفا ولا حبسا ، أو يقع حبسا فيرجع بعد انقراضهم إلى الواقف أو ورثته؟</w:t>
      </w:r>
    </w:p>
    <w:p>
      <w:pPr>
        <w:pStyle w:val="BookText"/>
        <w:rPr/>
      </w:pP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وقفا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حبسا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 وعدم وقوعه لا وقفا ولا حبسا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البطلان وعدم وقوعه لا وقفا ولا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في الشرائع إلى القيل </w:t>
      </w:r>
      <w:r>
        <w:rPr>
          <w:rStyle w:val="FootnoteAnchor"/>
          <w:rtl w:val="true"/>
        </w:rPr>
        <w:footnoteReference w:id="266"/>
      </w:r>
      <w:r>
        <w:rPr>
          <w:rFonts w:ascii="Amiri" w:hAnsi="Amiri" w:eastAsia="Amiri" w:cs="Amiri"/>
          <w:color w:val="111111"/>
          <w:sz w:val="28"/>
          <w:sz w:val="28"/>
          <w:szCs w:val="28"/>
          <w:rtl w:val="true"/>
          <w:lang w:bidi="ar-SA"/>
        </w:rPr>
        <w:t xml:space="preserve">، وقال في الجواهر في شرح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إرساله أيضا ولكن لم أتحقّق قائله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إلى الشيخين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والمختلف </w:t>
      </w:r>
      <w:r>
        <w:rPr>
          <w:rStyle w:val="FootnoteAnchor"/>
          <w:rtl w:val="true"/>
        </w:rPr>
        <w:footnoteReference w:id="269"/>
      </w:r>
      <w:r>
        <w:rPr>
          <w:rFonts w:ascii="Amiri" w:hAnsi="Amiri" w:eastAsia="Amiri" w:cs="Amiri"/>
          <w:color w:val="111111"/>
          <w:sz w:val="28"/>
          <w:sz w:val="28"/>
          <w:szCs w:val="28"/>
          <w:rtl w:val="true"/>
          <w:lang w:bidi="ar-SA"/>
        </w:rPr>
        <w:t xml:space="preserve">والتذكرة </w:t>
      </w:r>
      <w:r>
        <w:rPr>
          <w:rStyle w:val="FootnoteAnchor"/>
          <w:rtl w:val="true"/>
        </w:rPr>
        <w:footnoteReference w:id="270"/>
      </w:r>
      <w:r>
        <w:rPr>
          <w:rFonts w:ascii="Amiri" w:hAnsi="Amiri" w:eastAsia="Amiri" w:cs="Amiri"/>
          <w:color w:val="111111"/>
          <w:sz w:val="28"/>
          <w:sz w:val="28"/>
          <w:szCs w:val="28"/>
          <w:rtl w:val="true"/>
          <w:lang w:bidi="ar-SA"/>
        </w:rPr>
        <w:t xml:space="preserve">، 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الأصحاب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فنسب إلى جماعة منهم جامع المقاصد </w:t>
      </w:r>
      <w:r>
        <w:rPr>
          <w:rStyle w:val="FootnoteAnchor"/>
          <w:rtl w:val="true"/>
        </w:rPr>
        <w:footnoteReference w:id="272"/>
      </w:r>
      <w:r>
        <w:rPr>
          <w:rFonts w:ascii="Amiri" w:hAnsi="Amiri" w:eastAsia="Amiri" w:cs="Amiri"/>
          <w:color w:val="111111"/>
          <w:sz w:val="28"/>
          <w:sz w:val="28"/>
          <w:szCs w:val="28"/>
          <w:rtl w:val="true"/>
          <w:lang w:bidi="ar-SA"/>
        </w:rPr>
        <w:t xml:space="preserve">وثاني الشهيدين في كتبه </w:t>
      </w:r>
    </w:p>
    <w:p>
      <w:pPr>
        <w:pStyle w:val="BookText"/>
        <w:rPr/>
      </w:pPr>
      <w:r>
        <w:rPr>
          <w:rFonts w:ascii="Amiri" w:hAnsi="Amiri" w:eastAsia="Amiri" w:cs="Amiri"/>
          <w:color w:val="111111"/>
          <w:sz w:val="28"/>
          <w:sz w:val="28"/>
          <w:szCs w:val="28"/>
          <w:rtl w:val="true"/>
          <w:lang w:bidi="ar-SA"/>
        </w:rPr>
        <w:t xml:space="preserve">الثلاثة المسالك </w:t>
      </w:r>
      <w:r>
        <w:rPr>
          <w:rStyle w:val="FootnoteAnchor"/>
          <w:rtl w:val="true"/>
        </w:rPr>
        <w:footnoteReference w:id="273"/>
      </w:r>
      <w:r>
        <w:rPr>
          <w:rFonts w:ascii="IRNazanin" w:hAnsi="IRNazanin" w:eastAsia="IRNazanin"/>
          <w:color w:val="111111"/>
          <w:sz w:val="28"/>
          <w:sz w:val="28"/>
          <w:szCs w:val="28"/>
          <w:rtl w:val="true"/>
          <w:lang w:bidi="fa-IR"/>
        </w:rPr>
        <w:t xml:space="preserve">والروض </w:t>
      </w:r>
      <w:r>
        <w:rPr>
          <w:rStyle w:val="FootnoteAnchor"/>
          <w:rtl w:val="true"/>
        </w:rPr>
        <w:footnoteReference w:id="274"/>
      </w:r>
      <w:r>
        <w:rPr>
          <w:rFonts w:ascii="Amiri" w:hAnsi="Amiri" w:eastAsia="Amiri" w:cs="Amiri"/>
          <w:color w:val="111111"/>
          <w:sz w:val="28"/>
          <w:sz w:val="28"/>
          <w:szCs w:val="28"/>
          <w:rtl w:val="true"/>
          <w:lang w:bidi="ar-SA"/>
        </w:rPr>
        <w:t xml:space="preserve">والروضة </w:t>
      </w:r>
      <w:r>
        <w:rPr>
          <w:rStyle w:val="FootnoteAnchor"/>
          <w:rtl w:val="true"/>
        </w:rPr>
        <w:footnoteReference w:id="275"/>
      </w:r>
      <w:r>
        <w:rPr>
          <w:rFonts w:ascii="IRNazanin" w:hAnsi="IRNazanin" w:eastAsia="IRNazanin"/>
          <w:color w:val="111111"/>
          <w:sz w:val="28"/>
          <w:sz w:val="28"/>
          <w:szCs w:val="28"/>
          <w:rtl w:val="true"/>
          <w:lang w:bidi="fa-IR"/>
        </w:rPr>
        <w:t xml:space="preserve">والإرشاد </w:t>
      </w:r>
      <w:r>
        <w:rPr>
          <w:rStyle w:val="FootnoteAnchor"/>
          <w:rtl w:val="true"/>
        </w:rPr>
        <w:footnoteReference w:id="276"/>
      </w:r>
      <w:r>
        <w:rPr>
          <w:rFonts w:ascii="IRNazanin" w:hAnsi="IRNazanin" w:eastAsia="IRNazanin"/>
          <w:color w:val="111111"/>
          <w:sz w:val="28"/>
          <w:sz w:val="28"/>
          <w:szCs w:val="28"/>
          <w:rtl w:val="true"/>
          <w:lang w:bidi="fa-IR"/>
        </w:rPr>
        <w:t xml:space="preserve">والمختلف </w:t>
      </w:r>
      <w:r>
        <w:rPr>
          <w:rStyle w:val="FootnoteAnchor"/>
          <w:rtl w:val="true"/>
        </w:rPr>
        <w:footnoteReference w:id="277"/>
      </w:r>
      <w:r>
        <w:rPr>
          <w:rFonts w:ascii="Amiri" w:hAnsi="Amiri" w:eastAsia="Amiri" w:cs="Amiri"/>
          <w:color w:val="111111"/>
          <w:sz w:val="28"/>
          <w:sz w:val="28"/>
          <w:szCs w:val="28"/>
          <w:rtl w:val="true"/>
          <w:lang w:bidi="ar-SA"/>
        </w:rPr>
        <w:t xml:space="preserve">والتنقيح </w:t>
      </w:r>
      <w:r>
        <w:rPr>
          <w:rStyle w:val="FootnoteAnchor"/>
          <w:rtl w:val="true"/>
        </w:rPr>
        <w:footnoteReference w:id="278"/>
      </w:r>
      <w:r>
        <w:rPr>
          <w:rFonts w:ascii="Amiri" w:hAnsi="Amiri" w:eastAsia="Amiri" w:cs="Amiri"/>
          <w:color w:val="111111"/>
          <w:sz w:val="28"/>
          <w:sz w:val="28"/>
          <w:szCs w:val="28"/>
          <w:rtl w:val="true"/>
          <w:lang w:bidi="ar-SA"/>
        </w:rPr>
        <w:t>وإيضاح النافع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القول بالبطلان في غاية الشذوذ ، وأمّا القولان الآخران فكلّ واحد منهما له شهرة ، وعلى كلّ حال فمقتضى ما ذكرنا أنّ الفرق بين الوقف والحبس ليس إلاّ بالتأبيد والتوقيت ، فيقع حبسا لا محالة ، لأنّه بناء على هذا يكون حبسا للعين وتسبيلا للثمرة مدّة عدم انقراضهم ، وهذا هو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يبقى الكلام في أنّه يجوز إنشاء الحبس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وهذا ليس فيه كثير إشكال بناء على أنّ حقيقة الوقف والحبس واحدة ، وهو إيقاف العين عن التقلّبات في عالم الاعتبار التشريعي ، غاية الأمر في الوقف دائما ، وفي الحبس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 الحبس بعد انقضاء المدّة يرجع فيه المال المحبوس إلى المالك ، وفي الوقف خرج عن ملكه فلا يرجع إليه أو إلى ورثته ، بل الصحيح أنّ في الحبس لم يخرج المال عن ملك المالك ، بل هو تسبيل المنفعة موقّتا فهذا الاختلاف وغيره من الآثار والأحكام يدلّ على أنّهما ليسا حقيقة واحدة ، فإذا قصد الوقف وأنشأ بصيغة الوقف لا بدّ وأن يكون إمّا وقفا إن كان صحيحا ، وإمّا أن يكون باطلا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حقيقة واحدة ، والاختلاف في الأحكام والآثار من ناحية اختلافهما في المرتبة ، كالوجوب والاستحباب عند هذا القائل ، فالوقف هو الحبس </w:t>
      </w:r>
    </w:p>
    <w:p>
      <w:pPr>
        <w:pStyle w:val="BookText"/>
        <w:rPr/>
      </w:pPr>
      <w:r>
        <w:rPr>
          <w:rFonts w:ascii="Amiri" w:hAnsi="Amiri" w:eastAsia="Amiri" w:cs="Amiri"/>
          <w:color w:val="111111"/>
          <w:sz w:val="28"/>
          <w:sz w:val="28"/>
          <w:szCs w:val="28"/>
          <w:rtl w:val="true"/>
          <w:lang w:bidi="ar-SA"/>
        </w:rPr>
        <w:t>المطلق غير المحدود ، والحبس هو الحبس المحدود المعيّن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صحّة هذا الكلام ، فإذا قصد مرتبة من تلك الحقيقة لا تقع مرتبة أخرى ، لأنّ العقود تابعة للقصود ، والمفروض أنّه فيما نحن فيه قصد الوقف ، فوقوع مرتبة أخرى لا وجه له ، فبناء على هذا لا بدّ من القول بوقوعه وقفا إن لم نقل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أيضا أنّ من شرائط صحّة الوقف الدوام والتأبيد ، بل احتملنا أن يكون داخلا ومأخوذا في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الدوام ليس مأخوذا في حقيقة الوقف ، وليس دليل يدلّ على هذا ، وإنّما قلنا باعتباره فيه للإجماع ، وادّعاء الإجماع مع شهرة المخالف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أنّهم يقولون بصحّته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الدوام المعتبر في الوقف هو أن لا يحدّد الوقف ومدّة حبسه ، وأمّا انتفاء الحكم بانتفاء موضوعه فعقليّ وليس من قبيل تحديد الحكم ، فلو قال لزيد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هذه الدار بكذا ، فلم يحدّد تمليكه لزيد ولكن ملكيّة زيد ينعدم بموته عقلا ، إذ لا يمكن بقاء الحكم بدون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النسل الأوّل منهم ، لم يحدّد وقفه وحبسه ، وإنّما ينتفي الحبس بانقراضهم عقلا ، لا بتوقيت وتحديد من قبل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نسلا بعد نسل وبطنا بعد بطن ، واتّفق أنّهم لم ينقرضوا ، فالوقف صحيح ، مع أنّ بقاءهم من باب الاتّفاق لا ربط له بإنشاء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القول بأنّه حبس صحيح ، فلا شكّ في أنّه بعد انقراضهم يرجع إلى المالك أو إلى ورثته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رجحناه من أنّه وقف صحيح ، فهل يرجع إلى المالك أو إلى ورثته إذا لم يكن المالك باقيا ، أو يرجع إلى ورثة الموقوف عليه ، أو يصرف في وجوه </w:t>
      </w:r>
    </w:p>
    <w:p>
      <w:pPr>
        <w:pStyle w:val="BookText"/>
        <w:rPr/>
      </w:pPr>
      <w:r>
        <w:rPr>
          <w:rFonts w:ascii="IRNazanin" w:hAnsi="IRNazanin" w:eastAsia="IRNazanin"/>
          <w:color w:val="111111"/>
          <w:sz w:val="28"/>
          <w:sz w:val="28"/>
          <w:szCs w:val="28"/>
          <w:rtl w:val="true"/>
          <w:lang w:bidi="fa-IR"/>
        </w:rPr>
        <w:t xml:space="preserve">البرّ؟ وجوه بل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الرجوع إلى المالك أو ورثته هو أنّه لو قلنا بأنّ حقيقة الوقف صرف حبس ماله وإيقافه عن ورود التقلّبات الاعتبارية عليه ، وتسبيل ثمرته على عنوان خاصّ أو أشخاص مخصوصين من دون إخراجه عن ملكه ، فالأمر في غاية الوضوح ، لأنّه ملكه ، وبعد موته ملك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بأنّه تمليك للموقوف عليهم فيما عدا وقف المسجد ، بل وفيما عدا الوقف على الجهات ، كالقناطر والخانات والرباطات ، فمقتضى القاعدة عدم رجوعه إليه أو إلى وارثه ، لأنّ رجوعه إليه بعد خروجه عنه يحتاج إلى دليل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عن ملك الواقف ليس مطلقا ودائميّا بل مقيّد ببقاء الموقوف عليهم ، فإذا انقرضوا يرجع إلى حالته الأولى ، بل ينبغي أن يقال يبقى على حالته الأولى ، لا أنّه يرجع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 قلنا بخروجه عن ملك الواقف ، وصيرورته ملكا مطلقا للموقوف عليهم غير مقيّد ببقائهم ، فإذا انقرضوا يكون لورثة البطن أو الشخص الأخير ، بمفاد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تركه الميّت من حقّ أو مال فلوارثه </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التمسّك به من قبيل التمسّك بعموم العامّ في الشبهة المصداقية ، لأنّه بناء على عدم تقييد ملكيّته ببقائه يصدق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بصرفه في وجوه البرّ فليس له وجه ، إلاّ أن يقال بأنّ المال خرج عن ملك الواقف مطلقا ودخل في ملك الموقوف عليهم مقيّدا ببقائهم ، فلا يرث وارثهم ولا الواقف ، لأنّ دخوله في ملكه ثانيا يحتاج إلى دليل وليس ، ومع ذلك كلّه الوقف باق على وقفيّته ، فيكون مثل الوقف المجهول المصرف يصرف في وجوه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أنت خبير بعدم تماميّة هذه المقدّمات ، خصوصا المقدّمة الأخيرة والأولى ، بل الأقوى من الوجوه المذكورة هو الرجوع إلى الواقف ، وذلك لأنّ المال إمّا لم يخرج عن ملكه بالمرّة ، أو يكون خروجه ما دام بقاء الموقوف عليهم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بناء على المختار من أنّه يرجع إلى الواقف أو ورثته ، فهل المراد هو الوارث حين موت الواقف ، أو حين انقراض الموقوف عليهم؟</w:t>
      </w:r>
    </w:p>
    <w:p>
      <w:pPr>
        <w:pStyle w:val="BookText"/>
        <w:rPr/>
      </w:pPr>
      <w:r>
        <w:rPr>
          <w:rFonts w:ascii="Amiri" w:hAnsi="Amiri" w:eastAsia="Amiri" w:cs="Amiri"/>
          <w:color w:val="111111"/>
          <w:sz w:val="28"/>
          <w:sz w:val="28"/>
          <w:szCs w:val="28"/>
          <w:rtl w:val="true"/>
          <w:lang w:bidi="ar-SA"/>
        </w:rPr>
        <w:t xml:space="preserve">وتظهر الثمرة فيما إذا كان للواقف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مات بعد موت المالك الواقف ، ولكن قبل انقراض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باق إلى زمان انقراضهم ، فلو كان المراد الوارث حين موت الواقف فيرث ذلك الولد الذي مات قبل انقراض الموقوف عليهم ، ويكون شريكا مع أخيه الباقي إلى زمان الانقراض ، ويرث منه ورثته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الوارث حال الانقراض ، فيكون جميع المال لذلك الولد الباقي إلى زمان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الوارث هو الوارث حال موت الواقف ، لا الوارث حال الانقراض ، وذلك من جهة أنّ المناط في رجوع المال إليه كونه وارثا لمن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يثبت له حال موت الواقف المورث ، ولا ربط لانقراض الموقوف عليهم بكونه وارثا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موت الواقف ليس شي‌ء في البين كي يرثه هذا الوارث ، لأنّ الرجوع بعد الانقراض ، ولا بدّ في كونه وارثا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من حقّ أو مال فلوارثه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في حال موته لم يترك شيئا كي يرثه هذا الوارث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 الرجوع إلى المالك أو وارثه يكون إمّا بناء على عدم خروج المال الموقوف عن ملك الواقف أصلا ، وفي هذه الصورة واضح أنّه لا إشكال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بناء على أنّ تمليك الموقوف عليهم ليس تمليكا مطلقا ، بل يكون مقيّدا ببقائهم ، فمن زمان انقراضهم لم يخرج عن ملك المالك من أوّل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تقطيعا في ملكيّة المالك مثل الحبس ، حيث أنّه يصير ملكا موقّتا له ، فخروجه عن ملك الواقف بمقدار زمان الحبس ، وفي باقي الأزمنة باق على ملكه ، وفيما نحن فيه أيضا بناء على هذا المبنى كذلك ، أي خارج عن ملك الواقف بمقدار بقاء الموقوف عليهم ، وفي باقي الأزمنة باق على ملكه ، فلا يبقى إشكال في أنّه ينتقل حين موته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عرفت أنّ أحد شروط صحّة الوقف إخراج الواقف نفسه عن الموقوف عليهم كي لا يكون من قبيل الوقف على النفس ، لأنّه باطل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على أحد العناوين كالفقهاء أو السادات أو غيرهما من العناوين ، وشرط عليهم أداء ديونه أو إدرار مئونته أو عياله أو غير ذلك ممّا يرجع إلى نفسه ، فهل هذا من قبيل الوقف على النفس كي يكون باطلا ، أو ليس كذلك فيكون صحيحا؟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عليهم إدرار مئونته أو أداء ديونه من غير منافع الوقف ومن ماله الآخر ، فلا إشكال في أنّه ليس من قبيل الوقف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أن يكون من منافع الوقف ، فيكون وقفا على النفس ، من جهة أنّ المراد من الوقف على النفس هو أن يرجع تمام الثمرة والمنفعة أو بعضها إلى الواقف ، وما نحن فيه كذلك ، فيكون هذا الشرط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الشرط الفاسد ليس بمفسد ، وهو إحدى القواعد التي رتّبناها في الجزء الرابع من هذا الكتاب ، فيكون الوقف صحيحا ويصرف في نفس العنوان الموقوف عليهم ، ولو شرط صرف بعض منافعه وثمرته على أهله أو أضيافه أو على أولاده وإن كانوا ممّن هم نفقتهم واجبة عليه ، لأنّ هذا ليس من قبيل الوقف على نفسه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شرط أداء زكاته الواجبة ، أو الخمس الواجب في ماله ، فهذا الشرط فاسد ، لأنّه من قبيل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عليهم الحجّ له به بعد موته من منافع هذا الوقف ، فالظاهر عدم صحّة هذا الشرط</w:t>
      </w:r>
      <w:r>
        <w:rPr>
          <w:rFonts w:eastAsia="Amiri" w:cs="Amiri" w:ascii="Amiri" w:hAnsi="Amiri"/>
          <w:color w:val="111111"/>
          <w:sz w:val="28"/>
          <w:szCs w:val="28"/>
          <w:rtl w:val="true"/>
          <w:lang w:bidi="ar-SA"/>
        </w:rPr>
        <w:t xml:space="preserve">. </w:t>
      </w:r>
      <w:bookmarkStart w:id="224" w:name="pg15937_235173"/>
    </w:p>
    <w:p>
      <w:pPr>
        <w:pStyle w:val="Heading5"/>
        <w:numPr>
          <w:ilvl w:val="4"/>
          <w:numId w:val="1"/>
        </w:numPr>
        <w:rPr/>
      </w:pPr>
      <w:bookmarkStart w:id="225" w:name="__RefHeading___Toc16073434_2142443653"/>
      <w:bookmarkStart w:id="226" w:name="_Toc72"/>
      <w:bookmarkEnd w:id="224"/>
      <w:bookmarkEnd w:id="225"/>
      <w:r>
        <w:rPr>
          <w:rtl w:val="true"/>
        </w:rPr>
        <w:t xml:space="preserve">فرع </w:t>
      </w:r>
      <w:r>
        <w:rPr>
          <w:rtl w:val="true"/>
        </w:rPr>
        <w:t>:</w:t>
      </w:r>
      <w:bookmarkEnd w:id="226"/>
    </w:p>
    <w:p>
      <w:pPr>
        <w:pStyle w:val="BookText"/>
        <w:rPr/>
      </w:pPr>
      <w:r>
        <w:rPr>
          <w:rFonts w:ascii="Amiri" w:hAnsi="Amiri" w:eastAsia="Amiri" w:cs="Amiri"/>
          <w:color w:val="111111"/>
          <w:sz w:val="28"/>
          <w:sz w:val="28"/>
          <w:szCs w:val="28"/>
          <w:rtl w:val="true"/>
          <w:lang w:bidi="ar-SA"/>
        </w:rPr>
        <w:t>إذا استثنى مقدارا من منافع العين الموقوفة ، أو من نفس العين لنفسه ، فالظاهر أنّه ليس من الوقف على النفس ، بل هو إخراج عن أصل الوقف ، فيرجع إلى أنّه لم يقف تمام هذه العين ، أو لم يسبل تمام منافعه ، فلا إشكال فيه أصلا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6073436_2142443653"/>
      <w:bookmarkStart w:id="228" w:name="_Toc73"/>
      <w:bookmarkEnd w:id="227"/>
      <w:r>
        <w:rPr>
          <w:rtl w:val="true"/>
        </w:rPr>
        <w:t xml:space="preserve">فرع آخر </w:t>
      </w:r>
      <w:r>
        <w:rPr>
          <w:rtl w:val="true"/>
        </w:rPr>
        <w:t>:</w:t>
      </w:r>
      <w:bookmarkEnd w:id="228"/>
    </w:p>
    <w:p>
      <w:pPr>
        <w:pStyle w:val="BookText"/>
        <w:rPr/>
      </w:pPr>
      <w:r>
        <w:rPr>
          <w:rFonts w:ascii="Amiri" w:hAnsi="Amiri" w:eastAsia="Amiri" w:cs="Amiri"/>
          <w:color w:val="111111"/>
          <w:sz w:val="28"/>
          <w:sz w:val="28"/>
          <w:szCs w:val="28"/>
          <w:rtl w:val="true"/>
          <w:lang w:bidi="ar-SA"/>
        </w:rPr>
        <w:t>لو جعل نفسه متوليّا وناظرا على الوقف ، وجعل مقدارا من منافع ذلك الوقف قليلا أو كثيرا للمتولّي ، فهل هذا من قبيل الوقف على النفس وباطل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بمقدار المتعارف ، كالعشر من منافع الوقف ، فالظاهر أنّه لا إشكال فيه ، لأنّه في الواقع من قبيل الأجرة مقابل عمله وتعبه في إدارة الوقف من عمارته وإجارته وإصلاح شؤونه وسائر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حال الوقف حال الأملاك الشخصيّة ، كما أنّهم يجعلون أجرا للذي يدير ذلك الملك ، وقد يكون الأجر حصّة من منافع ذلك الملك ، وليس معنى ذلك أن يكون شريكا فيه ، بل يكون كسائر مؤن ذلك الملك ، فيكون حال المتولي والناظر في الوقف حال ذلك الرجل الذي يدير أمر ملك غيره ويديره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كثيرا كتسعة أعشار منافعه مثلا لو جعلها للمتولّي الذي هو نفس الواقف ما دام حيّا وفي الطبقة الأولى ، وعيّن غيره بعد مماته ، وجعل له مقدارا متعارفا ، فالإنصاف أنّه لا يخلو عن إشكال ، لأنّه بنظر العرف وقف على نفسه ، فكأنّه جعل نفسه موقوفا عليه ، وإن كان بحسب الظاهر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التولية ، ولكن في مقام اللبّ ليس بإزاء إتعابه في إصلاح شؤون الوقف وإدارة أموره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دليل بطلان الوقف على النفس هو الإجماع كما تقدّم ، ولا شكّ في أنّه ليس إجماع في مثل المقام ، بل القائلين بصحّة مثل هذا المقدار للمتولّي كثير ، إن لم يكن من القائلين بالبطلان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باب استثناء هذا المقدار من المنافع مدّة حياة المتولي عن الوقف ، فلا إشكال من ناحية الوقف على النفس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الاستثناء ، فالظاهر أنّه أيضا لا إشكال فيه ، لأنّ مرجع استثناء هذا المقدار في تلك المدّة عدم تعلّق الوقف بهذا المقدار من ثمرة الوقف في مدّة حياة ذلك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هذا لا عقلا ولا شرعا ، بل لو استثنى في ضمن إجراء الصيغة مقدار مئونته ما دام حيّا من منافع الوقف ، لا إشكال فيه ، لأنّ الوقف تعلّق بما عدا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يجوز وقف العين باعتبار بعض منافعها ، ويبقى الباقي في ملك الواقف ، مثلا يجوز وقف الشاة لأن يعطي لبنها للأطفال الرضع ، ويبقى سائر منافعها للواقف ، وكذلك البستان باعتبار ثمرة نخيلها ، فتبقى منافعها الأخر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هذا القسم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عبارة عن صرف حبس الأصل عن التقلّبات في عالم التشريع ، وجعل ثمرته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 لأنّ هذه الاستثناءات تدلّ على أنّ الثمرة المجعولة للموقوف عليهم ما عدا هذا المقدار ، كما هو شأن كلّ استثناء في كلّ مقام ، وهو أنّ حكم المستثنى منه يشمل ما عدا مقدار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أنّه عبارة عن تمليك الموقوف عليهم للعين الموقوفة ،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تكون عين واحدة ملكا لشخصين باعتبارين ، فباعتبار بعض المنافع تكون ملكا للموقوف عليهم ، وباعتبار بعض آخر تكون ملكا للواقف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الأصل بتمامه ملكا للموقوف عليهم فاعتبار ذلك البعض من المنافع ، ويكون من قبيل ما لو آجر الملك قبل الوقف باعتبار بعض الثمرة ، كما لو آجر البستان باعتبار بعض ثمرته ، فأوقفه باعتبار بعض الآخر ، فيصير البستان ملكا للموقوف عليهم ، ولكن مجرّدا عن بعض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مجرّدا عن جميع المنافع دائما أبدا فاعتبار التمليك لغو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ذهب بعض الأساطين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مقاربي عصرنا إلى صحّة كون عين واحدة ملكا لشخصين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تمام العين من دون شركة الآخر ملكا لهذا ، وكذلك تمام العين يكون ملكا للآخر ، غاية الأمر ملكيّة كلّ واحد منهما لتمام العين باعتبار بعض منافعها غير 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وقف على العناوين العامّة ، كالمساجد على المصلّين ، والقناطر لكافة المسلمين بل لكافّة العابرين ، والخانات لكافّة المسافرين ، أو المدارس الدينيّة لكافّة طلاّب العلوم الدينيّة الإسلامية ، وكان مصداقا لأحد هذه العناوين ، فلا إشكال في أنّ هذا ليس من الوقف على النفس لو انتفع بها ، لأنّه كسائر مصاديق هذه العناوين ، فحاله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الوقف على الجهة ليس من قبيل الوقف على الطبيعة السارية كي يكون كلّ فرد منها موقوفا عليه ، فيكون بالنسبة إلى حصّة الواقف من قبيل الوقف على النفس ، وذلك لو وقف على السادات أو الفقهاء أو الفقراء وكان هو منهم ، فشموله لنفسه ربما يقال إنّه من قبيل الوقف على النفس ، والوقف على إمام مسجد يكون هو إمامه حين الوقف أو إذا صار بعد الوقف يكون من هذا القبيل ، لأنّ إمام المسجد عنوان عامّ هو أحد مصاديقه ، غاية الأمر في كلّ زمان فرده منحصر بواحد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الوقف على أفقه البلد ، أو الأفقه بقول مطلق ، وكان هو مصداقه حين الوقف ، أو صار بعد ذلك من هذا القبيل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بين كونه كذلك حين الوقف في الفرعين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الوقف على إمام المسجد ، ومسألة الوقف على الأفقه وأنّه صار مصداقا لذلك العنوان بعد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الثاني دون الأوّل ، فلا وجه له أصلا ، والمسألة خلافيّة ، ولكن الأظهر عندي هو صحّة هذا الوقف وفاقا للمشهور</w:t>
      </w:r>
      <w:r>
        <w:rPr>
          <w:rFonts w:eastAsia="Amiri" w:cs="Amiri" w:ascii="Amiri" w:hAnsi="Amiri"/>
          <w:color w:val="111111"/>
          <w:sz w:val="28"/>
          <w:szCs w:val="28"/>
          <w:rtl w:val="true"/>
          <w:lang w:bidi="ar-SA"/>
        </w:rPr>
        <w:t xml:space="preserve">. </w:t>
      </w:r>
      <w:bookmarkStart w:id="229" w:name="pg15937_235176"/>
    </w:p>
    <w:p>
      <w:pPr>
        <w:pStyle w:val="BookText"/>
        <w:rPr/>
      </w:pPr>
      <w:bookmarkEnd w:id="229"/>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الموقوف عليه هو العنوان ، وصرف قابليّته للتطبيق على نفسه لا يوجب صيرورته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أنّه لو باع صاعا من 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قابل للانطباق على كلّ واحد من صيعان الموجودة فيها ، ومع ذلك ليس شي‌ء من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تفرّقها في الخارج وانقسامها إلى صيعان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مبيعا إلاّ بعد التطبيق وإقباضه للمشتري ، وإلاّ قبل القبض تعيّن أحدها لمعيّن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وأحدها غير المعيّن غير معقول ، لأنّ الصيعان الموجودة كلّ واحد معيّن وجميعها يكون مبيعا ، لأنّ قابليّة الانطباق في الجميع خلاف الفرض ، إذ المفروض أنّ المبيع صاع واحد ، فلا مناص إلاّ القول بأنّ قبل القبض كلّ واحد منها ليس مبيعا ، وبالقبض يتحقّق صفة المبيعيّة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تمليك الثمرة للعنوان ، ولا يصير ملكا لنفس الواقف الذي مصداق إلاّ بعد ، فهو ليس بنفسه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 بطلان الوقف على نفسه لا دليل عليه إلاّ الإجماع ، والإجماع مع ذهاب المشهور إلى جواز انتفاعه من الوقف إذا وقف على عنوان الفقهاء الفقراء أو ما يشابههما إذا كان هو من مصاديق تلك العناوين</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6073438_2142443653"/>
      <w:bookmarkStart w:id="231" w:name="_Toc74"/>
      <w:bookmarkEnd w:id="230"/>
      <w:r>
        <w:rPr>
          <w:rtl w:val="true"/>
        </w:rPr>
        <w:t xml:space="preserve">مسألة </w:t>
      </w:r>
      <w:r>
        <w:rPr>
          <w:rtl w:val="true"/>
        </w:rPr>
        <w:t>:</w:t>
      </w:r>
      <w:bookmarkEnd w:id="231"/>
    </w:p>
    <w:p>
      <w:pPr>
        <w:pStyle w:val="BookText"/>
        <w:rPr/>
      </w:pPr>
      <w:r>
        <w:rPr>
          <w:rFonts w:ascii="Amiri" w:hAnsi="Amiri" w:eastAsia="Amiri" w:cs="Amiri"/>
          <w:color w:val="111111"/>
          <w:sz w:val="28"/>
          <w:sz w:val="28"/>
          <w:szCs w:val="28"/>
          <w:rtl w:val="true"/>
          <w:lang w:bidi="ar-SA"/>
        </w:rPr>
        <w:t xml:space="preserve">إذا وقف وشرط عوده إليه إذا احتاج ، فيه أقوال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بصحّة الوقف والشرط جميعا ، فيرتّب عليه آثار الوقف ما دام لا يحتاج إليه ، وعند الاحتياج يعود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المرتضى قدس سره </w:t>
      </w:r>
      <w:r>
        <w:rPr>
          <w:rStyle w:val="FootnoteAnchor"/>
          <w:rtl w:val="true"/>
        </w:rPr>
        <w:footnoteReference w:id="280"/>
      </w:r>
      <w:r>
        <w:rPr>
          <w:rFonts w:ascii="Amiri" w:hAnsi="Amiri" w:eastAsia="Amiri" w:cs="Amiri"/>
          <w:color w:val="111111"/>
          <w:sz w:val="28"/>
          <w:sz w:val="28"/>
          <w:szCs w:val="28"/>
          <w:rtl w:val="true"/>
          <w:lang w:bidi="ar-SA"/>
        </w:rPr>
        <w:t xml:space="preserve">دعوى الإجماع على هذا القول ، وادّعى بعضهم أنّ هذا هو قول الأكثر ، وعن جماعة بطلان الوقف والشرط ، وحكى عن ابن إدريس </w:t>
      </w:r>
      <w:r>
        <w:rPr>
          <w:rStyle w:val="FootnoteAnchor"/>
          <w:rtl w:val="true"/>
        </w:rPr>
        <w:footnoteReference w:id="281"/>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بصحّته حبسا لا وقفا ، وصحّة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الشرائع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هو القول الأوّل بناء على عدم كون التأبيد داخلا في ماهيّة الوقف ، وهو واضح ، وإلاّ فالقول الثالث الذي قال به في الشرائع ، وذلك من جهة أنّ التأبيد لو كان شرطا في تحقّق ماهية الوقف ، فحيث أنّ مرجع هذا الشرط إلى عدم التأبيد ، فلا يقع الوقف قطعا ، فيدور أمره بين البطلان بالمرّة ، أو وقوعه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والحبس حقيقتان مختلفتان ، فيكون باطلا بالمرّة ، لأنّ الذي قصده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 لعدم التأبيد ، والحبس أيضا لا يقع ، لأنّ العقود تابعة للقصود ولكن حيث قلنا بأنّهما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الفرق بينهما بخصوصيّة زائدة على الماهيّة والحقيقة ، بل تكون تلك الخصوصيّة من العوارض المصنّفة وهي التأبيد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حبسا ويصحّ الشرط أيضا ، لعدم كونه مخالفا لمقتضى العقد ولا للكتاب والسنّة ، لأنّ عود الملك إلى الحابس ليس مخالفا للكتاب ، ولا الحبس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أنّ التأبيد داخلا في حقيقة الوقف وتحقّق ماهيّته ، أم لا؟</w:t>
      </w:r>
    </w:p>
    <w:p>
      <w:pPr>
        <w:pStyle w:val="BookText"/>
        <w:rPr/>
      </w:pPr>
      <w:r>
        <w:rPr>
          <w:rFonts w:ascii="Amiri" w:hAnsi="Amiri" w:eastAsia="Amiri" w:cs="Amiri"/>
          <w:color w:val="111111"/>
          <w:sz w:val="28"/>
          <w:sz w:val="28"/>
          <w:szCs w:val="28"/>
          <w:rtl w:val="true"/>
          <w:lang w:bidi="ar-SA"/>
        </w:rPr>
        <w:t>فإن لم يكن داخلا في حقيقة الوقف فيصحّ الوقف والشرط ، كما ذهب إليه المشهور ، لأنّه قصد الوقف ، وشرط رجوعه إليه عند الحاجة مناف لإطلاق عقد الوقف لا له مطلقا ، فلا مانع من صحّة الوقف والشرط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داخلا في حقيقة الوقف ، وكان الوقف والحبس حقيقتين مختلفتين ، فلا يقع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الثاني الذي ذهب إليه ابن إدريس وادّعى عليه الإجماع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كانا حقيقة واحدة مع اعتبار التأبيد في الوقف شرعا في تحقّق الوقف ، فيقع حبسا ويصحّ الشرط أيضا ، وهو قول صاحب الشرائع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لمّا رجّحنا فيما تقدّم في شروط صحّة الوقف اعتبار التأبيد ، فلا يمكن الموافقة مع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رجّحنا أنّ الوقف والحبس حقيقة واحدة ،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رجّحنا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الذهاب إلى ما قاله في الشرائع من صحّة الشرط ووقوعه حبسا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روايتان تمسّك كلّ واحد من الطرفين من القائلين بالصحّة والبطلان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إسماعيل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يتصدّق ببعض ماله في حياته في كلّ وجه من وجوه الخير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احتجت إلى شي‌ء من المال فأنا أحقّ به ، ترى ذلك له وقد جعله لله يكون له في حياته ، فإذا هلك الرجل يرجع ميراثا أو يمضي صدقة؟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ميراثا على أهله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أوقف أرضا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احتجت إليها فأنا أحقّ بها ثمَّ مات الرجل ، فإنّها ترجع إلى الميراث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هذا الخبر في المستدرك عن دعائم الإسلام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ميراثا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والمعنى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الثلاثة خبر واحد ، فتارة نقل مسندا ، وأخرى نقل مرسلا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الذي يستدلّ بها على بطلان الوقف يقول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ترجع إلى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ميراثا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ميراثا على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تدلّ على عدم صحّة هذا الوقف وبطلانه ، لأنّ الوقف لا يرجع ميراثا إلى أهله ، وباق إلى أن يرث اللّه </w:t>
      </w:r>
    </w:p>
    <w:p>
      <w:pPr>
        <w:pStyle w:val="BookText"/>
        <w:rPr/>
      </w:pPr>
      <w:r>
        <w:rPr>
          <w:rFonts w:ascii="Amiri" w:hAnsi="Amiri" w:eastAsia="Amiri" w:cs="Amiri"/>
          <w:color w:val="111111"/>
          <w:sz w:val="28"/>
          <w:sz w:val="28"/>
          <w:szCs w:val="28"/>
          <w:rtl w:val="true"/>
          <w:lang w:bidi="ar-SA"/>
        </w:rPr>
        <w:t>السماوات والأرضين وما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يستدلّ بها على صحّة الوقف والشرط جميعا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ثانيا بعد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هذه الروايات هو خروج ما وقف بالوقف ثمَّ رجوعه إليه بالشرط لاحتياجه إليه في حياته ، فتدلّ على صحّة الشرط أيضا ، فإذا رجع إليه ومات عنه فطبعا يكون ميراثا إلى أهله بقواعد الإرث وأدلّته ، وإسناد الرجوع إلى الميراث من باب أنّ الميراث معلول لرجوعه إليه بالشرط ، فأسند الرجوع إلى المعلول باعتبار رجوع علّته ، فيكون من قبيل ذكر اللازم وإرادة الملزوم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الثاني أصح ، لأنّه علیه السلام بعد قول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له في حياته ، فإذا هلك الرجل يرجع ميراثا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فكأنّه فرّع كونه ميراثا بعد هلاك الرجل على كونه له في حياته ، فجوابه علیه السلام بأنّه يرجع ميراثا ظاهر في تصديقه علیه السلام له في هذا التفريع ، وأنّه يكون له في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كونه له في حياته لازم صحّة الشرط ، وصحّة الشرط ملازم مع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 في حياته يمكن أن يكون من جهة بطلان الوقف ، لا من جهة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العود إليه بعد الخروج عن ملكه ، فلا يمكن أن يكون له لبطلان الوقف ، لأنّه مع بطلان الوقف يكون له من أول الأمر ، ويكون ميراثا من أول الأمر بعد هلاكه ، لا أنّه يرجع ميراثا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ظهور الخبرين وإن كان في البطلان وعدم صحّة مثل هذا الوقف مع مثل هذا الشرط ثابتا ، إلاّ أنّه علیه السلام حكم بالفساد والبطلان من جهة قصة الواقف أن يكون هو الموقوف عليه إنّ احتاج ، ومعلوم أنّ مثل هذا الوقف وقف على </w:t>
      </w:r>
    </w:p>
    <w:p>
      <w:pPr>
        <w:pStyle w:val="BookText"/>
        <w:rPr/>
      </w:pPr>
      <w:r>
        <w:rPr>
          <w:rFonts w:ascii="Amiri" w:hAnsi="Amiri" w:eastAsia="Amiri" w:cs="Amiri"/>
          <w:color w:val="111111"/>
          <w:sz w:val="28"/>
          <w:sz w:val="28"/>
          <w:szCs w:val="28"/>
          <w:rtl w:val="true"/>
          <w:lang w:bidi="ar-SA"/>
        </w:rPr>
        <w:t>النفس وباطل ، لكنّه لا ربط له بمحلّ كلامنا ، مضافا إلى أنّه خلاف ظاهر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ميراثا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بيّنّا من أنّ الرجوع هو العود بعد الخروج ، وهذا لا يلائم مع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اعتذاره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بملاحظة قصده الوقف وعقده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الوقف ممّا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أوردوا على صحّته وقفا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مقتضى عقد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وأجبنا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اقتضاء إطلاق العقد ، لا أنّه خلاف مقتضى العقد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اشتراط الدوام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الدوام على فرض تماميّته هو الدوام في مقابل التوقيت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سنة ، أو أزيد ،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الحقيقة شرط زوال الوقف ، لا أن يكون الوقف باقيا ، ويكون هو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وأنّ التعليق في العقد موجب لبطلانه إجماعا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في مورد الخلاف لا ينبغي أن يصدر من الفقيه ، مضافا إلى أنّ العقد لا تعليق فيه ، وإيقاع الوقف منجّز لا تعليق فيه ، وإنّما الشرط أثره رفع الوقف لا تعليقه ، فلا تعليق ، لا في الإنشاء ولا في المنشأ</w:t>
      </w:r>
      <w:r>
        <w:rPr>
          <w:rFonts w:eastAsia="Amiri" w:cs="Amiri" w:ascii="Amiri" w:hAnsi="Amiri"/>
          <w:color w:val="111111"/>
          <w:sz w:val="28"/>
          <w:szCs w:val="28"/>
          <w:rtl w:val="true"/>
          <w:lang w:bidi="ar-SA"/>
        </w:rPr>
        <w:t xml:space="preserve">. </w:t>
      </w:r>
      <w:bookmarkStart w:id="232" w:name="pg15937_235181"/>
    </w:p>
    <w:p>
      <w:pPr>
        <w:pStyle w:val="Heading4"/>
        <w:numPr>
          <w:ilvl w:val="3"/>
          <w:numId w:val="1"/>
        </w:numPr>
        <w:rPr/>
      </w:pPr>
      <w:bookmarkStart w:id="233" w:name="__RefHeading___Toc16073440_2142443653"/>
      <w:bookmarkStart w:id="234" w:name="_Toc75"/>
      <w:bookmarkEnd w:id="232"/>
      <w:bookmarkEnd w:id="233"/>
      <w:r>
        <w:rPr>
          <w:rtl w:val="true"/>
        </w:rPr>
        <w:t xml:space="preserve">المطلب الثالث </w:t>
      </w:r>
      <w:r>
        <w:rPr>
          <w:rtl w:val="true"/>
        </w:rPr>
        <w:t xml:space="preserve">: </w:t>
      </w:r>
      <w:r>
        <w:rPr>
          <w:rtl w:val="true"/>
        </w:rPr>
        <w:t>في شرائط الموقوف</w:t>
      </w:r>
      <w:bookmarkEnd w:id="234"/>
    </w:p>
    <w:p>
      <w:pPr>
        <w:pStyle w:val="BookText"/>
        <w:rPr/>
      </w:pPr>
      <w:r>
        <w:rPr>
          <w:rFonts w:ascii="Amiri" w:hAnsi="Amiri" w:eastAsia="Amiri" w:cs="Amiri"/>
          <w:color w:val="111111"/>
          <w:sz w:val="28"/>
          <w:sz w:val="28"/>
          <w:szCs w:val="28"/>
          <w:rtl w:val="true"/>
          <w:lang w:bidi="ar-SA"/>
        </w:rPr>
        <w:t>وهي أن يكون عينا مملوكا يمكن الانتفاع بها مع بقائه ، وأن يكون لها البقاء مدّة معتدّة بها ، وأن يكون نفعه محلّلا ، وأن لا يكون متعلّقا لحقّ الغير ، بحيث يكون ذلك الحقّ مانعا عن التصرّف فيها ، وأن تكون ممّا يمكن إقباضها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منفعة ، فلا يمكن تحقّق حقيقة الوقف الذي هو عبارة عن حبس الأصل وتسبيل ثمرته ، لأنّ تسبيل الثمرة ينطبق على نفس أصل الموقوف الذي هي المنفعة ، فلا يبقى له أصل حتّى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الشرط لا يصحّ وقف المنافع ، كمنفعة الدار أو الدكان أو الخان التي ملكها بالإجارة ، وإن كانت لمدّة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يصحّ أن يكون دينا في ذمّة غيره ، كما لو كان له شيئا في ذمّة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يصحّ أن يكون كلّيا في ذمّة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فيهما أيضا عدم صحّة اعتبار الحبس ولو في عالم الاعتبار ، لأنّ الكلّي في ذمّة غيره أو في ذمّة نفسه ، حيث أنّه غير معيّن ، فلا معنى لحبسه وتسبيل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على صحّة وقوع البيع والصلح عليه لا وجه له ، وذلك من جهة أنّ تلك النواقل الشرعيّة مفادها نقل ما في ذمّته إلى الغير ، فيملك ذلك الغير في ذمته ذلك الكلّي ، أو نقل ما يملكه في ذمّة الغير إلى غيره ، ولا يتصور مانع في كلا الفرضين ، بخلاف الوقف ، فإنّ تحقّقه موقوف على حبس شي‌ء تكون له ثمرة وتسبيل ثمرته ، ومثل ذلك في الكلّي الذي في ذمّته أو يملكه في ذمّة غيره ليس له اعتبار عقلائي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يحبس الكلّي وطبيعة صرف وجود الإنسان مثلا في الحبس التكويني ، كذلك يكون الأمر في الحبس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إمكانه وعدم وجود مانع في البين ، ففي الإجماع غنى وكفاية ، حيث أنّ عدم صحّة الوقف </w:t>
      </w:r>
    </w:p>
    <w:p>
      <w:pPr>
        <w:pStyle w:val="BookText"/>
        <w:rPr/>
      </w:pPr>
      <w:r>
        <w:rPr>
          <w:rFonts w:ascii="Amiri" w:hAnsi="Amiri" w:eastAsia="Amiri" w:cs="Amiri"/>
          <w:color w:val="111111"/>
          <w:sz w:val="28"/>
          <w:sz w:val="28"/>
          <w:szCs w:val="28"/>
          <w:rtl w:val="true"/>
          <w:lang w:bidi="ar-SA"/>
        </w:rPr>
        <w:t xml:space="preserve">الكلّي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أكان في ذمّته ، أو في ذمّة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مملوكا ، لأنّ غير المملوك إمّا لأنّه ليس ممّا يملك ، كالخنزير وكلب الهراش ، لأنّه ليس له منفعة يسبله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جهة أنّه ملك غيره ، فتصرّفاته فيه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الفضولي فقد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الانتفاع بها مع بقائها ، فلو كان من المأكولات والمشروبات حيث أنّ الانتفاع بها بإتلافها أكلا أو شربا ، فلا يصحّ وقفها ، لعدم تصوير حبس العين فيها مع تسبيل ثمرتها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له البقاء مدّة معتدّة بها ، من جهة عدم صدق تحبيس الأصل وتسبيل ثمرته مع عدم بقاء مدّة معتدّة بها ، فلا يصدق هذا المعنى على وقف الورد للشمّ ، لعدم بقائه مدّة يصدق عليه حبس الأصل وتسبيل ثمرته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للعين الموقوفة منفعة محلّلة ، كي يصدق عليه التسبيل ، خصوصا إذا كان صحّة الوقف مشروطا بقصد القربة ، فإذا كانت المنفعة التي يقفها لأجل تسبيل تلك المنفعة محرّمة ، فيكف يتقرّب بمثل هذا الوقف إلى اللّه ، وكيف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سبلها في سبيل اللّه تعالى؟ وهذا الأخير بناء على ما استظهرنا من التسبيل أنّ المراد من هذه الكلمة جعلها في سبيل اللّه 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يكون متعلّقا لحقّ الغير المانع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هذا الاشتراط واضح ، لأنّه إذا كانت العين لا يجوز التصرّف فيها ببيع أو هبة أو صلح أو غير ذلك بواسطة كونها متعلّقا لحقّ الغير ، كالعين المرهونة ، أو الأعيان التي تركها الميّت مع كون دينه مستوعبا لتمام التركة ، فبناء على الانتقال إلى الورثة ولكن متعلّقة لحقّ الديّان ، وكالأموال غير المخمّسة أو غير المزكّاة بناء على كونها متعلّقة لحقّ السادات أو لحقّ الفقراء وأمثال المذكورات</w:t>
      </w:r>
      <w:r>
        <w:rPr>
          <w:rFonts w:eastAsia="Amiri" w:cs="Amiri" w:ascii="Amiri" w:hAnsi="Amiri"/>
          <w:color w:val="111111"/>
          <w:sz w:val="28"/>
          <w:szCs w:val="28"/>
          <w:rtl w:val="true"/>
          <w:lang w:bidi="ar-SA"/>
        </w:rPr>
        <w:t xml:space="preserve">. </w:t>
      </w:r>
      <w:bookmarkStart w:id="235" w:name="pg15937_235183"/>
    </w:p>
    <w:p>
      <w:pPr>
        <w:pStyle w:val="BookText"/>
        <w:rPr/>
      </w:pPr>
      <w:bookmarkEnd w:id="235"/>
      <w:r>
        <w:rPr>
          <w:rFonts w:ascii="Amiri" w:hAnsi="Amiri" w:eastAsia="Amiri" w:cs="Amiri"/>
          <w:color w:val="111111"/>
          <w:sz w:val="28"/>
          <w:sz w:val="28"/>
          <w:szCs w:val="28"/>
          <w:rtl w:val="true"/>
          <w:lang w:bidi="ar-SA"/>
        </w:rPr>
        <w:t xml:space="preserve">فكما أنّ سائر النقل والانتقالات والتقلّبات الشرعيّة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إيجاد المالك لها تكون غير ممضاة من قبل الشارع ، فيكون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الوقف ، مضافا إلى 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قصد القربة ، وكيف يتقرّب بما هو ممنوع شرعا؟ نعم بعد ارتفاع المنع من التصرّف كما إذا فكّ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أجاز المرتهن فلا مانع من وقفه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ممّا يمكن إقباضه ، لأنّه بناء على أن يكون القبض من شرائط صحّة الوقف فواضح ، فإنّ المشروط لا يتحقّق بدون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أنّه شرط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لم يمكن إقباضه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في الهواء الشارد من عنده ولا يمكن إعادته ، أو الحيوان الآخر النافر الذي لا يمكن قبضه عادة ، أو العبد الآبق الذي حصل اليأس من عوده أو وجدانه أو التغلب عليه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تسبيل ثمرته لغوا بل لا ثمرة له كي يسبل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 في الشرط الخامس أنّه لا بدّ وأن يكون للعين الموقوفة منفعة محللة كي يكون التسبيل بلحاظها ، لا يلزم أن تكون تلك المنفعة لها فعلا ، بل يكفي في صحّته كونها لها ولو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بستانا غرس فيه النخيل ، وهي صغار لا تحمل إلاّ بعد سنين ، فهذا الوقف صحيح باعتبار تلك المنافع التي لها قوّة الوجود ، وإن كان وجودها بعد عشر سنين مثلا ، وهكذا الحال في سائر الموارد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6073442_2142443653"/>
      <w:bookmarkStart w:id="237" w:name="_Toc76"/>
      <w:bookmarkEnd w:id="236"/>
      <w:r>
        <w:rPr>
          <w:rtl w:val="true"/>
        </w:rPr>
        <w:t xml:space="preserve">المطلب الرابع </w:t>
      </w:r>
      <w:r>
        <w:rPr>
          <w:rtl w:val="true"/>
        </w:rPr>
        <w:t xml:space="preserve">: </w:t>
      </w:r>
      <w:r>
        <w:rPr>
          <w:rtl w:val="true"/>
        </w:rPr>
        <w:t>في شرائط الواقف</w:t>
      </w:r>
      <w:bookmarkEnd w:id="2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البلوغ ، وكمال العقل ، وجواز التصرّف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الواقف أن يكون جائز التصرّف ، وأن يكون مختارا غير مكره عليه ، لأنّ البلوغ وكمال العقل مندرج في جواز التصرّف ، فيتفرّع على جواز التصرّف أن يكون بالغا ، لأنّه لا يجوز أمر الصبيّ حتّى يحتلم ، وأن لا يكون مجنونا ، لأنّه لا يجوز أمره حتّى يفيق ، وأن لا يكون محجورا عليه بفلس أو سفه ، وأن لا يكون عبدا بدون إذن مولاه ، لعدم نفوذ أمر العبد بدون إذن مولاه ، وهو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ويتفرّع على اشتراط الاختيار أن لا يكون في وقفه مكرها مع عدم لحوق الرضا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w:t>
      </w:r>
      <w:r>
        <w:rPr>
          <w:rStyle w:val="FootnoteAnchor"/>
          <w:rtl w:val="true"/>
        </w:rPr>
        <w:footnoteReference w:id="287"/>
      </w:r>
      <w:r>
        <w:rPr>
          <w:rFonts w:ascii="Amiri" w:hAnsi="Amiri" w:eastAsia="Amiri" w:cs="Amiri"/>
          <w:color w:val="111111"/>
          <w:sz w:val="28"/>
          <w:sz w:val="28"/>
          <w:szCs w:val="28"/>
          <w:rtl w:val="true"/>
          <w:lang w:bidi="ar-SA"/>
        </w:rPr>
        <w:t xml:space="preserve">، كما أنّ الإكراه مع عدم لحوق الرضا موجب لبطلان سائر عقوده وإيقاعاته كبيعه وهبته وصلحه وطلاقه وعتقه ، وذلك كلّه للإجماع المحصّل الذي لم يخالف أحد ولحديث الرفع ،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إلاّ بطيب نفسه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صدور الوقف عن المالك مع الإكراه وعدم لحوق الرضا به مرجعه إلى أنّ أكل الموقوف عليه لماله يكون من غير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قاله الشهيدان بل العلاّمة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من عدم قصد المكره إلى وقوع مضمون العقد في الخارج فالأمر أوضح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لم يلحقه الرضا ، وأمّا فيما لحقه الرضا ، فإن كان وجه فساد عقد المكره وإيقاعه عدم القصد إلى وقوع مضمونه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العقود تابعة للقصود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المعتبر في العقود هو أن يكون قصدا لإنشاء المعنى باللفظ ، فإن كان المراد </w:t>
      </w:r>
    </w:p>
    <w:p>
      <w:pPr>
        <w:pStyle w:val="BookText"/>
        <w:rPr/>
      </w:pPr>
      <w:r>
        <w:rPr>
          <w:rFonts w:ascii="Amiri" w:hAnsi="Amiri" w:eastAsia="Amiri" w:cs="Amiri"/>
          <w:color w:val="111111"/>
          <w:sz w:val="28"/>
          <w:sz w:val="28"/>
          <w:szCs w:val="28"/>
          <w:rtl w:val="true"/>
          <w:lang w:bidi="ar-SA"/>
        </w:rPr>
        <w:t>من نفي القصد هذا المعنى في عقد المكره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لحوق الرضا فيما بعد لا يجعل العقد الواقع بدون قصد إنشاء المعنى عقدا مقصودا ، فيكون العقد باطلا ، لما ذكرنا من أنّ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الدعوى باطلة ليس لها أصل ، لأنّ المكره أيضا مثل المختار يقصد إنشاء المعنى باللفظ ، غاية الأمر أنّه ليس له طيب النفس بوقوع مضمون العقد في عالم التشريع ، وإن كان مراده هذا المعنى الذي ذكرناه من عدم قصده ، فهذا لا يضرّ بصحّة العقد بعد حصول الرضا وطيب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اعتبار مقارنة الرضا وطيب النفس لحال الإنشاء لا دليل عليه ، بل الإطلاقات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خلافه ، فأيّ وقت لحق بالمعاملة الرضا يصدق عليها أنّها تجارة عن تراض ، وأنّها عن طيب النفس ، فلا وجه لبطلان وقف المكره إذا لحقه الرضا كسائر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 هنا وردت روايات على صحّة وقف الصبيّ الذي بلغ عشرا ، وكذلك وصيّته وعتقه ،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أتى على الغلام عشر سنين ، فإنّه يجوز في ماله ما أعتق ، أو تصدّق ، أو أوصى على حدّ معروف وحقّ فهو جائز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جميل بن درّاج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طلاق الغلام إذا كان </w:t>
      </w:r>
    </w:p>
    <w:p>
      <w:pPr>
        <w:pStyle w:val="BookText"/>
        <w:rPr/>
      </w:pPr>
      <w:r>
        <w:rPr>
          <w:rFonts w:ascii="Amiri" w:hAnsi="Amiri" w:eastAsia="Amiri" w:cs="Amiri"/>
          <w:color w:val="111111"/>
          <w:sz w:val="28"/>
          <w:sz w:val="28"/>
          <w:szCs w:val="28"/>
          <w:rtl w:val="true"/>
          <w:lang w:bidi="ar-SA"/>
        </w:rPr>
        <w:t xml:space="preserve">قد عقل ، وصدقته ، ووصيّته وإن لم يحتلم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الحلبي ومحمّد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صدقة الغلام ما لم يحتلم؟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وضعها في موضع الصدقة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على صحّة وقف الصبيّ إذا بلغ عشر سنين متوقّف على أن يكون المراد من التصدّق والصدقة خصوص الوقف ، أو المعنى الأعمّ من الوقف والصدقة بالمعنى الأخصّ ، وإلاّ لو كان المراد خصوص الأخير فلا دلالة فيها على المدّعى في هذا المقام ، وهو صحّة وقف الصبي الذي لم يبلغ مطلقا ، أو خصوص البالغ عشرا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وظهور لفظ الصدقة في خصوص الوقف أو في الأعمّ لا دليل عليه ، بل ظاهره بواسطة القرائن المذكورة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حدّ معروف وحقّ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 ومن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 ومن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وضعها في موضع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هو خصوص الصدقة بالمعنى الأخصّ ، الذي هو إعطاء مال لمؤمن بقصد القربة ، فلا مخصّص لعمومات عدم جواز أمر الصبي حتّى يحتلم بالنسبة إلى الوقف ، لأنّه من قبيل الشكّ في التخصيص ، فيتمسّك بأصالة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لمّا وردت أخبار معمولة بها في نفوذ وصيّته ، فلو أوصى بالوقف ينفذ</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من شرائط الواقف أن يكون مسلما ، بل يجوز وقف الكافر وإن قلنا باشتراط قصد القربة فيه ، لتمشية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لا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إله العالم ، خالق السماوات والأرضين ، وينكر وجود صانع حكيم ، فقصد القربة لا يتمشّى </w:t>
      </w:r>
      <w:bookmarkStart w:id="238" w:name="pg15937_235187"/>
    </w:p>
    <w:p>
      <w:pPr>
        <w:pStyle w:val="BookText"/>
        <w:rPr/>
      </w:pPr>
      <w:bookmarkEnd w:id="238"/>
      <w:r>
        <w:rPr>
          <w:rFonts w:ascii="Amiri" w:hAnsi="Amiri" w:eastAsia="Amiri" w:cs="Amiri"/>
          <w:color w:val="111111"/>
          <w:sz w:val="28"/>
          <w:sz w:val="28"/>
          <w:szCs w:val="28"/>
          <w:rtl w:val="true"/>
          <w:lang w:bidi="ar-SA"/>
        </w:rPr>
        <w:t>منه ، لأنّ مثل هذا الرجل لا يعتقد بوجود شخص يتقرّب إليه بوقفه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وقفه لعطفه ورأفته على الفقراء والضعفاء ، وهذا غير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تقدم أنّه للواقف جعل المتولّي والناظر للوقف نفسه أو غيره ، وفي كليهما يجوز استقلالا واشتراكا ، وذلك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شرائط الواقف أن يكون مسلما ، فيصحّ وقف الكافر إذا كان واجدا لشرائط صحّة الوقف والموقوف والموقوف عليه والواقف إذا كان الموقوف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من المسلمين فلا يشترط في صحّة وقفه بعض ما كان شرطا للموقوف فيما إذا كان الواقف مسلما ، كأن يكون للموقوف منفعة محلّلة ، فيجوز أن يقف الخنزير مثلا على أهل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يشترط في وقفه بعض ما يشترط في الموقوف عليه إذا كان الواقف مسلما ، كأن لا يكون الوقف عليه محرّما ، مثل الوقف على بيوت النيران ، ويجوز إذا كان الواقف مجوسيّا ، وكذلك يجوز على البيع والكنائس إذا كان نصرانيا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6073444_2142443653"/>
      <w:bookmarkStart w:id="240" w:name="_Toc77"/>
      <w:bookmarkEnd w:id="239"/>
      <w:r>
        <w:rPr>
          <w:rtl w:val="true"/>
        </w:rPr>
        <w:t xml:space="preserve">المطلب الخامس </w:t>
      </w:r>
      <w:r>
        <w:rPr>
          <w:rtl w:val="true"/>
        </w:rPr>
        <w:t xml:space="preserve">: </w:t>
      </w:r>
      <w:r>
        <w:rPr>
          <w:rtl w:val="true"/>
        </w:rPr>
        <w:t>في شرائط الموقوف عليه</w:t>
      </w:r>
      <w:bookmarkEnd w:id="240"/>
    </w:p>
    <w:p>
      <w:pPr>
        <w:pStyle w:val="BookText"/>
        <w:rPr/>
      </w:pPr>
      <w:r>
        <w:rPr>
          <w:rFonts w:ascii="Amiri" w:hAnsi="Amiri" w:eastAsia="Amiri" w:cs="Amiri"/>
          <w:color w:val="111111"/>
          <w:sz w:val="28"/>
          <w:sz w:val="28"/>
          <w:szCs w:val="28"/>
          <w:rtl w:val="true"/>
          <w:lang w:bidi="ar-SA"/>
        </w:rPr>
        <w:t xml:space="preserve">والمشهور أنّها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تصحّ تملّكه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الوقف عليه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موجودا ، فلأنّ الشيخ قدس سره ادّعى الإجماع عليه في المبسوط</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الوقف يقتضي تمليك الموقوف عليه للمنفعة وحدها ، أو هي مع العين ، والمعدوم ليس قابلا للتمليك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عقد الوقف تمليك الموقوف عليه للعين الموقوفة مع منفعتها ، أو خصوص منفعتها ، وأنّ المعدوم ليس قابلا للتمليك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كوقف المسجد وأنّه ليس تمليكا لأحد ، بل هو فكّ ملك كالعتق ، وعلى كلّ حال يأتي الكلام فيه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المعدوم ليس قابلا للتمليك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الأمور الاعتباريّة ، وليست من الأعراض الخارجيّة كي لا يمكن أن توجد قبل وجود موضوعه ولو كان آنا من الآنات ، وذلك لأنّ العرض ليس لوجوده استقلال ولو كان آنا واحدا ، لأنّ وجوده في نفسه عين وجوده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في جوهر ذاته بحسب الوجود أمر ناعتي ، ففرض الاستقلال لوجوده ولو كان بآن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الملكيّة أمر اعتباري عرفا أو شرعا ، لا وجود لها في الخارج أصلا ، وكما يمكن اعتبارها لشخص موجود ، كذلك يمكن اعتبارها لشخص معدوم فعلا ولكن سيوجد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فرضنا أنّه لا يوجد أصلا فالاعتبار له لغو ، ولا يساعد على اعتبارها في هذه الصورة لا الشرع ولا العقلاء والعرف ، وخصوصا في المعدوم بالمعنى الذي يشمل الحمل ، فإنّه واقعا بل في بعض الصور تامّ الخلقة سوى فيه الروح وتمام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الاعتباري تحقّقه في عالم الاعتبار تابع لاعتبار من بيده الاعتبار ، ولا دخل في الوجود الفعلي لمن يعتبر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ورود نقوض كثيرة على من ينكر إمكان تمليك المعدوم والذي سيوجد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الوقف على البطون المتتالية ، بناء على تمليك كلّهم حال إجراء العقد الصحيح ، فإنّ الواقف ينشأ ملكيّة الجميع في ذلك الحال ، غاية الأمر أنّ فعليّة الملكيّة لكلّ بطن في ظرف وجود ذلك البطن ، كما هو شأن جعل الأحكام الشرعيّة بطور القضايا الحقيقيّة في جميع الموارد ، وضعيّة كانت أم 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جوّزوا الوقف على أولاده الموجودين ومن يوجد بعد ذلك ، والكلام في تصحيحه كما ذكرنا في تصحيح الوقف على البطون ، وموارد أخر ، فلا نطول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مدرك هذا الاشتراط هو الإجماع المدّعى في المبسوط </w:t>
      </w:r>
      <w:r>
        <w:rPr>
          <w:rStyle w:val="FootnoteAnchor"/>
          <w:rtl w:val="true"/>
        </w:rPr>
        <w:footnoteReference w:id="296"/>
      </w:r>
      <w:r>
        <w:rPr>
          <w:rFonts w:ascii="IRNazanin" w:hAnsi="IRNazanin" w:eastAsia="IRNazanin"/>
          <w:color w:val="111111"/>
          <w:sz w:val="28"/>
          <w:sz w:val="28"/>
          <w:szCs w:val="28"/>
          <w:rtl w:val="true"/>
          <w:lang w:bidi="fa-IR"/>
        </w:rPr>
        <w:t>، فإن تمَّ فهو ، وإلاّ فلا موجب لهذا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ذكروه في هذا المقام من عدم قابليّة المعدوم للتمليك ، أو عدم الدليل على صحّة مثل هذا الوقف ، أو فساده ، كلّها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إمكانه 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فلإطلاقات أدلّة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فلحكومة الإطلاقات عليها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الموقوف عليه معيّنا لا ترديد فيه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هذه الدار على أخي أو ابني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أولادي ، ولكنّه يمكن أن يكون بين المثلين فرق بأنّه في الأوّل الموقوف عليه بحسب الواقع مردّد بين الأخ والابن ، ولكن في الثاني مفهوم أحد أولادي قابل للانطباق على كلّ واحد منهم ، فكلّ واحد </w:t>
      </w:r>
    </w:p>
    <w:p>
      <w:pPr>
        <w:pStyle w:val="BookText"/>
        <w:rPr/>
      </w:pPr>
      <w:r>
        <w:rPr>
          <w:rFonts w:ascii="Amiri" w:hAnsi="Amiri" w:eastAsia="Amiri" w:cs="Amiri"/>
          <w:color w:val="111111"/>
          <w:sz w:val="28"/>
          <w:sz w:val="28"/>
          <w:szCs w:val="28"/>
          <w:rtl w:val="true"/>
          <w:lang w:bidi="ar-SA"/>
        </w:rPr>
        <w:t>يجوز أن يتصرّف فيه بنحو الاستقلال لا بنحو التشريك ، فإذا سبق أحدهم فقد تصرّف فيما هو له وليس ضامنا للآخرين ، وإذا صار بينهم تشاحّ فالمرجع هي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الدليل على اعتباره هو الإجماع ، فإن ثبت فهو ، والاّ فالدليل العقلي الذي تمسّكوا به فغير تامّ ، وهو عدم إمكان تمليك المبهم المردّد ، لما عرفت أنّ الملكيّة أمر اعتباريّ ، وليس من العوارض الخارجيّة التي تستدعي في الخارج موضوعا معيّن غير مبهم ، فهي قابلة لأن تتعلّق بأحد الشخصين أو إحدى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أمر هذا الأمر الاعتباري أعظم من العلم الإجمالي الذي هو صفة خارجيّة وموجود واقعي محمول بالضميمة ، ومع ذلك يتعلّق بالمردّد ، وكما أنّه بناء على صحّة تزويج إحدى بناته ، أو طلاق إحدى زوجاته ، أو عتق أحد عبيده يستخرج ذلك الأمر المبهم المردّد بالقرعة ، فكذلك يتعيّن الموقوف عليه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الموقوف عليه ممّن يصحّ تمليكه ، فلو لم يكن قابلا للتملك فلا يصحّ تمليكه ، لأنّ صحّة التمليك متوقّف على قابليّة الطرف للتملّك ، وإلاّ فالتمليك بدونها غير ممكن ، فالكافر الحربي حيث أنّ الشارع لم يمض كونه مالكا فالوقف عليه باطل ، بناء على أنّ الوقف تمليك وإن كان من جهات أخر لا يجوز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فالبحث ها هنا عن أنّ الوقف هل هو مشروط بكون الموقوف عليه قابلا لتمليكه العين الموقوفة أم لا؟ بعد الفراغ عن أنّه قابل أو ليس بقابل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أنّ العبد أو المرتدّ الفطري قابل أو ليس بقابل ، فهو خارج عن محلّ كلامنا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حقيقة الوقف هو التمليك ، أو كان التمليك من لوازم طبيعة الوقف شرعا ، فاعتبار هذا الشرط في محلّه ، إذ التمليك بدون التملّك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التمليك من لوازم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التمليك في بعض أقسام الوقف من </w:t>
      </w:r>
    </w:p>
    <w:p>
      <w:pPr>
        <w:pStyle w:val="BookText"/>
        <w:rPr/>
      </w:pPr>
      <w:r>
        <w:rPr>
          <w:rFonts w:ascii="Amiri" w:hAnsi="Amiri" w:eastAsia="Amiri" w:cs="Amiri"/>
          <w:color w:val="111111"/>
          <w:sz w:val="28"/>
          <w:sz w:val="28"/>
          <w:szCs w:val="28"/>
          <w:rtl w:val="true"/>
          <w:lang w:bidi="ar-SA"/>
        </w:rPr>
        <w:t xml:space="preserve">أحكام ذلك القسم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لاعتبار هذا الشرط ، إلاّ ادّعاء الإجماع ، فإن ثبت فهو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في هذه المسألة وأنّ الوقف حقيقته التمليك ، أو ملازم معه ، أو ليس شي‌ء منها فيما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يكون الوقف عليه محرّما ، وذلك كالوقف على الملاهي ، وأن يصرف في المعاصي ، وطبع كتب الضلال واستنساخها ، وأن يعطى لمن يرد على المذهب ويوقع الشبهات في قلوب المؤمنين ، وكالوقف على مبلّغي الأديان الباطلة ومروّجي العقائد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هذا الشرط بناء على اشتراط قصد القربة في تحقّق الوقف واضح ، إذ لا يمكن قصد القربة بما هو محرّم ومبغوض ، وبناء على عدم الاشتراط أيضا لا يصحّ الوقف على من يكون الوقف عليه محرّما ، لأنّ مثل هذا الوقف مبغوض عند الشارع ، وما هو مبغوض عنده لا يمضيه قطعا ، والمعاملات صحّتها تحتاج إلى الإمضاء ، وإلاّ فمقتضى الأصل في جميع المعاملات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قلنا في دلالة النهي في المعاملات على الفساد أنّه ذلك فيما إذا كان متعلّقا بالمعنى الاسم المصدري ، لأنّه حينئذ تكون المعاملة بالمعنى الاسم المصدري أي أثر العقد مبغوضا ، فلا يقع الإمضاء عليه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لك ما ذكرنا ، تعرف أنّ أغلب الفروع التي ذكرها الفقهاء في هذا المقام يرجع البحث فيها إلى صغريات 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الوقف على الكفّار ، أو جوازه مطلقا ، أو التفصيل بين الحربي والذمّي ، بعدم الجواز في الأوّل ، والجواز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على الكنائس والبيع وعدم جوازه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الوقف على استنساخ وطبع الكتب السماويّة المحرّفة ، أي التوراة والأناجيل ، فلا وجه لتطويل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الموقوف عليه تارة يكون معيّنا لا إهمال ولا إجمال فيه ، سواء أكان شخصا كزيد مثلا ، أو كلّيا كعنوان طلبة مدرسة فلان ،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شمول ذلك العنوان الذي جعله موقوفا عليه في العقد لبعض الأشخاص أو الأصناف ، فإن ثبت انصراف ذلك العنوان إلى بعض مصاديقه ، أو إلى بعض الأصناف التي تحت ذلك العنوان فيؤخذ به ، وإن لم يثبت فيجب الأخذ بإطلاقه إن كان في مقام البيان من تلك الجهة ولم يقيّد ، وإلاّ يرجع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مقتضى الأصل عدم ثبوت الوقف لذلك المشكوك ، كلّ ذلك فيما إذا كان مراد الواقف من ذلك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معلوما فيؤخذ به ، إلاّ أن يكون فيه الإشكال من جهة صحّة الإنشاء بذلك اللفظ ، وذلك من جهة أنّ المدار في العقود ليس على القصد فقط ، ولا على الإنشاء فقط ، بل لا بدّ وأن تكون المعاملة مقصودة له ومنشأه بالإنشاء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وقع البحث في أنّه لو وقف على الفقراء ، فالمشهور ادّعوا انصرافه إلى فقراء نحلة الواقف ، لأنّ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غالبا من الفقراء في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سائر عطاياه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لوجه اللّه فقراء غير المسلمين ، وما ذهب إليه المشهور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بعضهم عناوين كثيرة وألفاظ متعدّدة وباحث عنها ، وكلّها يرجع إلى ما ذكرنا وأبحاث صغرويّة ، وقس الحال على هذا المنوال في سائر الموارد والمقامات ، فلا نطول المقام بذكر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وقف على مصلحة معيّنة ، كما إذا وقف على طلاّب مدرسة دينيّة ، فانهدمت وصارت جزء للشارع العامّ ، بحيث لا أمل بحسب العادة في رجوعها مدرسة ، أو وقف على مسجد صار كذلك منهدما وصار جزء للشارع العامّ ، أو على قنطرة على نهر تغيّر مجرى ذلك النهر ، وصارت تلك القنطرة متروكة وبلا فائدة ، فهل يجب صرفه </w:t>
      </w:r>
    </w:p>
    <w:p>
      <w:pPr>
        <w:pStyle w:val="BookText"/>
        <w:rPr/>
      </w:pPr>
      <w:r>
        <w:rPr>
          <w:rFonts w:ascii="Amiri" w:hAnsi="Amiri" w:eastAsia="Amiri" w:cs="Amiri"/>
          <w:color w:val="111111"/>
          <w:sz w:val="28"/>
          <w:sz w:val="28"/>
          <w:szCs w:val="28"/>
          <w:rtl w:val="true"/>
          <w:lang w:bidi="ar-SA"/>
        </w:rPr>
        <w:t>في وجوه البرّ ، أو يرجع إلى المالك ، أو يصير مباحا لكل أحد كالمباحات الأصليّة؟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يقول برجوعه إلى المالك إن كان وإلاّ إلى ورثته ، فبنى كلامه على أنّه من قبيل وقف منقطع الآخر ، فأمّا أن لا يخرج من ملك المالك أبدا ، لأنّه مثل الحبس عبارة عن تسبيل ثمرته مدّة بقاء الموقوف عليه ، فإذا وقع التلف على الموقوف ، فلا يبقى موضوع للتسبيل ، فقهرا ترجع المنفعة إلى مالك العين الذي هو الواقف ، ومنه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القولان الآخران فمبناهما أنّ بالوقف يخرج عن ملك المالك ، فالذي يقول بأنّه يصرف في وجوه البرّ يقول وإن كان الموقوف يخرج عن ملك الواقف ، ولكن غرضه من هذا الإخراج صرف منافعه في ما هو البرّ عند اللّه تعالى ، ويكون موجبا للأجر والثواب ، ولكن عيّن ما هو البرّ في نظره بموضوع خاصّ ، فإذا ارتفع ذلك الموضوع الخاصّ الذي رجّحه على سائر مصاديق البرّ فيفقد تلك الخصوصيّة المرجّحة ، ولكن صرفه في أصل البرّ ممكن فيجب ، لأنّه بعض مطلوبه بل أصل مطلوبه ، ولم يفقد ممّا أراد إلاّ تلك الخصوصيّة المرجّحة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المنشأ ينحلّ إلى طبيعة البرّ وتلك الخصوصيّة المرجّحة ، وليس من قبيل صرف الغرض كي تقول في باب العقود لا أثر للغرض ما لم يقع المراد والمقصود تحت الإنشاء ، ففي الحقيقة أنشأ تسبيل منفعة هذه العين الموقوفة على البرّ الذي هو المسجد أو المدرسة مثلا ، فإذا تعذّرت الخصوصيّة وأمكن صرفه في الجامع بين هذا المصداق وسائر المصاديق يجب العمل به ،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أمكن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الجامع بين هذا المصداق وسائر المصاديق معنى جنسيّا حتّى تقول ينعدم الجنس بانعدام الفصل ، بل هو معنى متحصّل نوعيّ كسائر الطبائع والمهيّات النوعيّة ، </w:t>
      </w:r>
      <w:bookmarkStart w:id="241" w:name="pg15937_235194"/>
    </w:p>
    <w:p>
      <w:pPr>
        <w:pStyle w:val="BookText"/>
        <w:rPr/>
      </w:pPr>
      <w:bookmarkEnd w:id="241"/>
      <w:r>
        <w:rPr>
          <w:rFonts w:ascii="Amiri" w:hAnsi="Amiri" w:eastAsia="Amiri" w:cs="Amiri"/>
          <w:color w:val="111111"/>
          <w:sz w:val="28"/>
          <w:sz w:val="28"/>
          <w:szCs w:val="28"/>
          <w:rtl w:val="true"/>
          <w:lang w:bidi="ar-SA"/>
        </w:rPr>
        <w:t xml:space="preserve">والذي يقول بأنّه مباح لكلّ أحد كالمباحات الأصليّة ، يقول بأنّه بعد خروجه عن ملك الواقف وعدم دخوله في ملك الموقوف عليه على الفرض لعدم قابليّة الموقوف عليه الذي هو 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 كان ملكا للموقوف عليه لكان ينتقل إلى ورثته ، لا إلى ورثة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بعد تعذّر الموقوف عليه يبقى ملكا بلا مالك ، فيكون كالمباحات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عندي بناء على خروج العين الموقوفة عن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تحقيقه وما هو المختار عمّا قريب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الأوّل ، أي 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خروجه هو الوجه الثاني ، أي رجوعه إلى الواقف ، أو إلى ورثته إن لم يكن الواقف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المختار في كلا الشقّين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الخروج عن ملكه والقول بالانحلال لا مناص إلاّ من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ببقاء العين الموقوفة على ملك الواقف ، فلا بدّ من القول برجوعه إلى الواقف أو إلى ورثته ، بل في القول بالرجوع مسامحة ، لأنّه لم يخرج كي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فلا أساس له أصلا ، بل الأولى أن يعبّر عنه بصرف الاحتمال ، ولم أجد قولا به في الأقوال المنقولة ، بل سمعته عن بعض أساتيذي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ستّين سنة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6073446_2142443653"/>
      <w:bookmarkStart w:id="243" w:name="_Toc78"/>
      <w:bookmarkEnd w:id="242"/>
      <w:r>
        <w:rPr>
          <w:rtl w:val="true"/>
        </w:rPr>
        <w:t xml:space="preserve">المطلب السادس </w:t>
      </w:r>
      <w:r>
        <w:rPr>
          <w:rtl w:val="true"/>
        </w:rPr>
        <w:t xml:space="preserve">: </w:t>
      </w:r>
      <w:r>
        <w:rPr>
          <w:rtl w:val="true"/>
        </w:rPr>
        <w:t>في اللواحق</w:t>
      </w:r>
      <w:bookmarkEnd w:id="243"/>
    </w:p>
    <w:p>
      <w:pPr>
        <w:pStyle w:val="Heading5"/>
        <w:numPr>
          <w:ilvl w:val="4"/>
          <w:numId w:val="1"/>
        </w:numPr>
        <w:rPr/>
      </w:pPr>
      <w:bookmarkStart w:id="244" w:name="__RefHeading___Toc16073448_2142443653"/>
      <w:bookmarkStart w:id="245" w:name="_Toc7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ونذكر فيه أمور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بالوقف بعد إن تمَّ بشرائطه يخرج الموقوف عن ملك </w:t>
      </w:r>
    </w:p>
    <w:p>
      <w:pPr>
        <w:pStyle w:val="BookText"/>
        <w:rPr/>
      </w:pPr>
      <w:r>
        <w:rPr>
          <w:rFonts w:ascii="Amiri" w:hAnsi="Amiri" w:eastAsia="Amiri" w:cs="Amiri"/>
          <w:color w:val="111111"/>
          <w:sz w:val="28"/>
          <w:sz w:val="28"/>
          <w:szCs w:val="28"/>
          <w:rtl w:val="true"/>
          <w:lang w:bidi="ar-SA"/>
        </w:rPr>
        <w:t>الواقف ويزول ملكه عنه ، أم لا؟</w:t>
      </w:r>
    </w:p>
    <w:p>
      <w:pPr>
        <w:pStyle w:val="BookText"/>
        <w:rPr/>
      </w:pPr>
      <w:r>
        <w:rPr>
          <w:rFonts w:ascii="Amiri" w:hAnsi="Amiri" w:eastAsia="Amiri" w:cs="Amiri"/>
          <w:color w:val="111111"/>
          <w:sz w:val="28"/>
          <w:sz w:val="28"/>
          <w:szCs w:val="28"/>
          <w:rtl w:val="true"/>
          <w:lang w:bidi="ar-SA"/>
        </w:rPr>
        <w:t xml:space="preserve">ظاهر المشهور هو الأوّل ، بل ربما يظهر من كلام الغنية </w:t>
      </w:r>
      <w:r>
        <w:rPr>
          <w:rStyle w:val="FootnoteAnchor"/>
          <w:rtl w:val="true"/>
        </w:rPr>
        <w:footnoteReference w:id="297"/>
      </w:r>
      <w:r>
        <w:rPr>
          <w:rFonts w:ascii="IRNazanin" w:hAnsi="IRNazanin" w:eastAsia="IRNazanin"/>
          <w:color w:val="111111"/>
          <w:sz w:val="28"/>
          <w:sz w:val="28"/>
          <w:szCs w:val="28"/>
          <w:rtl w:val="true"/>
          <w:lang w:bidi="fa-IR"/>
        </w:rPr>
        <w:t xml:space="preserve">والسرائر </w:t>
      </w:r>
      <w:r>
        <w:rPr>
          <w:rStyle w:val="FootnoteAnchor"/>
          <w:rtl w:val="true"/>
        </w:rPr>
        <w:footnoteReference w:id="298"/>
      </w:r>
      <w:r>
        <w:rPr>
          <w:rFonts w:ascii="Amiri" w:hAnsi="Amiri" w:eastAsia="Amiri" w:cs="Amiri"/>
          <w:color w:val="111111"/>
          <w:sz w:val="28"/>
          <w:sz w:val="28"/>
          <w:szCs w:val="28"/>
          <w:rtl w:val="true"/>
          <w:lang w:bidi="ar-SA"/>
        </w:rPr>
        <w:t xml:space="preserve">الإجماع عليه ، والظاهر عدم الدليل على ما ذهب إليه المشهور ، لأنّ الشهرة والإجماع المنقول لا اعتبار بهما ، كما أثبتناه في محلّه ، والإجماع المحصّل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وتحقّقه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 لا اعتبار به ، لما ذكرنا في هذا الكتاب مرارا أنّ الإجماعات التي من المحتمل القريب أن يكون اعتماد المتّفقين على مدرك أو مدارك ذكروها كما في المقام ، ليس من الإجماع المصطلح الذي أثبتنا حجّيته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تشريع الوقف لأجل إخراج عين الموقوفة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دعوى بلا بيّنة ولا برهان ، بل ظاهر أدلّة تشريع الوقف هو أن يجعل الواقف ماله الموقوف محبوسا في عالم التشريع والاعتبار عن وقوع التقلّبات الاعتبارية عليه ، ليبقى صدقة جارية على مرور الدهور ، ويجعل ثمرته في سبيل اللّه تعالى للموقوف عليه الذي عيّنه ، ومن الواضح المعلوم أنّ مثل هذا المعنى لا يستلزم الخروج عن ملكه لا شرعا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فائدة الملك هو الانتفاع بثمرته ، أو وقوع التقلّبات الاعتبارية عليه ، فإذا لم يكن لا هذا ولا ذاك فاعتبار الملكيّة لغو ، لأنّ مورد الكلام هو الوقف المؤبّد ، وفي غيره لم ينكر المشهور عدم خروجه عن ملك الواقف ، بل إمّا لم يخرج أصلا ، أو خرج موقّتا ثمَّ يعود كما في الحبس ، بل وفي الوقف المنقطع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وإن كان لا يخلو عن قوّة ، ولكنّه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حيث أنّها من الأمور الاعتبارية يمكن اعتبارها ولو كان لأثر اعتباري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صدقة ، ومن لوازم كون المال صدقة خروجه عن ملك </w:t>
      </w:r>
    </w:p>
    <w:p>
      <w:pPr>
        <w:pStyle w:val="BookText"/>
        <w:rPr/>
      </w:pPr>
      <w:r>
        <w:rPr>
          <w:rFonts w:ascii="IRNazanin" w:hAnsi="IRNazanin" w:eastAsia="IRNazanin"/>
          <w:color w:val="111111"/>
          <w:sz w:val="28"/>
          <w:sz w:val="28"/>
          <w:szCs w:val="28"/>
          <w:rtl w:val="true"/>
          <w:lang w:bidi="fa-IR"/>
        </w:rPr>
        <w:t xml:space="preserve">المتصدّق ، كما ربما يدلّ عليه قوله علیه السلام في رواية طلحة ابن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بمنزلة العتاقة لا يصلح ردّها بعد ما يعتق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بالنسبة إلى الصدقة بالمعنى الأخصّ ، وهو غير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من لوازم بعض أقسام الصدقة ، لا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القول بعدم خروج العين الموقوفة عن ملك الواقف ، يلزم تخصيص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والأصل عدم التخصيص ، وذلك لأنّ وطي أمته التي وقفها لا يجوز قطعا ، فلو لم تكن خارجة عن ملكه ومع ذلك لا يجوز ، يلزم تخصيص هذه الآية ، لأنّ مفادها جواز وطي كلّ من كانت ملك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استدلال عجيب ، لأنّ مورد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آخر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الخروج عن تحت العموم ، لا ما هو مقطوع الخروج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كونه مصداقا ، فإذا لم يكن دليل على زوال ملكيّة المال الموقوف عن ملك الواقف ، ووصلت النوبة إلى حكم الشكّ ، فالأصل يقتضي بقاء الملكيّة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في الوقف المؤبّد ، ولكن مع ذلك كلّه القول ببقاء ملكيّة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عرفت من الإجماع على العدم الذي يظهر من كلام السرائر والغنية ، ومع ما عرفت من لغويّة اعتبارها مع عدم وجود أثر لها ، ومع الأخبار الظاهرة في انقطاع الواقف عن العين الموقوفة ، كقول أمير المؤمنين علیه السلام في وقف عين التي كانت في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صدقة بتّا بتلا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والبت والبتل بمعنى القطع والانقطاع ، وظاهره أنّه علیه السلام قطع نفسه عنها ولم يبق له علاقة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بناء على الخروج عن ملك الواقف ، فهل يدخل في ملك الموقوف عليه ، أو في ملك اللّه تعالى ، أو يبقى بلا مالك ، أو يفصّل بين الوقف الخاصّ والعامّ؟</w:t>
      </w:r>
    </w:p>
    <w:p>
      <w:pPr>
        <w:pStyle w:val="BookText"/>
        <w:rPr/>
      </w:pPr>
      <w:r>
        <w:rPr>
          <w:rFonts w:ascii="Amiri" w:hAnsi="Amiri" w:eastAsia="Amiri" w:cs="Amiri"/>
          <w:color w:val="111111"/>
          <w:sz w:val="28"/>
          <w:sz w:val="28"/>
          <w:szCs w:val="28"/>
          <w:rtl w:val="true"/>
          <w:lang w:bidi="ar-SA"/>
        </w:rPr>
        <w:t>فالأوّل عبارة عن الوقف على الأشخاص ، والثاني على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ينتقل إلى الموقوف عليهم ، وفي العامّ ينتقل إلى اللّه تعالى أو يفصّل بين الوقف الخاصّ وبين الوقف على الجهات ، كالمساجد والقناطر ولخانات التي في الطريق لعموم المسافرين ، ففي الأوّل ينتقل إلى الموقوف عليهم ، وفي الثاني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وتفاصيل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دليل على الانتقال إلى الموقوف عليه ، ووصلت النوبة إلى حكم الشكّ ، فلا شكّ في أنّ مقتضى الأصل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الانتقال ، فعمدته عند القائلين به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الملك بدون مالك ،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اعتبار عقلائيّ أمضاها الشارع لترتّب آثار عليها ، فإذا رأينا أنّ الشارع يرتّب آثار الملكيّة لشخص أو عنوان بالنسبة إلى مال ، نستكشف ملكيّة ذلك المال لذلك الشخص ، أو لذلك العنوان عند وجودهما ، وهذا من الحكم بوجود اللزوم لوجود لازمه ، ولا شكّ في أنّ ملكيّة نماء مال وثمراته من الآثار ولوازم ملكيّة نفس ذلك المال ، وأيضا لا شكّ في أنّ نماءات مال الموقوف وثمراته تكون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المال بلا مالك لا مانع منه ، فإنّ المباحات الأصليّة التي يدفع بإزائها المال مال وليس لها مالك ، وكذلك الأموال التي يعرض عنها أصحابها بناء على القول بخروج تلك الأموال عن ملك أصحابها بالإعراض عنها ، فأموال وليس لها مالك قبل وضع آخر يده عليها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الملك بدون المالك وإن كان لا يمكن وغير معقول إلاّ أنّ كون المال الموقوف </w:t>
      </w:r>
    </w:p>
    <w:p>
      <w:pPr>
        <w:pStyle w:val="BookText"/>
        <w:rPr/>
      </w:pPr>
      <w:r>
        <w:rPr>
          <w:rFonts w:ascii="Amiri" w:hAnsi="Amiri" w:eastAsia="Amiri" w:cs="Amiri"/>
          <w:color w:val="111111"/>
          <w:sz w:val="28"/>
          <w:sz w:val="28"/>
          <w:szCs w:val="28"/>
          <w:rtl w:val="true"/>
          <w:lang w:bidi="ar-SA"/>
        </w:rPr>
        <w:t>ملكا بعد زوال ملك الواقف عنه أوّل الكلام ، ويكون ادّعاؤه شبه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ملكيّة النماءات والثمرات من قبيل لازم الأعمّ بالنسبة إلى ملكيّة العين ، فإنّ المستأجر يملك منافع العين بعقد الإجارة مع عدم كونه مالكا للعين ، وهكذا في العارية بناء على أنّها تمليك منفعة لا تمليك صرف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لا يمكن استكشاف الملزوم الخاصّ من اللازم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بعض أقسام الوقف ، كالوقف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والقناطر والجسور والخانات الموقوفة في الطرق لنزول عامة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الموقوف عليه فيها قابلا لأن يتملك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الملكيّة أمر اعتباري وليس عرضا خارجيّا فتابع لاعتبار المعتبرين ، فإذا اعتبروه لهذه الجهات فيتحقّق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وإن كان كذلك ، ولكن العقلاء أو الشارع لا يعتبرون ذلك الأمر الاعتباري إلاّ في مورد يكون مصحّحا لاعتبارهم ، فلا يعتبرون الولاية أو القيمومة على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لسفيه أو مجنون ، ونرى بالوجدان أنّهم يستنكرون اعتبار الملكيّة لجماد أو نبات ، بل ولحيوان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هذه الدعوى معارض بمثلها ، وهو أنّه كما يستكشف من وجود الأثر واللازم وجود الملزوم ، كذلك يستكشف من نفي الأثر واللازم نفي الملزوم ، ولا شكّ أنّ من لوازم الملكيّة جواز التصرّف في الملك ببيع أو هبة أو صلح وسائر التقلّبات المشروعة في عالم الاعتبار التشريعي ، ولا شكّ في أنّ الموقوف عليه ليس له هذه التصرّفات حقيقة ، إذ هي ضدّ حقيقة الوقف الذي هو الحبس والإيقاف في عالم الاعتبار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بعدم الملكيّة لعدم جواز هذه التصرّفات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في كلا المقامين واحد ، وهو أنّه لا وجود اللازم الأعمّ يدلّ على </w:t>
      </w:r>
    </w:p>
    <w:p>
      <w:pPr>
        <w:pStyle w:val="BookText"/>
        <w:rPr/>
      </w:pPr>
      <w:r>
        <w:rPr>
          <w:rFonts w:ascii="Amiri" w:hAnsi="Amiri" w:eastAsia="Amiri" w:cs="Amiri"/>
          <w:color w:val="111111"/>
          <w:sz w:val="28"/>
          <w:sz w:val="28"/>
          <w:szCs w:val="28"/>
          <w:rtl w:val="true"/>
          <w:lang w:bidi="ar-SA"/>
        </w:rPr>
        <w:t>وجود الملزوم الخاصّ ، ولا نفي الأثر الذي ليس لازما لنفس الطبيعة ، بل قد يكون وقد لا يكون لنفي 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في العين وجواز ورود التقلّبات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أثرا لطبيعة الملك مطلقا ، سواء أكان طلقا أو غير طلق ، بل أثر للملك الطلق ، والوقف على تقدير كونه ملكا ليس بطلق ، فنفي اللازم وإن كان يدلّ على نفي الملزوم ، لكن فيما إذا كان من لوازم الشي‌ء مطلقا ، لا من لوازم بعض أقسامه ، كما فيما نحن فيه ، نعم يدلّ على نفي ذلك القسم الذي هو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الوقف على الجهات ، فقال بعدم انتقال الملك إلى تلك الجهة ، لعدم قابليّتها للتملّك ، ونفي البعد عن الانتقال إلى الموقوف عليهم في الأوقاف الخاصّة ، والعناوين العامّة القابلة للتملّك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وتفصيل بلا دليل ، ولم يقم هو دليل على هذه الدعوى ، وما ذكروه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وللوقف على الأولاد في مقام الإنشاء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أولاده بدون قيد الصلبي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أولاده بدون قيد الصلبي ، فهل يشمل أولاد أولاده ، أو يختص بالصلبي؟</w:t>
      </w:r>
    </w:p>
    <w:p>
      <w:pPr>
        <w:pStyle w:val="BookText"/>
        <w:rPr/>
      </w:pPr>
      <w:r>
        <w:rPr>
          <w:rFonts w:ascii="Amiri" w:hAnsi="Amiri" w:eastAsia="Amiri" w:cs="Amiri"/>
          <w:color w:val="111111"/>
          <w:sz w:val="28"/>
          <w:sz w:val="28"/>
          <w:szCs w:val="28"/>
          <w:rtl w:val="true"/>
          <w:lang w:bidi="ar-SA"/>
        </w:rPr>
        <w:t>أي بدون واسطة ، كما أنّه لو كان مقيّدا بالصلبي لا يشملهم يقينا إلاّ مع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المشهور اختصاصه بالصلبي ، وعدم شموله لأولاد الأولاد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الكلمة بحسب الوضع اللغوي تكون موضوعه لمطلق الولد ، سواء أكان بلا واسطة أو معها ، فيشمل الجميع ، إلاّ أن يدّعي الانصراف وهو غير بعيد ، لأنّ مشهور الفقهاء الكبار إذا فهموا منه كون الولد بلا واسطة مع أنّ الأساطين منهم </w:t>
      </w:r>
    </w:p>
    <w:p>
      <w:pPr>
        <w:pStyle w:val="BookText"/>
        <w:rPr/>
      </w:pPr>
      <w:r>
        <w:rPr>
          <w:rFonts w:ascii="Amiri" w:hAnsi="Amiri" w:eastAsia="Amiri" w:cs="Amiri"/>
          <w:color w:val="111111"/>
          <w:sz w:val="28"/>
          <w:sz w:val="28"/>
          <w:szCs w:val="28"/>
          <w:rtl w:val="true"/>
          <w:lang w:bidi="ar-SA"/>
        </w:rPr>
        <w:t>عربيّون وهم أعرف بظواهر لغتهم ، والمناط في باب الألفاظ هو ظهورها في معنى ، فإنّه حجّة ، لا أنّه موضوع لكذا أو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وأولاد أولادي ، فهل يشمل خصوص البطن الأوّل والثاني فقط ، أو يعمّ جميع البطون؟</w:t>
      </w:r>
    </w:p>
    <w:p>
      <w:pPr>
        <w:pStyle w:val="BookText"/>
        <w:rPr/>
      </w:pPr>
      <w:r>
        <w:rPr>
          <w:rFonts w:ascii="Amiri" w:hAnsi="Amiri" w:eastAsia="Amiri" w:cs="Amiri"/>
          <w:color w:val="111111"/>
          <w:sz w:val="28"/>
          <w:sz w:val="28"/>
          <w:szCs w:val="28"/>
          <w:rtl w:val="true"/>
          <w:lang w:bidi="ar-SA"/>
        </w:rPr>
        <w:t xml:space="preserve">فذهب المشهور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بلا واسطة ، أي البطن الأوّل ، وكلمه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البطن الثاني فقط ، فلا يعمّ جميع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 لأنّ ذكر أولاد أولادي قرينة على عدم عموم كلمة أولادي الأوّل ، وإلاّ لما كان يحتاج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أيضا قرينة على اختصاصه بالبطن الثاني فقط ، ولا يشمل سائر البطون لعين تلك الجهة ، إذ لو يؤخذ بعموم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ذكره محتاج إليه بل كان لغوا ، فيكون ذكره قرينة على عدم العموم في المضاف وفي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شمولها للذكر والأنثى بل الخنثى ، وإن كان الولد بحسب الوضع اللغوي عامّا يشمل الذكر والأنثى والخنثى ، ولكن حيث قلنا إنّ المناط هو الظهور لا المعنى الحقيقي ، فلا بدّ من مراعاة الظهورات ، وهي تختلف بحسب الأعصار والأمصار ، ففي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لفظ الولد إلى الذكر ، ولا يشمل الأنثى ولا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الواقف من أهل هذه البلاد وفي هذا الزمان ، يجب الأخذ بظاهرهما وما هو المتفاهم العرفي بينهم ، وإن كان بحسب الوضع اللغوي له معنى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نسلا بعد نسل وبطنا بعد بطن ، فهل يشمل البطون على الترتيب أو على التشريك؟ بمعنى أنّ الابن يشارك أباه ، وكذا ابن الابن يشارك أباه وجدّه وهكذا ، أو لا يصل إلى الطبقة الثانية إلاّ بعد موت الطبقة الأولى ، فلو كان للواقف ابن واحد حيّ وابن مات أبوه فهل يشارك عمّه ، أو 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القول بالترتيب لا يشارك ، وعلى التشريك يشارك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أنّه يجب الأخذ بظاهر كلامه عند الإنشاء إن لم يعلم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حسب المتفاهم العرفي من هذه العبارة هو الترتيب لا التشريك ، بمعنى أنّه لا تصل النوبة إلى الطبقة الثانية ما دام من الطبقة الأولى يكون موجودا ولو كان واحدا ، فلا تصل إلى أحفاده ما دام أولاده الصلبي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الترتيب بين الطبقات يستفاد من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الأخر ملقى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الوقف لا يبطل بخرابه وانهدامه ، لا بجواز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وقف دكّان أو دار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بيعه أو هبته أو سائر الاعتبارات الواردة عليها ، فكما أنّه لا تبطل تلك العناوين بخرابه وانهدامه ، فكذلك في الوقف ، لأنّه أيضا أحد الاعتبارات الواردة عليه وليس الموقوف عنوان الدار أو الدكّان مثلا ، بل تلك القطعة من الأرض المعنونة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ارتفع العنوان فلا ينعدم موضوع الوقف بالمرّة ، بل الموقوف باق ، غاية الأمر وقع تغيّر فيه ، وهذا التغيير لا يضرّ ببقاء الوقف ولا ببقاء الموقوف عليه ، فلا وجه لبطلان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جاء دليل على أنّه خرج عن كونه وقفا بإتيان دليل على جواز بيعه ، فهو المتّبع ، وإلاّ فمقتضى الأصل بقاء وقفيّته حتّى مع جواز بيعه ، لبقاء الموضوع عرفا ، وهو تلك القطعة من الأرض التي كانت معنونة بعنوان الحمّام أو الدار أو الدكّان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الوقف بجواز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بطلان الشي‌ء إمّا بانعدام علل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بعد انتفاء علل قوامه جميعا لو بعضها أو بقي يلزم الخلف ، أي يلزم أن يكون ما فرضه داخلا في قوامه لا يكون داخلا في قوامه ،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بإتيان دليل تعبّدي على بطلانه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التعبّدي من إجماع أو آية أو رواية معتبرة ، فليس شي‌ء من هذه في </w:t>
      </w:r>
      <w:bookmarkStart w:id="246" w:name="pg15937_235202"/>
    </w:p>
    <w:p>
      <w:pPr>
        <w:pStyle w:val="BookText"/>
        <w:rPr/>
      </w:pPr>
      <w:bookmarkEnd w:id="246"/>
      <w:r>
        <w:rPr>
          <w:rFonts w:ascii="Amiri" w:hAnsi="Amiri" w:eastAsia="Amiri" w:cs="Amiri"/>
          <w:color w:val="111111"/>
          <w:sz w:val="28"/>
          <w:sz w:val="28"/>
          <w:szCs w:val="28"/>
          <w:rtl w:val="true"/>
          <w:lang w:bidi="ar-SA"/>
        </w:rPr>
        <w:t>المقام ، فالعمدة هو الوجه الأوّل ، أي انتفاء شي‌ء ممّا هو داخل في قوامه ، فلا بدّ وأن ينظر ويلاحظ هل عدم جواز البيع من مقوّمات حقيقة الوقف وماهيّته كي يبطل بجواز البيع ، أو من بعض آثاره وأحكامه كي لا يكون ارتفاعه وجوازه موجبا لبطلانه إذا جاء دليل من نصّ أو إجماع على جواز بيعه عند عروض بعض العوارض؟</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الوقف عبارة عن الإيقاف وحبسه عن التقلّبات الاعتباريّة ، كبيعه وهبته والصلح عليه وغير ذلك ، ومقتضى هذا التعريف أنّ عدم جواز البيع كسائر التبدّلات الاعتباريّة داخل في حقيقة البيع وفي قوام ذاته ، أو لا أقلّ من مقتضيات ذاته ، فلا بدّ من القول ببطلانه عند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الوقف وإن كان هو الحبس عن التقلّبات في عالم الاعتبار التشريعي ، ولكن لا مطلقا ، بل ما لم يعرض عليه أحد موجبات جواز بيعه ، وإلاّ ففي صورة حدوث أحد تلك الموجبات لجواز بيعه يجوز بيعه ، مع أنّه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بوقوع البيع خارجا لا يبقى موضوع للوقف ، فيرتفع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يظهر من ظاهر عبارتهم أنّه يجوز بيع الوقف في مورد كذا وكذا ، فإنّ ظاهرها أنّ البيع يرد على الوقف</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6073450_2142443653"/>
      <w:bookmarkStart w:id="248" w:name="_Toc80"/>
      <w:bookmarkEnd w:id="247"/>
      <w:r>
        <w:rPr>
          <w:rtl w:val="true"/>
        </w:rPr>
        <w:t xml:space="preserve">وعلى كلّ حال قالوا بجواز بيع الوقف في موارد وصور </w:t>
      </w:r>
      <w:r>
        <w:rPr>
          <w:rtl w:val="true"/>
        </w:rPr>
        <w:t>:</w:t>
      </w:r>
      <w:bookmarkEnd w:id="2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الوقف بحيث يسقط عن المنفعة بالمرّة ، بمعنى أنّه لا يمكن انتفاع الموقوف عليهم به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جواز البيع في هذه الصورة هو أنّ حبس العين عن البيع وعن سائر التقلّبات كان لأجل أن ينتفع الموقوف عليهم به ، وهذه الغاية هو المراد والمقصود الأصلي من إنشاء الوقف ، فإن لم يمكن الانتفاع به أصلا فيكون الإيقاف لغوا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قلنا من شرائط صحّة الوقف أن يكون الموقوف ذا منفعة محلّلة قابلة </w:t>
      </w:r>
    </w:p>
    <w:p>
      <w:pPr>
        <w:pStyle w:val="BookText"/>
        <w:rPr/>
      </w:pPr>
      <w:r>
        <w:rPr>
          <w:rFonts w:ascii="Amiri" w:hAnsi="Amiri" w:eastAsia="Amiri" w:cs="Amiri"/>
          <w:color w:val="111111"/>
          <w:sz w:val="28"/>
          <w:sz w:val="28"/>
          <w:szCs w:val="28"/>
          <w:rtl w:val="true"/>
          <w:lang w:bidi="ar-SA"/>
        </w:rPr>
        <w:t>للتسبيل ، فالمنع عن البيع يكون لأجل هذه الجهة ، فإذا لم تكن منفعة في البين فلا مانع عن البيع ، لأنّ إبقاءه لغو ولا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المنع ، فادّعاء الإجماع على عدم جواز البيع ، مع ذهاب الأكثر إلى الجواز في هذه الصورة فممّا لا ينبغي أن يتفوّه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أبي الحسن علیه السلام في رواية عليّ بن راشد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شراء الوقف ، ولا تدخل الغلة في ملكك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لا إطلاق لها يشمل هذه الصورة ، لورود هذه الرواية في مورد وجود منفعة العين الموقوفة كاملة ، وإنّما كان سؤال الراوي عن اشتراء الوقف من جهة مجهوليّة الموقوف عليه ، 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ادفعها إلى من أوقفت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أعرف لها ربّا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بغلتها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علیه السلام في مقام بيان أنّ الوقف بأيّ حال من الأحوال لا يجوز شراؤها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منصرفة عن هذه الصورة التي ترجع إلى إبقائها بلا فائدة حتّى تتلف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أنّ الوقف ليس على حدّ سائر الأملاك المطلقة ، بحيث يجوز بيعه وشراؤه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فأجنبيّ عن هذا المقام ، لأنّ ظاهره لزوم العمل على طبق ما قرّره الواقف من القيود والشروط حين إنشاء الوقف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إبقاؤها وعدم بيعها بعد ما لم تكن لها منفعة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إبقاؤها لغوا وبلا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الكيفيّة التي أنشأ الواقف الوقف بتلك الكيفيّة ، ولا من الشروط أو القيود التي قرّر الوقف عليها حال الإنشاء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لا 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طائفة من الأخبار المتقدّمة ، </w:t>
      </w:r>
      <w:r>
        <w:rPr>
          <w:rStyle w:val="FootnoteAnchor"/>
          <w:rtl w:val="true"/>
        </w:rPr>
        <w:footnoteReference w:id="304"/>
      </w:r>
      <w:r>
        <w:rPr>
          <w:rFonts w:ascii="Amiri" w:hAnsi="Amiri" w:eastAsia="Amiri" w:cs="Amiri"/>
          <w:color w:val="111111"/>
          <w:sz w:val="28"/>
          <w:sz w:val="28"/>
          <w:szCs w:val="28"/>
          <w:rtl w:val="true"/>
          <w:lang w:bidi="ar-SA"/>
        </w:rPr>
        <w:t>فالظاهر أنّ المراد منه أنّ الوقف ليس على حدّ سائر الأملاك المطلقة ، بل لا يجوز بيعه وشراؤه إلاّ بعد دليل على الجواز في بعض الحالات الطارئة عليه ، فيكون مخصّصا لأدلّة عدم جواز بيعه إن كان لها عموم ، ومقيّدا إن كان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ذلك الدليل الدالّ على الجواز حاكما على أصالة عدم جواز البيع ، أو استصحاب المنع الذي كان قبل طروّ تلك الحالة ، على تقدير جريانه وتماميّة أركانه ، فيدور الأمر بين أحد هذه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إبقاؤها حتّى 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يأباه الذوق الفقهي والفهم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وإعطاء ثمنه للموجودين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تضييع لحقّ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 بعين أخرى تكون ذات منفعة جارية كالمبدّل ، فتكون صدقة جارية كالأصل ، وربما يكون في البدل نفعا أكثر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يوجّه التبديل ، مضافا إلى ما ذكرنا أنّ الواقف أنشأ حبس العين بجهاتها الثلاث لجريان منافعها على الموقوف عليهم ، والمراد من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 والنوعيّة ، والماليّة للعين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تعذّر إبقاؤها شرعا بجهاتها الثلاث لكونها لغوا لا فائدة فيه ، ولا يترتّب عليه الأثر المقصود من وقفها ، وإمكان إبقائها بجهتين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 والجهات النوعيّة ، كما إذا كان الموقوف دارا فخربت ، وهي في مكان لا ينتفع بها أصلا ، ولكن أرضها واقعة بجنب دار أو دكّان أو خان يشتريها ربّ تلك الدار أو ذلك الدكّان أو الخان بأعلى القيم ، فيشتري دارا أخرى بثمن تلك الخربة دارا أوسع وأحسن منه بعشر مرّات ، فيمكن إبقاء حبس ماليّة تلك الدار الموقوفة مع جهاتها النوعيّة ، فلا وجه لعدم الالتزام بالإبقاء والقول بذهابه من البين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ذكروا ها هنا احتمالات وأقوال لا يهمّنا ذكرها بعد ما عرفت ممّا هو </w:t>
      </w:r>
    </w:p>
    <w:p>
      <w:pPr>
        <w:pStyle w:val="BookText"/>
        <w:rPr/>
      </w:pPr>
      <w:r>
        <w:rPr>
          <w:rFonts w:ascii="Amiri" w:hAnsi="Amiri" w:eastAsia="Amiri" w:cs="Amiri"/>
          <w:color w:val="111111"/>
          <w:sz w:val="28"/>
          <w:sz w:val="28"/>
          <w:szCs w:val="28"/>
          <w:rtl w:val="true"/>
          <w:lang w:bidi="ar-SA"/>
        </w:rPr>
        <w:t>الصواب ، فذكرها والنقض على بعضها وإبرام بعضها الآخر لا فائدة فيها إلاّ تطويل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خرابه سببا لقلّة الانتفاع به ، كما إذا خرب دكّان أو خان ، وكان نفعهما حين ما كانا دكّانا وخانا كثيرا ، لأنّهم كانوا يستأجرونهما لمحلّ كسبهم وتجارتهم ، ولكن بعد خرابها وصيرورتها عرصتين وإن كانوا يستأجرونهما بمقدار قليل لبعض الحوائج ، ولكن بالنسبة إلى النفع الأوّل في حكم العدم ، فالمشهور ذهبوا إلى عدم جواز بيعه ، لأنّ إبقاءه ليس بلا فائدة ، غاية الأمر قليلة ولو كان قلّة المنفعة كانت سببا لجواز البيع ، فإذا كان الدكّان أو الخان في سوق كثير المارّة مزدحمة بالناس ، ثمَّ اتّفق أن صار ذلك السوق قليل المارّة بواسطة وجود الشوارع والأسواق المعمورة في ذلك البلد وإقبال الناس عليها ، فيقلّ طلاّب ذلك الدكّان أو ذلك الخان ، وربما يبلغ في القلّة ونزول غلّته إلى عشر ما كان في الأوّل ، فهل ترضى من نفسك أن تقول بجواز بيع مثل ذلك الدكّان والخان؟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المشهور إليه من عدم جواز بيعه في هذه الصورة جيّد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قلّت منفعته بمقدار لا يعدّه العرف ذا منفعة ، بل يرونه عادم المنفعة ، فالظاهر إلحاقه بالصورة الأولى ، لأنّ الوقفيّة أيضا اعتبار من اعتبارات الشرع ، بل هو أيضا مثل الملكيّة من الاعتبارات العرفيّة التي أمضاها الشارع ، وليس من مخترعاته ، فإذا كان نفعه قليلا بحيث يرى العرف حبسه وتسبيل منفعته لغوا ، فلا تشمله أدلّة المنع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بجريان استصحاب عدم جواز البيع قبل أن تقلّ منفعته إلى ذلك الحدّ ، وذلك أيضا فيما إذا حصل الشك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اعتبار الوقف لغوا في مثل هذا المال الذي بنظرهم يكون مسلوب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منفعة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شكّ كي يستصحب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العنوان الذي وقفه الواقف بذلك العنوان ، كالحمّام والبستان ، فوقف الأوّل لأن يغتسل فيه الزوّار أو الطلاّب مثلا ، والثاني لأن ينتفع بثمرته الفقراء ، فخربا وصارا عرصتين ، ولكن يمكن أن ينتفع الموقوف عليهم بهما بعد خرابهما وزوال عنوانهما بمنافع أخر أكثر من الأوّل أو ما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جماعة بجواز بيعهما بعد زوال عنوانهما ، لأنّ الواقف وقف الحمّام أو البستان ، والمفروض أنّ ما هو الموجود ليس بحمّام ولا ببستان ، فلم يبق ما هو الموقوف كي يقال بوقفيّته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الوقف بهذه العناوين مثل تعلّق البيع والهبة بها ، فكما أنّه لو باع الحمّام أو البستان ، أو وهبهما لا يخرجان عن ملك المشتري أو الموهوب له بزوال عنوانيهما وصيرورتهما عرصتين ، فكذلك لا يخرجان عن الوقفيّة بزوال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الحمّام أو البستان في البيع والهبة مورد ، وفي الوقف عنوان ، لا يخلو عن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 هذا القائل أنّ في باب البيع والهبة يملك الأرض مع بنائها للمشتري والموهوب له ، ولذلك لو خربا وانهدما لا تخرج أرضهما عن ملكه ، بخلاف الواقف فإنّه يحبس هذا العنوان لتسبيل منفعته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فعمدة نظره إلى تسبيل منفعة هذا العنوان ، فإذا زال فلا يبقى موضوع للحبس ولا لتسبيل منفعته ، لأنّه بناء على ما ذكرنا يكون مراد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تسبيل منفعة هذا العنوان ، لا منفعة هذه الأرض التي بنى عليها هذا العنوان ، فإذا وقف دارا على أن يسكن فيه إمام المسجد الفلاني مثلا ، فانهدمت وصارت عرصة لا بناء عليها ، فإنّه وإن كان من الممكن أن تكون لتلك الأرض منافع كثيرة ، يجعلها مخزن للبعض الأجناس ، أو محلاّ للسيّارات ، ولكن هذه المنافع لم ينشأ نسبتها من </w:t>
      </w:r>
    </w:p>
    <w:p>
      <w:pPr>
        <w:pStyle w:val="BookText"/>
        <w:rPr/>
      </w:pPr>
      <w:r>
        <w:rPr>
          <w:rFonts w:ascii="IRNazanin" w:hAnsi="IRNazanin" w:eastAsia="IRNazanin"/>
          <w:color w:val="111111"/>
          <w:sz w:val="28"/>
          <w:sz w:val="28"/>
          <w:szCs w:val="28"/>
          <w:rtl w:val="true"/>
          <w:lang w:bidi="fa-IR"/>
        </w:rPr>
        <w:t>طرف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قلنا بأنّ حقيقة الوقف تمليك للموقوف عليهم لكان حال الوقف حال البيع والهبة ، وقياسه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أنّ حقيقة الوقف هو إيقاف العين لتسبيل ثمرتها ، أو هو مركّب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إعادة العنوان ممكنا بمقدار من غلّته ، كما إذا كانت إعادة البستان أو كونه حمّاما أو دكّانا أو خانا ، وهكذا بغرس الأشجار في الأوّل ، وبناء مثل ما انهدم في البقية بأن يواجره لمدّة ، خصوصا إذا كانت المدّة قليلة ، فلا يبعد عدم جواز بيعه ولزوم إعادة عنوانه ، مثلا الدكّان الذي وقع في محلّ مرغوب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ويستأجرونه بمقدار كثير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ويمكن إعادة عنوانه بنصف إجارته السنويّة لا يصحّ بيعه وإبطال الوقف مع إمكان إبقائه عرفا ، وإن كان بتجديد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والحال في سائر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عدم بطلان وقفيّته بخرابه وانهدامه ، وكلامنا الآن في عدم جواز بيعه بعد الفراغ عن عدم بطلان 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في وجه جواز بيعه هو الذي أثبتنا فساده وبطلانه في مقام بيان عدم زوال وقفيّته بالخراب والانهدام ، فالحقّ أنّه لا يجوز بيعه بصرف زوال عنوانه مع بقاء منفعته بمقدار يعتنى به ، وخصوصا إذا كان إعادة عنوانه ممكنا بمقدار من غلّته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بيعها أنفع وأعود للموقوف عليهم ، بأن يبيعوها ويشترون بثمنها شيئا من أمثالها ، أو من غير أمثالها ، ويقفونه على من كان موقوفا عليه على النهج الوقف الأوّل ، وتكون غلّة الثاني أكثر بمقدار معتدّ به ، بل اتّفق في زماننا أنّه لو كان بيعها صحيحا في هذه الصورة يكون أعود عليهم بآلاف مرّة ، بل ليس قابلا للقياس عرفا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مزرعة وقفا على مدرسة دينيّة تزرع فيها </w:t>
      </w:r>
    </w:p>
    <w:p>
      <w:pPr>
        <w:pStyle w:val="BookText"/>
        <w:rPr/>
      </w:pPr>
      <w:r>
        <w:rPr>
          <w:rFonts w:ascii="Amiri" w:hAnsi="Amiri" w:eastAsia="Amiri" w:cs="Amiri"/>
          <w:color w:val="111111"/>
          <w:sz w:val="28"/>
          <w:sz w:val="28"/>
          <w:szCs w:val="28"/>
          <w:rtl w:val="true"/>
          <w:lang w:bidi="ar-SA"/>
        </w:rPr>
        <w:t>الخضروات ، فصارت متّصلة بمكان مرغوب من بلد كبير مزدحمة بالسكّان ، يشترون كلّ متر من أرض تلك القرية بمقدار كثير من المال ، بحيث يمكن أن تكون منفعة ثمن هذا المتر الواحد لو يشترون به شيئا آخر مساويا لمنفعة تمام تلك القرية التي هي مئات ألوف من الأمتار ، فهذا شي‌ء غير قابل للقياس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بيعها في هذه الصورة ، أم لا؟</w:t>
      </w:r>
    </w:p>
    <w:p>
      <w:pPr>
        <w:pStyle w:val="BookText"/>
        <w:rPr/>
      </w:pPr>
      <w:r>
        <w:rPr>
          <w:rFonts w:ascii="Amiri" w:hAnsi="Amiri" w:eastAsia="Amiri" w:cs="Amiri"/>
          <w:color w:val="111111"/>
          <w:sz w:val="28"/>
          <w:sz w:val="28"/>
          <w:szCs w:val="28"/>
          <w:rtl w:val="true"/>
          <w:lang w:bidi="ar-SA"/>
        </w:rPr>
        <w:t xml:space="preserve">حكى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بيعه ، </w:t>
      </w:r>
      <w:r>
        <w:rPr>
          <w:rStyle w:val="FootnoteAnchor"/>
          <w:rtl w:val="true"/>
        </w:rPr>
        <w:footnoteReference w:id="305"/>
      </w:r>
      <w:r>
        <w:rPr>
          <w:rFonts w:ascii="Amiri" w:hAnsi="Amiri" w:eastAsia="Amiri" w:cs="Amiri"/>
          <w:color w:val="111111"/>
          <w:sz w:val="28"/>
          <w:sz w:val="28"/>
          <w:szCs w:val="28"/>
          <w:rtl w:val="true"/>
          <w:lang w:bidi="ar-SA"/>
        </w:rPr>
        <w:t xml:space="preserve">ولكن أنكر بعض صحّة هذه الحكاية ، والذي رأيته في المقنعة عبارته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تغيير الشرط في الوقف إلى غيره أعود عليهم وأنفع لهم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العبارة لا تدلّ على جواز بيع الوقف إن كان البيع أعود لهم ، بل راجع إلى تغيير الشرط إذا كان ذلك التغيير أنفع لهم ، كما إذا شرط أن يكون زرعه شعيرا ، وكانت الحنطة أعود وأنفع لهم ، أو شرط أن يشغل فيه خباز ، وكانت الصيدلة أنفع لهم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مقتضى أدلّة المنع التي تقدّم ذكرها عدم جواز بيعها ، وليس مخرج عنها إلاّ ما يتوهّم من دلالة بعض الروايات على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جعفر بن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فللورثة من قرابة الميّت أن يبيعوا الأرض إن احتاجوا ولم يكفهم ما يخرج من الغلّة؟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رضوا كلّهم وكان البيع خيرا لهم باعوا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الحميري ، كتب إلى صاحب الزمان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p>
    <w:p>
      <w:pPr>
        <w:pStyle w:val="BookText"/>
        <w:rPr/>
      </w:pPr>
      <w:r>
        <w:rPr>
          <w:rFonts w:ascii="IRNazanin" w:hAnsi="IRNazanin" w:eastAsia="IRNazanin"/>
          <w:color w:val="111111"/>
          <w:sz w:val="28"/>
          <w:sz w:val="28"/>
          <w:szCs w:val="28"/>
          <w:rtl w:val="true"/>
          <w:lang w:bidi="fa-IR"/>
        </w:rPr>
        <w:t xml:space="preserve">الصادق علیه السلام غير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الوقف على قوم بأعيانهم وأعقابهم فاجتمع أهل الوقف على بيعه ، وكان ذلك أصلح ، لهم أن يبيعوه ، فهل يجوز أن يشتري من بعضهم ان لم يجتمعوا كلّهم على البيع ، أم لا يجوز إلاّ أن يجتمعوا كلّهم على ذلك؟ وعن الوقف الذي لا يجوز بيعه؟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الوقف على إمام المسلمين فلا يجوز بيعه ، وإذا كان على قوم من المسلمين فليبع كلّ قوم ما يقدرون على بيعه مجتمعين ومتفرّقين إن شاء اللّه تعالى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السؤال أنّه يجوز بيع الوقف عند احتياج الموقوف عليهم ، وعدم كفاية غلّته لهم ، فأجاب علیه السلام بالجواز مع رضائه كلّهم ، وكان البيع خيرا لهم ، وهذه الصورة غير التي الآن محلّ كلامنا ، وسيأتي الكلام فيها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جواز البيع مطلقا ، سواء أكان أعود أو لم يكن كذلك ،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خارج عمّا هو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الموقوف عليهم ضرورة شديدة وحاجة ولا يكفيهم 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إلى صحّة البيع وجوازه في هذه الصورة ، وحكى عن السيّدين المرتضى </w:t>
      </w:r>
      <w:r>
        <w:rPr>
          <w:rStyle w:val="FootnoteAnchor"/>
          <w:rtl w:val="true"/>
        </w:rPr>
        <w:footnoteReference w:id="309"/>
      </w:r>
      <w:r>
        <w:rPr>
          <w:rFonts w:ascii="Amiri" w:hAnsi="Amiri" w:eastAsia="Amiri" w:cs="Amiri"/>
          <w:color w:val="111111"/>
          <w:sz w:val="28"/>
          <w:sz w:val="28"/>
          <w:szCs w:val="28"/>
          <w:rtl w:val="true"/>
          <w:lang w:bidi="ar-SA"/>
        </w:rPr>
        <w:t xml:space="preserve">وابن زهرة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الإجماع على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الاستدلال على الجواز هو قوله علیه السلام في خبر جعفر بن حنّان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رضوا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السائل ، حيث يسأل عن جواز البيع إن احتاجوا ولم يكفهم غلّته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الجواب هو جواز البيع مطلقا ، لأنّ العبرة بعموم </w:t>
      </w:r>
    </w:p>
    <w:p>
      <w:pPr>
        <w:pStyle w:val="BookText"/>
        <w:rPr/>
      </w:pPr>
      <w:r>
        <w:rPr>
          <w:rFonts w:ascii="Amiri" w:hAnsi="Amiri" w:eastAsia="Amiri" w:cs="Amiri"/>
          <w:color w:val="111111"/>
          <w:sz w:val="28"/>
          <w:sz w:val="28"/>
          <w:szCs w:val="28"/>
          <w:rtl w:val="true"/>
          <w:lang w:bidi="ar-SA"/>
        </w:rPr>
        <w:t>الجواب لا بخصوصيّة المورد ، ولا بالخصوصيّة التي تذكر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هاتين الروايتين وإعراض الأصحاب عنهما وعدم العمل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عدم جواز البيع في هذه الصورة أيضا ، بملاحظة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أرباب الوقف اختلاف ربما ينجرّ إلى تلف الأموال والنفوس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جماعة إلى جواز بيعه في هذه الصورة ، وعمدة الدليل على هذا القول هو مكاتبة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فلانا ابتاع ضيعة ، فأوقفها وجعل لك في الوقف الخمس ، ويسأل عن رأيك في بيع حصّتك من الأرض ، أو تقويمها على نفسه بما أشتريها ، أو يدعها موقوفة؟ فكتب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فلانا أنّي آمره ببيع حقّي من الضيعة ، وإيصال ثمن ذلك إليّ ، وإنّ ذلك رأيي إن شاء اللّه ، أو يقوّمها على نفسه إن كان ذلك أوفق له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ذكر أنّ بين من وقف عليهم هذه الضيعة اختلافا شديدا ، وأنّه ليس يأمن أن يتفاقم ذلك بينهم بعده ، فإن كان ترى أن يبيع هذا الوقف ، ويدفع إلى كلّ إنسان منهم ما وقف له من ذلك أمرته؟ فكتب إليّ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أن يبيع الوقف أمثل ، فإنّه ربما جاء في الاختلاف تلف الأموال والنفوس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الرواية على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الموقوف عليهم اختلافا يظنّ </w:t>
      </w:r>
    </w:p>
    <w:p>
      <w:pPr>
        <w:pStyle w:val="BookText"/>
        <w:rPr/>
      </w:pPr>
      <w:r>
        <w:rPr>
          <w:rFonts w:ascii="Amiri" w:hAnsi="Amiri" w:eastAsia="Amiri" w:cs="Amiri"/>
          <w:color w:val="111111"/>
          <w:sz w:val="28"/>
          <w:sz w:val="28"/>
          <w:szCs w:val="28"/>
          <w:rtl w:val="true"/>
          <w:lang w:bidi="ar-SA"/>
        </w:rPr>
        <w:t xml:space="preserve">أنّه يوجب تلف الأموال أو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من المحتمل القريب أن يكون تجويزه علیه السلام ذلك في الوقف المنقطع لا الدائم والمؤيّد الذي هو محلّ الكلام ، لأنّ الوقف المنقطع الآخر مثل الحبس إمّا لا يخرج عن ملك الواقف أصلا ، أو على فرض خروجه يكون خروجه موقّتا وما دام بقاء الموقوف عليهم ، فيجوز للواقف المالك أن يبيع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هذا الاحتمال ظهور الرواية في كون الثمن للموجودين ، ولو كان مؤبّدا لكان منافيا مع حقّ البطون اللاحقة ، فلا بدّ من الحمل على الوقف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المحتمل أن يكون مورد السؤال هو الوقف بعد إجراء الصيغة وقبل القبض ، فيجوز رجوع الواقف وأن يبيعه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الاحتمال أنّ حصّة الإمام علیه السلام كانت قبل القبض يقينا ، لأنّه يخبره بأنّه جعل لك في الوقف الخمس ، والقبض فضولة لا معنى له ، وصاحب الوسائل قدس سره أيضا يدّعي ظهور الرواية في عدم القبض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كونه ، أي تجويزه علیه السلام للبيع في الوقف المنقطع ما عن دعائم الإسلام أنّه ذكر جواب الإمام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رأيي له إن لم يكن جعل آخر الوقف لله أن يبيع حقّي من الضيعة ويوصل ثمن ذلك إليّ ، وأن يبيع القوم إذا تشاجروا ، فإنّه ربما جاء في الاختلاف إتلاف الأموال والأنفس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على صحّة هذا النقل جعل علیه السلام جواز البيع مشروطا بأن لم يجعل آخر الوقف لله تعالى ، وهذا عبارة عن الوقف المنقطع ، ولكن الظاهر أنّه نقل بالمعنى ، فيكون هذا الشرط حسب فهمه واجتهاده في استظهار المراد من الرواية ، فلا اعتبار به ، وعلى فرض عدم كونه اجتهادا منه في فهم المراد ، بل كان نقلا للرواية ، فأيضا لا </w:t>
      </w:r>
    </w:p>
    <w:p>
      <w:pPr>
        <w:pStyle w:val="BookText"/>
        <w:rPr/>
      </w:pPr>
      <w:r>
        <w:rPr>
          <w:rFonts w:ascii="Amiri" w:hAnsi="Amiri" w:eastAsia="Amiri" w:cs="Amiri"/>
          <w:color w:val="111111"/>
          <w:sz w:val="28"/>
          <w:sz w:val="28"/>
          <w:szCs w:val="28"/>
          <w:rtl w:val="true"/>
          <w:lang w:bidi="ar-SA"/>
        </w:rPr>
        <w:t xml:space="preserve">اعتبار به ، لأنّه ليس قابلا للمعارضة مع ما رواه في الكافي </w:t>
      </w:r>
      <w:r>
        <w:rPr>
          <w:rStyle w:val="FootnoteAnchor"/>
          <w:rtl w:val="true"/>
        </w:rPr>
        <w:footnoteReference w:id="315"/>
      </w:r>
      <w:r>
        <w:rPr>
          <w:rFonts w:ascii="Amiri" w:hAnsi="Amiri" w:eastAsia="Amiri" w:cs="Amiri"/>
          <w:color w:val="111111"/>
          <w:sz w:val="28"/>
          <w:sz w:val="28"/>
          <w:szCs w:val="28"/>
          <w:rtl w:val="true"/>
          <w:lang w:bidi="ar-SA"/>
        </w:rPr>
        <w:t xml:space="preserve">والتهذيب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في أصل حجّية كتابه كلام بل إشكال ، فالأحسن حمل الرواية على عدم حصول القبض ، كما حمله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مع وجود هذه الاحتمالات لا يبقى مجال لرفع اليد عن الأدلّة المانعة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اشترط الواقف بيعه لو خرب أو قلّ نفعه ، أو إذا كان بيعه أعود عليهم ، أو إذا وقع بينهم الاختلاف ، أو عند حدوث أمر آخر غير المذكورات ، فهل يجوز البيع ويكون الشرط نافذا ، أو يكون الشرط فاسدا ، أو يكون الشرط والوقف كلاهما باطلان بناء على أنّ الشرط الفاسد إذا وقع في ضمن عقد يكون مفسدا لذلك العقد؟</w:t>
      </w:r>
    </w:p>
    <w:p>
      <w:pPr>
        <w:pStyle w:val="BookText"/>
        <w:rPr/>
      </w:pPr>
      <w:r>
        <w:rPr>
          <w:rFonts w:ascii="Amiri" w:hAnsi="Amiri" w:eastAsia="Amiri" w:cs="Amiri"/>
          <w:color w:val="111111"/>
          <w:sz w:val="28"/>
          <w:sz w:val="28"/>
          <w:szCs w:val="28"/>
          <w:rtl w:val="true"/>
          <w:lang w:bidi="ar-SA"/>
        </w:rPr>
        <w:t>والظاهر صحّة الشرط والوقف جميعا ، وذلك لأنّه لا وجه لبطلانهما أو بطلان خصوص الشرط ، إلاّ ما يتوهّم من أنّ هذا الشرط خلاف مقتضي العقد ، أو خلاف الكتاب والسنّة وكلاهما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توهّم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عقد الوقف لو كان عدم جواز البيع مطلقا ، لكان لهذا التوهّم وجه ، ولكنّ الظاهر أنّ عدم جواز البيع مقتضى إطلاق عقدة ، لا مقتضى عقده مطلقا ، ولذلك يصحّ وقف المنقطع الآخر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لذلك قلنا بعدم بطلان الوقف بجواز البيع ، وإنّما يذهب موضوعه بنفس البيع خارجا ، لأنّه بعد البيع خارجا لا يبقى شي‌ء في عالم الاعتبار كي يقال بأنّه موقوف ، والمناط في كون الشرط مخالفا لمقتضى ذات العقد لا لإطلاقه هو أن يكون بين الشرط وبين ما أنشأه مضادّة في عالم الاعتبار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اشترط في عقد الإجارة عدم تصرّف المستأجر في الدار المستأجرة أصلا ، أو عدم استمتاع الزوج من الزوجة أصلا في عقد النكاح ولو بالنظر أو التقبيل ، فتجويز الشارع بيع الوقف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المضادّة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خلاف الكتاب والسنّة لكونه مخالفا للأدلّة الشرعيّة المانعة عن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مفاد تلك الأدلّة ليس عدم جواز بيع الوقف مطلقا ، بل عدم جوازه ما لم يكن دليل على الجواز ، ولذلك لا معارضة بين أدلّة الجواز وبين الأدلّة المانعة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المانعة تدلّ على عدم الجواز بعنوانه الأوّلي ، وأدلّة الجواز عند طروّ حالة أو فيما إذا شرط الواقف ، فيكون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يدلّ على نفوذ الشرط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أنّه يجب أن يشتري بثمنه بعد بيعه بدله وجعله وقفا فلا إشكال قطعا ، وليس خلاف مقتضى العقد يقينا ، وذلك لأنّ كون البيع خلاف الكتاب والسنّة على فرض صحّته يكون فيما لو أتلف ثمنه ، وكذلك كونه خلاف مقتضى العقد ، أمّا لو اشترى بدله فالوقف باق ببقاء الجامع بينهما ، لأنّ عقد الوقف لم يتعلّق بالخصوصيّة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شيخنا الأستاذ </w:t>
      </w:r>
      <w:r>
        <w:rPr>
          <w:rStyle w:val="FootnoteAnchor"/>
          <w:rtl w:val="true"/>
        </w:rPr>
        <w:footnoteReference w:id="318"/>
      </w:r>
      <w:r>
        <w:rPr>
          <w:rFonts w:ascii="Amiri" w:hAnsi="Amiri" w:eastAsia="Amiri" w:cs="Amiri"/>
          <w:color w:val="111111"/>
          <w:sz w:val="28"/>
          <w:sz w:val="28"/>
          <w:szCs w:val="28"/>
          <w:rtl w:val="true"/>
          <w:lang w:bidi="ar-SA"/>
        </w:rPr>
        <w:t xml:space="preserve">تبعا لشيخنا الأعظم </w:t>
      </w:r>
      <w:r>
        <w:rPr>
          <w:rStyle w:val="FootnoteAnchor"/>
        </w:rPr>
        <w:footnoteReference w:id="31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كليهما المشار إليهما هو هذا الشخص الخارجي ، فيتعلّق الوقف بخصوصيّتها العينيّة الشخصيّة ، </w:t>
      </w:r>
    </w:p>
    <w:p>
      <w:pPr>
        <w:pStyle w:val="BookText"/>
        <w:rPr/>
      </w:pPr>
      <w:r>
        <w:rPr>
          <w:rFonts w:ascii="Amiri" w:hAnsi="Amiri" w:eastAsia="Amiri" w:cs="Amiri"/>
          <w:color w:val="111111"/>
          <w:sz w:val="28"/>
          <w:sz w:val="28"/>
          <w:szCs w:val="28"/>
          <w:rtl w:val="true"/>
          <w:lang w:bidi="ar-SA"/>
        </w:rPr>
        <w:t>فالجواب الصحيح هو الذي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قضيّة وقف مولانا أمير المؤمنين علیه السلام عين ينبع </w:t>
      </w:r>
      <w:r>
        <w:rPr>
          <w:rStyle w:val="FootnoteAnchor"/>
          <w:rtl w:val="true"/>
        </w:rPr>
        <w:footnoteReference w:id="320"/>
      </w:r>
      <w:r>
        <w:rPr>
          <w:rFonts w:ascii="IRNazanin" w:hAnsi="IRNazanin" w:eastAsia="IRNazanin"/>
          <w:color w:val="111111"/>
          <w:sz w:val="28"/>
          <w:sz w:val="28"/>
          <w:szCs w:val="28"/>
          <w:rtl w:val="true"/>
          <w:lang w:bidi="fa-IR"/>
        </w:rPr>
        <w:t>يدلّ على جواز اشتراط بيع الوقف مطلقا ، حتّى مع وجود البطن الأوّل وبصرف إرادة الحسن علیه السلام ومع عدم اشتراء بدله بثمنه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يقول شيخنا الأعظم قدس سره أنّ السند صحيح وتأويله مشكل والعمل به أشكل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شيخنا الأستاذ قدس سره في توجيه الصحيحة بأنّه منزل علي أنّ مرجع الشرط إلى أنّ له أن يجعله وقف المنقطع ، وأن يبقيه على حاله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أوقف تلك العين ، ولا يمكن أن يكون وقفه مردّدا بين المؤبّد والمنقطع وأن يكون المنشأ هو الجامع ، ويجعل اختيار أحدهما بيد الحسن علیه السلام بعد مدّة إذا أراد ، 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الصحيحة ومن روايات أخر في قضيّة وقف عين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علیه السلام جعله وقفا مؤبّدا ، لقوله علیه السلام حين ما أوقفه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بتلا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ظهور هذه العبارة في الوقف المؤبّد ، فتجويز بيعه للحسن علیه السلام يدلّ على جواز اشتراط بيع الوقف مطلقا ، حتّى في الوقف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أفاده شيخنا الأعظم قدس سره أنّ العمل به أشكل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فيه أصلا ، بعد ما عرفت أنّ هذا الشرط مناف لمقتضى إطلاق العقد ، لا لمقتضى ذاته</w:t>
      </w:r>
      <w:r>
        <w:rPr>
          <w:rFonts w:eastAsia="Amiri" w:cs="Amiri" w:ascii="Amiri" w:hAnsi="Amiri"/>
          <w:color w:val="111111"/>
          <w:sz w:val="28"/>
          <w:szCs w:val="28"/>
          <w:rtl w:val="true"/>
          <w:lang w:bidi="ar-SA"/>
        </w:rPr>
        <w:t xml:space="preserve">. </w:t>
      </w:r>
      <w:bookmarkStart w:id="249" w:name="pg15937_235215"/>
    </w:p>
    <w:p>
      <w:pPr>
        <w:pStyle w:val="BookText"/>
        <w:rPr/>
      </w:pPr>
      <w:bookmarkEnd w:id="249"/>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ظنّ أنّ بقاءه يؤدّي إلى خرابه ، فيجوز أن يبيعه ويشتري بثمنه بديله ويقفه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كان وقف دارا قريبا من الشط ، فبواسطة تبدّل مجرى الشط لبعض العوارض والطواري صارت على حافة الشط ، فيظنّ أنّها تخرب في أيّام فيضان ماء الشط ، وذلك لأنّ إبقاءها لا طريق له إلاّ بهذا الشكل ، فيدور الأمر بين ذهابه عن البين بالمرّة ، أو بقائه بهذا الشكل ، ولا شكّ في أنّ الثاني أولى وأوفق بغرض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لا يستقيم إلاّ بناء على لزوم إبقاء عين الموقوفة ، ولو كان بماليّتها وخصوصيّاتها الصنفيّة ، وهو مشكل جدّا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6073452_2142443653"/>
      <w:bookmarkStart w:id="251" w:name="_Toc81"/>
      <w:bookmarkEnd w:id="250"/>
      <w:r>
        <w:rPr>
          <w:rtl w:val="true"/>
        </w:rPr>
        <w:t xml:space="preserve">المطلب السابع </w:t>
      </w:r>
      <w:r>
        <w:rPr>
          <w:rtl w:val="true"/>
        </w:rPr>
        <w:t xml:space="preserve">: </w:t>
      </w:r>
      <w:r>
        <w:rPr>
          <w:rtl w:val="true"/>
        </w:rPr>
        <w:t>في المتولّي والناظر للعين الموقوفة</w:t>
      </w:r>
      <w:bookmarkEnd w:id="251"/>
    </w:p>
    <w:p>
      <w:pPr>
        <w:pStyle w:val="BookText"/>
        <w:rPr/>
      </w:pPr>
      <w:r>
        <w:rPr>
          <w:rFonts w:ascii="Amiri" w:hAnsi="Amiri" w:eastAsia="Amiri" w:cs="Amiri"/>
          <w:color w:val="111111"/>
          <w:sz w:val="28"/>
          <w:sz w:val="28"/>
          <w:szCs w:val="28"/>
          <w:rtl w:val="true"/>
          <w:lang w:bidi="ar-SA"/>
        </w:rPr>
        <w:t>وهما بمعنى واحد ، والمراد بهما من ينظر في شؤون المال الموقوف ويدبّر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يطلق المتولّي على المتصرّف والمباشر لتدبير أمور الوقف استقلالا ، أو مع شراكة الغير ، والناظر على من يلزم أن يكون تصرّفات المتولّي باطّلاعه ، أو باستصوابه وتصويبه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الناظر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إعمال المتولّي باطّلاعه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بنظره وتصويبه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التسمية في كلتا الصورتين معلوم ، وقد عبّر عنهما في بعض الأخبار بالوالي ، وهي رواية عبد الرحمن بن الحجّاج ، عن أبي الحسن موسى علیه 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كل حال ففيه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جواز جعل الواقف نفسه استقلالا أو مع شركة الغير ، وكذلك غيره ناظرا ومتولّيا على الوقف في ضمن العقد الذي يقف مالا ، وذلك للإجماع ، ولم ينقل خلاف إلاّ من ابن إدريس قدس سره وعبارته ليس صريحة في الخلاف ، كما ذكره صاحب الجواهر قدس سره ونقل عين عبارته </w:t>
      </w:r>
      <w:r>
        <w:rPr>
          <w:rStyle w:val="FootnoteAnchor"/>
          <w:rtl w:val="true"/>
        </w:rPr>
        <w:footnoteReference w:id="325"/>
      </w:r>
      <w:r>
        <w:rPr>
          <w:rFonts w:ascii="Amiri" w:hAnsi="Amiri" w:eastAsia="Amiri" w:cs="Amiri"/>
          <w:color w:val="111111"/>
          <w:sz w:val="28"/>
          <w:sz w:val="28"/>
          <w:szCs w:val="28"/>
          <w:rtl w:val="true"/>
          <w:lang w:bidi="ar-SA"/>
        </w:rPr>
        <w:t xml:space="preserve">وأنا شاهدتها في كتابه السرائر </w:t>
      </w:r>
      <w:r>
        <w:rPr>
          <w:rStyle w:val="FootnoteAnchor"/>
          <w:rtl w:val="true"/>
        </w:rPr>
        <w:footnoteReference w:id="326"/>
      </w:r>
      <w:r>
        <w:rPr>
          <w:rFonts w:ascii="IRNazanin" w:hAnsi="IRNazanin" w:eastAsia="IRNazanin"/>
          <w:color w:val="111111"/>
          <w:sz w:val="28"/>
          <w:sz w:val="28"/>
          <w:szCs w:val="28"/>
          <w:rtl w:val="true"/>
          <w:lang w:bidi="fa-IR"/>
        </w:rPr>
        <w:t xml:space="preserve">، وعلى كلّ حال مقتضى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المطلقات صحّة هذا الجعل بجميع شقوقه التي ذكرناها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جعل التولية لنفسه ، وجعل حقّ التولية من منافع العين الموقوفة أكثر من أجرة مثل عمله ، ربما يتوهّم أنّه يكون من قبيل الوقف على النفس الذي قلنا إنّه باطل إجماعا ، مضافا إلى عدم كونه تسبيلا للمنفعة الذي يعرف الوقف به ، وقد تقدّم تفصيل ذلك فلا نعيد ، ويجوز أن يجعل في ضمن عقد الوقف أمر جعل التولية بيده ، بأن يعيّن المتولّي والناظر متى شاء ، وكذلك له أن يجعل أمر عزل المتولّي بيده ، بأن يعزله متى شاء وأن ينصب غيره متى شاء ، ويجوز أن يجعل أمر جعل التولية بيد غيره ، بأن يجعل من يريد متوليّا متى شاء ، ويعزل هذا وينصب غيره متى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جميع هذه الشقوق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أيضا أن يجعل لكلّ متولّ أن ينصب متوليّا بعده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يعيّن المتولّي في ضمن نفس العقد ، ومعلوم أنّه لا بدّ في الوقف من متولّ يلي أمره ويدبّر شؤونه ، فهل له أن يعيّن متوليّا على الوقف ، أو للموقوف </w:t>
      </w:r>
    </w:p>
    <w:p>
      <w:pPr>
        <w:pStyle w:val="BookText"/>
        <w:rPr/>
      </w:pPr>
      <w:r>
        <w:rPr>
          <w:rFonts w:ascii="Amiri" w:hAnsi="Amiri" w:eastAsia="Amiri" w:cs="Amiri"/>
          <w:color w:val="111111"/>
          <w:sz w:val="28"/>
          <w:sz w:val="28"/>
          <w:szCs w:val="28"/>
          <w:rtl w:val="true"/>
          <w:lang w:bidi="ar-SA"/>
        </w:rPr>
        <w:t xml:space="preserve">عليهم ، أو للحاكم ، أو يفصّل بين الوقف العامّ فللحاكم ، وبين الوقف الخاصّ فللموقوف عليهم؟ وجوه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الواقف بعد أن تمَّ الوقف يكون كسائر الأجانب ، بناء على ما تقدّم من زوال ملكه بالوقف ، فلو لم يعيّن في متن العقد فليس له أيّ مداخلة في شؤون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له النظر في شؤون هذه العين التي وقفها ، وأيضا كان له أن يعيّن غيره للنظر فيها ، والذي معلوم زواله بالوقف هو الملك لا كون النظر فيها وتدبير شؤونها بنفسه أو بتعيين الغير له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النظر له من شؤون الملكيّة ، فإذا زالت فيزول قطعا ، فلا يبقى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فيدور الأمر بين أن يكون أمر التولية وتعيين الناظر بيد الحاكم أو الموقوف عليه ، وقد تقدّم الوقف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والقناطر والخانات الموقوفة للمسافرين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يملكه أحد ، ففي مثل هذه الأوقاف لا شبهة في أنّ أمر توليتها بيد الحاكم ، بأن يباشر تدبير شؤونها إمّا بنفسه ، وإمّا بأن يعيّن 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الأوقاف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أولاده وذراريه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والأوقاف على العناوين العامّة التي قابلة لأن تتملّك ، فبناء على كونهم مالكين للوقف وإن كان في بادئ النظر تأتي إلى الذهن قوّة احتمال أن يكون أمر النظر مباشرة أو تعيينا إليهم ، لكونهم ملاّك ولهم السلطنة على أموالهم بمباشرتهم بأنفسهم ، أو بتعيينهم شخصا آخر ، ولكن عند التأمّل حيث أنّ هذه الملكيّة ليست كسائر الأملاك المطلقة ليكون المالك مطلق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مراعاة حقوق البطون اللاحقة أيضا في جميع التصرّفات على أنحائها في هذا الملك ، وليست البطون اللاحقة بالنسبة إلى البطن السابق كالوارث ، لأنّ المورث مطلق العنان ، وملكه طلق ، بخلاف البطن السابق بالنسبة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ولاية التصرّف في هذا الملك الذي لا بدّ من ملاحظة </w:t>
      </w:r>
    </w:p>
    <w:p>
      <w:pPr>
        <w:pStyle w:val="BookText"/>
        <w:rPr/>
      </w:pPr>
      <w:r>
        <w:rPr>
          <w:rFonts w:ascii="Amiri" w:hAnsi="Amiri" w:eastAsia="Amiri" w:cs="Amiri"/>
          <w:color w:val="111111"/>
          <w:sz w:val="28"/>
          <w:sz w:val="28"/>
          <w:szCs w:val="28"/>
          <w:rtl w:val="true"/>
          <w:lang w:bidi="ar-SA"/>
        </w:rPr>
        <w:t>حقوق آخرين ، فتكون الولاية في أمرهم للحاكم ، لأنّهم بمنزلة الغيّب والقصر ، بل أنزل منهم ، فالمتعيّن أن يكون المرجع في تعيين الناظر والمتولّي هو الحاكم حتّى في الأوقاف الخاصّة ، كالوقف على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التصرّفات من طرف الموقوف عليهم التي لا يضرّ بحقوق البطون يجوز لهم ولا مانع عنه ، لأنّهم مالكون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العدالة في الناظر ، أم لا؟ أو يفصّل بين من يجعله الواقف فلا تعتبر فيه ، ومن يجعله الحاكم فتعتبر فيه؟</w:t>
      </w:r>
    </w:p>
    <w:p>
      <w:pPr>
        <w:pStyle w:val="BookText"/>
        <w:rPr/>
      </w:pPr>
      <w:r>
        <w:rPr>
          <w:rFonts w:ascii="Amiri" w:hAnsi="Amiri" w:eastAsia="Amiri" w:cs="Amiri"/>
          <w:color w:val="111111"/>
          <w:sz w:val="28"/>
          <w:sz w:val="28"/>
          <w:szCs w:val="28"/>
          <w:rtl w:val="true"/>
          <w:lang w:bidi="ar-SA"/>
        </w:rPr>
        <w:t xml:space="preserve">ومقتضى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الوقوف على حسب ما يوقفها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فيمن يعيّنه نفس الواقف من ضمن عقد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قيّده في وقف مولانا أمير المؤمنين علیه السلام في قضيّة وقف عين ينبع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وجد فيهم من يرضى بهداه وإسلامه وأمانته ، فإنّه يجعله إليه إن شاء </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ناظرا ، فلا يدلّ على اعتبار العدالة ، لأنّ الهدى والإسلام والأمانة غير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فاسق يفسد الوقف ويفنيه ربما يكون منافيا لجعله صدقة جارية ،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تعتبر العدالة ، بل ولا الأمانة فيمن يجعله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الفاسق الذي لم يعمل بالوقف طبق ما جعله الواقف ، ويهمل شؤونه حتّى يحتمل فناؤه وخرابه ، فلا يبعد وجوب ضمّ الأمين إليه من طرف الحاكم ، وإن كان المتولّي والناظر المنصوص هو نفس الواقف ، فضلا عن أن يكون غيره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حفظ الوقف مطلوب من قبل الشارع ، ولا يرضى بتركه ، فيكون أمره بيد الحاكم ، لأنّه من الحسبيّات ، وحيث أنّ عزله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الوقوف على حسب ما يوقفها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ضمّ أمين إليه بمنعه عن التعدّي وعن الإهمال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يعيّنه الحاكم فلا بدّ وأن يكون ثقة وأمينا ، لأنّه لا بدّ في جعله من مراعاة مصلحة الوقف ، فليس له أن يأتمن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الفاسق الذي يرتكب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صغيرة ، فإن كان أمينا موثوقا في أعماله ، بحيث يطمئنّ بعدم إهماله شؤون الوقف وتدبير أمره ، ويعمل على طبق الوقف ولا يتعدّى عن مضمون الوقف ، فالقول بعدم جواز تعيينه متوليّا وناظرا مشكل ، لعدم دليل على اعتبار عدالة الناظر ، إلاّ كونها موجبة للاطمئنان بحفظ شؤون الوقف ، فإذا حصل من دونها فلا وجه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ادّعاء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الكفاية </w:t>
      </w:r>
      <w:r>
        <w:rPr>
          <w:rStyle w:val="FootnoteAnchor"/>
          <w:rtl w:val="true"/>
        </w:rPr>
        <w:footnoteReference w:id="328"/>
      </w:r>
      <w:r>
        <w:rPr>
          <w:rFonts w:ascii="Amiri" w:hAnsi="Amiri" w:eastAsia="Amiri" w:cs="Amiri"/>
          <w:color w:val="111111"/>
          <w:sz w:val="28"/>
          <w:sz w:val="28"/>
          <w:szCs w:val="28"/>
          <w:rtl w:val="true"/>
          <w:lang w:bidi="ar-SA"/>
        </w:rPr>
        <w:t xml:space="preserve">والرياض </w:t>
      </w:r>
      <w:r>
        <w:rPr>
          <w:rStyle w:val="FootnoteAnchor"/>
          <w:rtl w:val="true"/>
        </w:rPr>
        <w:footnoteReference w:id="329"/>
      </w:r>
      <w:r>
        <w:rPr>
          <w:rFonts w:ascii="IRNazanin" w:hAnsi="IRNazanin" w:eastAsia="IRNazanin"/>
          <w:color w:val="111111"/>
          <w:sz w:val="28"/>
          <w:sz w:val="28"/>
          <w:szCs w:val="28"/>
          <w:rtl w:val="true"/>
          <w:lang w:bidi="fa-IR"/>
        </w:rPr>
        <w:t xml:space="preserve">والحدائق </w:t>
      </w:r>
      <w:r>
        <w:rPr>
          <w:rStyle w:val="FootnoteAnchor"/>
          <w:rtl w:val="true"/>
        </w:rPr>
        <w:footnoteReference w:id="330"/>
      </w:r>
      <w:r>
        <w:rPr>
          <w:rFonts w:ascii="Amiri" w:hAnsi="Amiri" w:eastAsia="Amiri" w:cs="Amiri"/>
          <w:color w:val="111111"/>
          <w:sz w:val="28"/>
          <w:sz w:val="28"/>
          <w:szCs w:val="28"/>
          <w:rtl w:val="true"/>
          <w:lang w:bidi="ar-SA"/>
        </w:rPr>
        <w:t>فغير مسموع ، مع ذهاب جمع كثير إلى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الواقف لو جعل شخصا ناظرا على المتولّي في ضمن عقد الوقف ، فلا ريب في جواز ذلك له ، لأنّ هذا ليس مخالفا للكتاب ، فبمقتضى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جعله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اطّلاعيّ واستصوابيّ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عبارة عن أنّ كلّ فعل يصدر من المتولّي يلزم أن يكون باطّلاعه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عبارة عن أن يكون بتصويبه ، لا صرف اطّلاعه عمّا فعل ، ففي القسم الأوّل للمتولّي أن يفعل بدون لزوم أخذ الإذن منه ، بل صرف اطّلاعه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القسم الثاني فيحتاج نفوذ تصرّفاته إلى أخذ الإذن منه وتصويبه لذلك الفعل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مقام الثبوت ، وأمّا في مقام الإثبات فلا بدّ من مراجعة كلامه ، وأنّه ظاهر في أيّ واحد من القسمين فيؤخذ به ، وإن يستظهر منه شي‌ء من القسمين ، فلا بدّ </w:t>
      </w:r>
    </w:p>
    <w:p>
      <w:pPr>
        <w:pStyle w:val="BookText"/>
        <w:rPr/>
      </w:pPr>
      <w:r>
        <w:rPr>
          <w:rFonts w:ascii="Amiri" w:hAnsi="Amiri" w:eastAsia="Amiri" w:cs="Amiri"/>
          <w:color w:val="111111"/>
          <w:sz w:val="28"/>
          <w:sz w:val="28"/>
          <w:szCs w:val="28"/>
          <w:rtl w:val="true"/>
          <w:lang w:bidi="ar-SA"/>
        </w:rPr>
        <w:t>للمتولّي في مقام العمل من الجمع بين الأمرين ، أي أخذ الإذن منه واطّلاعه على العمل أيضا ، وذلك من جهة أصالة عدم جواز عمله ونفوذ تصرّفاته إلاّ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لأكثر من واحد ، فتارة على وجه الشركة ، وأخرى على وجه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القسم الأوّل فلا يجوز تصرّف كلّ واحد منهما على الانفراد بدون مداخلة الآخر ، لأنّ معنى الشركة أنّ كلاهما بمنزلة شخص واحد ، كما أنّ الشركة في المال أيضا ذلك ، ولذلك هناك أيضا ليس كلّ واحد منهما مستقلاّ في التصرّف ، فيجب اجتماعهما على تصرّف كي ينفذ ، وإن امتنعا أجبرهما الحاكم مع الإمكان ، وإن لم يمكن فالمرجع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من القسم الثاني ، فإذا اجتمعا فلا إشكال ، وأيّ واحد منهما تصرّف بدون رضا الآخر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كلاهما ، مثلا آجر أحدهما من زيد ، والآخر من عمرو ، قدّم المقدّم ، ولو كانا في زمان واحد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الواقف إذا عيّن وظيفة المتولّي في ضمن عقد الوقف ، فيعمل بما عيّن له من الوظيفة ، وإذا لم يعيّن وظيفة وجعله متوليّا من دون بيان عمل له ، فالظاهر من هذه العبارة والمتفاهم العرفي منه أنّه عليه تدبير شؤون الوقف ، من حفظه عن الخراب ، وإجارته ، وتحصيل مال الإجارة نقدا وجنسا ، وتقسيمه على الموقوف عليهم ، وإيصال حصّة كلّ واحد منهم إليهم ، وغير ذلك ممّا هو وظيفة المتولّي عند العرف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أنّه بعد البناء على لزوم العمل بما أراده الواقف من لفظ المتولّي حال الجعل ، فطريق تشخيص مراده هو ظهور كلامه ، ففي أيّ معنى كان ظاهرا فيه فيحكم بأنّه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أصالة الظهور وحجّية الظواهر ، ومعنى الظهور هو ما يفهم العرف من الكلام عند إلقائه إليه ، ففيما نحن فيه إذا قال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المال الفلاني </w:t>
      </w:r>
      <w:bookmarkStart w:id="252" w:name="pg15937_235221"/>
    </w:p>
    <w:p>
      <w:pPr>
        <w:pStyle w:val="BookText"/>
        <w:rPr/>
      </w:pPr>
      <w:bookmarkEnd w:id="252"/>
      <w:r>
        <w:rPr>
          <w:rFonts w:ascii="Amiri" w:hAnsi="Amiri" w:eastAsia="Amiri" w:cs="Amiri"/>
          <w:color w:val="111111"/>
          <w:sz w:val="28"/>
          <w:sz w:val="28"/>
          <w:szCs w:val="28"/>
          <w:rtl w:val="true"/>
          <w:lang w:bidi="ar-SA"/>
        </w:rPr>
        <w:t xml:space="preserve">وجعلت فلانا ناظرا ومتوليّا عليه ، فما يفهمه العرف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العرف يفهم الذي يكون عليه ما ذكرنا من إدارة شؤون الوقف من عمارة ما انهدم منه ، أو ما يوجب حفظه عن الانهدام ، وجمع غلّته وتقسيمه 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لغير المتولّي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موقوفا عليه ، أو وإن كان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التصرّفات ، أم لا؟</w:t>
      </w:r>
    </w:p>
    <w:p>
      <w:pPr>
        <w:pStyle w:val="BookText"/>
        <w:rPr/>
      </w:pPr>
      <w:r>
        <w:rPr>
          <w:rFonts w:ascii="IRNazanin" w:hAnsi="IRNazanin" w:eastAsia="IRNazanin"/>
          <w:color w:val="111111"/>
          <w:sz w:val="28"/>
          <w:sz w:val="28"/>
          <w:szCs w:val="28"/>
          <w:rtl w:val="true"/>
          <w:lang w:bidi="fa-IR"/>
        </w:rPr>
        <w:t xml:space="preserve">والظاهر أنّه مع وجود المتولّي المنصوص من طرف الواقف في ضمن عقد الوقف ليس لغيره هذه التصرّفات ، لأنّ الوقوف على حسب ما يوقفها أهلها ، ولما في التوقيع عن محمّد بن عثمان العمري ، عن صاحب الزمان علیه السلام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سألت عنه من أمر الرجل الذي يجعل لناحيتنا ضيعة ويسلمها من قيّم يقوم فيها ويعمرها ويؤدّي من دخلها خراجها ومئونتها ويجعل ما بقي من الدخل لناحيتنا ، فإنّ ذلك جائز لمن جعله صاحب الضيعة قيّما عليها ، إنّما لا يجوز ذلك لغيره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التوقيع المبارك عدم جواز هذه التصرّفات لغير من جعله متوليّا وقيّما ، وعدم مزاحمة غيره له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073454_2142443653"/>
      <w:bookmarkStart w:id="254" w:name="_Toc82"/>
      <w:bookmarkEnd w:id="253"/>
      <w:r>
        <w:rPr>
          <w:rtl w:val="true"/>
        </w:rPr>
        <w:t>الجهة الثالثة</w:t>
      </w:r>
      <w:bookmarkEnd w:id="254"/>
    </w:p>
    <w:p>
      <w:pPr>
        <w:pStyle w:val="BookText"/>
        <w:rPr/>
      </w:pPr>
      <w:r>
        <w:rPr>
          <w:rFonts w:ascii="Amiri" w:hAnsi="Amiri" w:eastAsia="Amiri" w:cs="Amiri"/>
          <w:color w:val="111111"/>
          <w:sz w:val="28"/>
          <w:sz w:val="28"/>
          <w:szCs w:val="28"/>
          <w:rtl w:val="true"/>
          <w:lang w:bidi="ar-SA"/>
        </w:rPr>
        <w:t>من جهات البحث في هذه القاعدة هي جهة</w:t>
      </w:r>
    </w:p>
    <w:p>
      <w:pPr>
        <w:pStyle w:val="BookText"/>
        <w:rPr/>
      </w:pPr>
      <w:r>
        <w:rPr>
          <w:rFonts w:ascii="Amiri" w:hAnsi="Amiri" w:eastAsia="Amiri" w:cs="Amiri"/>
          <w:color w:val="111111"/>
          <w:sz w:val="28"/>
          <w:sz w:val="28"/>
          <w:szCs w:val="28"/>
          <w:rtl w:val="true"/>
          <w:lang w:bidi="ar-SA"/>
        </w:rPr>
        <w:t>تطبيقها على مواردها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موارد تطبيقها بعد ما صدق عليه الوقف عرفا وتحقّق مفهومه ، </w:t>
      </w:r>
    </w:p>
    <w:p>
      <w:pPr>
        <w:pStyle w:val="BookText"/>
        <w:rPr/>
      </w:pPr>
      <w:r>
        <w:rPr>
          <w:rFonts w:ascii="IRNazanin" w:hAnsi="IRNazanin" w:eastAsia="IRNazanin"/>
          <w:color w:val="111111"/>
          <w:sz w:val="28"/>
          <w:sz w:val="28"/>
          <w:szCs w:val="28"/>
          <w:rtl w:val="true"/>
          <w:lang w:bidi="fa-IR"/>
        </w:rPr>
        <w:t xml:space="preserve">فعند ذلك كلّ شرط أو قيد اعتبر الواقف وجوده أو عدمه فهو نافذ وماض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طبّقناها على مواردها في تضاعيف ما تقدّم ، فلا يحتاج إلى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هذه القاعدة كسلاح للفقيه لدفع ما يتوهّم من عدم صحّة بعض الشروط ، أو القيود التي قيّد الواقف بها الموقف ، أو الوقوف عليه ، أو المتولّي ، أو الناظر وقد تقدّم موارد كلّ ذلك ، فعليك بالتتبّع التمام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255" w:name="pg15937_235223"/>
    </w:p>
    <w:p>
      <w:pPr>
        <w:pStyle w:val="Heading2"/>
        <w:numPr>
          <w:ilvl w:val="1"/>
          <w:numId w:val="1"/>
        </w:numPr>
        <w:rPr/>
      </w:pPr>
      <w:bookmarkStart w:id="256" w:name="__RefHeading___Toc16073456_2142443653"/>
      <w:bookmarkStart w:id="257" w:name="_Toc83"/>
      <w:bookmarkEnd w:id="255"/>
      <w:bookmarkEnd w:id="256"/>
      <w:r>
        <w:rPr/>
        <w:t>45</w:t>
      </w:r>
      <w:r>
        <w:rPr>
          <w:rtl w:val="true"/>
        </w:rPr>
        <w:t xml:space="preserve"> - </w:t>
      </w:r>
      <w:r>
        <w:rPr>
          <w:rtl w:val="true"/>
        </w:rPr>
        <w:t>قاعدة يحرم من الرضاع ما يحرم من النسب</w:t>
      </w:r>
      <w:bookmarkEnd w:id="25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6073458_2142443653"/>
      <w:bookmarkStart w:id="259" w:name="_Toc84"/>
      <w:bookmarkEnd w:id="258"/>
      <w:r>
        <w:rPr>
          <w:rtl w:val="true"/>
        </w:rPr>
        <w:t>اشارة</w:t>
      </w:r>
      <w:bookmarkEnd w:id="2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5937_235225"/>
      <w:bookmarkStart w:id="261" w:name="pg15937_235225"/>
      <w:bookmarkEnd w:id="261"/>
    </w:p>
    <w:p>
      <w:pPr>
        <w:pStyle w:val="BookText"/>
        <w:rPr/>
      </w:pPr>
      <w:bookmarkStart w:id="262" w:name="pg15937_235225"/>
      <w:bookmarkEnd w:id="262"/>
      <w:r>
        <w:rPr>
          <w:rFonts w:ascii="Amiri" w:hAnsi="Amiri" w:eastAsia="Amiri" w:cs="Amiri"/>
          <w:color w:val="111111"/>
          <w:sz w:val="28"/>
          <w:sz w:val="28"/>
          <w:szCs w:val="28"/>
          <w:rtl w:val="true"/>
          <w:lang w:bidi="ar-SA"/>
        </w:rPr>
        <w:t>قاعدة يحرم من الرضاع ما يحرم من النسب</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073460_2142443653"/>
      <w:bookmarkStart w:id="264" w:name="_Toc85"/>
      <w:bookmarkEnd w:id="263"/>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شرح مفهوم هذه القاعدة</w:t>
      </w:r>
      <w:bookmarkEnd w:id="26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بفتح الراء وكسرها ، وهكذا الرضاعة بالفتح والكسر مصدر رضع عبارة عن امتصاص الثدي أو الضرع أو مطلق شرب اللبن ، سواء أكان منهما أو من غيرهما ، واللبن كان من إنسان أو حيوان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الرضاع مثل الولادة يوجب وجود إضافة بين شخصين أو أشخاص ، والإضافة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اعتباريّة ومقوليّة ، وذلك لأنّ حقيقة الإضافة عبارة عن نسبة متكرّرة بين شيئين ، بمعنى أنّ النسبة الموجودة في أحد الطرفين بالنسبة إلى الآخر موجودة أيضا في ذاك الطرف الآخر بالنسبة إلى هذا الطرف ، فإن كانت النسبتان الموجودتان في الطرفين من سنخ واحد ، تسمّى تلك الإضافة بالإضافة المتشابهة الأطراف ، كمحاذاة جسم مع جسم آخر ، حيث أنّ لكلّ واحد من الجسمين </w:t>
      </w:r>
    </w:p>
    <w:p>
      <w:pPr>
        <w:pStyle w:val="BookText"/>
        <w:rPr/>
      </w:pPr>
      <w:r>
        <w:rPr>
          <w:rFonts w:ascii="Amiri" w:hAnsi="Amiri" w:eastAsia="Amiri" w:cs="Amiri"/>
          <w:color w:val="111111"/>
          <w:sz w:val="28"/>
          <w:sz w:val="28"/>
          <w:szCs w:val="28"/>
          <w:rtl w:val="true"/>
          <w:lang w:bidi="ar-SA"/>
        </w:rPr>
        <w:t>المتحاذيين نسبة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من الطرفين تسمّى بالمحاذاة أو المقابلة مثلا ، فهما من سنخ واحد ، وإن كانتا من سنخين تسمى تلك الإضافة بمخالفة الأطراف ، كالفوقيّة والتحتيّة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كانت تلك النسبة المتكرّرة غير موجودة في عالم الأعيان ، بل صرف اعتبار اعتبرها العقلاء وأمضاها الشارع ، أو اعتبار من قبل نفس الشارع إحداثا لا إمضاء فقط كالملكيّة والزوجيّة ، فمثل هذه الإضافة تسمّى إضافة اعتباريّة لا حقيقة مقوليّة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تلك النسبة خارجيّة حقيقيّة وموجودة في عالم الأعيان ، كالفوقيّة والتحتيّة ، فتسمّى تلك الإضافة إضافة مقوليّة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والولادة التي هي عبارة عن انفصال قطعة من المني من شخص ، ثمَّ دخولها واستقرارها في رحم شخص آخر ، حتّى يصير بأمر اللّه جلّ جلاله إنسانا سويّا فتضعها وتنفصل عنها ، توجب حدوث إضافات حقيقيّة ونسب خارجيّة مقوليّة بين شخصين أو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فلتلك القطعة نسبة مع من انفصل عنه تسمّى بالبنوّة ، كما أنّ لمن انفصل عنه هذه القطعة نسبة معها تسمّى بالأبوّة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لتلك القطعة نسبة مع من استقرّت في رحمها أيضا تسمّى بالبنوّة ، كما أنّه لمن استقرّت في رحمها نسبة مع تلك القطعة تسمّى بالأمومة وهكذا في سائر النسب التي تحصل من الولادة كالبنتيّة والأختيّة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العناوين الآخر ، كالجّد ، والجدّة ، والعمّ ، والعمّة ، والخال ، والخالة ، وابن الأخ وبنته ، وابن الأخت وبنتها ، وابن العمّ وبنته ، وابن العمّة وبنتها ، وابن الخال وبنته ، وابن الخالة وبنتها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تحريم النكاح بالنسب سبعة من هذه العناوين الحاصلة من الولادة بصريح الآية الشريفة </w:t>
      </w:r>
      <w:r>
        <w:rPr>
          <w:rStyle w:val="FootnoteAnchor"/>
          <w:rtl w:val="true"/>
        </w:rPr>
        <w:footnoteReference w:id="333"/>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والبنات ، والأخوات ، والعمّات ، </w:t>
      </w:r>
    </w:p>
    <w:p>
      <w:pPr>
        <w:pStyle w:val="BookText"/>
        <w:rPr/>
      </w:pPr>
      <w:r>
        <w:rPr>
          <w:rFonts w:ascii="IRNazanin" w:hAnsi="IRNazanin" w:eastAsia="IRNazanin"/>
          <w:color w:val="111111"/>
          <w:sz w:val="28"/>
          <w:sz w:val="28"/>
          <w:szCs w:val="28"/>
          <w:rtl w:val="true"/>
          <w:lang w:bidi="fa-IR"/>
        </w:rPr>
        <w:t>والخالات ، وبنات الأخ ، وبنات الأخت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والرضاع الذي هو عبارة عن امتصاص الثدي ، أو الضرع ، أو مطلق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يوجب حدوث إضافات حقيقيّة ونسب خارجيّة مقوليّة مثل الولادة طابق النعل بالنعل ، فالولد الذي ارتضع من ثدي امرأة ، له نسبة مع المرضعة تسمّى بالبنوّة ، كما أنّ للمرضعة أيضا نسبة معه تسمّى بالأمومة ، وأيضا للولد المرتضع نسبة مع زوج المرضعة الذي هو صاحب اللبن تسمّى أيضا بالبنوّة ، كما أنّ لصاحب اللبن نسبة مع الولد المرتضع تسمّى بالأبوّة وهكذا الحال بالنسبة إلى سائر الإضافات التي تحصل من الولادة ، تحصل كلّها من 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الإضافات والنسب الحاصلة من الولادة أو من الرضاع خارجيّة حقيقيّة ومقوليّة تكوينيّة ، وليس من الاعتباريات الصرفة التي لا وجود لها في الأعيان أصلا ، بل هي موجودة في الخارج ، سواء أكان في العالم معتبر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تسمية تلك الإضافات بتلك الأسماء اعتبارات من الواضعين ، كما هو الحال بالنسبة إلى جميع الألفاظ الموضوعة لمعانيها ، ولذلك تختلف باختلاف الأمم واللغات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الإضافة الحاصلة من الرضاع ليس أضعف من الإضافة الحاصلة من الولادة بتوهّم عدم ترتّب جميع الآثار المترتّبة على الحاصلة من الولادة على الحاصلة من الرضاع ، كالتوارث مثلا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أنّه من الممكن أن يكون وجه عدم الترتّب عدم جعل الشارع إحدى الإضافتين موضوعا مع ترتيبه الأثر على الأخرى بدون أن يكون اختلاف في الإضافتين من حيث الشدّة والضعف ، بل تصوير الاختلاف بالشدّة والضعف في سنخ واحد من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أو الأمومة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الحاصلة من الولادة مع الحاصلة من الرضاع لا يخلو من غموض وإشكال</w:t>
      </w:r>
      <w:r>
        <w:rPr>
          <w:rFonts w:eastAsia="Amiri" w:cs="Amiri" w:ascii="Amiri" w:hAnsi="Amiri"/>
          <w:color w:val="111111"/>
          <w:sz w:val="28"/>
          <w:szCs w:val="28"/>
          <w:rtl w:val="true"/>
          <w:lang w:bidi="ar-SA"/>
        </w:rPr>
        <w:t xml:space="preserve">. </w:t>
      </w:r>
      <w:bookmarkStart w:id="265" w:name="pg15937_235228"/>
    </w:p>
    <w:p>
      <w:pPr>
        <w:pStyle w:val="BookText"/>
        <w:rPr/>
      </w:pPr>
      <w:bookmarkEnd w:id="265"/>
      <w:r>
        <w:rPr>
          <w:rFonts w:ascii="Amiri" w:hAnsi="Amiri" w:eastAsia="Amiri" w:cs="Amiri"/>
          <w:color w:val="111111"/>
          <w:sz w:val="28"/>
          <w:sz w:val="28"/>
          <w:szCs w:val="28"/>
          <w:rtl w:val="true"/>
          <w:lang w:bidi="ar-SA"/>
        </w:rPr>
        <w:t xml:space="preserve">ثمَّ إنّ الألفاظ الموضوعة لهذه النسب والإضافات ، كالأب والأمّ وغيرهما هل موضوعة للجامع بين القسمين؟ بمعنى أنّ لفظ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للجامع بين الأمومة الحاصلة من الولادة ، والحاصلة من الرضاع كي تكون آية تحريم نكاح العناوين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والبنات والأخوات والعمات والخالات وبنات الأخ وبنات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تحريم ما يحصل من هذه العناوين بالرضاع ، كما تدلّ على تحريم ما يحصل منها بالولادة من دون احتياج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مشترك لفظي بينهما ، كي لا تكون دالّة على ذلك ، لأنّ استعمال اللفظ في أكثر من معنى واحد لا يجوز ، وإرادة هذه العناوين الحاصلة من الولادة معلوم من الآية ، فيحتاج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ما يحصل من هذه العناوين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آخر غير الآية؟</w:t>
      </w:r>
    </w:p>
    <w:p>
      <w:pPr>
        <w:pStyle w:val="BookText"/>
        <w:rPr/>
      </w:pPr>
      <w:r>
        <w:rPr>
          <w:rFonts w:ascii="Amiri" w:hAnsi="Amiri" w:eastAsia="Amiri" w:cs="Amiri"/>
          <w:color w:val="111111"/>
          <w:sz w:val="28"/>
          <w:sz w:val="28"/>
          <w:szCs w:val="28"/>
          <w:rtl w:val="true"/>
          <w:lang w:bidi="ar-SA"/>
        </w:rPr>
        <w:t>أو تكون حقيقة في الحاصلة من الولادة ، ومجاز في ما يحصل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أيضا تحريم ما يحصل من الرضاع يحتاج إلى دليل آخر؟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هو الأخير ، لأنّ هذا تنزيل شرعيّ ، وإلاّ عند العرف هذه العناوين ظاهرة في الحاصلة من الولادة ، حتّى أنّ الشارع لو لم يجعل الرضاع سببا محرّما لما كان يلتفت العرف إلى هذه العناوين بالنسبة إلى الرضاع أصلا ، خصوصا في ما عدى الأمّ والأخت</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073462_2142443653"/>
      <w:bookmarkStart w:id="267" w:name="_Toc86"/>
      <w:bookmarkEnd w:id="266"/>
      <w:r>
        <w:rPr>
          <w:rtl w:val="true"/>
        </w:rPr>
        <w:t xml:space="preserve">الجهة الثانية </w:t>
      </w:r>
      <w:r>
        <w:rPr>
          <w:rtl w:val="true"/>
        </w:rPr>
        <w:t xml:space="preserve">: </w:t>
      </w:r>
      <w:r>
        <w:rPr>
          <w:rtl w:val="true"/>
        </w:rPr>
        <w:t>في الدليل على هذه القاعدة</w:t>
      </w:r>
      <w:bookmarkEnd w:id="267"/>
    </w:p>
    <w:p>
      <w:pPr>
        <w:pStyle w:val="BookText"/>
        <w:rPr/>
      </w:pP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وَأُمَّهاتُكُمُ اللاّتِي أَرْضَعْنَكُمْ وَأَخَواتُكُمْ </w:t>
      </w:r>
    </w:p>
    <w:p>
      <w:pPr>
        <w:pStyle w:val="BookText"/>
        <w:rPr/>
      </w:pPr>
      <w:r>
        <w:rPr>
          <w:rFonts w:ascii="Amiri" w:hAnsi="Amiri" w:eastAsia="Amiri" w:cs="Amiri"/>
          <w:color w:val="111111"/>
          <w:sz w:val="28"/>
          <w:sz w:val="28"/>
          <w:szCs w:val="28"/>
          <w:rtl w:val="true"/>
          <w:lang w:bidi="ar-SA"/>
        </w:rPr>
        <w:t xml:space="preserve">مِنَ الرَّضاعَةِ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ولكن في هذه الآية الشريفة لم يذكر ممّا يحرم بالرضاع إلاّ موردين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الرضاعيّة ، والأخت من الرضاعة ، وأمّا سائر ما يحرم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كالعمّة والخالة وبنات الأخ وبنات الأخت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فيستفاد حرمتها من الحديث الشريف المرويّ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بل هو من ضروريّات الدين ، ولا خلاف فيه في الجملة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اختلاف بين الفقهاء في تحقّق الرضاع الشرعي الذي جعل موضوعا لحرمة التزويج من حيث شروط الرضاع ، بعضها يتعلّق بالرضيع ، وبعضها بمدّة الرضاع ، وبعضها بكيفيّة الارتضاع ، وبعضها بالمرضعة ، وسنذكرها وما هو المختار منها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الذي رواه الفريقان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والتهذيب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القرابة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للمرأة أن ينكحها عمّها ولا خالها من الرضاعة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أبي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تنكح المرأة على عمّتها ، ولا على خالتها ، ولا على أختها من الرضاعة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عرضت على رسول اللّه صلی اللّه علیه و آله ابنة حمزة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أنّها ابنة أخي من الرضاعة؟ وكان رسول اللّه صلی اللّه علیه و آله وعمّه قد رضعا من امرأة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وأنا حاضر عن امرأة أرضعت غلاما مملوكا لها من لبنها حتّى فطمته ، هل لها أن تبيعه؟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ابنها من الرضاعة ، حرم عليها بيعه وأكل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وابن سنان ، عن أبي عبد اللّه علیه السلام في امرأة أرضعت ابن جاريتها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تعتقه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بصير وأبي العباس وعبيد ، كلّهم جميعا عن أبي </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يملك أمّه من الرضاعة ، ولا أخته ، ولا عمّته ، ولا خالته فإنّهنّ إذا ملكن عتقن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يحرم من النسب فإنّه يحرم من الرضاع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أحمد بن محمّد بن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امرأة أرضعت جارية ، ولزوجها ابن من غيرها ، أيحل للغلام ابن زوجها أن يتزوّج الجارية التي أرضعت؟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اللبن للفحل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الحسن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رجل قد أرضعت صبيّا ، وله ابنة من غيرها ، أيحل لذلك الصبيّ هذه الابنة؟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أتزوّج ابنة رجل قد رضعت من لبن ولده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الموثّق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امرأتان ، فولدت كلّ واحدة منهما غلاما ، فانطلقت إحدى امرأتيه ، فأرضعت جارية من عرض الناس أينبغي لابنه أن يتزوّج بهذه الجارية؟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لأنّها أرضعت بلبن الشيخ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يحيى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أرضعت أمّي جارية بلبني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أختك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 لأخ لي من أمّي لم ترضعها أمي بلبنه ، يعني ليس بهذا البطن ولكنّ ببطن آخر؟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أخي لأبي وأمّي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اللبن للفحل صار أبوك </w:t>
      </w:r>
    </w:p>
    <w:p>
      <w:pPr>
        <w:pStyle w:val="BookText"/>
        <w:rPr/>
      </w:pPr>
      <w:r>
        <w:rPr>
          <w:rFonts w:ascii="Amiri" w:hAnsi="Amiri" w:eastAsia="Amiri" w:cs="Amiri"/>
          <w:color w:val="111111"/>
          <w:sz w:val="28"/>
          <w:sz w:val="28"/>
          <w:szCs w:val="28"/>
          <w:rtl w:val="true"/>
          <w:lang w:bidi="ar-SA"/>
        </w:rPr>
        <w:t xml:space="preserve">أباها وأمّك أمّها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بصير ، عن أبي عبد اللّه علیه السلام في رجل تزوّج امرأة ، فولدت منه جارية ، ثمَّ ماتت المرأة فتزوّج أخرى ، فولدت منه ولدا ، ثمَّ إنّها أرضعت من لبنها غلاما ، أيحلّ لذلك الغلام الذي أرضعته أن يتزوّج ابنة المرأة التي كانت تحت الرجل قبل المرأة الأخيرة؟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يتزوّج ابنة فحل قد رضع من لبنه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رضع الرجل من لبن امرأة ، حرم عليه كلّ شي‌ء من ولدها ، وإن كان الولد من غير الرجل الذي كان أرضعت بلبنه ، وإذا أرضع من لبن رجل حرم عليه كلّ شي‌ء من ولده ، وإن كان من غير المرأة التي أرضعته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وعبد اللّه ابن سنان عن أبي عبد اللّه علیه السلام في رجل تزوّج جارية صغيرة فأرضعتها امرأته أو أم ولده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عليه </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تزوّج جارية رضيعة فأرضعتها امرأته فسد النكاح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رجل أرضعت جارية أتصلح لولده من غيرها؟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منزلة الأخت من الرضاعة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قبل الأب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عثمان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تزوّج امرأة فأولدها فانطلقت فأرضعت جارية من عرض الناس ، فيحلّ لي أن أتزوّج تلك الجارية التي أرضعتها امرأة أخي؟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إنّه 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مسمع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ثمانية لا يحلّ مناكحتهم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أمتك وهي عمّتك من الرضاع ، أمتك وهي خالتك من الرضاع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الأخرى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لا يجوز نكاحهن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أمتك وهي عمّتك من الرضاعة ، أمتك وهي خالتك من الرضاعة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مسعدة بن زياد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الإماء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 بين الأمّ والبنت ، ولا بين الأختين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أمتك وهي عمّتك من الرضاعة ، ولا أمتك وهي خالتك من الرضاعة ، ولا أمتك وهي أختك من الرضاعة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 عن أبي جعفر علیه السلام في رجل فجر بامرأة أيتزوّج أمّها من الرضاعة أو بنتها؟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الصحيحة يستفاد أنّه لو لاط بغلام حرمت عليه أمّه وأخته وبنته من الرضاع ، كما يحرمن من النسب تحقيقا لفرعيّة الرضاع على النسب ، كما دلّت عليه هذه الأخبار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إذا تدبّرت وتأمّلت في هذه الأخبار وفي الآية الشريفة </w:t>
      </w:r>
      <w:r>
        <w:rPr>
          <w:rStyle w:val="FootnoteAnchor"/>
          <w:rtl w:val="true"/>
        </w:rPr>
        <w:footnoteReference w:id="358"/>
      </w:r>
      <w:r>
        <w:rPr>
          <w:rFonts w:ascii="IRNazanin" w:hAnsi="IRNazanin" w:eastAsia="IRNazanin"/>
          <w:color w:val="111111"/>
          <w:sz w:val="28"/>
          <w:sz w:val="28"/>
          <w:szCs w:val="28"/>
          <w:rtl w:val="true"/>
          <w:lang w:bidi="fa-IR"/>
        </w:rPr>
        <w:t xml:space="preserve">عرفت أنّ هذه الأخبار أغلبها ، وكذلك الآية الشريفة ليست وافية بجميع ما يحرم بالرضاع وشاملة لجميع فروعها ، إلاّ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أيضا بمعنى الأوّل ، فإنّ هذا الكلام الشريف يشمل جميع موارد الرضاع وفروعه ، إلاّ ما شذّ ممّا ورد فيه دليل خاصّ في مورد مخصوص ، كما سنذكره فيما سيأتي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من جهة أنّ الآية الشريفة لم يذكر فيها إلاّ الأمّهات من الرضاعة والأخوات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فكذلك لم يذكر في أغلبها إلاّ بعض موارد التحريم بالرضاع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كلّية ، مفادها أنّ كلّ عنوان من العناوين السبعة المعروفة ، أو من غيرها التي توجب حرمة نكاح المرأة إذا كان حاصلا من النسب ، فذلك العنوان بعينه يوجب حرمة النكاح إذا كان حاصلا </w:t>
      </w:r>
    </w:p>
    <w:p>
      <w:pPr>
        <w:pStyle w:val="BookText"/>
        <w:rPr/>
      </w:pPr>
      <w:r>
        <w:rPr>
          <w:rFonts w:ascii="Amiri" w:hAnsi="Amiri" w:eastAsia="Amiri" w:cs="Amiri"/>
          <w:color w:val="111111"/>
          <w:sz w:val="28"/>
          <w:sz w:val="28"/>
          <w:szCs w:val="28"/>
          <w:rtl w:val="true"/>
          <w:lang w:bidi="ar-SA"/>
        </w:rPr>
        <w:t xml:space="preserve">من الرضاع ، مثلا الأمومة إحدى تلك العناوين التي توجب حرمة نكاح الأمّ على ابنها إذا كانت حاصلة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العنوان بعينه إذا كان حاصلا من الرضاع أيضا 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النسب يحرم عنوان الأمّ والبنت والأخت وغيرها من العناوين المحرّمة بوجوداتها السارية في جميع مصاديقها ، فكذلك تحرم نفس هذه العناوين أيضا الحاصلة من الرضاع بوجوداتها السارية ، فلا حاجة إلى تقدير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نظير ما يحرم من النسب ، كما صنعه شيخنا الأعظم قدس سره في رسالته المعمولة في الرضاع </w:t>
      </w:r>
      <w:r>
        <w:rPr>
          <w:rStyle w:val="FootnoteAnchor"/>
          <w:rtl w:val="true"/>
        </w:rPr>
        <w:footnoteReference w:id="359"/>
      </w:r>
      <w:r>
        <w:rPr>
          <w:rFonts w:ascii="Amiri" w:hAnsi="Amiri" w:eastAsia="Amiri" w:cs="Amiri"/>
          <w:color w:val="111111"/>
          <w:sz w:val="28"/>
          <w:sz w:val="28"/>
          <w:szCs w:val="28"/>
          <w:rtl w:val="true"/>
          <w:lang w:bidi="ar-SA"/>
        </w:rPr>
        <w:t>مع اعترافه بأنّ ظاهر هذا الحديث الشريف هو أنّ عين ما يحرم بالنسب يحرم بالرضاع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كان المراد بالموصول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يحرم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الخارجيّات المعنونات بهذه العناوين ، فلا بدّ حينئذ من التقدير ، ولكن هذا خلاف ظاهر اللفظ ، لأنّ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العناوين التي تحرم من النسب ، تحرم أيضا إذا كانت من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الحرمة من جهة المصاهرة الشرعيّة كأمّ الزوجة أو بنتها مع الدخول ، بها ، من جهة الزنا كأمّ المزني بها وبنتها ، أو من جهة الإيقاب كأمّ الغلام الموقب وأخته وبنته ، مع أنّ كل هذه المذكورات تحرم إذا كانت هذه العناوين حاصلة من الرضاع ، فالأمّ الرضاعيّة للزوجة ، وبنتها الرضاعية مع الدخول بها ، والأمّ والبنت الرضاعيّتان للمزني بها ، والأمّ والأخت والبنت الرضاعيّات للموقب تحرم هذه كلّها ، مع أنّ الحرمة آتية من ناحية المصاهرة والزنا والإيقاب لا النسب ، فيحتاج حرمة هذه المذكورات إلى دليل غير هذا الحديث الشريف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حرمة أمّ الزوجة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الأمومة حاصلة من </w:t>
      </w:r>
    </w:p>
    <w:p>
      <w:pPr>
        <w:pStyle w:val="BookText"/>
        <w:rPr/>
      </w:pPr>
      <w:r>
        <w:rPr>
          <w:rFonts w:ascii="Amiri" w:hAnsi="Amiri" w:eastAsia="Amiri" w:cs="Amiri"/>
          <w:color w:val="111111"/>
          <w:sz w:val="28"/>
          <w:sz w:val="28"/>
          <w:szCs w:val="28"/>
          <w:rtl w:val="true"/>
          <w:lang w:bidi="ar-SA"/>
        </w:rPr>
        <w:t xml:space="preserve">النسب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المصاهرة ، ولأجل ذلك عدّها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 بالمصاهرة ، إذ لو لم يكن بين هذا الرجل وهذه المرأة مصاهرة لما كان يحرم عليه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أي نسبة الأمومة التي بين الزوجة 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النسبة أيضا دخيلة في حرمة أمّ الزوجة على الزوج ، إذ لو لم تكن بين الزوجة وتلك التي نسمّيها أمّها نسبة ، بل كانت أجنبيّة عنها لما كانت تحرم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هناك جهتان يمكن إسناد الحرمة إلى مجموع الجهتين ، ويمكن إسنادها إلى كلّ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عدّها الفقهاء في المحرّمات بالمصاهرة ، فلأجل مقابلتها مع ما هو علّة الحرمة متمحّض في النسب ، كالعناوين السبعة المعروفة ، لا أنّ علّة الحرمة فيها منحصرة في المصاهرة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أمّ المزني بها وبنتها وأمّ الموقب وأخته وبنته ، ففي كلّ من هذه أيضا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جهة الزنا وجهة النسب ، وفي الثاني جهة الإيقاب وجهة النسب ، ويصحّ إسناد الحرمة إلى كلّ واحدة من الجهتين ، كما يصحّ إسنادها إلى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الشريف يشمل جميع هذه الموارد ، لصدق أنّ الحرمة في هذه الموارد من جهة النسب ، وإن كان يصدق أيضا أنّها من جهة المصاهرة أو الزنا أو 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أنّ شمول الحديث لا بدّ وأن يكون في مورد تكون النسب علّة تامّة منحصرة للتحريم ، بل ظاهره أنّ في كل مورد تكون العلاقة الحاصلة من النسبة دخيلة في الحرمة ، تكون تلك العلاقة إذا كانت حاصلة من الرضاع تقوم مقام العلاقة الحاصلة من النسب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موضوع الحرمة مركّبا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الإضافة الحاصلة من النسب ، وبوجودها وحدها لا يترتّب الحكم ، بل لا بدّ من وجود الجزء الآخر وهو </w:t>
      </w:r>
      <w:bookmarkStart w:id="268" w:name="pg15937_235237"/>
    </w:p>
    <w:p>
      <w:pPr>
        <w:pStyle w:val="BookText"/>
        <w:rPr/>
      </w:pPr>
      <w:bookmarkEnd w:id="268"/>
      <w:r>
        <w:rPr>
          <w:rFonts w:ascii="Amiri" w:hAnsi="Amiri" w:eastAsia="Amiri" w:cs="Amiri"/>
          <w:color w:val="111111"/>
          <w:sz w:val="28"/>
          <w:sz w:val="28"/>
          <w:szCs w:val="28"/>
          <w:rtl w:val="true"/>
          <w:lang w:bidi="ar-SA"/>
        </w:rPr>
        <w:t>ثانيهما ، كذلك تلك الإضافة وحدها لو حصلت من الرضاع لا توجب ثبوت الحكم ، بل لا بدّ من وجود الجزء الآخر ، أي المصاهرة ، أو الزنا ، أو الإيقاب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الحديث الشريف لا يشمل العناوين الملازمة للعناوين النسبيّة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ويسمّونها بعموم المنزلة ، لأنّ ظاهره هو أنّ نفس هذه العناوين التي توجب تحريم المعنون بها الحاصلة من النسب توجب التحريم أيضا ، إذا كانت حاصلة من الرضاع ، لا الملازم لها ، فأمّ الأخ النسبي ملازم لأحد العنوانين الذين كلّ واحد منهما يوجب التحريم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الإنسان وزوجة أبيه ، وكلتاهما محرّمتان عليه ، ومع ذلك عنوان أمّ الأخ ليس من العناوين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هذه المسألة وما يقول القائل بعموم المنزلة وما يقول من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النسب هي النسبة التي بين المحرم والمحرّم عليه كي لا تشمل المذكورات ، لأنّه لا نسبة بين الرجل وأمّ زوجته ، أو بين الزاني وأم المزني بها ، أو بين الموقب وأمّ الغلام الموقب مثلا ، لأنّه لا وجه لهذا التقييد ، بل 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كلّما كانت النسبة سببا للحرمة ، بأن تكون تمام الموضوع أو جزء للموضوع إذا كانت حاصلة من الولادة ، فيقوم مقامها عين تلك النسبة إذا كانت حاصلة من الرضاع ، سواء أكانت النسبة النسبيّة بين المحرّم والمحرّم عليه ، كالعناوين السبعة المعروفة ، أو كان بين شخصين آخرين ، كالنسبة التي بين الزوجة وأمّها ، أو بين المزني بها وأمّها ، أو بين الغلام الموقب وأمّها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073464_2142443653"/>
      <w:bookmarkStart w:id="270" w:name="_Toc87"/>
      <w:bookmarkEnd w:id="269"/>
      <w:r>
        <w:rPr>
          <w:rtl w:val="true"/>
        </w:rPr>
        <w:t>الجهة الثالثة</w:t>
      </w:r>
      <w:bookmarkEnd w:id="270"/>
    </w:p>
    <w:p>
      <w:pPr>
        <w:pStyle w:val="Heading4"/>
        <w:numPr>
          <w:ilvl w:val="3"/>
          <w:numId w:val="1"/>
        </w:numPr>
        <w:rPr/>
      </w:pPr>
      <w:bookmarkStart w:id="271" w:name="__RefHeading___Toc16073466_2142443653"/>
      <w:bookmarkStart w:id="272" w:name="_Toc88"/>
      <w:bookmarkEnd w:id="271"/>
      <w:r>
        <w:rPr>
          <w:rtl w:val="true"/>
        </w:rPr>
        <w:t>اشارة</w:t>
      </w:r>
      <w:bookmarkEnd w:id="2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إذا شكّ في الرضاع من جهة الشبهة المفهوميّة أو المصداقيّة ، فتارة نتكلّم من حيث الرجوع إلى الإطلاق ورفع الشكّ بها ، وأخرى من جهة الرجوع إلى الأصول العمليّة</w:t>
      </w:r>
      <w:r>
        <w:rPr>
          <w:rFonts w:eastAsia="Amiri" w:cs="Amiri" w:ascii="Amiri" w:hAnsi="Amiri"/>
          <w:color w:val="111111"/>
          <w:sz w:val="28"/>
          <w:szCs w:val="28"/>
          <w:rtl w:val="true"/>
          <w:lang w:bidi="ar-SA"/>
        </w:rPr>
        <w:t xml:space="preserve">. </w:t>
      </w:r>
      <w:bookmarkStart w:id="273" w:name="pg15937_235238"/>
    </w:p>
    <w:p>
      <w:pPr>
        <w:pStyle w:val="BookText"/>
        <w:rPr/>
      </w:pPr>
      <w:bookmarkEnd w:id="273"/>
      <w:r>
        <w:rPr>
          <w:rFonts w:ascii="Amiri" w:hAnsi="Amiri" w:eastAsia="Amiri" w:cs="Amiri"/>
          <w:color w:val="111111"/>
          <w:sz w:val="28"/>
          <w:sz w:val="28"/>
          <w:szCs w:val="28"/>
          <w:rtl w:val="true"/>
          <w:lang w:bidi="ar-SA"/>
        </w:rPr>
        <w:t>ومعلوم أنّه مع إمكان رفع الشكّ بالإطلاقات لا يبقى مجال للرجوع إلى الأصول العمليّة ، لحكومة الأصول اللفظية عليها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6073468_2142443653"/>
      <w:bookmarkStart w:id="275" w:name="_Toc89"/>
      <w:bookmarkEnd w:id="274"/>
      <w:r>
        <w:rPr>
          <w:rtl w:val="true"/>
        </w:rPr>
        <w:t xml:space="preserve">أمّا التكلم من الجهة الأولى </w:t>
      </w:r>
      <w:r>
        <w:rPr>
          <w:rtl w:val="true"/>
        </w:rPr>
        <w:t>:</w:t>
      </w:r>
      <w:bookmarkEnd w:id="27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 أن يكون هناك إطلاق في البين ، وهو متفرّع على أن يكون الرضاع الموجود في الأدلّة العامّة هو ما يكون عند العرف رضاعا ، وإلاّ لو كان معنى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مجازا أو بوضع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بالإطلاق اللفظي ، لأنّ العرف لا طريق له إلاّ بيان الشارع في فهم مراده ، فإذا شككنا في اشتراط الرضاع بشرط ، أو تقيّده بقيد في الشبهة المفهوميّة فليس إطلاق في البين حتّى يرفع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بالإطلاق المقامي ، وهو أنّ الشارع بصدد بيان تمام ما له دخل في حكمه ، أي الحرمة في هذا المقام ، فلو كان شي‌ء آخر غير المذكورات له دخل ، كان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نظير ذلك في الأصول في باب الصحيح والأعمّ بالنسبة إلى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وضعه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المصداقيّة ، فلا يمكن التمسّك لرفعها بالإطلاق على كلّ حال ، سواء أكان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الأدلّة بمعناه العرفي ، أم لا ، لأنّه من قبيل التمسّك بالعامّ لما هو مشكوك المصداقيّة له ، وهذا من قبيل إثبات الموضوع بالحكم ،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العامّة لم يستعمل إلاّ فيما هو المراد منه عند العرف ، غاية الأمر أنّ الشارع جعله موضوعا لحرمة النكاح مقيّدا بقيود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الرضاع في اللغة ولو كان بمعنى مطلق الامتصاص أو الشرب ولو كان مرّة ومقدارا قليلا من اللبن ، ولكن المتفاهم العرفي منه لا يبعد أن يكون </w:t>
      </w:r>
    </w:p>
    <w:p>
      <w:pPr>
        <w:pStyle w:val="BookText"/>
        <w:rPr/>
      </w:pPr>
      <w:r>
        <w:rPr>
          <w:rFonts w:ascii="Amiri" w:hAnsi="Amiri" w:eastAsia="Amiri" w:cs="Amiri"/>
          <w:color w:val="111111"/>
          <w:sz w:val="28"/>
          <w:sz w:val="28"/>
          <w:szCs w:val="28"/>
          <w:rtl w:val="true"/>
          <w:lang w:bidi="ar-SA"/>
        </w:rPr>
        <w:t>الشرب مدّة من الزمن حدّده الشارع بكذا ، مثل السفر والإقامة وغيرهما من الأمور المتكممة عند العرف والشرع ، وإن كان التحديد الشرعي ربما يكون أوسع ممّا عند العرف ، وربما يكون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التمسّك بالإطلاق اللفظي مثل الإطلاق المقامي لرفع الشكّ فيما شكّ في شرطيّته وفي مدخليّته في الرضاع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يمكن تنقيح موضوع الرضاع الذي جعله الشارع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الشي‌ء الفلاني مثلا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مثلا بعد الفراغ عن أنّ الحياة شرط في المرضعة ، فإذا شككنا في حياتها فهل يمكن إثبات الموضوع المترتّب عليه الحرمة باستصحاب الحياة ، أم لا؟</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إثباته به ، لأنّ الظاهر من الأدلّة أنّ الموضوع مركّب من شرب اللبن مع هذه القيود والشروط ، فيكون من قبيل الموضوعات المركّبة التي أحرز بعضها بالأصل ، وبعضها الآخر بالوجدان ، لا أنّ الموضوع للحرمة عنوان بسيط متحصّل من هذا المركّب الخارجي ، مثل الطهارة الحاصلة من الغسلات والمسحات في باب الوضوء ، بناء على أنّها من هذا القبيل ، كي يكون الاستصحاب مثبتا بالنسبة إلى حصول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المرجع هي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إطلاق في البين ، ووصلت النوبة إلى الأصول العمليّة ، فالشبهة إمّا حكميّة وإمّا موضوعيّة مصداقيّة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شككنا في اعتبار شي‌ء فيه شرعا ، ولم يكن إطلاق نتمسّك به إمّا لعدم كون مفهوم الرضا الذي جعله الشارع موضوعا لحرمة النكاح مفهوما عرفيّا ، والمفهوم الشرعي غير معلوم على الفرض ، للشكّ في اعتبار هذا الشي‌ء مثلا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جهة عدم إحراز كون الشارع في مقام البيان في </w:t>
      </w:r>
    </w:p>
    <w:p>
      <w:pPr>
        <w:pStyle w:val="BookText"/>
        <w:rPr/>
      </w:pPr>
      <w:r>
        <w:rPr>
          <w:rFonts w:ascii="Amiri" w:hAnsi="Amiri" w:eastAsia="Amiri" w:cs="Amiri"/>
          <w:color w:val="111111"/>
          <w:sz w:val="28"/>
          <w:sz w:val="28"/>
          <w:szCs w:val="28"/>
          <w:rtl w:val="true"/>
          <w:lang w:bidi="ar-SA"/>
        </w:rPr>
        <w:t>الأدلّة العامّة ، وأيضا لم يكن إطلاق مقامي في البين ، وإلاّ لا تصل النوبة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كلّما ذكرنا صرف فرض ، وإلاّ من الواضح أنّ الرضاع بماله من المفهوم العرفي أخذ موضوعا للحكم الشرعي ، ومعلوم أنّ الشارع بصدد بيان تمام ما له دخل في الحرمة ، وعلى فرض عدم تماميّة هذين لا إشكال في وجود الإطلاق المقامي ، فلا تصل النوبة إلى الأصول العمليّة في الشبهة الحكميّة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لو فرضنا الوصول إلى تلك المرتبة ، فربما يتوهّم جريان حديث الرفع لرفع شرطيّة ما هو مشكوك الشرطيّة للرضاع المحرم ، أو جزئيّة ما هو مشكوك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قيديّة كلّ ما يحتمل أن يكون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الرفع وإن كان يجري لرفع جزئيّة مشكوك الجزئيّة ، وشرطيّة مشكوك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كان في مقام الامتنان ، فلا يجري إلاّ في ما كان في رفعه منّة على الأمّة ، وها هنا جريانه ضد الامتنان ، لأنّه يلزم أوّلا من جريانه ثبوت الحرمة حتّى في فاقد المشكوك الشرطيّة ، وفي فاقد المشكوك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كون الفاقد موضوعا مشكوك ، وإثباته بإجراء حديث الرفع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جريانه في مشكوك الموضوعيّة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مشكوك الموضوعيّة غير معلوم فمرفوع ، فعلى فرض صحّته ينتج عكس المقصود ، لأنّ مشكوك الموضوعيّة هو الفاقد لذلك الجزء أو الشرط المشكوك ، فينتج مدخليّة المشكوك في الموضوع وشرطيّته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جزئيّة جزء المشكوك ، أو شرطيّة شرط المشكوك ، فليس له حالة سابقة ، والعدم المحمولي مثبت بالنسبة إلى الآخر النعتي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عدم تحقّق ما هو الموضوع للتحريم عند الشارع بالمعنى العدم </w:t>
      </w:r>
    </w:p>
    <w:p>
      <w:pPr>
        <w:pStyle w:val="BookText"/>
        <w:rPr/>
      </w:pPr>
      <w:r>
        <w:rPr>
          <w:rFonts w:ascii="Amiri" w:hAnsi="Amiri" w:eastAsia="Amiri" w:cs="Amiri"/>
          <w:color w:val="111111"/>
          <w:sz w:val="28"/>
          <w:sz w:val="28"/>
          <w:szCs w:val="28"/>
          <w:rtl w:val="true"/>
          <w:lang w:bidi="ar-SA"/>
        </w:rPr>
        <w:t>النعتي ، ليس له حالة سابقة ، والعدم المحمولي وإن كان لا مانع من جريانه لكن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المرأة لم تكن محرّمة على هذا الولد قبل أن يرتضع منها عشر رضعات ، وبعد ارتضاعه منها هذا المقدار نشكّ في التحريم أو حصول الأمومة مثلا ، فنستصحب عدم تحقّقهما ، أي التحريم والأمومة مثلا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قبل وقوع العقد عليها كانت أجنبيّة ومحرّمة عليه لأنّها أجنبيّة ، وبعد العقد نشكّ في حصول الزوجيّة وحلّية الوطي وسائر آثار الزوجيّة مثلا ، فنستصحب تلك الحرمة ، أو عدم حصول الزوجيّة ، أو عدم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الأوّل حاكم على هذا الاستصحاب ، لأنّ الشكّ في بقاء عدم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صيرورتها بهذا المقدار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معنونة بأحد العناوين المحرّمة ، وبعد جريان الاستصحاب في عدم حصول أحد هذه العناوين ، لا يبقى مجال لهذا الشكّ أصلا ويرتفع تعبّدا ، وهذا 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الشبهة الموضوعيّة المصداقيّة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قسمي الشبهة ، فإن لم يكن أصلا موضوعيّا في البين ينقّح موضوع المشتبه ، ووصلت النوبة إلى الأصل الحكمي ، وذلك لأنّ الأصول الجارية في الموضوعات حاكمة على الأصول الجارية في أحكامها ، فمقتضى الأصل الحكمي هي حلّية المرأة المشتبهة حلّيتها وحرمتها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هو لك حلال حتّى تعلم أنّه حرام بعينه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بعدم جريان أصالة الحلّ في مثل هذه الشبهة أيضا ، لاهتمام الشارع بحفظ الأعراض وباب الفروج والدماء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ذيل رواية مسعدة بن صدقة التي يقول فيها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امرأة تحتك وهي أختك أو رضيعتك ، والأشياء كلّها على هذا حتّى يستبين أو تقوم به البيّنة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ينفي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بوجود الأصل الموضوعي في مورد الرواية ، وهو أصالة عدم تحقّق العلاقة والإضافة الأختيّة بينه وبينها ، نسبيّة أو رضاعيّة ، فتكون حلّيتها من جهة تنقيح موضوعها وإخراجه عن موضوع الحرمة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الموضوعيّة في الشبهة المصداقيّة فمختلفة هي ومواردها وآثارها جدّا باعتبار المشكوك ومنشأ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يبقى مجال لجريان الأصل الحكمي بعد جريانها ، لما ذكرنا من حكومتها عليها وإدخالها للموضوع تحت موضوع الحرمة أو الحلّية تعبّدا ، فيرتفع الشكّ تعبّدا ، فمثلا لو شككنا في حياة المرضعة وقلنا إنّ موضوع حرمة النكاح مركّب من الارتضاع من ثدي المرأة ، وكون المرأة حيّة ، لا أنّه أمر بسيط مسبّب عن هذه الأمور ، فباستصحاب بقاء الحياة يثبت الموضوع ، فيحكم بالحرمة ، فلا يبقى مجال لجريان أصالة الحلّ ، لعدم بقاء الموضوع له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شككنا في أنّ اللبن من نكاح ووطي صحيح أم لا؟ فبجريان أصالة الصحّة في العقد يثبت النكاح الصحيح ويرتفع الشكّ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الأصل الموضوعي موجبا لرفع موضوع الحرمة ، كما هو الحال في أغلب موارد الشكّ والشبهة المصداقية ، لأنّ استصحاب عدم حصول أحد هذه العناوين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المشكوك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غالبا لارتفاع موضوع الحرمة ، إلاّ أن يكون أصلا جاريا في طرف الموضوع ، أعني نفس الرضاع مع شرائطها وقيودها يكون موجبا لإحرازها ، أو إحراز البعض المركّب منه ومن غيره ، فيكون حاكما على </w:t>
      </w:r>
      <w:bookmarkStart w:id="276" w:name="pg15937_235243"/>
    </w:p>
    <w:p>
      <w:pPr>
        <w:pStyle w:val="BookText"/>
        <w:rPr/>
      </w:pPr>
      <w:bookmarkEnd w:id="276"/>
      <w:r>
        <w:rPr>
          <w:rFonts w:ascii="Amiri" w:hAnsi="Amiri" w:eastAsia="Amiri" w:cs="Amiri"/>
          <w:color w:val="111111"/>
          <w:sz w:val="28"/>
          <w:sz w:val="28"/>
          <w:szCs w:val="28"/>
          <w:rtl w:val="true"/>
          <w:lang w:bidi="ar-SA"/>
        </w:rPr>
        <w:t>هذا الأصل ، أعني أصالة عدم حصول أحد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الحكمي بحسب طبعه الأوّلي هي الحلّية ، لو لم يكن مخصّصا بالإجماع على الاحتياط في باب الفروج في الشبهات المصداقيّة ، والأصل الموضوعي حاكم عليه مطلقا ، سواء أكان موافقا له أو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الجارية في الموضوع غالبا تكون رافعة لموضوع الحرمة ، وقد تكون في الموارد القليلة موجبة لإثبات موضوع الحرمة ، وذلك في كلّ مورد يكون الأصل الموضوعي مثبتا لبعض أجزاء الموضوع المركب ، أو بعض شرائطه وقيوده ، ويكون البعض الآخر من ذلك الموضوع المركّب محرزا بالوجدان ، كي يكون الموضوع المركّب بعضه محرزا بالأصل ، وبعضه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حكم الشكّ في تحقّق الرضاع مفهوما ومصداقا من حيث الرجوع إلى الإطلاقات ، ومن حيث الرجوع إلى الأصول العمليّة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6073470_2142443653"/>
      <w:bookmarkStart w:id="278" w:name="_Toc90"/>
      <w:bookmarkEnd w:id="277"/>
      <w:r>
        <w:rPr>
          <w:rtl w:val="true"/>
        </w:rPr>
        <w:t xml:space="preserve">الجهة الرابعة </w:t>
      </w:r>
      <w:r>
        <w:rPr>
          <w:rtl w:val="true"/>
        </w:rPr>
        <w:t xml:space="preserve">: </w:t>
      </w:r>
      <w:r>
        <w:rPr>
          <w:rtl w:val="true"/>
        </w:rPr>
        <w:t>في شرائط تحقّق الرضاع</w:t>
      </w:r>
      <w:bookmarkEnd w:id="278"/>
    </w:p>
    <w:p>
      <w:pPr>
        <w:pStyle w:val="Heading4"/>
        <w:numPr>
          <w:ilvl w:val="3"/>
          <w:numId w:val="1"/>
        </w:numPr>
        <w:rPr/>
      </w:pPr>
      <w:bookmarkStart w:id="279" w:name="__RefHeading___Toc16073472_2142443653"/>
      <w:bookmarkStart w:id="280" w:name="_Toc91"/>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اللبن عن نكاح صحيح ، أي وطي غير محرّم ، فإذا كان عن الفجور بامرأة فلا يكون محرّما وموجبا لنشر الحرمة قطعا إجماعا بقسميه كما عن الجواهر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وقد حقّقنا في الأصول عدم حجّية مثل هذه الإجماعات التي لها مدرك بل مدارك من الأخبار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في دليل هذا الحكم قوله علیه السلام فيما رواه دعائم الإسلام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لبن الحرام لا يحرّم الحلال ، ومثل ذلك امرأة أرضعت بلبن زوجها ثمَّ أرضعت بلبن 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أرضع من فجور بلبن صبيّة لم يحرم من نكاحها ، لأنّ اللبن 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بهذه الجملة تعليلا لعدم حرمة الحلال بالحرام في موارد عديدة ، وعلى فرض عدم اعتبار ما يتفرّد به دعائم الإسلام هناك روايات معتبرة دالّة على أنّ اللبن الذي يوجب الارتضاع منه نشر الحرمة لا بدّ وأن يكون عن وطي صحيح ، بأن تكون زوجته بالعقد الدائم أو المنقطع ، أو تكون ملكا للواطي ، أو تكون محلّلة له من قبل المالك مع اجتماع شرائط التحليل ، فما ليس عن وطى كما لو درت بدون وطي أصلا لا يوجب الحرمة فضلا عن أن يكون بوطي محرّم مثل الحيض والمحلوفة على ترك وطيها وعن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الأخبار ما رواه في الكافي عن يونس بن يعقوب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درّ لبنها من غير ولادة ، فأرضعت جارية وغلاما من ذلك اللبن ، هل يحرم بذلك اللبن ما يحرم من الرضاع؟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ورواه الصدوق بإسناده عن ابن أبي عمير ، عن يونس بن يعقوب مثله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الشيخ عن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امرأة درّ لبنها من غير ولادة ، فأرضعت ذكرانا وإناثا ، أيحرم من ذلك ما يحرم من الرضاع؟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الشيخ أيضا في الصحيح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لبن الفحل؟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ما أرضعت امرأتك من لبنك ولبن ولدك ولد امرأة أخرى فهو حرام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في الكافي عن بريد العجلي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لي ذلك؟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امرأة أرضعت من لبن فحلها ولد امرأة أخرى من جارية أو غلام ، فذلك الذي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الرضاع المحرّم لا بدّ له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لبن فحل المرأة شرعا ، فلو درّ لبنها عن غير ولادة لا يكون محرّما ، فضلا عن أن يكون اللبن من ذكر أو خنثى المشكل ، ولو لم يكن من فحل المرأة شرعا أيضا لا يكون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الأمر الأوّل ، فلقوله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 لبنها من غير ولادة أيحرم؟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 فلقوله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قوله رسول اللّه صلی اللّه علیه و آله يحرم من الرضاع ما يحرم من النسب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امرأة أرضعت من لبن فحلها ولد امرأة أخرى من جارية أو غلام فذلك الذي قال رسول اللّه صلی اللّه علیه و آله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وإن كان ظاهرا في الزوج ، سواء أكان حصول </w:t>
      </w:r>
    </w:p>
    <w:p>
      <w:pPr>
        <w:pStyle w:val="BookText"/>
        <w:rPr/>
      </w:pPr>
      <w:r>
        <w:rPr>
          <w:rFonts w:ascii="Amiri" w:hAnsi="Amiri" w:eastAsia="Amiri" w:cs="Amiri"/>
          <w:color w:val="111111"/>
          <w:sz w:val="28"/>
          <w:sz w:val="28"/>
          <w:szCs w:val="28"/>
          <w:rtl w:val="true"/>
          <w:lang w:bidi="ar-SA"/>
        </w:rPr>
        <w:t>الزوجيّة بالعقد الدائم أو المنقطع ، ولكن لا يبعد كونه كناية عن الوطي الشرعي المحلّل مقابل الزنا ، فيشمل الملك والتحليل ، بل وطي الشبهة إن كان المراد من الوطي المحلّل المحلّل ظاهرا وإن كان حراما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الأخير لا يخلو عن إشكال ، لبعد أن يكون المراد من هذه اللفظة هو الوطي الحلال ، ولو كان حلالا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هذه الروايات تدلّ على أنّ اللبن الناشئ من الزنا لا يكون محرّما ، كما أنّها تدلّ على أنّ لبن الحاصل من الوطي الحلال واقعا سواء أكان حلّيته من جهة أنّ الواطي زوج أو مالك أو محلّل عليه من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شمولها للوطي بالشبهة إشكال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في الصحيح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أرضعت امرأتك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الغالب ، وإنّ هذه اللفظة أيضا مثل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الوطي الشرعي الصحيح ، وعبّر عن هذا المعنى بامرأتك لأنّ غالب الوطي الصحيح الحلال واقعا يكن مع امرأته في أغلب الأشخاص ، وفي أغلب الأعصار والأمصار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الوطي بالشبهة ، وأنّه هل ملحق بالوطي الصحيح من جهة حلّيته الظاهريّة ، أو ملحق بالزنا من جهة حرمته الواقعية؟</w:t>
      </w:r>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بأنّ عمومات التحريم ومطلقاته أنّه خصّصت أو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جملة من الروايات من أن يكون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لبن امرأتك ، أو عنوان أن يكون لبن فحلها ، وهذان العنوانان لا ينطبقان على الوطي بالشبهة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أجبنا عن هذا بأنّ هذين العنوانين يمكن أن يكونا كنايتين عن الوطي الصحيح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على هذا التوجيه ما ذكره شيخنا الأعظم قدس سره من أنّه لو بنينا على ورود التقييد مورد الغالب لينسدّ باب الاستدلال على اعتبار كثير من الشروط ، لتطرّق هذا الاحتمال في كثير منها إن لم يكن في جميعها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المتبع هي الظهورات ، ولا شكّ في أنّ القيود تختلف بحسب ظهورها ، وليست على نسق واحد ، وحيث أنّ المشهور ذهبوا إلى الإلحاق بالزوجة وما في حكمها في نشر الحرمة ، وإن تمسّك بعضهم بوجوه استحسانيّة لا يخرج عن كونها قياسا باطلا ، إلاّ أنّ فهمهم ممّا يؤيّد هذا الوجه الذي ذكرنا في المراد من هذين العنوانين ، ولا أقلّ من الإجمال ، فيكون المرجع هي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انصراف العمومات والإطلاقات عن الوطي بالشبهة ، فدعوى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نشر الحرمة بالارتضاع من الخنثى المشكل إشكال ، لأنّ حصول الولد لها من الوطي الصحيح الشرعي الذي من شرائط نشر الحرمة بناء على عدم وجود طبيعة ثالثة من أمارات أنّه امرأة ، فليس من الخنثى المشكل ، والخنثى المشكل تصوير الوطي الصحيح في حقّه مشكل ، إلاّ أن يكون الوطي بالشبهة ، فيكون فيه جهتان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خنثى ، ومن جهة أنّ وطيها وطي بالشبهة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الجواهر استدلّ على العدم بقول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الرضاع أقلّ من يوم وليلة ، أو خمس عشرة رضعة متواليات من امرأة واحدة </w:t>
      </w:r>
      <w:r>
        <w:rPr>
          <w:rFonts w:eastAsia="IRNazanin" w:cs="IRNazanin"/>
          <w:color w:val="111111"/>
          <w:sz w:val="28"/>
          <w:szCs w:val="28"/>
          <w:rtl w:val="true"/>
          <w:lang w:bidi="fa-IR"/>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كون المرضعة امرأة لازم ، وفي الخنثى المشكل لا طريق إلى ذلك حسب الفرض ، وإلاّ ليس بمشكل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وفيه ما ذكرنا من ورود هذه الألفاظ مورد الغالب</w:t>
      </w:r>
      <w:r>
        <w:rPr>
          <w:rFonts w:eastAsia="Amiri" w:cs="Amiri" w:ascii="Amiri" w:hAnsi="Amiri"/>
          <w:color w:val="111111"/>
          <w:sz w:val="28"/>
          <w:szCs w:val="28"/>
          <w:rtl w:val="true"/>
          <w:lang w:bidi="ar-SA"/>
        </w:rPr>
        <w:t xml:space="preserve">. </w:t>
      </w:r>
      <w:bookmarkStart w:id="281" w:name="pg15937_235248"/>
    </w:p>
    <w:p>
      <w:pPr>
        <w:pStyle w:val="Heading4"/>
        <w:numPr>
          <w:ilvl w:val="3"/>
          <w:numId w:val="1"/>
        </w:numPr>
        <w:rPr/>
      </w:pPr>
      <w:bookmarkStart w:id="282" w:name="__RefHeading___Toc16073474_2142443653"/>
      <w:bookmarkStart w:id="283" w:name="_Toc92"/>
      <w:bookmarkEnd w:id="281"/>
      <w:bookmarkEnd w:id="282"/>
      <w:r>
        <w:rPr>
          <w:rtl w:val="true"/>
        </w:rPr>
        <w:t>وها هنا فروع</w:t>
      </w:r>
      <w:bookmarkEnd w:id="28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نشر الحرمة بقاء المرأة في حبال الرجل إلى تمام الرضاع بحيث لو طلّقها قبل ذلك ، أو مات عنها قبل أن يتمّ الرضاع لا يكن الرضاع محرّما ،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الإجماع على عدم لزوم البقاء ، وقد بيّنّا حال هذه الإجماعات ،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الاشتراط هو قوله علیه السلام في الروايات السابقة في تفسير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أرضعت امرأتك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والمشتقّ ليس حقيقة فيما انقضى المبدأ عنه ، فلا يصدق على المطلّقة والمتوفّى عنها زوجها 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بعض الروايات الأخر فيصدق حتّى مع الطلاق وأن يتوفّى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ما بيّنّا سابقا ، من أنّ هذا العنوان ليس المراد منه إلاّ الوطي الصحيح الشرعي ، وهذا المعنى لا منافاة له مع هذين كما هو واضح ، إذ الموت والطلاق لا يقطعان نسبة اللبن عنه ، وأيضا لا فرق بين أن يرتضع في العدّة أو بعد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اعتبار كون الرضاع المحرّم في الحولين ، يلزم أن لا يكون خارجا عن الحولين ، ومن هذه الجهة لا فرق بين أن يكون قبل الطلاق والوفاة أو بعدهما ، وكذلك لا فرق بين أن يكون في العدّة ، أو في خارجها ، لأنّ هذا شرط آخر في الرضاع معتبر بدليل 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لو تزوّجت بعد أن طلّقها أو مات عنها ، فإذا لم تجعل من الثاني فالحكم كما لو لم تتزوّج ، لأنّ صرف تزوّجها لم يمنع عن استناد اللبن إلى زوجها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جعلت من الثاني فتارة يكون اللبن مستمرّا وبحاله من دون انقطاع ولا زيادة ولا نقيصة ، فالظاهر أنّه من الأوّل ، وإن كان من الممكن عقلا أن يكون من الثاني بقاء ، أو يكون للثاني أيضا له دخل ، بناء على أنّ الحمل قبل الوضع أيضا ربما يوجب درّ اللبن ، وإن كان كلّ هذه احتمالات وفروض ووقوعها مستبعد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ينقطع ويعود أو ينقص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يتخيّل أنّه بعد الازدياد يكون المقدار الزائد للثاني ، وهكذا بعد الانقطاع تمام ما عاد للثاني ، وإلاّ فلا وجه للنقص ثمَّ الزيادة ، أو الانقطاع ثمَّ العود ، إلاّ أن يكون المنشأ هو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هذه احتمالات ليس لها أساس متين ، ولم يدلّ دليل على حجّية هذه الظنون ، مضافا إلى أصالة عدم حدوث لبن آخر مستندا إلى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الوضع لا يبقى مجال لهذا الاستصحاب ، إذ الظاهر حينئذ أنّ اللبن غذاء الطفل المتولّد ، وقد ادّعى الإجماع على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قبل الوضع للزوج الأوّل ، وبعده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الإماميّة على أنّ للرضاع المحرّم تقدير ، ولا يكفي فيه مسمّى الرضاع ولو بمثل ما فطر به الصائم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إلى ذلك جمع كثير من العامّة ، كأبي حنيفة </w:t>
      </w:r>
      <w:r>
        <w:rPr>
          <w:rStyle w:val="FootnoteAnchor"/>
          <w:rtl w:val="true"/>
        </w:rPr>
        <w:footnoteReference w:id="371"/>
      </w:r>
      <w:r>
        <w:rPr>
          <w:rFonts w:ascii="Amiri" w:hAnsi="Amiri" w:eastAsia="Amiri" w:cs="Amiri"/>
          <w:color w:val="111111"/>
          <w:sz w:val="28"/>
          <w:sz w:val="28"/>
          <w:szCs w:val="28"/>
          <w:rtl w:val="true"/>
          <w:lang w:bidi="ar-SA"/>
        </w:rPr>
        <w:t xml:space="preserve">ومالك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والأوزاعي </w:t>
      </w:r>
      <w:r>
        <w:rPr>
          <w:rStyle w:val="FootnoteAnchor"/>
          <w:rtl w:val="true"/>
        </w:rPr>
        <w:footnoteReference w:id="373"/>
      </w:r>
      <w:r>
        <w:rPr>
          <w:rFonts w:ascii="Amiri" w:hAnsi="Amiri" w:eastAsia="Amiri" w:cs="Amiri"/>
          <w:color w:val="111111"/>
          <w:sz w:val="28"/>
          <w:sz w:val="28"/>
          <w:szCs w:val="28"/>
          <w:rtl w:val="true"/>
          <w:lang w:bidi="ar-SA"/>
        </w:rPr>
        <w:t xml:space="preserve">والثوري </w:t>
      </w:r>
      <w:r>
        <w:rPr>
          <w:rStyle w:val="FootnoteAnchor"/>
          <w:rtl w:val="true"/>
        </w:rPr>
        <w:footnoteReference w:id="374"/>
      </w:r>
      <w:r>
        <w:rPr>
          <w:rFonts w:ascii="Amiri" w:hAnsi="Amiri" w:eastAsia="Amiri" w:cs="Amiri"/>
          <w:color w:val="111111"/>
          <w:sz w:val="28"/>
          <w:sz w:val="28"/>
          <w:szCs w:val="28"/>
          <w:rtl w:val="true"/>
          <w:lang w:bidi="ar-SA"/>
        </w:rPr>
        <w:t xml:space="preserve">والبلخي </w:t>
      </w:r>
      <w:r>
        <w:rPr>
          <w:rStyle w:val="FootnoteAnchor"/>
          <w:rtl w:val="true"/>
        </w:rPr>
        <w:footnoteReference w:id="375"/>
      </w:r>
      <w:r>
        <w:rPr>
          <w:rFonts w:ascii="Amiri" w:hAnsi="Amiri" w:eastAsia="Amiri" w:cs="Amiri"/>
          <w:color w:val="111111"/>
          <w:sz w:val="28"/>
          <w:sz w:val="28"/>
          <w:szCs w:val="28"/>
          <w:rtl w:val="true"/>
          <w:lang w:bidi="ar-SA"/>
        </w:rPr>
        <w:t xml:space="preserve">والليث </w:t>
      </w:r>
      <w:r>
        <w:rPr>
          <w:rStyle w:val="FootnoteAnchor"/>
          <w:rtl w:val="true"/>
        </w:rPr>
        <w:footnoteReference w:id="376"/>
      </w:r>
      <w:r>
        <w:rPr>
          <w:rFonts w:ascii="Amiri" w:hAnsi="Amiri" w:eastAsia="Amiri" w:cs="Amiri"/>
          <w:color w:val="111111"/>
          <w:sz w:val="28"/>
          <w:sz w:val="28"/>
          <w:szCs w:val="28"/>
          <w:rtl w:val="true"/>
          <w:lang w:bidi="ar-SA"/>
        </w:rPr>
        <w:t>، حتى الأخير منهم ادّعى إجماع أهل العلم على نشر الحرمة بمثل ما يفطر به الصائم ، مع أنّ أكثرهم قائلون بالتقدير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ذهب القاضي نعمان المصري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مقالتهم ، لما رواه في ذلك الكتاب 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قليله وكثيرة المصة الواحدة تحرم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محكي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بيّن صوابه لمن تدبّره ووفّق لفهمه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وَأُمَّهاتُكُمُ اللاّتِي أَرْضَعْنَكُمْ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والرضاع يقع على القليل والكثير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لأمثال هذه الفتاوى بمطلقات الكتاب والسنّة لا وجه له ، بعد تقييدها بالمقيّدات المستفيضة ، كما ستمرّ عليك إن شاء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عن مولانا أمير المؤمنين علیه السلام ، ومكاتبة عليّ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علیه السلام يسأله عمّا يحرم من الرضاع؟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قليله وكثيره حرام </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فلا بدّ وأن يطرحا أو يؤوّلا ، لإعراض الأصحاب عن العمل بظاهرهما ، ومعارضتهما مع ما هو معمول به بين الأصحاب ، وأصحّ سندا وأكثر عددا ، مع موافقة </w:t>
      </w:r>
      <w:bookmarkStart w:id="284" w:name="pg15937_235251"/>
    </w:p>
    <w:p>
      <w:pPr>
        <w:pStyle w:val="BookText"/>
        <w:rPr/>
      </w:pPr>
      <w:bookmarkEnd w:id="284"/>
      <w:r>
        <w:rPr>
          <w:rFonts w:ascii="Amiri" w:hAnsi="Amiri" w:eastAsia="Amiri" w:cs="Amiri"/>
          <w:color w:val="111111"/>
          <w:sz w:val="28"/>
          <w:sz w:val="28"/>
          <w:szCs w:val="28"/>
          <w:rtl w:val="true"/>
          <w:lang w:bidi="ar-SA"/>
        </w:rPr>
        <w:t xml:space="preserve">هذين لكثير من أهل الخلاف ، كما حكيناهم عن الجواهر ، ومخالفة تلك لهم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 هاتين الطائفتين مخالف لبعضهم وموافق للبعض الآخر ، وعلى كلّ حال الذي راجع أخبار التقدير يقطع ببطلان هذه الفتوى الذي صدر عن القاضي المصري ، ومثله في الشذوذ ما نقل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أنّ الرضاع المحرّم هو الرضعة الكاملة حتّى يمتلأ بطنه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محكي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الرواية من الوجهين جميعا ، في قدر الرضاع المحرّم ، إلاّ أنّ الذي أوجبه الفقه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واحتياط المرء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وقع عليه اسم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ملأ بطن الصبي إمّا بالمص أو بالوجور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للنكاح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وإن كان لا ينافي أصل التقدير ، لأنّه في الحقيقة تقدير برضعة كاملة ، وليس عبارة عن مسمّى الرضاع ، قليلا كان أو كثيرا ، إلاّ أنّه مخالفة المشهور ، بل مخالفة إجماع الإماميّة مثل القول الأوّل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6073476_2142443653"/>
      <w:bookmarkStart w:id="286" w:name="_Toc93"/>
      <w:bookmarkEnd w:id="285"/>
      <w:r>
        <w:rPr>
          <w:rtl w:val="true"/>
        </w:rPr>
        <w:t xml:space="preserve">وما يمكن أن يكون دليلا لهذا القول روايات </w:t>
      </w:r>
      <w:r>
        <w:rPr>
          <w:rtl w:val="true"/>
        </w:rPr>
        <w:t>:</w:t>
      </w:r>
      <w:bookmarkEnd w:id="286"/>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زيد ابن عليّ ، عن آبائه عن عليّ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الرضعة الواحدة كالمائة رضعة لا تحلّ له أبدا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ابن أبي يعفور ، وفيها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يحرم من الرضاع؟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رضع حتّى يمتلئ بطنه ، فإنّ ذلك ينبت اللحم والدم ، وذلك الذي يحرم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تفسير الرضاع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الذي ينبت اللحم والدم هو الذي يرضع حتّى يمتلئ ويتضلّع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دلالة بعض هذه الروايات على دعواه تأمّل واضح ، وعلى فرض تسليم دلالتها ليست قابلة للمعارضة مع ما هو أقوى وأشهر وأكثر عددا وأصحّ سندا منها ، خصوصا مع إعراض الأصحاب عن العمل بهذه الروايات ، بل انعقاد الإجماع على خلافها ، فهذا القول في البطلان مثل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في تقدير الرضاع طرق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 أعني إنبات اللحم ،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 أعني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أعني العشرة أو الخمسة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وردت فيه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أنبت اللحم وشدّ العظم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عبيد بن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الرضاع ما أدنى ما يحرم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ينبت اللحم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واحدة تنبته؟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اثنتان أصلحك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أزل أعدّ عليه حتّى بلغت عشر رضعات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أنبت اللحم والدم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والتهذيب عن عبد اللّه بن سنان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الرضاع الرضعة والرضعتان والثلاثة؟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ما اشتدّ عليه العظم ونبت اللحم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شدّ العظم وأنبت اللحم ، فأمّا الرضعة والرضعتان والثلاث حتّى بلغ عشرا إذا كنّ متفرّقات فلا بأس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أهل بيت كبير ، فربما كان الفرح والحزن الذي يجتمع فيه الرجال والنساء ، فربما استخفت المرأة انّ تكشف رأسها عند الرجل الذي بينها وبينه رضاع ، وربما استخفّ الرجل أن ينظر إلى ذلك ، فما الذي يحرم من الرضاع؟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 اللحم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ينبت اللحم والدم؟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p>
    <w:p>
      <w:pPr>
        <w:pStyle w:val="BookText"/>
        <w:rPr/>
      </w:pPr>
      <w:r>
        <w:rPr>
          <w:rFonts w:ascii="Amiri" w:hAnsi="Amiri" w:eastAsia="Amiri" w:cs="Amiri"/>
          <w:color w:val="111111"/>
          <w:sz w:val="28"/>
          <w:sz w:val="28"/>
          <w:szCs w:val="28"/>
          <w:rtl w:val="true"/>
          <w:lang w:bidi="ar-SA"/>
        </w:rPr>
        <w:t xml:space="preserve">تحرم عشر رضعات؟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يحرم من النسب فهو يحرم من الرضاع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رئاب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يحرم من الرضاع؟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 اللحم والدم وشدّ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فيحرم عشر رضعات؟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لأنّه لا ينبت اللحم ولا يشدّ العظم عشر رضعات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الأخبار ، بل صريح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المدار على هذين ، ولا اعتبار بالعدد إلاّ من جهة كونه طريقا إليهما ، فما هو الموضوع الشرعي للتحريم ليس في الحقيقة إلاّ هذين ، أي إنبات اللحم ،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أنّه كيف يمكن أن يجعل الشارع شيئا موضوعا لحكمه ، مع عدم إمكان معرفته لأغلب الناس ، لأنّه ليس المراد منهما المرتبة الكاملة منهما ، بحيث كلّ من ينظر إلى المرتضع يرى وجود هذين فيه ، لأنّ تلك المرتبة لا تحصل بارتضاعه يوما وليلة ، أو خمسة عشر رضعة له قطعا ، والمرتبة التي تحصل بهذا المقدار من الارتضاع من الأمور غير المحسوسة التي لا يفهمها غالب الناس ، فيلزم إحالة الحرمة على المجهول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أحد يدري بأنّ كلّ غذاء ترد إلى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هضمها ودفع المعدة للفضول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إلى الدم ، ويجري في العروق الشعريّة ، وبعد وصوله إلى أيّ عضو من الأعضاء؟ تتشكل بشكل ذلك العضو من العظم واللحم وغير ذلك من الأجزاء والأعضاء ، فلا محالة كلّ غذاء يتغذّى به الإنسان ، بل الحيوان ، بل النبات </w:t>
      </w:r>
    </w:p>
    <w:p>
      <w:pPr>
        <w:pStyle w:val="BookText"/>
        <w:rPr/>
      </w:pPr>
      <w:r>
        <w:rPr>
          <w:rFonts w:ascii="Amiri" w:hAnsi="Amiri" w:eastAsia="Amiri" w:cs="Amiri"/>
          <w:color w:val="111111"/>
          <w:sz w:val="28"/>
          <w:sz w:val="28"/>
          <w:szCs w:val="28"/>
          <w:rtl w:val="true"/>
          <w:lang w:bidi="ar-SA"/>
        </w:rPr>
        <w:t>تكون موجبة لنموّ المتغذّي ، لأنّه لا معنى للنموّ إلاّ هذا المعنى ، والقوّة الغاذية مشتركة بين جميع الحيوانات والنباتات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 حتّى الرضعة الواحدة تكون موجبة لإنبات اللحم وشدّ العظم ، ولكن الشارع لم يجعل مطلق الإنبات ولو كان بالدقّة العقليّة موضوعا لحكمه ، بل كلّ ما يصدق عليه الإنبات عند أهل الخبرة من العرف ، وتلك المرتبة لا تحصل إلاّ برضاع يوم وليلة ، أو بخمسة عشر رضعة ، اللذان لا يكون الفاصل بينها التغذّي بغذاء آخر ، إمّا لانصراف الإطلاق إلى تلك المرتبة ، أو يفهم ذلك من الجعلين الآخرين ، أي 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فهم ما جعله الشارع موضوعا موجود ، وهو إمّا فهم أهل الخبرة ، أو الطريقين المجعولين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الواقعي هو الذي يكون فيه مناط الحكم وملاكه ، وفي عالم الإثبات يحتاج إلى طريق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عالم الثبوت فتابع للواقع ، أعني كونه ذا الملاك ، فيمكن أن يكون الموضوع الواقعي هو إنبات اللحم وشدّ العظم ، ولكن حيث لا طريق إلى معرفته في مقام الإثبات وهو لازم أعمّ لملزومين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 خمسة عشر رضعة جعل الشارع في مقام الإثبات موضوع حكمه أحد العنوانين ، أي الزمان والعدد ، فإنبات اللحم وشدّ العظم موضوع ثبوتي واقعي ، والزمان والعدد موضوع إثباتي ، وفي كلّية الأحكام المعلّلة الموضوع الواقعي هي العلّة إذا كانت قابلة لتعلّق التكليف 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كون الموضوع هو إنبات اللحم وشدّ العظم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حصولها بنفس المقدار المعيّن من الزمان أو العدد ، أو بأقلّ منهما ، أو بأكثر منهما ، بأن لا يكون ملازمة بينهما وبين هذا الموضوع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إنبات اللحم وشدّ العظم ، وكون قول أهل الخبرة طريقا إلى معرفتهما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حجّية قولهم من جهة كونه بيّنة كي يعتبر </w:t>
      </w:r>
    </w:p>
    <w:p>
      <w:pPr>
        <w:pStyle w:val="BookText"/>
        <w:rPr/>
      </w:pPr>
      <w:r>
        <w:rPr>
          <w:rFonts w:ascii="Amiri" w:hAnsi="Amiri" w:eastAsia="Amiri" w:cs="Amiri"/>
          <w:color w:val="111111"/>
          <w:sz w:val="28"/>
          <w:sz w:val="28"/>
          <w:szCs w:val="28"/>
          <w:rtl w:val="true"/>
          <w:lang w:bidi="ar-SA"/>
        </w:rPr>
        <w:t>فيه العدد والعدالة ، أو من جهة أنّ قول أهل الخبرة في نفسه حجّة من دون لزوم اندارجه تحت أدلّة حجّية البيّنة لبناء العقلاء على حجّية قولهم والرجوع إليهم ولو كان واحدا وفاسقا ، بل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جهة بناء العقلاء وعدم ردع الشارع لهذا البناء؟</w:t>
      </w:r>
    </w:p>
    <w:p>
      <w:pPr>
        <w:pStyle w:val="BookText"/>
        <w:rPr/>
      </w:pPr>
      <w:r>
        <w:rPr>
          <w:rFonts w:ascii="Amiri" w:hAnsi="Amiri" w:eastAsia="Amiri" w:cs="Amiri"/>
          <w:color w:val="111111"/>
          <w:sz w:val="28"/>
          <w:sz w:val="28"/>
          <w:szCs w:val="28"/>
          <w:rtl w:val="true"/>
          <w:lang w:bidi="ar-SA"/>
        </w:rPr>
        <w:t>الظاهر هو الأخير ، لأنّ كلام أهل الخبرة في هذه المقامات ليس من جهة إحساسهم بأحد الحواسّ الخمسة الظاهريّة شيئا لا يدركه من عداهم ، لأنّه ربما يكون غير أهل الخبرة أقوى حواسّا من أهل الخبرة ، بل يكون من جهة إعمال رأيهم ونظرهم ، ولو كان هذا الرأي قد حصل لهم من ناحية الإحساس ، فبناء على هذا لا يحتاج إلى التعدّد ولا إلى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بعض هذه الأخبار كان بدل شدّ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روايتي عبيد بن زرارة ورواية حمّاد بن عثمان ، والظاهر أنّه ملازمة بين إنبات اللحم والدم مع إنبات اللحم وشدّ العظم ، لأنّه ليس المراد من إنبات الدم هو تحوّل الغذاء إلى الدم ، إذ لا يصدق عليه الإنبات في ذلك الوقت ، بل المراد به الدم الذي يجري في العروق الشعريّة ، ويأخذ كلّ عضو وجزء من الأعضاء والأجزاء النامية مقدارا منه ، ويصير من سنخ ذلك الجزء ، فالعظم أيضا مثل سائر الأجزاء له نصيب من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إنبات الدم أي صيرورة الجارية في العروق الشعريّة من سنخ الأعضاء المتغذّية بذلك الدم ، فيكون العنوانات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إنبات اللحم ،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عنوان إنبات اللحم وشدّ العظم متلازمين ، لا ينفكّ أحدهما عن الآخر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واحد منهما موضوع مستقلّ ، أو لا بدّ من اجتماع كلا العنوانين ، أو أحدهما موضوع دون الآخر؟ فيقع التعارض بين الأخبار التي مؤدّاها عنوان إنبات اللحم والدم ، مع التي مؤدّاها عنوان إنبات اللحم وشدّ العظم كي نحتاج إلى إعمال قواعد باب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ممّا ذكرنا أيضا أنّه لا انفكاك بين عنوان إنبات اللحم وشدّ العظم ، بل هما متلازمان ومعلولان لعلّة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وصول الدم الذي تحوّل إليه الغذاء الواردة إلى المعدة بعد طبخها وهضمها فيها إلى كلّ جزء من أجزاء البدن ، فيحصل من هذا الوصول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إنبات اللحم ، ثانيهما شدّ العظم ، ولا يمكن أن يتخلّف أحدهما عن الآخر ، وإلاّ يلزم تخلّف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هذا البيان أنّ الرضعة الواحدة ، بل المصة الواحدة تكون كافية في التحريم ، كما ذهب إليه جمع من أهل الخلاف ، والقاضي نعمان المصري منّا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أجبنا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للحكم ليس هو مطلق الإنبات والشدّ ولو كان بالدقّة العقليّة ، بل ما هو مصداق بنظر أهل العرف من أهل الخبرة بواسطة انصراف الإطلاق إلى ذلك ، أو من جهة أخبار التقدير بالزمان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حاجة إلى ما ذكره شيخنا الأعظم قدس سره من أنّ مقتضى النصوص المذكورة هو اعتبار تحقّق كلا الأمرين واجتماعهما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إنبات اللحم وشدّ العظم </w:t>
      </w:r>
      <w:r>
        <w:rPr>
          <w:rStyle w:val="FootnoteAnchor"/>
          <w:rtl w:val="true"/>
        </w:rPr>
        <w:footnoteReference w:id="394"/>
      </w:r>
      <w:r>
        <w:rPr>
          <w:rFonts w:ascii="Amiri" w:hAnsi="Amiri" w:eastAsia="Amiri" w:cs="Amiri"/>
          <w:color w:val="111111"/>
          <w:sz w:val="28"/>
          <w:sz w:val="28"/>
          <w:szCs w:val="28"/>
          <w:rtl w:val="true"/>
          <w:lang w:bidi="ar-SA"/>
        </w:rPr>
        <w:t>، لما ذكرنا من تلازمهما وعدم انفكاكهما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بينهما تلازم كان ما ذكره قدس سره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وجه لما ذكره شيخنا الشهيد قدس سره </w:t>
      </w:r>
      <w:r>
        <w:rPr>
          <w:rStyle w:val="FootnoteAnchor"/>
          <w:rtl w:val="true"/>
        </w:rPr>
        <w:footnoteReference w:id="395"/>
      </w:r>
      <w:r>
        <w:rPr>
          <w:rFonts w:ascii="Amiri" w:hAnsi="Amiri" w:eastAsia="Amiri" w:cs="Amiri"/>
          <w:color w:val="111111"/>
          <w:sz w:val="28"/>
          <w:sz w:val="28"/>
          <w:szCs w:val="28"/>
          <w:rtl w:val="true"/>
          <w:lang w:bidi="ar-SA"/>
        </w:rPr>
        <w:t>لأنّ عطف شدّ العظم على إنبات اللحم بالواو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وينفي ما ذهب إليه الشهيد قدس سره من الاجتزاء بكلّ واحد من الأمرين ، وذلك لأنّ مفاد العطف بالواو هو الجمع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وجه لاحتمال أن يكون المراد من إنبات اللحم والدم ، أو إنبات اللحم وشدّ العظم قابليّة الطفل لأنّ يصير كذلك بالارتضاع لو لم يكن عروض عارض وطروّ </w:t>
      </w:r>
    </w:p>
    <w:p>
      <w:pPr>
        <w:pStyle w:val="BookText"/>
        <w:rPr/>
      </w:pPr>
      <w:r>
        <w:rPr>
          <w:rFonts w:ascii="Amiri" w:hAnsi="Amiri" w:eastAsia="Amiri" w:cs="Amiri"/>
          <w:color w:val="111111"/>
          <w:sz w:val="28"/>
          <w:sz w:val="28"/>
          <w:szCs w:val="28"/>
          <w:rtl w:val="true"/>
          <w:lang w:bidi="ar-SA"/>
        </w:rPr>
        <w:t>مانع ، فيقال في الطفل المريض مثلا لو لم يكن المرض لكان ينبت له اللحم ويشتدّ له العظم بهذا الارتضاع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ظهور كلّ عنوان أخذ موضوعا للحكم ، أو من أجزاء موضوعه ، أو من شرائطه في فعليّته ، لا أنّه موضوع بأعمّ من الفعليّة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جعل الإرث لمن يكون ولدا بالفعل ، لا للنطفة المستقرّة في الرحم التي كانت تصير ولدا لو لا عروض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يحتاج إلى شرح وإيضاح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أي التحديد والتقدير بالزمان ، فقد ورد فيه روايتان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زياد بن سوقة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هل للرضاع حدّ يؤخذ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الرضاع أقلّ من يوم وليلة ، أو خمس عشرة رضعة متواليات من امرأة واحدة من لبن فحل واحد ، ولم يفصل بينهما رضعة امرأة غيرها ، فلو أنّ امرأة أرضعت غلاما وجارية عشر رضعات من لبن فحل واحد ، وأرضعتهما امرأة أخرى من لبن فحل آخر عشر رضعات لم يحرم نكاحهما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المقنع سأل الصادق علیه السلام هل لذلك حدّ؟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رضاع يوم وليلة ، أو خمس عشرة رضعة متواليات لا يفصّل بينهن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هذا الرواية الثانية غير الرواية الأولى ، لأنّ الأولى كانت مرويّة عن أبي جعفر علیه السلام ، وهذه الرواية مرويّة عن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واحتمال أن يكون الصادق وصفا لأبي جعفر علیه السلام خلاف مصطلح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ودلالة هاتين الروايتين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جليّ ، وصريحهما أنّ حدّ الرضاع المحرّم بحسب الزمان يوم وليلة ، ولا يكون أقلّ من ذلك ، ولا يحتاج إلى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سندهما وإن كانت الثانية مرسلة لا تشملها أدلّة حجّية الخبر الواحد في نفسه ، لما بيّنّا في الأصول أنّ مفاد تلك الأدلّة حجّية الخبر الموثوق الصدور ، ولكن حيث أنّ العمل بها مجمع عليه بين الأصحاب ، ولم يخالف أحد منهم في العمل بمفاد هاتين الروايتين ، فتدخلان تحت أدلّة الحجّية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الأولى حجّة في نفسه ، لكونها موثّقة ، وعلى كلّ حال العمل بهما 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الأخر الواردة في التقدير بحسب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مع هاتين مضمونا ومن حيث 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فمطروحة أو تأوّل ، لإعراض الأصحاب عنها وعدم اعتنائهم بها ، كالتقدير بثلاثة أيّام متواليات في الفقه المنسوب إلى مولانا الرضا علیه السلام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 الذي يحرم به الرضاع ممّا عليه عمل العصابة دون كلّ ما روى ، فإنّه مختلف ما أنبت اللحم وقوي العظم ، وهو رضاع ثلاثة أيّام متواليات ، أو عشرة رضعات متواليات محرّرات مرويّات بلبن الفحل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وكالتقدير بخمسة عشر يوما ولياليهنّ في مرسلة الصدوق أنّه سأل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الرضاع ما يحرم من النسب ، ولا يحرم من الرضاع إلاّ رضاع خمسة عشر يوما ولياليهنّ ، وليس بينهنّ رضاع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وكالتقدير بسنة في صحيح علاء بن رزين عن الصادق علیه السلام سألته عن الرضاع؟ </w:t>
      </w:r>
      <w:bookmarkStart w:id="287" w:name="pg15937_235260"/>
    </w:p>
    <w:p>
      <w:pPr>
        <w:pStyle w:val="BookText"/>
        <w:rPr/>
      </w:pPr>
      <w:bookmarkEnd w:id="2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من الرضاع إلاّ ما ارتضع من ثدي واحد سنة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وكالتقدير بحولين كاملين ، كخبر الحلبي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كان حولين كاملين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وكخبر عبيد بن زرارة عنه علیه السلام أيضا سألته عن الرضاع؟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ارتضعا من ثدي واحد حولين كاملين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ولو أنّ بعضها صحيح بحسب السند ، ولكن الأصحاب حيث أعرضوا عنها قديما وحديثا ولم يعتنوا بها سقطت عن الاعتبار ، بل قالوا كلّما ازداد صحّة ازداد وهنا ، وما أحسن عبارة المحقّق في المعتبر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قبله الأصحاب أو دلّت القرائن على صحّته عمل به ، وما أعرض الأصحاب عنه ، أو شذّ يجب طرحه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6073478_2142443653"/>
      <w:bookmarkStart w:id="289" w:name="_Toc94"/>
      <w:bookmarkEnd w:id="288"/>
      <w:r>
        <w:rPr>
          <w:rtl w:val="true"/>
        </w:rPr>
        <w:t>ثمَّ إنّ ها هنا فروع</w:t>
      </w:r>
      <w:bookmarkEnd w:id="289"/>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أرضعت الولد يوما وليلة ولكن برضعات ناقصة ، هل يؤثّر مثل هذا الرضاع في نشر الحرمة ، أو يلزم أن يكون برضعات تامّة؟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أن يكون إرضاعها بالرضعات الكاملة أو الناقصة ، إذ </w:t>
      </w:r>
    </w:p>
    <w:p>
      <w:pPr>
        <w:pStyle w:val="BookText"/>
        <w:rPr/>
      </w:pPr>
      <w:r>
        <w:rPr>
          <w:rFonts w:ascii="Amiri" w:hAnsi="Amiri" w:eastAsia="Amiri" w:cs="Amiri"/>
          <w:color w:val="111111"/>
          <w:sz w:val="28"/>
          <w:sz w:val="28"/>
          <w:szCs w:val="28"/>
          <w:rtl w:val="true"/>
          <w:lang w:bidi="ar-SA"/>
        </w:rPr>
        <w:t xml:space="preserve">أنّ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يوم وليلة بعد معلوميّة أنّه ليس المراد منها اتّصال الرضاع في هذه المدّة ، أي يكون الطفل مشغولا بالارتضاع في تمام هذه المدّة كي يكون المجموع رضعة واحدة ، لأنّ هذا المعنى غير ممكن وقوعها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يكون الولد في تمام هذه المدّة يرتضع بنحو المتعارف ، بحيث يشبع إذا جاع ، فلا فرق بين أن يكون إشباعه بعد أن جاع برضعات كاملة ، أو كان برضعات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أرضعته رضعة ناقصة ، ثمَّ أكملته برضعة أخرى ، وهكذا إلى تمام يوم وليلة يصدق أنّه رضاع يوم وليلة ، أو أنّه ليس بأقلّ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لا بدّ من أن يكون ابتداء الرضاع في أوّل النهار إلى تمام الليل ، أو ابتدائه من أوّل الليل إلى انتهاء النهار ، أو يكفي الملفّق منهما؟</w:t>
      </w:r>
    </w:p>
    <w:p>
      <w:pPr>
        <w:pStyle w:val="BookText"/>
        <w:rPr/>
      </w:pPr>
      <w:r>
        <w:rPr>
          <w:rFonts w:ascii="Amiri" w:hAnsi="Amiri" w:eastAsia="Amiri" w:cs="Amiri"/>
          <w:color w:val="111111"/>
          <w:sz w:val="28"/>
          <w:sz w:val="28"/>
          <w:szCs w:val="28"/>
          <w:rtl w:val="true"/>
          <w:lang w:bidi="ar-SA"/>
        </w:rPr>
        <w:t xml:space="preserve">الظاهر كفاية التلفيق لصدق رضاع يوم وليلة على الملفّق منهما ، لأنّه لا خصوصيّة لعنوان اليوم الكامل أو الليلة الكاملة ، بل المراد امتداد زمان الرضاع حتّى ينبت اللحم ويشدّ العظم ، ولا أثر لخصوصيّة بياض اليوم وسواد الليل ، حتّى إنّه لو كان من الممكن امتداد زمان الرضاع أربعة وعشرين ساعة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الليل أو كلّه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كافيا ، لكنّه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كما أفاده شيخنا الأعظم قدس سره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أقلّ من رضاع يوم وليلة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في صدقه على الملفّق من صدق رضاع يوم وليلة ، لأنّ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أقلّ من زمان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يكون قرينة على أنّ المراد من اليوم والليلة ليس عنوان اليوم الكامل والليلة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أطعمه في أثناء اليوم والليلة بطعام آخر ، هل يكون مضرّا بصدق رضاع يوم وليلة أم 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كفاية ذلك الرضاع حينئذ ، لأنّ الظاهر من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bookmarkStart w:id="290" w:name="pg15937_235262"/>
    </w:p>
    <w:p>
      <w:pPr>
        <w:pStyle w:val="BookText"/>
        <w:rPr/>
      </w:pPr>
      <w:bookmarkEnd w:id="290"/>
      <w:r>
        <w:rPr>
          <w:rFonts w:ascii="Amiri" w:hAnsi="Amiri" w:eastAsia="Amiri" w:cs="Amiri"/>
          <w:color w:val="111111"/>
          <w:sz w:val="28"/>
          <w:sz w:val="28"/>
          <w:szCs w:val="28"/>
          <w:rtl w:val="true"/>
          <w:lang w:bidi="ar-SA"/>
        </w:rPr>
        <w:t xml:space="preserve">غذاؤه بحسب المتعارف مدّة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الرضاع ، نعم لو كان الطعام الآخر قليلا بحيث لا ينافي صدق هذا العنوان عليه ، فليس بمضرّ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حال هذا الطفل في الإرضاع أو أوساط الأطفال؟</w:t>
      </w:r>
    </w:p>
    <w:p>
      <w:pPr>
        <w:pStyle w:val="BookText"/>
        <w:rPr/>
      </w:pPr>
      <w:r>
        <w:rPr>
          <w:rFonts w:ascii="Amiri" w:hAnsi="Amiri" w:eastAsia="Amiri" w:cs="Amiri"/>
          <w:color w:val="111111"/>
          <w:sz w:val="28"/>
          <w:sz w:val="28"/>
          <w:szCs w:val="28"/>
          <w:rtl w:val="true"/>
          <w:lang w:bidi="ar-SA"/>
        </w:rPr>
        <w:t>الظاهر هو ما ذكرنا من إشباع شخص هذا الطفل ، سواء أكان شربه لللبن أكثر من المتعارف أو أقلّ ، أو كان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احتمال تأثير هذا الرضاع في إنبات اللحم وشدّ العظم ، أم لا؟</w:t>
      </w:r>
    </w:p>
    <w:p>
      <w:pPr>
        <w:pStyle w:val="BookText"/>
        <w:rPr/>
      </w:pPr>
      <w:r>
        <w:rPr>
          <w:rFonts w:ascii="Amiri" w:hAnsi="Amiri" w:eastAsia="Amiri" w:cs="Amiri"/>
          <w:color w:val="111111"/>
          <w:sz w:val="28"/>
          <w:sz w:val="28"/>
          <w:szCs w:val="28"/>
          <w:rtl w:val="true"/>
          <w:lang w:bidi="ar-SA"/>
        </w:rPr>
        <w:t xml:space="preserve">الظاهر لزوم هذا الاحتمال ، كما هو مفاد بعض الأخبار السابقة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بالعدد ، وقد عرفت عدم صحّة ما حكى عن القاضي نعمان المصري من التحرير بمسمّى الرضاع </w:t>
      </w:r>
      <w:r>
        <w:rPr>
          <w:rStyle w:val="FootnoteAnchor"/>
          <w:rtl w:val="true"/>
        </w:rPr>
        <w:footnoteReference w:id="406"/>
      </w:r>
      <w:r>
        <w:rPr>
          <w:rFonts w:ascii="Amiri" w:hAnsi="Amiri" w:eastAsia="Amiri" w:cs="Amiri"/>
          <w:color w:val="111111"/>
          <w:sz w:val="28"/>
          <w:sz w:val="28"/>
          <w:szCs w:val="28"/>
          <w:rtl w:val="true"/>
          <w:lang w:bidi="ar-SA"/>
        </w:rPr>
        <w:t xml:space="preserve">، وهكذا ما حكى عن الإسكافي من كفاية الرضعة الواحدة في نشر الحرمة </w:t>
      </w:r>
      <w:r>
        <w:rPr>
          <w:rStyle w:val="FootnoteAnchor"/>
          <w:rtl w:val="true"/>
        </w:rPr>
        <w:footnoteReference w:id="407"/>
      </w:r>
      <w:r>
        <w:rPr>
          <w:rFonts w:ascii="Amiri" w:hAnsi="Amiri" w:eastAsia="Amiri" w:cs="Amiri"/>
          <w:color w:val="111111"/>
          <w:sz w:val="28"/>
          <w:sz w:val="28"/>
          <w:szCs w:val="28"/>
          <w:rtl w:val="true"/>
          <w:lang w:bidi="ar-SA"/>
        </w:rPr>
        <w:t xml:space="preserve">، وقلنا إنّ الروايات التي استدلّوا بها لهذين القولين مأوّل أو مطروح </w:t>
      </w:r>
      <w:r>
        <w:rPr>
          <w:rStyle w:val="FootnoteAnchor"/>
          <w:rtl w:val="true"/>
        </w:rPr>
        <w:footnoteReference w:id="408"/>
      </w:r>
      <w:r>
        <w:rPr>
          <w:rFonts w:ascii="IRNazanin" w:hAnsi="IRNazanin" w:eastAsia="IRNazanin"/>
          <w:color w:val="111111"/>
          <w:sz w:val="28"/>
          <w:sz w:val="28"/>
          <w:szCs w:val="28"/>
          <w:rtl w:val="true"/>
          <w:lang w:bidi="fa-IR"/>
        </w:rPr>
        <w:t>، لإعراض الأصحاب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والمشهور بين الإماميّة في التحديد بالعدد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رضعات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رضعة ، ولعله أشهر القولين ، بل ما هو المشهور بين المتأخّرين هو الأخير ، أي الخمسة عشر 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والمدرك لكلّ واحد من القولين هي الروايات الواردة في هذا الباب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16073480_2142443653"/>
      <w:bookmarkStart w:id="292" w:name="_Toc95"/>
      <w:bookmarkEnd w:id="291"/>
      <w:r>
        <w:rPr>
          <w:rtl w:val="true"/>
        </w:rPr>
        <w:t xml:space="preserve">فمدرك القول بالعشر أخبار </w:t>
      </w:r>
      <w:r>
        <w:rPr>
          <w:rtl w:val="true"/>
        </w:rPr>
        <w:t>:</w:t>
      </w:r>
      <w:bookmarkStart w:id="293" w:name="pg15937_235263"/>
      <w:bookmarkEnd w:id="292"/>
    </w:p>
    <w:p>
      <w:pPr>
        <w:pStyle w:val="BookText"/>
        <w:rPr/>
      </w:pPr>
      <w:bookmarkEnd w:id="293"/>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فضيل بن يسار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كان مخبورا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المخبور؟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مربيّة أم تربي أو ظئر تستأجر أو خادم تشتري أو ما كان مثل ذلك موقوفا عليه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عن عمر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الغلام يرضع الرضعة والثنتين؟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فعددت عليه حتّى أكملت عشر رضعات؟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كانت متفرّقة فلا </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عبيد بن زرارة عن أبي عبد اللّه علیه السلام عن الرضاع ما أدنى ما يحرم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ينبت اللحم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واحدة تنبته؟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أصلحك اللّه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أعد عليه حتّى بلغت عشر رضعات </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أيضا في حديث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يحرم من الرضاع؟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أنبت اللحم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اللحم والدم؟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يقال 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تحرم عشر رضعات؟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ذا ، ما يحرم من النسب فهو يحرم من الرضاع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6073482_2142443653"/>
      <w:bookmarkStart w:id="295" w:name="_Toc96"/>
      <w:bookmarkEnd w:id="294"/>
      <w:r>
        <w:rPr>
          <w:rtl w:val="true"/>
        </w:rPr>
        <w:t xml:space="preserve">ومدرك القول بالخمسة عشر أيضا أخبار </w:t>
      </w:r>
      <w:r>
        <w:rPr>
          <w:rtl w:val="true"/>
        </w:rPr>
        <w:t>:</w:t>
      </w:r>
      <w:bookmarkEnd w:id="2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عن زياد بن سوقة في القسم الثاني من تحديد الرضاع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بالزمان ، في الموثق وهو قوله علیه السلام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الرضاع أقلّ من رضاع يوم وليلة ، أو </w:t>
      </w:r>
    </w:p>
    <w:p>
      <w:pPr>
        <w:pStyle w:val="BookText"/>
        <w:rPr/>
      </w:pPr>
      <w:r>
        <w:rPr>
          <w:rFonts w:ascii="Amiri" w:hAnsi="Amiri" w:eastAsia="Amiri" w:cs="Amiri"/>
          <w:color w:val="111111"/>
          <w:sz w:val="28"/>
          <w:sz w:val="28"/>
          <w:szCs w:val="28"/>
          <w:rtl w:val="true"/>
          <w:lang w:bidi="ar-SA"/>
        </w:rPr>
        <w:t xml:space="preserve">خمس عشرة رضعة متواليات من امرأة واحدة من لبن فحل واحد ولم يفصل بينها رضعة امرأة غيرها ، فلو أنّ امرأة أرضعت غلاما أو جارية عشر رضعات من لبن فحل واحد ، وأرضعتهما امرأة أخرى من لبن فحل آخر عشر رضعات لم يحرم نكاحهما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مقنع الذي تقدّم في ذلك المقام أيضا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هل لذلك حد؟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رضاع يوم وليلة ، أو خمس عشرة رضعات متواليات لا يفصّل بينهن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عبيد بن زرارة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لا يحرمنّ شيئا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علىّ بن رئاب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من الرضاع؟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 اللحم وشدّ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فيحرم عشر رضعات؟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لأنّه لا تنبت اللحم ولا تشدّ العظم عشر رضعات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التهذيب عن ابن بكير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رضعات لا تحرم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الروايات الواردة في مدرك هذين القولين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وهناك وردت رواية أخرى مفادها عدم التحريم بخمسة عشر رضعة ، وهو ما رواه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عشر رضعة لا تحرم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ولكنّها مؤولة أو مطروحة ، للإجماع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التقدير بالعدد يدور الأمر بين هذين القولين ، فإذا بطل أحدهما يثبت الآخر ، للإجماع على عدم تحريم أقلّ من العشرة ، ولا لزوم الزيادة على الخمسة عشر ، وعدم القول بتحريم ما زاد على العشرة مع كونه دون الخمسة عشر إلاّ من جهة كون العشرة محرّما ومندرجا تحته ، وإلاّ فالمتوسّط بين العشرة والخمسة عشر لم يجعل موضوعا للتحريم إجماعا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المفيد </w:t>
      </w:r>
      <w:r>
        <w:rPr>
          <w:rStyle w:val="FootnoteAnchor"/>
          <w:rtl w:val="true"/>
        </w:rPr>
        <w:footnoteReference w:id="419"/>
      </w:r>
      <w:r>
        <w:rPr>
          <w:rFonts w:ascii="Amiri" w:hAnsi="Amiri" w:eastAsia="Amiri" w:cs="Amiri"/>
          <w:color w:val="111111"/>
          <w:sz w:val="28"/>
          <w:sz w:val="28"/>
          <w:szCs w:val="28"/>
          <w:rtl w:val="true"/>
          <w:lang w:bidi="ar-SA"/>
        </w:rPr>
        <w:t xml:space="preserve">والمعاني </w:t>
      </w:r>
      <w:r>
        <w:rPr>
          <w:rStyle w:val="FootnoteAnchor"/>
          <w:rtl w:val="true"/>
        </w:rPr>
        <w:footnoteReference w:id="420"/>
      </w:r>
      <w:r>
        <w:rPr>
          <w:rFonts w:ascii="IRNazanin" w:hAnsi="IRNazanin" w:eastAsia="IRNazanin"/>
          <w:color w:val="111111"/>
          <w:sz w:val="28"/>
          <w:sz w:val="28"/>
          <w:szCs w:val="28"/>
          <w:rtl w:val="true"/>
          <w:lang w:bidi="fa-IR"/>
        </w:rPr>
        <w:t xml:space="preserve">وسلار </w:t>
      </w:r>
      <w:r>
        <w:rPr>
          <w:rStyle w:val="FootnoteAnchor"/>
          <w:rtl w:val="true"/>
        </w:rPr>
        <w:footnoteReference w:id="421"/>
      </w:r>
      <w:r>
        <w:rPr>
          <w:rFonts w:ascii="Amiri" w:hAnsi="Amiri" w:eastAsia="Amiri" w:cs="Amiri"/>
          <w:color w:val="111111"/>
          <w:sz w:val="28"/>
          <w:sz w:val="28"/>
          <w:szCs w:val="28"/>
          <w:rtl w:val="true"/>
          <w:lang w:bidi="ar-SA"/>
        </w:rPr>
        <w:t xml:space="preserve">والقاضي </w:t>
      </w:r>
      <w:r>
        <w:rPr>
          <w:rStyle w:val="FootnoteAnchor"/>
          <w:rtl w:val="true"/>
        </w:rPr>
        <w:footnoteReference w:id="422"/>
      </w:r>
      <w:r>
        <w:rPr>
          <w:rFonts w:ascii="Amiri" w:hAnsi="Amiri" w:eastAsia="Amiri" w:cs="Amiri"/>
          <w:color w:val="111111"/>
          <w:sz w:val="28"/>
          <w:sz w:val="28"/>
          <w:szCs w:val="28"/>
          <w:rtl w:val="true"/>
          <w:lang w:bidi="ar-SA"/>
        </w:rPr>
        <w:t xml:space="preserve">والتقي </w:t>
      </w:r>
      <w:r>
        <w:rPr>
          <w:rStyle w:val="FootnoteAnchor"/>
          <w:rtl w:val="true"/>
        </w:rPr>
        <w:footnoteReference w:id="423"/>
      </w:r>
      <w:r>
        <w:rPr>
          <w:rFonts w:ascii="Amiri" w:hAnsi="Amiri" w:eastAsia="Amiri" w:cs="Amiri"/>
          <w:color w:val="111111"/>
          <w:sz w:val="28"/>
          <w:sz w:val="28"/>
          <w:szCs w:val="28"/>
          <w:rtl w:val="true"/>
          <w:lang w:bidi="ar-SA"/>
        </w:rPr>
        <w:t xml:space="preserve">وابن حمزة </w:t>
      </w:r>
      <w:r>
        <w:rPr>
          <w:rStyle w:val="FootnoteAnchor"/>
          <w:rtl w:val="true"/>
        </w:rPr>
        <w:footnoteReference w:id="424"/>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425"/>
      </w:r>
      <w:r>
        <w:rPr>
          <w:rFonts w:ascii="IRNazanin" w:hAnsi="IRNazanin" w:eastAsia="IRNazanin"/>
          <w:color w:val="111111"/>
          <w:sz w:val="28"/>
          <w:sz w:val="28"/>
          <w:szCs w:val="28"/>
          <w:rtl w:val="true"/>
          <w:lang w:bidi="fa-IR"/>
        </w:rPr>
        <w:t xml:space="preserve">وولده </w:t>
      </w:r>
      <w:r>
        <w:rPr>
          <w:rStyle w:val="FootnoteAnchor"/>
          <w:rtl w:val="true"/>
        </w:rPr>
        <w:footnoteReference w:id="426"/>
      </w:r>
      <w:r>
        <w:rPr>
          <w:rFonts w:ascii="Amiri" w:hAnsi="Amiri" w:eastAsia="Amiri" w:cs="Amiri"/>
          <w:color w:val="111111"/>
          <w:sz w:val="28"/>
          <w:sz w:val="28"/>
          <w:szCs w:val="28"/>
          <w:rtl w:val="true"/>
          <w:lang w:bidi="ar-SA"/>
        </w:rPr>
        <w:t xml:space="preserve">والشهيد في اللمعة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إلى التقدير بالعشر ، ومستندهم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المتقدّمة ، أي رواية فضيل بن يسار باعتبار ذيلها ، 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ترضع عشر رضعات يروى الصبيّ وينام </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وموثّق </w:t>
      </w:r>
    </w:p>
    <w:p>
      <w:pPr>
        <w:pStyle w:val="BookText"/>
        <w:rPr/>
      </w:pPr>
      <w:r>
        <w:rPr>
          <w:rFonts w:ascii="Amiri" w:hAnsi="Amiri" w:eastAsia="Amiri" w:cs="Amiri"/>
          <w:color w:val="111111"/>
          <w:sz w:val="28"/>
          <w:sz w:val="28"/>
          <w:szCs w:val="28"/>
          <w:rtl w:val="true"/>
          <w:lang w:bidi="ar-SA"/>
        </w:rPr>
        <w:t xml:space="preserve">عمر بن يزيد ، </w:t>
      </w:r>
      <w:r>
        <w:rPr>
          <w:rStyle w:val="FootnoteAnchor"/>
          <w:rtl w:val="true"/>
        </w:rPr>
        <w:footnoteReference w:id="429"/>
      </w:r>
      <w:r>
        <w:rPr>
          <w:rFonts w:ascii="Amiri" w:hAnsi="Amiri" w:eastAsia="Amiri" w:cs="Amiri"/>
          <w:color w:val="111111"/>
          <w:sz w:val="28"/>
          <w:sz w:val="28"/>
          <w:szCs w:val="28"/>
          <w:rtl w:val="true"/>
          <w:lang w:bidi="ar-SA"/>
        </w:rPr>
        <w:t xml:space="preserve">وخبري عبيد بن زرارة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على فرض وجودها مخصّصة بالروايات المتقدّمة في التقدير بالأثر وما تقدّم في أوّل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رئاب </w:t>
      </w:r>
      <w:r>
        <w:rPr>
          <w:rStyle w:val="FootnoteAnchor"/>
          <w:rtl w:val="true"/>
        </w:rPr>
        <w:footnoteReference w:id="431"/>
      </w:r>
      <w:r>
        <w:rPr>
          <w:rFonts w:ascii="Amiri" w:hAnsi="Amiri" w:eastAsia="Amiri" w:cs="Amiri"/>
          <w:color w:val="111111"/>
          <w:sz w:val="28"/>
          <w:sz w:val="28"/>
          <w:szCs w:val="28"/>
          <w:rtl w:val="true"/>
          <w:lang w:bidi="ar-SA"/>
        </w:rPr>
        <w:t xml:space="preserve">، وموثّقة عبيد بن زرارة </w:t>
      </w:r>
      <w:r>
        <w:rPr>
          <w:rStyle w:val="FootnoteAnchor"/>
          <w:rtl w:val="true"/>
        </w:rPr>
        <w:footnoteReference w:id="432"/>
      </w:r>
      <w:r>
        <w:rPr>
          <w:rFonts w:ascii="Amiri" w:hAnsi="Amiri" w:eastAsia="Amiri" w:cs="Amiri"/>
          <w:color w:val="111111"/>
          <w:sz w:val="28"/>
          <w:sz w:val="28"/>
          <w:szCs w:val="28"/>
          <w:rtl w:val="true"/>
          <w:lang w:bidi="ar-SA"/>
        </w:rPr>
        <w:t xml:space="preserve">، وخبر ابن بكير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وجه للتمسّك بالإطلاقات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 فعمدتها رواية فضيل بن يسار ، حيث أنّها تدلّ بمنطوقها على تحريم عشر رضعات بخلاف سائرها ، فإنّها لو كانت دالّة تكون دلالتها بالمفهوم ، مع وجود مناقشات كثيرة فيها سنذكر بعضها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مخدوشة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سندها ، لأنّ فيه محمّد بن سنان ، وقال النجاشي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ضعيف جدّا ، لا يعول عليه ، ولا يلتفت إلى ما تفرّد به ، وحكى عن الكشّي ، عن محمّد بن قتيبة النيشابوري ، عن الفضل بن شاذان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لكم إن ترووا أحاديث محمّد بن سنان </w:t>
      </w:r>
      <w:r>
        <w:rPr>
          <w:rStyle w:val="FootnoteAnchor"/>
          <w:rtl w:val="true"/>
        </w:rPr>
        <w:footnoteReference w:id="434"/>
      </w:r>
      <w:r>
        <w:rPr>
          <w:rFonts w:ascii="Amiri" w:hAnsi="Amiri" w:eastAsia="Amiri" w:cs="Amiri"/>
          <w:color w:val="111111"/>
          <w:sz w:val="28"/>
          <w:sz w:val="28"/>
          <w:szCs w:val="28"/>
          <w:rtl w:val="true"/>
          <w:lang w:bidi="ar-SA"/>
        </w:rPr>
        <w:t xml:space="preserve">وطعن عليه الكشي أيضا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مضمونها باعتبار حصرها المحرّم في المجبور ، مع أنّه ليس كذلك إجماعا ، لأنّه لو لم تكن المرضعة أمّا ولا مستأجرة ولا أمة أيضا يوجب إرضاعها التحريم إجماعا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متنها ، فإنّ الصدوق قدس سره رواها بدون ذلك الذيل ، أي 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ترضع عشر رضعات يروى الصبيّ وينام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مع ذلك الذيل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دار الأمر بين الزيادة والنقيصة ، ولو أنّ أصالة عدم الزيادة مقدّمة على أصالة عدم النقيصة عند العقلاء والاعتبار ، ولكن لا يجرى ذلك في هذا المقام ، لأنّه كيف يمكن لمثل الصدوق قدس سره الذي هو خرّيت هذه الصناعة ، ومن أحذق حذاق هذا الفنّ ترك مثل هذه الفقرة من الرواية وإسقاطها ، مع أنّها مدار الحكم ، وتترتّب عليه آثار مع أنّهم صرّحوا بأن الفقيه أضبط عند وقوع الاختلاف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الشيخ الأعظم قدس سره أنّ تكون هذه الزيادة من محمّد بن سنان ، لأنّه داخل في أسناد التهذيب ، وليس واقعا في سند الفقيه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اضطرابات أخر في المتن من حيث الاختلاف الواقع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النسخ بالحاء المهملة ، وفي البعض الآخر بالخاء المعجمة ، وفي نسخة الفقيه بالجيم </w:t>
      </w:r>
      <w:r>
        <w:rPr>
          <w:rStyle w:val="FootnoteAnchor"/>
          <w:rtl w:val="true"/>
        </w:rPr>
        <w:footnoteReference w:id="439"/>
      </w:r>
      <w:r>
        <w:rPr>
          <w:rFonts w:ascii="Amiri" w:hAnsi="Amiri" w:eastAsia="Amiri" w:cs="Amiri"/>
          <w:color w:val="111111"/>
          <w:sz w:val="28"/>
          <w:sz w:val="28"/>
          <w:szCs w:val="28"/>
          <w:rtl w:val="true"/>
          <w:lang w:bidi="ar-SA"/>
        </w:rPr>
        <w:t xml:space="preserve">، ويرجحه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Style w:val="FootnoteAnchor"/>
          <w:rtl w:val="true"/>
        </w:rPr>
        <w:footnoteReference w:id="440"/>
      </w:r>
      <w:r>
        <w:rPr>
          <w:rFonts w:ascii="Amiri" w:hAnsi="Amiri" w:eastAsia="Amiri" w:cs="Amiri"/>
          <w:color w:val="111111"/>
          <w:sz w:val="28"/>
          <w:sz w:val="28"/>
          <w:szCs w:val="28"/>
          <w:rtl w:val="true"/>
          <w:lang w:bidi="ar-SA"/>
        </w:rPr>
        <w:t xml:space="preserve">، ومن حيث مقابلة المجبور مع الخادم والظئر في بعض نسخ التهذيب ، وجعلهما قسما له في نسخة أخرى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ترك ظاهرها وعدم العمل به ، لأنّه لم يفت أحد بلزوم نوم الصبيّ بعد أن ارتضع وروى في التحريم ، فلذلك لا يبقى حجّية لهذه الرواية أصلا كي تكون مدركا ومستندا لهذا القول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ما ذكرنا من الإشكالات على هذه الرواية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عموم العشر رضعات بالمتواليات بواسطة منطوق </w:t>
      </w:r>
    </w:p>
    <w:p>
      <w:pPr>
        <w:pStyle w:val="BookText"/>
        <w:rPr/>
      </w:pPr>
      <w:r>
        <w:rPr>
          <w:rFonts w:ascii="Amiri" w:hAnsi="Amiri" w:eastAsia="Amiri" w:cs="Amiri"/>
          <w:color w:val="111111"/>
          <w:sz w:val="28"/>
          <w:sz w:val="28"/>
          <w:szCs w:val="28"/>
          <w:rtl w:val="true"/>
          <w:lang w:bidi="ar-SA"/>
        </w:rPr>
        <w:t xml:space="preserve">موثّق عمر بن يزيد وخبري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أخصّ من الروايات الدالّة على عدم تحريم العشر ، لأنّ تلك الروايات تدلّ على عدم تحريمه ، سواء أكانت متواليات أو متفرّقات ، وهذه الرواية تدلّ على تحريمه إذا كانت متواليات بعد تخصيصها بما ذكرنا ، فتكون أخصّ من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أيضا لا يفيد ، لأنّه حتّى على فرض غضّ النظر عن هذه المناقشات تعارضها رواية زياد بن سوقة ، التي مضمونها عدم التحريم بما هو أقلّ من خمسة عشر متواليات </w:t>
      </w:r>
      <w:r>
        <w:rPr>
          <w:rStyle w:val="FootnoteAnchor"/>
          <w:rtl w:val="true"/>
        </w:rPr>
        <w:footnoteReference w:id="442"/>
      </w:r>
      <w:r>
        <w:rPr>
          <w:rFonts w:ascii="Amiri" w:hAnsi="Amiri" w:eastAsia="Amiri" w:cs="Amiri"/>
          <w:color w:val="111111"/>
          <w:sz w:val="28"/>
          <w:sz w:val="28"/>
          <w:szCs w:val="28"/>
          <w:rtl w:val="true"/>
          <w:lang w:bidi="ar-SA"/>
        </w:rPr>
        <w:t>، فهو صريح في أنّ العشرة المتوالية وما زاد عليها إلى أن يبلغ خمسة عشرة المتوالية لا تكون محرّما ، وعلى فرض التكافؤ يتساقطان ، فيرجع إلى الأخبار الدالّة على عدم تحريم العشرة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كما يجري في رواية فضيل بن يسار ، يجري في موثّق عمر بن يزيد وخبري عبيد بن زرارة ، لأنّها أيضا طرف المعارضة ، فتسقط أيضا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دلالتها بالمفهوم والمنطوق أقوى من المفهوم ، مع أنّه يمكن الخدشة في أصل دلالتها ، لأنّه من الممكن أن تكون في مقام عدم تحريم ما هو أقلّ من العشرة ، لا في مقام تحريم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القول بالعشرة موافق لمذهب بعض أهل الخلاف ، بخلاف القول بالخمسة عشر ، فإنّه لا يقول به أحد منهم ، لأنّ التحديد بالعدد عند من يقول منهم بالعدد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الواحد من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 والخمسة ، وعشرة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ورود هذه الأخبار في مورد التقيّة قوله علیه السلام في إحدى روايتي عبيد بن زرارة ، في بيان ما هو المحرّم ، كأن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هذا التعبير يناسب التقية ، لا بيان حكم اللّه الواقعي ، خصوصا بضميمة قوله علیه السلام في جواب المسائل بقوله قلت </w:t>
      </w:r>
      <w:r>
        <w:rPr>
          <w:rFonts w:eastAsia="IRNazanin" w:cs="IRNazanin"/>
          <w:color w:val="111111"/>
          <w:sz w:val="28"/>
          <w:szCs w:val="28"/>
          <w:rtl w:val="true"/>
          <w:lang w:bidi="fa-IR"/>
        </w:rPr>
        <w:t xml:space="preserve">: </w:t>
      </w:r>
      <w:bookmarkStart w:id="296" w:name="pg15937_235269"/>
    </w:p>
    <w:p>
      <w:pPr>
        <w:pStyle w:val="BookText"/>
        <w:rPr/>
      </w:pPr>
      <w:bookmarkEnd w:id="296"/>
      <w:r>
        <w:rPr>
          <w:rFonts w:ascii="Amiri" w:hAnsi="Amiri" w:eastAsia="Amiri" w:cs="Amiri"/>
          <w:color w:val="111111"/>
          <w:sz w:val="28"/>
          <w:sz w:val="28"/>
          <w:szCs w:val="28"/>
          <w:rtl w:val="true"/>
          <w:lang w:bidi="ar-SA"/>
        </w:rPr>
        <w:t xml:space="preserve">فهل يحرم 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 ما يحرم من النسب يحرم من الرضاع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 أنّ القول بتحريم عشرة رضعات ليس له مستند يمكن الاعتماد عليه والركون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الأمر يدور بين هذين القولين ، فإذا بطل أحدهما يتعيّن الآخر ، فيتعيّن قوله الخمسة عشر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6073484_2142443653"/>
      <w:bookmarkStart w:id="298" w:name="_Toc97"/>
      <w:bookmarkEnd w:id="297"/>
      <w:r>
        <w:rPr>
          <w:rtl w:val="true"/>
        </w:rPr>
        <w:t xml:space="preserve">ثمَّ إنّهم اعتبروا في الرضاع المحرّم من حيث العدد </w:t>
      </w:r>
      <w:r>
        <w:rPr>
          <w:rtl w:val="true"/>
        </w:rPr>
        <w:t xml:space="preserve">- </w:t>
      </w:r>
      <w:r>
        <w:rPr>
          <w:rtl w:val="true"/>
        </w:rPr>
        <w:t xml:space="preserve">سواء قلنا بأنّه العشر أو الخمسة عشر </w:t>
      </w:r>
      <w:r>
        <w:rPr>
          <w:rtl w:val="true"/>
        </w:rPr>
        <w:t xml:space="preserve">- </w:t>
      </w:r>
      <w:r>
        <w:rPr>
          <w:rtl w:val="true"/>
        </w:rPr>
        <w:t xml:space="preserve">شروطا </w:t>
      </w:r>
      <w:r>
        <w:rPr>
          <w:rtl w:val="true"/>
        </w:rPr>
        <w:t>:</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رضعة من تلك الرضعات رضعة كاملة ، بمعنى أن يكون الطفل بعد أن جاع واشتهى وطلب يرتوي ويشبع بتلك الرضعة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مراد من حدّدها بأن يرتوي فيصدر من نفسه ، يعني يرتوي بعد أن جاع ، فيرفع اليد عن الثدي باختياره من دون أن يبعد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ظهور هذه الكلمة في هذا المعنى في متفاهم العرف الذي هو المناط في باب تشخيص الظهورات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فسّر في الأخبار أيضا بهذا المعنى ، كقوله علیه السلام في رواية فضيل بن يسار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ترضع عشر رضعات يروى الصبيّ وينام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وكقوله علیه السلام في مضمرة ابن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رضع حتّى يمتلئ بطنه ، فإنّ ذلك ينبت اللحم والدم وذلك الذي يحرم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وكقوله علیه السلام في تفسير الرضاع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الذي ينبت اللحم والدم هو الذي </w:t>
      </w:r>
    </w:p>
    <w:p>
      <w:pPr>
        <w:pStyle w:val="BookText"/>
        <w:rPr/>
      </w:pPr>
      <w:r>
        <w:rPr>
          <w:rFonts w:ascii="Amiri" w:hAnsi="Amiri" w:eastAsia="Amiri" w:cs="Amiri"/>
          <w:color w:val="111111"/>
          <w:sz w:val="28"/>
          <w:sz w:val="28"/>
          <w:szCs w:val="28"/>
          <w:rtl w:val="true"/>
          <w:lang w:bidi="ar-SA"/>
        </w:rPr>
        <w:t xml:space="preserve">يرضع حتّى يمتلئ ويتضلّع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ابن أبي عمير ، عن بعض أصحابه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الذي ينبت اللحم والدم هو الذي يرضع حتّى يتضلّع ويمتلئ وينتهي من نفسه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مفاد هذه الروايات مطابق مع ما يفهمه العرف من هذه اللفظة في هذا المقام ، أي في مقام التحديد بالعدد ، وبناء على هذا لو مص الثدي وأعرض عنه فتارة يكون إعراضه لارتوائه بعد أن كان جائعا ، فهذا هي الرضعة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لإبعاده عن الثدي ، أو للسعال ، أو لغلبة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الانتقال من ثدي إلى ثدي ، أو للالتفات إلى ملاعب وأمثال ذلك ، فلا يعدّ رضعة من تلك الرضعات ، وإن عاد بغير فصل طويل فالمجموع يحسب رضعة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الرضعات ، بمعنى أن لا يكون رضاع امرأة أخرى يفصل بين تلك الرضعات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قوله علیه السلام في رواية زياد بن سوقة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خمس عشر رضعات متواليات من امرأة واحدة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مرسل المقنع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خمسة عشر رضعات متواليات لا يفصّل بينهنّ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لو كان المناط الحقيقي لنشر الحرمة هو إنبات اللحم وشدّ العظم بمرتبة خاصّة تحصل من رضاع يوم وليلة ، أو من رضاع خمسة عشر رضعة ، فالفاصل مطلقا سواء أكان هو رضاع امرأة أخرى ، أو أيّ غذاء آخر يكون مضرّا بحصول ما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الغذاء الفاصل قليلا ، بحيث لا يكون مضرّا باستناد تلك المرتبة من إنبات اللحم وشدّ العظم إلى تلك الرضعات ، فلا بأس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خصوص رضاع امرأة أخرى حيث أنّه منصوص ، فإن كان فلا بدّ وأن يكون من القلّة ، بحيث لا يصدق أنّه فصل رضاع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أن يكون المراد من رضاع امرأة أخرى الرضعة الكاملة ، فغير الكاملة لا تكون بها بأس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ادّعى في الحدائق الاتّفاق على أنّ الفصل بغير الرضاع لا يكون منافيا مع التوالي المعتبر فيها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الرضعات الكاملة المتوالية من امرأة واحدة ، فلو ارتضع من امرأة بعض العدد وكان لصاحب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أخرى ذات لبن لنفس ذلك الفحل ، فارتضع ما يبقي من العدد من هذه الأخرى لا يؤثّر في التحريم ، ولا يصير ابنا أو بنتا له ، أي لذلك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المرضعتان فكلّ واحدة منهما لا تصير أمّا بالضرورة ، لأنّ الأمومة لا تحصل إلاّ بذلك العدد من نفس الأمّ ، لا بعضه منها وبعضه من امرأة أخرى ، ولذلك لو لم يكن الفحل أيضا واحدا فالأمر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هذا الشرط قوله علیه السلام في موثّقة زياد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خمسة عشر رضعة متواليات من امرأة واحدة من لبن فحل واحد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أخر تدلّ على هذا المعنى ، كقوله علیه السلام في صحيحة بريد العجلي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امرأة أرضعت من لبن فحلها ولد امرأة أخرى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وقوله علیه السلام في صحيحة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أرضعت امرأتك من لبنك ولبن ولدك ولد امرأة أخرى فهو حرام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ومعلوم أنّ المراد من إرضاع الامرأة بحسب العدد هو الخمسة عشر رضعة ، أو العشر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هذه الروايات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المرضعة ، واتّحاد الفحل ، فنتيجة هذه الروايات هو أنّه لا بدّ في تحقّق الرضاع المحرّم من أن تكون المرضعة واحدة والفحل واحدا ، ففي صورة عدم اتّحاد كليهما لا تحريم ، كما إذا ارتضعت جارية مثلا من امرأة بعض العدد المعتبر في التحريم ، ومن امرأة أخرى لفحل آخر ما بقي من تمام العدد ، أو عدم اتّحاد الفحل فقط ، كما إذا أرضعت امرأة رجل ولدا ببعض العدد من لبن زوجها ، وبعد ذلك طلّقها زوجها أو وهبها أو باعها لو كانت أمته ، فتزوّجت من رجل آخر بعد انقضاء عدّتها ، وحبلت بعد ذلك من زوجها الثاني أو من مولاها الثاني ، ودرّ لبنها من الزوج الثاني أو من مولاها الثاني ، فكملت العدد من لبن الفحل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صحّة هذا الفرض منوط بأن يكون الفاصل بين الرضعات بغير إرضاع امرأة أخرى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بسائر الأغذية لا يكون منافيا مع التوالي الذي اعتبر فيها ، ولو كان ذلك الفاصل من الأغذية الآخر مدّة طويلة ، فلا تحريم في هذه الصورة أيضا ، كما أنّه لو كان الفحل واحدا والمرضعة متعدّدة ، كأن تكونا زوجتين ، أو أمتين ، أو مختلفتين لشخص واحد ، ويكون كلا اللبنين له ، فلا تحريم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تصوير تعدّد الفحل مع وحدة المرضعة بشكل لا يكون الفاصل في البين أصلا ، لا بالإرضاع من امرأة أخرى ، ولا بغذاء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طلّق امرأته وتزوّجت بعد انقضاء عدّتها من رجل آخر ، فحبلت من ذلك الرجل ، ولكنّ اللبن كان مستمرّا من زمان أنّها كانت زوجة للزوج الأوّل إلى زمان وضع الحمل الذي صار من الزوج الثاني وبعده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اللبن قبل الوضع للزوج الأوّل وبعد الوضع للزوج الثاني ، فيمكن أن يكون بعض الرضعات العشر أو الخمسة </w:t>
      </w:r>
    </w:p>
    <w:p>
      <w:pPr>
        <w:pStyle w:val="BookText"/>
        <w:rPr/>
      </w:pPr>
      <w:r>
        <w:rPr>
          <w:rFonts w:ascii="Amiri" w:hAnsi="Amiri" w:eastAsia="Amiri" w:cs="Amiri"/>
          <w:color w:val="111111"/>
          <w:sz w:val="28"/>
          <w:sz w:val="28"/>
          <w:szCs w:val="28"/>
          <w:rtl w:val="true"/>
          <w:lang w:bidi="ar-SA"/>
        </w:rPr>
        <w:t>عشر من لبن الزوج الأوّل ، أي ما كان قبل الوضع ، وبعضها الآخر من الزوج الثاني ، أي ما كان بعد الوضع ، فمجموع الرضعات حصلت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اللبن لفحلين من دون فاصل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الرضعات من الثدي لا بالوجور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صدق الرضاع والارتضاع عرفا إلاّ بامتصاص الثدي ، ولو شككنا في الصدق فقد تقدّم حكم الشبهة الحكميّة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من الارتضاع هو شدّ العظم وإنبات اللحم حاصل من الوجور أيضا ، لأنّه لا فرق في حصول هذه النتيجة بين الامتصاص وبين الوجور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لسان الدليل هو عنوان الرضاع أو الإرضاع الذي يكون أثره إنبات اللحم أو الدم وشدّ العظم ، لا مطلق الإنبات ولو كان حاصلا من غير الرضاع ، فما ذهب إليه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الوجور في حلقه في نشر الحرمة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مخالف لما ذهب إليه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أصلا ، بل الوجه على خلافه كما عرفت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مرسل الفقيه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وجور الصبي اللبن بمنزلة الرضاع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 مع أنّه ضعيف فلا حجّية له في حدّ نفسه وأعرض المشهور عن العمل به ، معارض برواية زرارة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يحرم من الرضاع إلاّ ما ارتضعنا من ثدي واحد حولين كاملين </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بناء على أن لا يكون حولين كاملين تحديدا للرضاع بحسب مقدار الرضاع وكميّته بحسب الزمان ، بل يكون ظرفا لأصل الرضاع المقدّر بأحد التقديرات الثلاثة كي لا تكون معرضا عنها للأصحاب ، فلا تكون قابلة للمعارضة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مضافا إلى أنّ الإعراض عن الذيل لا يلازم الإعراض عن صدر الرواية ، بل هو يبقى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الشرط ليس مختصّا بالتقدير بالعدد ، بل يعتبر في التقديرات الثلاثة ، ولذلك ينبغي أن يعدّ هذا من شرائط الرضاع ، لا من شرائط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المرضعة حيّة ، فلا اعتبار بما يرتضع الطفل منها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معظم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والرواية ظاهر بحسب متفاهم العرف في الارتضاع من الحيّ ، فهو المحرّم ، وأمّا الارتضاع من الميّت فلا دليل على تحريمها ، فيبقى تحت أصالة الإباحة ، ولو كانت بمعنى استصحاب عدم حدوث الحرمة ، كما تقدّم في حكم الشكّ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دعوى بلا بيّنة ولا برهان ، بل البرهان على خلافه ، لأنّه لو كانت المرأة نائمة أو غافلة وسعى إليها الطفل والتقم ثديها من دون التفاتها إلى ذلك ، تحصل الحرمة إذا حصل أحد التقديرات الثلاثة كذلك ، مع أنّه لا فرق بين الميّت ومثل النائمة والغافلة بحسب الاعتبار ، لأنّ من يدّعي اعتبار الحياة من طريق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من جهة اعتبار الاختيار والمباشرة والالتفات والقصد إلى صدور هذا الفعل عنها ، وحيث أنّه ليس في الميّت مثل هذه العناوين ، فلا يصدق على الارتضاع منه أنّها أرضعت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جميع هذه العناوين مفقودة في المثال الذي فرضنا ، ففي النائمة أو الغافلة كلّ ذلك ليس ، فليس هناك مباشرة ولا اختيار ولا التفات إلى الفعل ولا قصد إلى صدوره ، فصدق الإرضاع مع ذلك يدلّ على عدم أخذ هذه الأمور في ذلك المفهوم ، بل لم تؤخذ هذه العناوين في مفهوم أيّ فعل من الأفعال ، لأنّ مادّتها موضوعة للحدث الكذائي ، وهيئاتها على اختلافها لأنحاء النسب التي بين المادّة </w:t>
      </w:r>
    </w:p>
    <w:p>
      <w:pPr>
        <w:pStyle w:val="BookText"/>
        <w:rPr/>
      </w:pPr>
      <w:r>
        <w:rPr>
          <w:rFonts w:ascii="Amiri" w:hAnsi="Amiri" w:eastAsia="Amiri" w:cs="Amiri"/>
          <w:color w:val="111111"/>
          <w:sz w:val="28"/>
          <w:sz w:val="28"/>
          <w:szCs w:val="28"/>
          <w:rtl w:val="true"/>
          <w:lang w:bidi="ar-SA"/>
        </w:rPr>
        <w:t>والذات ، وليس شي‌ء آخر في البين كي يكون موضوعا لهذه العناوين ، أو تكون هذه العناوين مأخوذة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شمول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في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للارتضاع من الميّت ، فمع ذلك لا تصل النوبة أيضا إلى أصالة الحلّ ، أو استصحاب عدم حدوث الحرمة ، أو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وَأَخَواتُكُمْ مِنَ الرَّضاعَةِ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وهكذا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 وفي سائر الروايات ، لا مانع من شموله للميت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الميّت يخرج من كونه متعلّقا وموردا للأحكام بواسطة الموت ، فالرضاع منه لا يترتّب عليه ثمرة شرعيّة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فعجيب إلى الغاية ، لأنّ عدم صلاحيّة الميّت لكونه متعلّقا وموردا للأحكام إنّما هو بالنسبة إلى تعلّق حكم بنفسه ، لأنّه ليس قابلا لتوجيه 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 الأحكام بشخص آخر ، أو أشخاص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إضافة ونسبة بينه ، أو بينهم وبين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كلام فيه فمن ذلك إرثه منه ، وجواز تغسيله لو كان مماثلا أو محرّما ، وإجراء الحدّ عليه لو زنى به ، وأخذ الدية منه لو جنى عليه ، إلى غير ذلك من الأحكام الكثيرة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انصراف الأدلّة والإطلاقات عن الرضاع من الميتة ، فليس له وجه ، إلاّ قلّة وجود هذا القسم ، وندرة وقوعه ، ولو كان مثل هذا انصرافا ومضرّا بالإطلاق ففي جميع الإطلاقات يلزم أن تكون الأفراد النادرة الوجود خارجة عن تحت </w:t>
      </w:r>
    </w:p>
    <w:p>
      <w:pPr>
        <w:pStyle w:val="BookText"/>
        <w:rPr/>
      </w:pPr>
      <w:r>
        <w:rPr>
          <w:rFonts w:ascii="Amiri" w:hAnsi="Amiri" w:eastAsia="Amiri" w:cs="Amiri"/>
          <w:color w:val="111111"/>
          <w:sz w:val="28"/>
          <w:sz w:val="28"/>
          <w:szCs w:val="28"/>
          <w:rtl w:val="true"/>
          <w:lang w:bidi="ar-SA"/>
        </w:rPr>
        <w:t>الإطلاقات ، ولا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بعض أقسام الرضاع من الميتة لا يمكن فيه دعوى الانصراف ، كما إذا كان مثلا أربعة عشر رضعة في حال الحياة ورضعة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الممات ، فمثل هذا المورد لا يمكن أن يقال بعدم شمول الإطلاقات له وانصرافها عنه ، فحينئذ بعدم القول بالفصل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بقلب هذا الدليل ، بأنّه في كثير من الصور تكون الإطلاقات منصرفة عنها ، فتدخل تلك الصور تحت آية التحليل ، 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وبعدم القول بالفصل يتمّ المطلوب ، ولو سقط كلا الدليلين بواسطة التعارض عن الاعتبار ، فالمرجع أصالة الحل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مسألة عدم القول بالفصل غير الاتّفاق والإجماع المركّب على عدم الفصل ، والذي موجود فيما نحن فيه هو الأوّل ، وهو غير مفيد ، والمفيد هو الثاني وليس بموجود فيما نحن فيه ، فلا مانع من الأخذ بالإطلاقات فيما تشمله ، والرجوع إلى أصالة الحلّ أو آية التحليل في موارد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معظم الأصحاب إلى أنّ الرضاع الذي يكون سببا لنشر الحرمة ، لا بدّ وأن يكون في حولي الرضاعة ، أي لا يكون الرضيع له أزيد من الحولين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الإجماع المدّعى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فيما رواه الكافي عن منصور بن حازم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وحسنة الحلبي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حمّاد بن عثمان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الفطام؟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حولين الذين قال اللّه عزّ وجلّ </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فضل بن عبد الملك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قبل الحولين قبل أن يفطم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الروايات المرويّة الواردة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ظاهرا هي المدّة التي جعلها الشارع ظرفا للرضاع الكامل ، أي الحولين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لا بمعنى الانقطاع عن الرضاع ، سواء أكان قبل انقضاء الحولين أو بعدهما ، كما ربما يظهر من هذه اللفظة حسب الوضع اللغوي ، وإن كان في بعض كتب اللغة فسّره بزمن الفطم ، وذلك لتفسير الصادق علیه السلام هذه الكلمة بما ذكرنا من الحولين في خبر حمّاد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على هذا لو فطم الولد قبل تمام المدّة وتغذّى بغذاء آخر ، ثمَّ حصل الرضاع بعد انفطامه وقبل تمام الحولين تنشر الحرمة ، لأنّ مفاد هذه الروايات بناء على ذلك التفسير المروي ، عدم التحريم بعد انقضاء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لا تدلّ على عدم حصول الرضاع المحرّم ، فتشمله الإطلاقات ولو كان منفطما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نسب إلى العمّاني من لزوم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عدم تماميّة المدّة ، والثاني عدم الانفطام ، فكما أنّه بتماميّة المدّة لإرضاع ، كذلك بالانفطام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قبل تماميّة المدّة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رضاع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 ، لما ذكرنا من أنّ المراد من الفطام هي مدّة الرضاع ، لا الفطم والقطع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يتوهّم أنّ قوله علیه السلام في رواية فضل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قبل الحولين قبل أن يفطم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يدل على ما ذهب إليه العماني ، لأنّه علیه السلام أخذ في موضوع الرضاع قيدين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يكون قبل الحولين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أن يكون قبل أن يفطم ، لأنّه بعد ما فسّر الإمام علیه السلام الفطام بما ذكرناه يكون المراد من القيد الثاني عين ما هو المراد من القيد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ذكره مع الاستغناء عنه هو الإشارة إلى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وأنّ ما هو قبل الحولين قبل الفطام ، فالمراد من الفطام ليس إلاّ انقضاء الحولين ، ولذلك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نتحقّق خلاف الحسن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عقيل وهو العمّاني ، لأنّ المحكي عنه اعتبار الفطام ، ويمكن ارادته سنّ الفطام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نسب إلى الإسكافي قدس سره ثبوت التحريم قبل أن يفطم ، ولو كان الارتضاع بعد مضيّ حولين عن سنّ المرتضع</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مدركه رواية داود بن الحصين المرويّة في الفقيه والتهذيب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الرضاع بعد الحولين قبل أن يفطم يحرّم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بأنّ هذا خبر شاذّ مخالف للإجماع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قدس سره إنّ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فتوى ابن الجنيد ، وهو أن يكون الارتضاع بعد مضيّ حولين من سنّ المرتضع وقبل أن يفطم يكون موجبا لنشر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بالإجماع على الخلاف وملحوقة 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في توجيه هذه الرواية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مضي الحولين من عمر ولد المرضعة وقبل أن يفطم المرتضع ، ويكون المراد من هذه الرواية أنّه يمكن أن يقع الرضاع هكذا ، لا أنّه من شروط الرضاع أن يكون هكذا كي يكون منحصرا في كونه هكذا ، كما هو ظاهر الرواية لو كان المراد من الحولين صفة ولد المرضعة ، لا المرتضع كما ذكرنا ، فيكون ردّا على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التوجيه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يعتبر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انقضاء الحولين ومضيهما عن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المرتضع ، أو يكون شرطا لولد المرضعة أيضا؟</w:t>
      </w:r>
    </w:p>
    <w:p>
      <w:pPr>
        <w:pStyle w:val="BookText"/>
        <w:rPr/>
      </w:pPr>
      <w:r>
        <w:rPr>
          <w:rFonts w:ascii="Amiri" w:hAnsi="Amiri" w:eastAsia="Amiri" w:cs="Amiri"/>
          <w:color w:val="111111"/>
          <w:sz w:val="28"/>
          <w:sz w:val="28"/>
          <w:szCs w:val="28"/>
          <w:rtl w:val="true"/>
          <w:lang w:bidi="ar-SA"/>
        </w:rPr>
        <w:t xml:space="preserve">فيه خلاف ، فالمشهور بين المحقّقين والفقهاء هو الأوّل ، وحكى عن أبي الصلاح </w:t>
      </w:r>
      <w:r>
        <w:rPr>
          <w:rStyle w:val="FootnoteAnchor"/>
          <w:rtl w:val="true"/>
        </w:rPr>
        <w:footnoteReference w:id="472"/>
      </w:r>
      <w:r>
        <w:rPr>
          <w:rFonts w:ascii="Amiri" w:hAnsi="Amiri" w:eastAsia="Amiri" w:cs="Amiri"/>
          <w:color w:val="111111"/>
          <w:sz w:val="28"/>
          <w:sz w:val="28"/>
          <w:szCs w:val="28"/>
          <w:rtl w:val="true"/>
          <w:lang w:bidi="ar-SA"/>
        </w:rPr>
        <w:t xml:space="preserve">وابن زهرة </w:t>
      </w:r>
      <w:r>
        <w:rPr>
          <w:rStyle w:val="FootnoteAnchor"/>
          <w:rtl w:val="true"/>
        </w:rPr>
        <w:footnoteReference w:id="473"/>
      </w:r>
      <w:r>
        <w:rPr>
          <w:rFonts w:ascii="Amiri" w:hAnsi="Amiri" w:eastAsia="Amiri" w:cs="Amiri"/>
          <w:color w:val="111111"/>
          <w:sz w:val="28"/>
          <w:sz w:val="28"/>
          <w:szCs w:val="28"/>
          <w:rtl w:val="true"/>
          <w:lang w:bidi="ar-SA"/>
        </w:rPr>
        <w:t xml:space="preserve">وابن حمزة </w:t>
      </w:r>
      <w:r>
        <w:rPr>
          <w:rStyle w:val="FootnoteAnchor"/>
          <w:rtl w:val="true"/>
        </w:rPr>
        <w:footnoteReference w:id="474"/>
      </w:r>
      <w:r>
        <w:rPr>
          <w:rFonts w:ascii="Amiri" w:hAnsi="Amiri" w:eastAsia="Amiri" w:cs="Amiri"/>
          <w:color w:val="111111"/>
          <w:sz w:val="28"/>
          <w:sz w:val="28"/>
          <w:szCs w:val="28"/>
          <w:rtl w:val="true"/>
          <w:lang w:bidi="ar-SA"/>
        </w:rPr>
        <w:t xml:space="preserve">بل ادّعى في الغنية الإجماع عليه </w:t>
      </w:r>
      <w:r>
        <w:rPr>
          <w:rStyle w:val="FootnoteAnchor"/>
          <w:rtl w:val="true"/>
        </w:rPr>
        <w:footnoteReference w:id="475"/>
      </w:r>
      <w:r>
        <w:rPr>
          <w:rFonts w:ascii="Amiri" w:hAnsi="Amiri" w:eastAsia="Amiri" w:cs="Amiri"/>
          <w:color w:val="111111"/>
          <w:sz w:val="28"/>
          <w:sz w:val="28"/>
          <w:szCs w:val="28"/>
          <w:rtl w:val="true"/>
          <w:lang w:bidi="ar-SA"/>
        </w:rPr>
        <w:t xml:space="preserve">كما حكى عنه في الجواهر </w:t>
      </w:r>
      <w:r>
        <w:rPr>
          <w:rStyle w:val="FootnoteAnchor"/>
          <w:rtl w:val="true"/>
        </w:rPr>
        <w:footnoteReference w:id="476"/>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الذين يقولون بالاشتراط حتّى في ولد المرضعة يتمسّكون بالإجماع وبإطلاق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أطلق الفطام ولم يقيّده بفطام المرتضع ، </w:t>
      </w:r>
    </w:p>
    <w:p>
      <w:pPr>
        <w:pStyle w:val="BookText"/>
        <w:rPr/>
      </w:pPr>
      <w:r>
        <w:rPr>
          <w:rFonts w:ascii="IRNazanin" w:hAnsi="IRNazanin" w:eastAsia="IRNazanin"/>
          <w:color w:val="111111"/>
          <w:sz w:val="28"/>
          <w:sz w:val="28"/>
          <w:szCs w:val="28"/>
          <w:rtl w:val="true"/>
          <w:lang w:bidi="fa-IR"/>
        </w:rPr>
        <w:t xml:space="preserve">فيشمل فطام الاثنين ، فإذا انقضى فطام ولد المرضعة أيضا فلا فطام للأصل ، لأنّه بعد انقضاء فطام ولد المرضعة إذا شككنا في التحريم فمقتضى أصالة الحلّ أو عدم حدوث الحرمة عدم تأثير مثل ذلك الرضاع ، وبفهم ابن بكير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فطام ولد المرضعة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حيث سأل ابن فضّال عن ابن بكير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امرأة أرضعت غلاما سنتين ، ثمَّ أرضعت صبيّة لها أقلّ من سنتين حتّى تمّت السنتان ، أيفسد ذلك بينهما؟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يفسد ذلك بينهما ، لأنّه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تمَّ للغلام سنتان أو الجارية فقد خرج من حدّ اللبن ، ولا يفسد بينه وبين من شرب من لبنه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 الأكثر على خلافه ، مضافا إلى تمسّك المجمعين بهذه المدارك التي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إطلاق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شموله لولد المرضعة ، لأنّه خارج عن مورد البحث والكلام ، بل ظهور الحديث في فطام المرتضع فقط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الشكّ فالمرجع هي الإطلاقات الواردة في باب تحريم الرضاع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الرضاع عليه يقينا ، والشكّ في تقييد الإطلاق لإجمال مفهوم المقيّد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فهم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هو اجتهاد منه ،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معارض بفهم الصدوق </w:t>
      </w:r>
      <w:r>
        <w:rPr>
          <w:rStyle w:val="FootnoteAnchor"/>
          <w:rtl w:val="true"/>
        </w:rPr>
        <w:footnoteReference w:id="478"/>
      </w:r>
      <w:r>
        <w:rPr>
          <w:rFonts w:ascii="Amiri" w:hAnsi="Amiri" w:eastAsia="Amiri" w:cs="Amiri"/>
          <w:color w:val="111111"/>
          <w:sz w:val="28"/>
          <w:sz w:val="28"/>
          <w:szCs w:val="28"/>
          <w:rtl w:val="true"/>
          <w:lang w:bidi="ar-SA"/>
        </w:rPr>
        <w:t>والكليني خلاف ما فهمه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الأخير في معنى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الولد إذا شرب لبن </w:t>
      </w:r>
    </w:p>
    <w:p>
      <w:pPr>
        <w:pStyle w:val="BookText"/>
        <w:rPr/>
      </w:pPr>
      <w:r>
        <w:rPr>
          <w:rFonts w:ascii="Amiri" w:hAnsi="Amiri" w:eastAsia="Amiri" w:cs="Amiri"/>
          <w:color w:val="111111"/>
          <w:sz w:val="28"/>
          <w:sz w:val="28"/>
          <w:szCs w:val="28"/>
          <w:rtl w:val="true"/>
          <w:lang w:bidi="ar-SA"/>
        </w:rPr>
        <w:t xml:space="preserve">المرأة بعد ما تفطمه لا يحرم ذلك الرضاع التناكح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في مقام تفسير هذا الكلام فلا مجال لتوهّم أنّه بين إحدى الصورتين ، ولا ينافي ذلك وجود صورة أخرى ومصداق آخر ، وهو فيما إذا شرب الولد لبن المرأة بعد فطام ولد نفسها ، لا بعد فطام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 فلا أصل له أصلا ، لما ذكرنا من شمول الإطلاقات لصورة حصول الرضاع مع انقضاء الحولين ومضيّهما من عمر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مجموع ما ذكرنا أنّ 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الحولين هو أربعة وعشرين أشهر هلاليّة ، كما هو الحال في باب البلوغ وحلول الحول في الزكاة وأمثالهما من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الولادة في أوّل الشهر فينتهي في آخر الشهر الرابع والعشرين ، وإن كانت في الأثناء فيكمّل مقدار النقص من الشهر الخامس والعشرين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واحتمال العدد حينئذ في جميع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يحسب من يوم الولادة إلى ثلاثين يوما شهرا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إلى الغاية ، بل ممّا يقطع بخلافه ويزيد على سنتين قطعا ، لأنّ أشهر السنة الهلاليّة ليست كلّها ثلاثين يوما يقينا ، كما أنّ احتمال أن يكون مبدأ الحولين من أوّل الرضاع لا من أوّل الولادة معلوم العدم ، وذلك لأنّه علیه السلام فسّر الفطام بالحولين الذين قال اللّه عزّ وجلّ ، </w:t>
      </w:r>
      <w:r>
        <w:rPr>
          <w:rStyle w:val="FootnoteAnchor"/>
          <w:rtl w:val="true"/>
        </w:rPr>
        <w:footnoteReference w:id="480"/>
      </w:r>
      <w:r>
        <w:rPr>
          <w:rFonts w:ascii="Amiri" w:hAnsi="Amiri" w:eastAsia="Amiri" w:cs="Amiri"/>
          <w:color w:val="111111"/>
          <w:sz w:val="28"/>
          <w:sz w:val="28"/>
          <w:szCs w:val="28"/>
          <w:rtl w:val="true"/>
          <w:lang w:bidi="ar-SA"/>
        </w:rPr>
        <w:t xml:space="preserve">ومعلوم أنّهما في الآية الشريفة من حين الولادة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خالصا غير ممزوج بشي‌ء جامد أو مائع ، وأن لا يصير جبنا ، كلّ ذلك لأجل عدم صدق اللبن أو انصرافه عنه ، مع ما تقدّم أنّ حقيقة </w:t>
      </w:r>
      <w:bookmarkStart w:id="299" w:name="pg15937_235282"/>
    </w:p>
    <w:p>
      <w:pPr>
        <w:pStyle w:val="BookText"/>
        <w:rPr/>
      </w:pPr>
      <w:bookmarkEnd w:id="299"/>
      <w:r>
        <w:rPr>
          <w:rFonts w:ascii="Amiri" w:hAnsi="Amiri" w:eastAsia="Amiri" w:cs="Amiri"/>
          <w:color w:val="111111"/>
          <w:sz w:val="28"/>
          <w:sz w:val="28"/>
          <w:szCs w:val="28"/>
          <w:rtl w:val="true"/>
          <w:lang w:bidi="ar-SA"/>
        </w:rPr>
        <w:t>الرضاع هو شرب اللبن بامتصاص الثدي ، فلا بدّ من تحقّق عنوان شرب اللبن ، لأنّه من مقوّماته ، فكلّما يخرجه عن هذا العنوان فتحقّق الرضاع يكون مشروطا عقلا بعدمه ، كامتزاجه بجسم آخر جامد أو مائع ، بحيث يخرجه عن كونه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يصنع من اللبن ، كالمخبص والجبن ، وأمثال ذلك ممّا هو من فروع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الشرائط الرضاع</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6073486_2142443653"/>
      <w:bookmarkStart w:id="301" w:name="_Toc98"/>
      <w:bookmarkEnd w:id="300"/>
      <w:r>
        <w:rPr>
          <w:rtl w:val="true"/>
        </w:rPr>
        <w:t xml:space="preserve">الجهة الخامسة </w:t>
      </w:r>
      <w:r>
        <w:rPr>
          <w:rtl w:val="true"/>
        </w:rPr>
        <w:t xml:space="preserve">: </w:t>
      </w:r>
      <w:r>
        <w:rPr>
          <w:rtl w:val="true"/>
        </w:rPr>
        <w:t>في عموم المنزلة</w:t>
      </w:r>
      <w:bookmarkEnd w:id="301"/>
    </w:p>
    <w:p>
      <w:pPr>
        <w:pStyle w:val="BookText"/>
        <w:rPr/>
      </w:pPr>
      <w:r>
        <w:rPr>
          <w:rFonts w:ascii="Amiri" w:hAnsi="Amiri" w:eastAsia="Amiri" w:cs="Amiri"/>
          <w:color w:val="111111"/>
          <w:sz w:val="28"/>
          <w:sz w:val="28"/>
          <w:szCs w:val="28"/>
          <w:rtl w:val="true"/>
          <w:lang w:bidi="ar-SA"/>
        </w:rPr>
        <w:t xml:space="preserve">والبحث فيه تارة بلحاظ عموم المنزّل عليه وخصوصه ، أي السعة والضيق في التنزيل باعتبار السعة والضيق في المنزّل عليه ، فمن يقول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التنزيل فقط باعتبار العناوين السبعة النسبيّة المعروفة ، أي الأمّ ، والبنت ، والأخت ، والعمّة ، والخالة ، وبنات الأخ ، وبنات الأخت ، بل يشمل جميع العناوين النسبيّة التي تعرضها الحرمة ، ولو من جهة ملازمتها للعناوين النسبيّة التي جعلها الشارع موضوعا للحرمة ، كعنوان أمّ ولد البنت نسبا ، أو عنوان أمّ السبط نسبا المتلازمان مع البنتيّة في باب النسب ، أو عنوان أمّ الأخ للأبوين الملازم مع كونها أمّا له أيضا في النسب ، أو عنوان أخت الأخ للأبوين الملازم لكونها أختا له أيضا ، وهكذا بالنسبة إلى سائر العناوين الملازمة للعناوين السبعة المعروفة التي جعلها الشارع موضوعا للحرمة في باب النسب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يقول بخصوص المنزلة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عليه هي العناوين السبعة فقط ، أي أنّ الشارع نزّل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العناوين السبعة الحاصلة من الرضاع منزلة نفس هذه العناوين الحاصلة من النسب ، لأنّها فقط </w:t>
      </w:r>
    </w:p>
    <w:p>
      <w:pPr>
        <w:pStyle w:val="BookText"/>
        <w:rPr/>
      </w:pPr>
      <w:r>
        <w:rPr>
          <w:rFonts w:ascii="Amiri" w:hAnsi="Amiri" w:eastAsia="Amiri" w:cs="Amiri"/>
          <w:color w:val="111111"/>
          <w:sz w:val="28"/>
          <w:sz w:val="28"/>
          <w:szCs w:val="28"/>
          <w:rtl w:val="true"/>
          <w:lang w:bidi="ar-SA"/>
        </w:rPr>
        <w:t>موضوع الحرمة في لسان الدليل ، لا العناوين الملازمة لتلك العناوين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البحث فيه باعتبار عموم آثار المنزّل عليه ، أو خصوص بعض الآثار فمن يقول بالعموم من هذه الجهة يقول بأنّ كلّ أثر كان يترتّب على الأمّ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الأمّ الرضاعي ، إلاّ ما خرج بالدليل ، كالإرث ، لأنّه من المسلم أنّه لا يرث من أمّه الرضاعيّة ، ولكنّه كما أنّ أمّه النسبيّة مثلا إذا كانت أمة واشتراها تنعتق عليه ، هل كذلك تكون أمّه الرضاعية إذا اشتراها تنعتق عليه ، أم لا؟</w:t>
      </w:r>
    </w:p>
    <w:p>
      <w:pPr>
        <w:pStyle w:val="BookText"/>
        <w:rPr/>
      </w:pPr>
      <w:r>
        <w:rPr>
          <w:rFonts w:ascii="Amiri" w:hAnsi="Amiri" w:eastAsia="Amiri" w:cs="Amiri"/>
          <w:color w:val="111111"/>
          <w:sz w:val="28"/>
          <w:sz w:val="28"/>
          <w:szCs w:val="28"/>
          <w:rtl w:val="true"/>
          <w:lang w:bidi="ar-SA"/>
        </w:rPr>
        <w:t xml:space="preserve">فمن يقول بعموم المنزلة بالنسبة إلى جميع الآثار إلاّ ما خرج يقول بالأوّل ،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بلحاظ خصوص تحريم النكاح يقول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المنزلة بلحاظ عموم المنزّل عليه فالمشهور عدمه ، وأنّ التنزيل بلحاظ العناوين السبعة المعروفة المذكورة في الآية الشريفة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جملة من المتأخّرين منهم المحقّق الداماد ، ونسب إلى الشيخ الشهيد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ناقش بعض في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المنزلة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امرأة تحرم من جهة وجود نسبة بينها وبين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تلك النسبة من العناوين السبعة المعروفة أو لم تكن ، بل كانت من العناوين المستلزمة لأحد هذه العناوين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مثل تلك النسبة من الرضاع يحرم أيضا ، سواء أكانت تلك النسبة الحاصلة من الرضاع أيضا من تلك العناوين السبعة المعروفة ، أو كان من غيرها ممّا هي مستلزمة لإحدى تلك العناوين السبعة إذا كانت حاصلة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أمّ ولد الولد في النسب محرّمة عليه من جهة أنّها إمّا بنته وإمّا زوجة ابنه ، وكلتاهما حرام عليه ، فلو أرضعت أجنبيّة ولد ولده فتصير أمّ ولد ولده ، ولكن لا تصير بنته من الرضاع ولا حليلة ابنه من الرضاعة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عدم عموم المنزلة بالمعنى الذي ذكرنا ، لا وجه لتحريم مثل هذه </w:t>
      </w:r>
    </w:p>
    <w:p>
      <w:pPr>
        <w:pStyle w:val="BookText"/>
        <w:rPr/>
      </w:pPr>
      <w:r>
        <w:rPr>
          <w:rFonts w:ascii="Amiri" w:hAnsi="Amiri" w:eastAsia="Amiri" w:cs="Amiri"/>
          <w:color w:val="111111"/>
          <w:sz w:val="28"/>
          <w:sz w:val="28"/>
          <w:szCs w:val="28"/>
          <w:rtl w:val="true"/>
          <w:lang w:bidi="ar-SA"/>
        </w:rPr>
        <w:t>المرضعة عليه ، لأنّه لم يحصل بينه وبينها أحد تلك العناوين السبعة لا من النسب ولا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العموم ولو لم يحصل أحد هذه العناوين لا من النسب ولا من الرضاع ، ولكن حصل عنوان بالرضاع ، أعني عنوان أمّ ولد الولد الذي لو كان حاصلا من النسب لكانت تلك امرأة حراما عليه ، لملازمة ذلك العنوان مع أحد العنوانين الذين كلّ واحد منهما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عنوان البنت ، والأخرى عنوان زوجة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ولكن الحقّ ما ذهب إليه المشهور ، وذلك لأنّ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كما بيّنّا في ما تقدّم أنّ كلّ عنوان جعله الشارع موضوعا للحرمة إذا كان حاصلا من النسب ، فعين ذلك العنوان يكون موضوعا للحرمة أيضا إذا كان حاصلا من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المعنى موقوف على أنّ العناوين السبعة المعروفة كما أنّها تحصل من النسب ، كذلك كانت حاصلة من الرضاع أيضا عند العرف ، كي يكون التنزيل بلحاظ الآثار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عنوانا عاما ، يحصل تارة من النسب أي الولادة ، وأخرى من الرضاع ، فيكون الموصول كناية عن تلك العناوين السبعة ، لأنّها هي التي حكم الشارع عليها في الآية الشريفة بالتحريم ، لا العناوين المستلزمة لإحدى تلك العناوين ، فإنّ الشارع لم يجعل عنوان أمّ ولد الولد مثلا ، أو عنوان أخت الأخ للأبوين ، وهكذا غيرهما من العناوين المستلزمة لأحد تلك العناوين موضوعا للحرمة أصلا ، فلا يشمل عنوان ما يحرم مثل تلك العناوين ، فالمراد ممّا يحرم هي موضوعات الحرمة في لسان الدليل ، وملازم الموضوع ليس بموضوع ، فليست تلك العناوين المستلزمة لأحد تلك العناوين ممّا يحرم في النسب كي يكون مما يحرم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 ، وإن وقع جماعة من المحقّقين في الاشتباه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القاعدة وإن كانت لا تشمل بعض الموارد ، كعنوان أخت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تكن بنتا أو ربيبة ، ولكن وردت روايات تدلّ على عدم جواز نكاح أبي المرتضع في أولاد صاحب اللبن ، ولا في أولاد المرضعة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وإلاّ كان يجوز وإن كانت أختا للمرتضع من الرضاعة ، وبالنسبة إلى أبي المرتضع تكون أختا لابنه ، فلو لم تكن تلك الروايات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نكاحها لأبي المرتضع ، لأنّها ليست بنتا له ولا ربيبة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المحرّم هو البنت أو الربيبة ، لا عنوان أخت الابن ، وكانت حرمة أخت الابن في النسب من جهة ملازمتها مع عنوان البنت أو الربيبة ، وإلاّ فهو بنفسه ليس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مهزيار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عيسى ابن جعفر أبا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أرضعت لي صبيّا فهل يحلّ لي أن أتزوّج ابنة زوجها؟ فقال 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ما سألت من ها هنا يؤتى أن يقول الناس حرمت عليه امرأته من قبل لبن الفحل ، هذا هو لبن الفحل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ليست ابنة المرأة التي أرضعت لي هي ابنة غيرها؟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 عشرا متفرّقات ما حلّ لك شي‌ء منهنّ وكنّ في موضع بناتك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أيّوب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شعيب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أرضعت بعض ولدي ، هل يجوز لي أن أتزوّج بعض ولدها؟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ذلك لك ، لأنّ ولدها صارت بمنزلة ولدك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أرضعت ولد الرجل ، هل يحلّ لذلك الرجل أن يتزوّج ابنة هذه المرضعة أم لا؟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له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العمل بهذه الروايات ، تحرم الزوجة على زوجها لو أرضعت أمّها ولدها الذي من هذا الزوج ، لأنّ الزوجة تكون من أولاد صاحب اللبن ، فتحرم على أبي المرتضع الذي هو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عدم حرمة إخوة المرتضع على أولاد الفحل ، أي صاحب اللبن ، لأنّ إخوة المرتضع تكون بالنسبة إلى أولاد صاحب اللبن أخوات أخيهم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أخت الأخ من العناوين المحرّمة في النسب كي يكون الرضاع مثله ، وهكذا بنات صاحب اللبن ليس محرّمات على أولاد أبي المرتضع ، لأنّهنّ أيضا بالنسبة إلى أولاد أبي المرتضع أخوات أخيهم وهذا العنوان ليس من العناوين السبعة المعروفة التي يكون التنزيل بين حصول هذه العناوين بالرضاع وبين حصولها من النسب ،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النكاح التي رتّبها الشارع على هذه العناوين عند حصولها من النسب يرتّب على مثل هذه العناوين إن حصلت من الرضاع ، الذي استظهرناه من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 الحديث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الفريقان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الموصول ، أي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العناوين المعروفة التي جعلها اللّه تبارك وتعالى في كتابه العزيز موضوعا لحرمة النكاح عليهنّ وتزويجهنّ من النسب ، </w:t>
      </w:r>
      <w:bookmarkStart w:id="302" w:name="pg15937_235287"/>
    </w:p>
    <w:p>
      <w:pPr>
        <w:pStyle w:val="BookText"/>
        <w:rPr/>
      </w:pPr>
      <w:bookmarkEnd w:id="302"/>
      <w:r>
        <w:rPr>
          <w:rFonts w:ascii="Amiri" w:hAnsi="Amiri" w:eastAsia="Amiri" w:cs="Amiri"/>
          <w:color w:val="111111"/>
          <w:sz w:val="28"/>
          <w:sz w:val="28"/>
          <w:szCs w:val="28"/>
          <w:rtl w:val="true"/>
          <w:lang w:bidi="ar-SA"/>
        </w:rPr>
        <w:t>فحكم بحرمة هذه العناوين الحاصلة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الرضاع مثل النسب في ترتّب حرمة النكاح على هذه العناوين الحاصلة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العناوين الملازم لهذه العناوين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أخت الابن ، بحيث يكون الابن ابنا نسبيّا ، والأخت لذلك الابن أيضا إذا كان أختا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بنتا له إذا كانت الأخت اختيّته لذلك الابن باعتبار تولّدهما من هذا الأب ، وإمّا أن تكون ربيبة له إن كانت أختيّته باعتبار تولّدهما من أمّ واحد ، ولا يشتركان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فالحرمة التي في أخت ابنه من جهة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أنّها ابنته ، أو من جهة أنّها ربيبته ، وإلاّ لم يجعل الشارع عنوان أخت الابن موضوعا للحرمة ، ولذلك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أخت ابن في النسب مع عدم كونها ربيبة ولا بنتا لا تحرم ولكن هذا وقوعه في النسب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الرضاع فليس بمحال ، كما قلنا إنّ بنات المرضعة أو بنات صاحب اللبن وان كنّ من غير المرضعة أخوات من الرضاعة للمرتضع ، وليست بنتا ولا ربيبة لأبي المرتضع ، ولذلك لو لم تكن تلك النصوص الخاصّة لم نقل بحرمتهنّ على أبي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لا يحتاج إلى إطالة الكلام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6073488_2142443653"/>
      <w:bookmarkStart w:id="304" w:name="_Toc99"/>
      <w:bookmarkEnd w:id="303"/>
      <w:r>
        <w:rPr>
          <w:rtl w:val="true"/>
        </w:rPr>
        <w:t>الجهة السادسة</w:t>
      </w:r>
      <w:bookmarkEnd w:id="30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الرضاع كما أنّه إن حصل أحد العناوين المحرمة به قبل النكاح والتزويج يكون موجبا لحرمة التزويج يكون موجبا لبطلان الزوجيّة ، كذلك لو حصل بعد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كانت زوجته غير محرّمة عليه لعدم تعنونها واتّصافها بأحد العناوين المحرّمة لا نسبا ولا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العناوين المحرمة بواسطة الرضاع يكون </w:t>
      </w:r>
    </w:p>
    <w:p>
      <w:pPr>
        <w:pStyle w:val="BookText"/>
        <w:rPr/>
      </w:pPr>
      <w:r>
        <w:rPr>
          <w:rFonts w:ascii="Amiri" w:hAnsi="Amiri" w:eastAsia="Amiri" w:cs="Amiri"/>
          <w:color w:val="111111"/>
          <w:sz w:val="28"/>
          <w:sz w:val="28"/>
          <w:szCs w:val="28"/>
          <w:rtl w:val="true"/>
          <w:lang w:bidi="ar-SA"/>
        </w:rPr>
        <w:t>موجبا لصيرورة الزوجة المحلّلة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النسب لو فرضنا أنّه يمكن انقلاب عنوان المحلّل إلى أحد العناوين المحرّمة ، لكنّا نقول بالحرمة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الانقلاب في النسب لا يمكن ، بخلاف الرضاع ، فإنّه من الممكن أن لا تكون المرأة معنونة بعنوان محرّم ، ثمَّ يطرأ عليها عنوان المحرّم بواسطة الرضاع بعد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متى ما وجد موضوع الحكم ، يترتّب الحكم عليه ، فالمائع الذي كان خمرا وكان نجسا وحراما شربه متى صار خلاّ يصير طاهرا ويكون شربه حلالا ، وكذلك الأمر في العكس متى صار الخلّ خمرا يصير نجسا ويكون شربه حراما ، فتغيير النسبة يرجع إلى تغيّر الموضوع ، غاية الأمر في النسب لا يمكن ، وفي العناوين الحاصلة من الرضاع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الحاصلة من النسب من لوازم الوجود ، ولا يمكن انفكاكها عن موضوعاتها ، بخلاف العناوين الحاصلة من الرضاع ، فإنّها ليست من لوازم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العنوان الحاصل من الرضاع اللاحق على النكاح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تزوّج جارية رضيعة ، فأرضعتها امرأته فسد النكاح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عنوان محرّم حصل من الرضاع بالنسبة إلى زوجته التي كانت قبل الرضاع زوجة له بالنكاح الصحيح يفسد نكاحه ، كما أنّ هذا العنوان لو كان حاصلا قبل </w:t>
      </w:r>
    </w:p>
    <w:p>
      <w:pPr>
        <w:pStyle w:val="BookText"/>
        <w:rPr/>
      </w:pPr>
      <w:r>
        <w:rPr>
          <w:rFonts w:ascii="Amiri" w:hAnsi="Amiri" w:eastAsia="Amiri" w:cs="Amiri"/>
          <w:color w:val="111111"/>
          <w:sz w:val="28"/>
          <w:sz w:val="28"/>
          <w:szCs w:val="28"/>
          <w:rtl w:val="true"/>
          <w:lang w:bidi="ar-SA"/>
        </w:rPr>
        <w:t>النكاح لكان يمنع عن التزويج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فرق بين أن يكون حصول العنوان المحرّم قبل التزويج ، أو بعده ، أو مقارنا له ، فلو تزوّج بصغيرة فأرضعتها أمّ ذلك الزوج ، يفسد نكاح الصغيرة ، لأنّها تصير أختا له ، إذ لا معنى للأخت إلاّ بنت الأبوين ، أو بنت أحدهما ، وها هنا زوجته الصغيرة بنتا لأمّه من جهة الرضاع كما أنّه لو أرضعتها جدة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عمّة له ، لأنّها تصير بواسطة إرضاع أمّ أبيه لها أختا لأبيه ، فتكون عمّة له ، لأنّه لا معنى للعمّة إلاّ كونها أختا لأبيه ، كما أنّه لو أرضعتها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خالته ، لأنّها بإرضاع أمّ أمّه لها تصير بنتا للجدّة ، فتكون أختا لأمّه ، وهذا معنى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في جميع هذه الصور يفسد نكاح الصغيرة بواسطة الرضاع الطارئ واللاحق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نذكر فروعا للرضاع اللاحق على العقد الذي صار سببا لفساد النكاح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له زوجتان إحديهما صغيرة ، والأخرى كبيرة ، فأرضعت الكبيرة الصغيرة تحرم الكبيرة ، لأنّها تصير أمّ زوجته ، وكذلك تحرم الصغيرة إن كان رضاعها من لبنه ، أو دخل بالكبيرة وإن لم يكن من لبنه ، لكونها بنتا له في الأوّل ، وربيبة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زوجته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حرمة الكبيرة موقوفا على كون المشتق حقيقة فيما انقضى عنه المبدأ ، يتوهّم أنّ ظرف حصول الأمومة ظرف سقوط الزوجيّة ، فلا يمكن حصول هذا العنوان إلاّ في ظرف سقوط الزوجيّة بواسطة الرضاع المحرّم ، فلا تجتمع الأمومة مع الزوجيّة في زمان كي يصدق عليها عنوان أمّ الزوجة ، إلاّ بناء على كون المشتق حقيقة فيما انقضى عنه المبدأ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زوجية الصغيرة معلول لإتيان عنوانها المحرّم ، وهي البنتيّة على تقدير ، وكونها ربيبة دخل بأمّها على تقدير آخر ، وهذان العنوانان مع عنوان الأمومة للكبيرة من قبيل المتضايفين وفي رتبة واحدة ، وفي تلك الرتبة زوجيّة الصغيرة لم تسقط ، لما قلنا من أنّ سقوطها من ناحية البنتيّة وكونها ربيبة اللتان في عرض أمومة الكبيرة ، فانفساخ الزوجيّة متأخّر رتبة عن الأمومة ، وهذا المقدار يكفي في صدق عنوان أمّ الزوجة الذي هو موضوع حرمة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حصول الأمومة في زمان كونها زوجة ،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عبارة عن أمّ المرأة التي تكون زوجة في زمان الذي هي أمّ لها وفيما نحن فيه لا يمكن ذلك ، لما قلنا من أنّ حصول نسبة الأمومة للمرضعة في زمان حصول نسبة البنتيّة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كونها 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للمرتضعة ، فزمان البنتيّة وكونها ربيبة متّحد مع زمان الأمومة ، فلو كانت الزوجيّة أيضا حاصلة في زمان حصول الأمومة يرجع إلى أن تكون بنتا أو ربيبة ، مع كونها زوجة في زمان واحد ، وهذا ممّا لا يمكن وواضح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التحريم عنوان أمّ من كانت زوجته ، غاية الأمر في باب النسب لا ينفكّ هذا العنوان عن اجتماع الأمومة مع الزوجيّة وإن كان زمان الاجتماع قليلا ، لأنّ الأمومة في النسب إذا كانت حاصلة في مورد تكون من أوّل وجود البنت إلى الأبد ، فلا محالة في أيّ زمان حصلت زوجيّتها تكون أمومة الأخرى أيضا موجودة ، ولكن في الأمومة الحاصلة من الرضاع ليس الأمر كذلك ، لأنّه من الممكن حصول الزوجيّة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أمومة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تحصل الأمومة بواسطة الرضاع المحرّم ، مع عدم كونها زوجة في ذلك الزمان ، وإلاّ تكون حرمة المرضعة متوقّفة على كون المشتقّ حقيقة فيما انقضى عنه المبدأ</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زوجة أحدهما كبيرة ، وزوجة الآخر صغيرة ، فطلّق كلّ واحد منهما زوجته وتزوّج بزوجة الآخر ، فأرضعت الكبيرة الصغيرة ، فبناء على ما </w:t>
      </w:r>
    </w:p>
    <w:p>
      <w:pPr>
        <w:pStyle w:val="BookText"/>
        <w:rPr/>
      </w:pPr>
      <w:r>
        <w:rPr>
          <w:rFonts w:ascii="Amiri" w:hAnsi="Amiri" w:eastAsia="Amiri" w:cs="Amiri"/>
          <w:color w:val="111111"/>
          <w:sz w:val="28"/>
          <w:sz w:val="28"/>
          <w:szCs w:val="28"/>
          <w:rtl w:val="true"/>
          <w:lang w:bidi="ar-SA"/>
        </w:rPr>
        <w:t>قلنا من تحريم أمّ من كانت زوجته مثل تحريم أمّ الزوجة الفعلية ، فتحرم الكبيرة على الاثنين ، أمّا على زوجها الفعلي ، لأنّها بالرضاع المحرّم صارت أمّ من كانت زوجته ، أي قبل أن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زوجها السابق ، لأنّها أمّ من هي زوجته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كنّا أشكلنا على هذا في الفرع السابق بأنّ ظرف حصول الأمومة ظرف سقوط الزوجيّة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الفعلي والزوج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التحريم هو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الكبيرة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أمّ من كانت زوجته قبل حصول الأمومة ، لأنّ حال حصولها حال سقوط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الصغيرة ، فحرمتها على الزوج السابق واضح ، لأنّها تصير بنتا له بالرضاع إن كان اللبن لبنه ، وأمّا إن لم يكن اللبن لبنه ، فالحرمة جمعا أيضا واضح ، سواء دخل بزوجته الكبيرة المرضعة أم لا ، لأنّه لا يجوز الجمع بين الربيبة وأمّها وإن لم يدخل بأمّها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صورة الانفراد بها بأن يطلّق أمّها الرضاعيّة ، ويتزوّج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فمشروط بالدخول بها ، أي بالكبيرة المرضعة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زوجها الفعلي ، فإن كان اللبن لبنه فالحرمة من جهة أنّها تصير بنته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يكن اللبن لبنه ، فمع الدخول سابقا بالكبيرة التي كانت زوجته أيضا ، تحرم الصغيرة ، لأنّها بنت زوجته المدخولة بها ، ومع عدم الدخول تحرم جمعا مع أمّها ، وأمّا انفرادا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له أمة موطوءة فأرضعت زوجته الصغيرة ، أمّا الأمة فتحرم عليه على كلّ حال ، لأنّها أمّ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بأنّها لا تصير أمّا للمرتضعة إلاّ بعد سقوط زوجيّتها بالرضاع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عنوان أمّ الزوجة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عنه فلا نعيد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زوجته الصغيرة فهي أيضا تحرم ، لأنّها بواسطة هذا الرضاع المحرّم تصير إمّا </w:t>
      </w:r>
    </w:p>
    <w:p>
      <w:pPr>
        <w:pStyle w:val="BookText"/>
        <w:rPr/>
      </w:pPr>
      <w:r>
        <w:rPr>
          <w:rFonts w:ascii="Amiri" w:hAnsi="Amiri" w:eastAsia="Amiri" w:cs="Amiri"/>
          <w:color w:val="111111"/>
          <w:sz w:val="28"/>
          <w:sz w:val="28"/>
          <w:szCs w:val="28"/>
          <w:rtl w:val="true"/>
          <w:lang w:bidi="ar-SA"/>
        </w:rPr>
        <w:t xml:space="preserve">بنتا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ربيبته ، لأنّها بنت الرضاعي لامرأة دخل بها بوطي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مسألة مهر هذه الزوجة الصغيرة التي سقطت زوجيّتها بواسطة الرضاع ، هل تستحقّ تمام المهر أو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مثل الطلاق قبل الدخول ، لأنّ الصغيرة التي سقطت زوجيّتها بواسطة الرضاع غير مدخولة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تستحقّ شيئا منه؟ وجوه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استحقاق تمام المهر ، لما هو المختار من صيرورة المهر ملكا لها بنفس العقد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قبل الدخول موجب لرجوع نصف المهر إلى الزوج بناقل جديد ، وهو الطلاق قبل الدخول ، فإذن استحقّت الصغيرة بنفس العقد تمام المهر ، وسقوطه كلاّ أو نصفا يحتاج إلى دليل حاكم على استصحاب بقاء ملكيّتها لها ، وليس شي‌ء في البين إلاّ استحسانات قياسيّة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الطلاق قبل الدخول يوجب التنصيف فهاهنا أيضا ذلك الملاك موجود ، وهو سقوط الزوجيّة قبل أن يدخل بها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الزوجيّة قبل أن ينتفع منها صار سببا للتنصيف ، وفيما نحن فيه يكون الأمر أيضا كذلك ، فإنّ الرضاع المحرّم صار سببا لذهاب الزوجيّة قبل أن ينتفع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هذا قياس باطل في مذهبنا ، بل الدليل على التنصيف هي الآية الشريفة </w:t>
      </w:r>
      <w:r>
        <w:rPr>
          <w:rStyle w:val="FootnoteAnchor"/>
          <w:rtl w:val="true"/>
        </w:rPr>
        <w:footnoteReference w:id="488"/>
      </w:r>
      <w:r>
        <w:rPr>
          <w:rFonts w:ascii="Amiri" w:hAnsi="Amiri" w:eastAsia="Amiri" w:cs="Amiri"/>
          <w:color w:val="111111"/>
          <w:sz w:val="28"/>
          <w:sz w:val="28"/>
          <w:szCs w:val="28"/>
          <w:rtl w:val="true"/>
          <w:lang w:bidi="ar-SA"/>
        </w:rPr>
        <w:t xml:space="preserve">والأخبار الشارحة لها </w:t>
      </w:r>
      <w:r>
        <w:rPr>
          <w:rStyle w:val="FootnoteAnchor"/>
          <w:rtl w:val="true"/>
        </w:rPr>
        <w:footnoteReference w:id="489"/>
      </w:r>
      <w:r>
        <w:rPr>
          <w:rFonts w:ascii="Amiri" w:hAnsi="Amiri" w:eastAsia="Amiri" w:cs="Amiri"/>
          <w:color w:val="111111"/>
          <w:sz w:val="28"/>
          <w:sz w:val="28"/>
          <w:szCs w:val="28"/>
          <w:rtl w:val="true"/>
          <w:lang w:bidi="ar-SA"/>
        </w:rPr>
        <w:t>، فالظاهر هو استحقاقها لتمام المهر ، لأنّ القول بالتنصيف قياسا على الطلاق قبل الدخول باطل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صاحب الجواهر قدس سره من القول بسقوط المهر مستندا إلى المشهور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ربما يظهر من عبارته عدم وجدانه الخلاف صريحا إلاّ ما عن التذكرة بأنّ السقوط أقوى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يؤذن باحتمال 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مستندهم في سقوط المهر هو أنّ 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رجوع كلّ ما انتقل منه إلى طرفه إليه ثانيا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إليه ، وذلك من جهة أنّ بقاء كلّ من العوضين على ملك من انتقل إليه موقوف على بقاء العقد واستمراره ، إذ أنّ بقاء الأثر تابع لبقاء مؤثرة وعلته ، وتبعية المعلول لعلّته حدوثا وبقاءا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من البديهيات ، ولذلك ترى أنّ كلّ عقد تعقبه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بإقالة أو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كلّ مال إلى صاحبه قبل العقد ، ففساد العقد من أيّ سبب كان نتيجته ارتفاع آثار العقد من حين البطلان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ثبوت المهر من آثار صحّة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النماء الذي وجد للمهر إلى حين الفساد هي للمرتضعة ، لما قلنا إنّ ارتفاع آثار العقد من حين وقوع الفساد لا من أوّل الأمر ، فإذا ارتفع العقد وصار النكاح فاسدا وباطلا ، فقهرا يرتفع أثره الذي هو عبارة عن ثبوت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باب النكاح ليس من قبيل باب المعاوضات بالنسبة إلى الزوجيّة والمهر ، بحيث يكون التعهّد من طرف الزوج بأن يكون المهر الذي هو ملك الزوج يكون للزوجة على أن تكون زوجيّتها أو بضعها للزوج عوض المهر ، بحيث 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يتبادلان بين المهر والبضع أو الزوجيّة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حقيقة عقد النكاح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تعهّد الزوجة بأن تكون زوجة للرجل ، فالمنشأ في عقد النكاح في الإيجاب هي زوجيّة المرأة لزوجها ، وحيث أنّها من الأمور الاعتباريّة قابلة للجعل والإنشاء ، وفي القبول يتعهّد الزوج قبول هذه </w:t>
      </w:r>
    </w:p>
    <w:p>
      <w:pPr>
        <w:pStyle w:val="BookText"/>
        <w:rPr/>
      </w:pPr>
      <w:r>
        <w:rPr>
          <w:rFonts w:ascii="Amiri" w:hAnsi="Amiri" w:eastAsia="Amiri" w:cs="Amiri"/>
          <w:color w:val="111111"/>
          <w:sz w:val="28"/>
          <w:sz w:val="28"/>
          <w:szCs w:val="28"/>
          <w:rtl w:val="true"/>
          <w:lang w:bidi="ar-SA"/>
        </w:rPr>
        <w:t>الزوجيّة المنشأة من قبل الزوجة أو وكيلها أو وليّها ، والالتزام بلوازمها وأحكامها ، وليس معاوضة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قبيل المعاوضات كان لازمه سقوط مهر المسمّى بعد فساد النكاح بالرضاع المحرّم ، حتّى وإن كانت التي فسد نكاحها هي الكبيرة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القول به فيما لا يكون الفساد من قبلها ، بل بثبوت المهر في النكاح حكم شرعي ، فإن عيّنوا في العقد فهو ، وإلاّ فالشارع حكم بمهر المثل ، فليس مقتضى انفساخ العقد وبطلانه رجوع المهر إلى الزوج بعد ذهاب الزوجيّة ، وقياس فساد النكاح بباب فسخ المعاوضات وانفساخها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عن صاحب الجواهر قدس سره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المهر صار ملكا للزوجة بنفس العقد ، غاية الأمر ملكا متزلزلا لا مستقرّا ، واستقراره بأحد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الدخول ، وإمّا ارتداد الزوج ، أو موته أو موت الزوجة ، وهذا حكم الشارع في المهر ، وليس فساد النكاح وسقوط الزوجيّة من أسباب سقوط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بقائه بعد فساد العقد وبطلان النكاح يستصحب ، إلاّ أن يأتي دليل حاكم على هذا الاستصحاب ، وليس في المقام شي‌ء من هذا القبيل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 هنا فرع آخر ، بل فروع ذكرها صاحب الجواهر قدس سره وهو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المرتضعة لو ارتضعت من ثدي المرضعة من قبل نفسها بدون مداخلة المرضعة بل بدون التفاتها وشعورها بذلك ، كما أنّها لو كانت نائمة ، أو مثل النوم ممّا يوجب عدم الالتفات كالإغماء مثلا وسعت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وامتصّت ثديها ، فهل يكون لها مهر ، أم لا؟ بل يسقط حتّى على القول بعدم سقوط المهر لو لم يكن الارتضاع من قبل نفسه ، بل أرضعتها الكبيرة ، وذلك من جهة أنّها هي التي أفسدت النكاح من دون مدخليّة الكبيرة في ارتضاعها ، فهي التي فوتت منافع الزوجيّة على زوجها ، فلا تستحقّ المهر </w:t>
      </w:r>
    </w:p>
    <w:p>
      <w:pPr>
        <w:pStyle w:val="BookText"/>
        <w:rPr/>
      </w:pPr>
      <w:r>
        <w:rPr>
          <w:rFonts w:ascii="Amiri" w:hAnsi="Amiri" w:eastAsia="Amiri" w:cs="Amiri"/>
          <w:color w:val="111111"/>
          <w:sz w:val="28"/>
          <w:sz w:val="28"/>
          <w:szCs w:val="28"/>
          <w:rtl w:val="true"/>
          <w:lang w:bidi="ar-SA"/>
        </w:rPr>
        <w:t xml:space="preserve">الذي هو في الحقيقة مقابل البضع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أنت خبير بأنّه بناء على ما ذكرنا وتقدّم ، ليست الزوجيّة ولا البضع مالا كي يكون إتلافهما موجبا للضمان ، ولو كان من غير قصد وشعور ، ولا يقابلانه كي يكون إتلافهما موجبا لرجوع مقابلهما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يتمسّك في بعض الموارد بقاعدة لا ضرر ، بأن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إذا أرضعت زوجته الكبيرة زوجته الصغيرة بقصد بطلان زوجية نفسها وزوجيّة الصغيرة ، فحكم الشارع ببقاء المهر ، وعدم سقوطه ضرر على الزوج ، لأنّ بقاء المهر إن كان مع بقاء الزوجيّة ، ففي نظر العرف ليس ضررا ، والعقلاء يقدمون على ذلك وإن لم يكن كذلك ، بمعنى أنّ المهر كان باقيا في عهدته ، أو كان متعيّنا في عين خارجي وكانت خارجة عن تحت ملكيّة الزوج مع عدم الزوجيّة وبطلانها ، فهي خسارة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الخسارة نشأت من إقدام الزوج ، والحديث </w:t>
      </w:r>
      <w:r>
        <w:rPr>
          <w:rStyle w:val="FootnoteAnchor"/>
          <w:rtl w:val="true"/>
        </w:rPr>
        <w:footnoteReference w:id="494"/>
      </w:r>
      <w:r>
        <w:rPr>
          <w:rFonts w:ascii="Amiri" w:hAnsi="Amiri" w:eastAsia="Amiri" w:cs="Amiri"/>
          <w:color w:val="111111"/>
          <w:sz w:val="28"/>
          <w:sz w:val="28"/>
          <w:szCs w:val="28"/>
          <w:rtl w:val="true"/>
          <w:lang w:bidi="ar-SA"/>
        </w:rPr>
        <w:t xml:space="preserve">لا يشمل هذا الضرر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الحكم الذي نشأ من قبله الضرر ، وها هنا لم ينشأ الضرر من قبل حكم الشارع ببقاء المهر ، بل نشأ من إقدامه على جعل هذا المقدار من ماله مهرا وإخراجه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على إخراج هذا المقدار من ماله وصيرورته ملكا للزوجة مبنيّ على دوام الزوجيّة وعدم بطلانها ما دام حيّين ، ولم يقدم على إعطاء المهر لزوجيّة يوم بلا أيّ انتفاع في البين ، فحكمه ببقاء المهر في ظرف سقوط الزوجيّة ضرريّ ، ولا شكّ في أنّ هذا الضرر نشأ من قبل حكم الشارع ، لا من اقدام الزوج</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التمسّك بقاعدة لا ضرر لسقوط المهر لا يخلو من نظر وتأمّل ، </w:t>
      </w:r>
    </w:p>
    <w:p>
      <w:pPr>
        <w:pStyle w:val="BookText"/>
        <w:rPr/>
      </w:pPr>
      <w:r>
        <w:rPr>
          <w:rFonts w:ascii="Amiri" w:hAnsi="Amiri" w:eastAsia="Amiri" w:cs="Amiri"/>
          <w:color w:val="111111"/>
          <w:sz w:val="28"/>
          <w:sz w:val="28"/>
          <w:szCs w:val="28"/>
          <w:rtl w:val="true"/>
          <w:lang w:bidi="ar-SA"/>
        </w:rPr>
        <w:t xml:space="preserve">بل لا يخلو من غرابة ، وذلك من جهة أنّ الشارع لم يحكم ببقاء المهر في ظرف سقوط الزوجيّة وذهابها كي يكون هذا الحكم المجعول ضرريّا ، بل الشارع حكم بأنّ الزوجيّة بدون المهر لا يمكن ، وأيضا حكم أنّ مهر المسمّى به في العقد يدخل في ملك الزوجة ، وأيضا حكم ببقاء الملكيّة لمالكه ولا يخرج إلاّ بناقل شرعي ، فإذا جاء دليل وناقل شرعي على خروج المهر تماما ، أو بعضه عن ملك الزوجة ، فهو كما أنّه في الطلاق قبل الدخول جاء الدليل على خروج نصف المهر عن ملكها ورجوعه إلى الزوج ، وأيضا في ارتداد الزوجة برجوع الجميع ، فهذه الأحكام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بلزوم المهر ، وحكمه بدخول المهر في ملك الزوجة بمحض العقد ، وحكمه ببقاء كلّ مال في ملك مالكه وعدم خروجه عنه إلاّ بناقل شرعي ، أو جاء دليل على سقوط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واحد منها ضرريّا كي يرتفع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الخسارة وقعت بفعلها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أرضعت ، أي إذا كان حصول الرضاع بفعل الكبيرة بغير أمر الزوج بل بدون رضاه ، أو بفعل الصغيرة كما إذا ارتضعت من قبل نفسها ، أي إذا كان حصول الرضاع بفعل الرضيعة من دون مدخليّة الكبيرة ، كما إذا كانت الكبيرة نائمة وهي سعت إليها وارتضعت ، فيجب أن تغرم للزوج الكبيرة أو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سببت حصول الرضاع المحرّم ، سواء أكانت الغرامة مساوية للمهر أو أكثر أو انقص هي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سقوط المهر وعدمه الذي هو الآن محلّ الكلام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إضرار يتدارك بالمال ، بل لا بدّ أن ينطبق عليه أحد أسباب الضمان من الإتلاف ، أو يد العادية ، أو غير ذلك 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إرضاع الكبيرة أو ارتضاع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مدخليّة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تلف مال كي يكون ضامنا لذلك التالف ، لأنّ الزوجيّة ليست من الأموال ، والبضع وإن كان في بعض الموارد يقابل بالمال ، ولكن مع ذلك ليس من الأموال كي يكون تفويته موجبا للضمان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ظهر لك حال الفروع الأخر التي ذكروها في هذا المقام ، مثل ما ذكروا فيما إذا كانت مختارة في الإرضاع بدون ملزم شرعي ، كما إذا خافت على حياة الرضيعة إن لم ترضعها ، وكذا بدون إجبار أو إكراه وأمثال ذلك ممّا يخرجها عن الاختيار والاستقلال ، هل للزوج أن يرجع إليها فيما يغرمه من المهر للرضيعة أم لا ، بناء على عدم السقوط؟ ووجّهوا الرجوع إليها بأنّها سببت فوات زوجيّة الرضيعة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عدم كون الزوجيّة أو البضع مالا كي يكون إتلافهما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ذكروا من أنّ الرضيعة لو سعت إليها وامتصت ثديها وهي مكّنتها ولم تمنعها ، هل هذا التمكين بمنزلة فعلها وإرضاعها استقلالا ، فعليها غرامة جميع ما يؤدّي الزوج للصغيرة أو ينصف بينهما؟</w:t>
      </w:r>
    </w:p>
    <w:p>
      <w:pPr>
        <w:pStyle w:val="BookText"/>
        <w:rPr/>
      </w:pPr>
      <w:r>
        <w:rPr>
          <w:rFonts w:ascii="Amiri" w:hAnsi="Amiri" w:eastAsia="Amiri" w:cs="Amiri"/>
          <w:color w:val="111111"/>
          <w:sz w:val="28"/>
          <w:sz w:val="28"/>
          <w:szCs w:val="28"/>
          <w:rtl w:val="true"/>
          <w:lang w:bidi="ar-SA"/>
        </w:rPr>
        <w:t>بمعنى أنّ نصف المهر يسقط بواسطة سعي الصغيرة بنفسها إليها وارتضاعها من لبنها ، فسقوط الزوجيّة بفعلها ، فلا تستحقّ نصف المهر لشركتها مع الكبيرة في إسقاط الزوجيّة ، والنصف الآخر تغرمه الكبيرة لشركتها في إسقاط الزوجيّة بتمكينها الرضيعة من الامتصاص والارتضاع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جميع هذه الوجوه والكلمات ظنون استحسانيّة غير معتبرة لا ينطبق على قواعد باب الضمان ، وعرفت أنّه لا وجه لسقوط المهر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المرتضعة الصغيرة ، وأمّا المرضعة الكبيرة التي سقطت زوجيّتها وبطل نكاحها بواسطة الرضاع المحرّم ، فإن كان الزوج دخل بها فلا مورد للشكّ في ثبوت مهرها وعدم سقوطه ، وأمّا إن لم تكن مدخولة وفسد نكاحها بالرضاع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إرضاعها باختيارها بدون ملزم شرعي ولا إجبار ولا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يقال بسقوط مهرها ، لأنّها سببت سقوط زوجيّتها من دون إجبار ولا إكراه </w:t>
      </w:r>
      <w:bookmarkStart w:id="305" w:name="pg15937_235298"/>
    </w:p>
    <w:p>
      <w:pPr>
        <w:pStyle w:val="BookText"/>
        <w:rPr/>
      </w:pPr>
      <w:bookmarkEnd w:id="305"/>
      <w:r>
        <w:rPr>
          <w:rFonts w:ascii="Amiri" w:hAnsi="Amiri" w:eastAsia="Amiri" w:cs="Amiri"/>
          <w:color w:val="111111"/>
          <w:sz w:val="28"/>
          <w:sz w:val="28"/>
          <w:szCs w:val="28"/>
          <w:rtl w:val="true"/>
          <w:lang w:bidi="ar-SA"/>
        </w:rPr>
        <w:t xml:space="preserve">ولا ملزم شرعي في البين ، فيكون حالها حال المرتدة قبل الدخول ، وقد أفتى بذلك سيّدنا الأستاذ قدس سره في كتابه وسيلة النجاة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أنت خبير بأنّ إجراء حكم المرتدة قبل الدخول عليها قياس باطل اللّهمّ إلاّ أن يكون إجماع على السقوط في هذه الصورة ، وإلاّ قد عرفت أنّ مقتضي القواعد الأوليّة عدم السقوط مطلقا ، وعدم ضمان المرضعة مطلقا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6073490_2142443653"/>
      <w:bookmarkStart w:id="307" w:name="_Toc100"/>
      <w:bookmarkEnd w:id="306"/>
      <w:r>
        <w:rPr>
          <w:rtl w:val="true"/>
        </w:rPr>
        <w:t>الجهة السابعة</w:t>
      </w:r>
      <w:bookmarkEnd w:id="307"/>
    </w:p>
    <w:p>
      <w:pPr>
        <w:pStyle w:val="BookText"/>
        <w:rPr/>
      </w:pPr>
      <w:r>
        <w:rPr>
          <w:rFonts w:ascii="Amiri" w:hAnsi="Amiri" w:eastAsia="Amiri" w:cs="Amiri"/>
          <w:color w:val="111111"/>
          <w:sz w:val="28"/>
          <w:sz w:val="28"/>
          <w:szCs w:val="28"/>
          <w:rtl w:val="true"/>
          <w:lang w:bidi="ar-SA"/>
        </w:rPr>
        <w:t xml:space="preserve">في أنّه كما أنّ العناوين السبعة النسبيّة المعروفة المذكورة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 والبنت والأخت والعمّة والخالة وبنت الأخ وبنت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حصلت بالرضاع ، تكون موجبة للحرمة كذلك أربع عناوين أخر ، أي عنوان حليلة الابن ، وعنوان أمّ الزوجة ، وعنوان زوجة أبيه ، وعنوان الربيبة بشرط الدخول بأمّها ، لأنّ هذه العناوين الأربعة أيضا ممّا حرّم اللّه نكاحهنّ ، ومذكورات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المحرّمة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تارة يحصل بالنسب وحدها ، وأخرى بالرضاع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الأمّ والبنت والأخت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منها لا يحصل بالرضاع وحده ، بل لا بدّ من انضمام نسب أو سبب إليه ، كالعناوين الأربعة المتقدّمة ، فإنّ هذه العناوين الأربعة لا تحصل بالرضاع وحده ، ولا بد في تحقّقها من وجود سبب في البين ، كما أنّها لا تحصل بالنسب وحده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الذي جعل الشارع موضوعا لحرمة النكاح ، كما أنّه لو حصل بالنسب وحده ، أو به وبالنسب مركّبا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كالعناوين الأربعة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محرّما ، كذلك لو حصل بالرضاع وحده ، أو به وبالسبب مركّبا منهما كالعناوين الأربعة المذكورة ، يكون محرّما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يلزم أن يكون حصول العنوان بالرضاع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فليعلم أنّه في الموضوعات المركّبة من السبب والنسب إنّما يقوم الرضاع مقام ما هو دخيل في الموضوع باعتبار النسب ، لا باعتبار السبب ، مثلا في الموضوعات الأربعة المذكورة ، كحليلة الابن مثلا ، حيث أنّه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نسب وهو أنّ الزوج ابن له ، والآخر أنّ هذه المرأة حليلة وزوجته ، فالابن الرضاعي يقوم مقام ابن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هذه المرأة حليلته لا بدّ وأن يتحقّق بسببه ، ولا يمكن أن يحصل بالرضاع ، كما أنّه لا يحصل بالنسب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تحرم بواسطة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الحاصل من النسب ، سواء أكان جزء للموضوع ، أو كان تمام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مقامه ذلك العنوان إذا حصل من الرضاع ، فإن كان ذلك العنوان الحاصل من النسب تمام الموضوع ، يكون الحاصل عن الرضاع أيضا تمام الموضوع ، وإن كان جزءا فيكون هو أيضا كذلك ، ويحتاج في ترتيب حكمه إلى وجود جزئه الآخر بسببه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الموضوع المركّب تارة يكون الجزء ان حاصلين من النسب ، كبنت الأخ والأخت ، فيقوم الرضاع مقام الاثنين ، فالأخ والأخت الرضاعيين إذا كان لكلّ واحد منهما بنت رضاعي ، تكون كالبنت النسبي للأخ والأخت النسبيين ، غاية الأمر برضاعين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لحصول الأخية أو الأختيّة ، ورضاع آخر لحصول البنتيّة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النسب والآخر من الرضاع ، كالبنت الرضاعي للأخ النسبي أو لأخت النسبي ، أو بالعكس كالبنت النسبي للأخ أو الأخت الرضاعيين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الحاصلة بين شخصين أو الأشخاص قد يحصل من النسب ، أي الولادة من أب وأمّ أو من أحدهما ، وقد يحصل من الرضاع ، أي من </w:t>
      </w:r>
    </w:p>
    <w:p>
      <w:pPr>
        <w:pStyle w:val="BookText"/>
        <w:rPr/>
      </w:pPr>
      <w:r>
        <w:rPr>
          <w:rFonts w:ascii="Amiri" w:hAnsi="Amiri" w:eastAsia="Amiri" w:cs="Amiri"/>
          <w:color w:val="111111"/>
          <w:sz w:val="28"/>
          <w:sz w:val="28"/>
          <w:szCs w:val="28"/>
          <w:rtl w:val="true"/>
          <w:lang w:bidi="ar-SA"/>
        </w:rPr>
        <w:t>الارتضاع من ثدي امرأة لبنها يكون من فحل بالشرائط المتقدّمة ، بمعنى أنّه تحصل إضافة بين المرتضع والمرضعة ، وبينه وبين صاحب اللبن ، وحيث أنّ الإضافة من الطرفين وليست متشابهة الأطراف ، كإضافة الأخ إلى الأخ أو الأخت إلى الأخت ، فإنّ الإضافة في الأوّل من الطرفين يعبّر عنها بالأخوّة ، وفي الثاني من الطرفين يعبّر عنها بالأختيّة ، فكلّ واحدة منهما أخت بالنسبة إلى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إضافة بين المرتضع وبين أب المرضعة ، وبينه وبين أمّها ، وبينه وبين أخ المرضعة ، وبينه وبين أخت المرضعة ، وهكذا سائر أقارب المرضعة النسبيين لها أو الرضاعيين ، فالإضافة التي تحصل بين المرضعة وبينه تسمّى من طرفه ابنا إن كان المرتضع ذكرا ، أو بنتا إن كانت أنثى ، ومن طرف المرضعة تسمّى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الإضافة تسمّى متخالفة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التي تحصل بينه وبين صاحب اللبن أيضا متخالفة الأطراف ، ومن طرفه تسمّى ابنا ، ومن طرف صاحب اللبن تسمّى أبا ، والإضافة التي تحصل بينه وبين أخوة صاحب اللبن من طرفهم تسمّى عمّة أو عمّا ، ومن طرف المرتضع تسمّى بابن الأخ أو ابنته ، كما أنّ الإضافة التي تحصل بينه وبين أب صاحب اللبن أو أمّه من طرفهما تسمّى بالجدّ والجدّة ، ومن طرفه تسمّى بالحفيد أو الحفيدة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التي تحصل بينه وبين أب المرضعة أو أمّها من طرفهما أيضا تسمّى بالجدّ أو الجدّة ، ومن طرفه بالسبط أو الحفيدة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سائر الإضافات الحاصلة من النسب تحصل من الرضاع أيضا مثلها ، ويكون الاسم مثل ذلك الاسم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أنّ العناوين الحاصلة من النسب ينسب إلى النسب ، والحاصلة من الرضاع ينسب إلى الرضاع ، ففي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والأمّ والابن والبنت والأخ والأخت والعمّ والعمّة والخال والخالة والجدّ والجدّة النسبيون ، وفي الثاني يقال أيضا </w:t>
      </w:r>
    </w:p>
    <w:p>
      <w:pPr>
        <w:pStyle w:val="BookText"/>
        <w:rPr/>
      </w:pPr>
      <w:r>
        <w:rPr>
          <w:rFonts w:ascii="Amiri" w:hAnsi="Amiri" w:eastAsia="Amiri" w:cs="Amiri"/>
          <w:color w:val="111111"/>
          <w:sz w:val="28"/>
          <w:sz w:val="28"/>
          <w:szCs w:val="28"/>
          <w:rtl w:val="true"/>
          <w:lang w:bidi="ar-SA"/>
        </w:rPr>
        <w:t>بنفس تلك العناوين والأسماء ، ولكن بإضافة قيّد الرضاعيّون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إضافة تحصل بين شخصين أو أشخاص بواسطة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من أب وأمّ ، أو الولادة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من الرضاع أيضا ، أي من الامتصاص من ثدي امرأة ذات لبن بالشرائط المتقدّمة ، فإذا كان ذلك العنوان الحاصل من النسب موضوعا للحرمة ، فمثل ذلك العنوان إذا حصل من الرضاع أيضا يكون موضوعا لحرمة النكاح ، وإذا كان ذلك العنوان النسبي الذي هو موضوع لحرمة النكاح مركّبا من جزئين ، كلاهما حاصلان من النسب ، فالرضاع يقوم مقام كلّ واحد منهما ، غاية الأمر برضاعين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 الجزئين يحصل من النسب والآخر من السبب ، فالرضاع يقوم مقام الجزء الذي يحصل من النسب ، وأمّا الجزء الآخر الذي يحصل من السبب ، فلا بدّ من حصوله بسببه ، كي يتمّ الموضوع ، وذلك من جهة أن التنزيل في باب الرضاع باعتبار النسب ، كما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العناوين التي لم تجعل موضوعا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النسب لا تنفكّ عن أحد العناوين المحرّمة ، وتستلزمها إذا حصلت من الرضاع ، كعنوان أخت البنت مثلا ، حيث أنّه في النسب لا تنفكّ عن كونها إمّا بنتا وإمّا ربيبة مدخولة بأمّها ، وكلاهما من العناوين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توجب التحريم من جهة حصول هذا العنوان ، إلاّ أن يكون هناك دليل آخر على التحريم ، كما أنّه في المثل المذكور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ينكح أبو المرتضع في أولاد صاحب اللبن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أيضا توجب التحريم ، وهذا هو المعروف عندهم بعموم المنزلة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ولنذكر فروعا يختلف الفتوى عند من يقول بعموم المنزلة وعند من لا يقول وينكر عموم المنزلة ، وإن تقدّم الكلام فيها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المثال ، أعني زوجتك لو أرضعت بلبنك أختها ، فتصير تلك الأخت بنتك الرضاعيّة ، فتصير زوجتك أخت بنتك الرضاعيّة ، وأخت البنت في النسب تستلزم أحد العنوانين المحرّمين ، أي إمّا بنته أو ربيبته المدخولة بأمّها ، وكلاهما من العناوين المحرّمة ، فمن يقول بعموم المنزلة يقول بالتحريم ، ومن لا يقول بعموم المنزلة لا يقول بالتحريم ، وقد بيّنّا فيما تقدّم بطلان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زوجتك بلبنك ابن أخيها أو بنت أخيها ، فذلك الابن أو البنت يصير ابنك أو بنتك ، فتصير زوجتك عمّة لولدك الرضاعي ، وعمّة الولد في النسب ملازمة مع العنوان المحرّم ، أي أخت الإنسان ، فلو قلنا بعموم المنزلة تصير زوجته حراما عليه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زوجتك بلبنك عمّها أو عمّتها أو خالها أو خالتها ، فتصير أمّ هؤلاء ، وعنوان أمّ عمّ الزوجة أو أمّ عمّتها في النسب ملازم مع كونها جدّة للزوجة من طرف الأب ، وهو عنوان محرّم ، وكذلك أمّ خال الزوجة وخالتها في النسب ملازم مع كونها جدّة الزوجة من طرف الأمّ ، وهو عنوان محرّم ، فإذا قلنا بعموم المنزلة تصير تلك الزوجة حراما على زوجها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زوجتك بلبنك أحد أولاد عمّها ، أو أحد أولاد خالها ، فتصير أبا لهم ، أي أبا لابن عمّها وأبا لابن خالها ، وفي النسب عنوان أب ابن عمّ الزوجة ملازم مع كونه عمّا لها ، وعنوان أب ابن خالها ملازم مع كونه خالا لها ، فتصير زوجها عمّا أو خالا لها ، وبناء على صحّة عموم المنزلة فإذا قلنا بصحّة عموم المنزلة تكون تلك الزوجة حراما على زوجها ، وإلاّ فلا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زوجتك أخاك أو أختك لأبويك ، فتصير أمّا لهما ، أي أمّ </w:t>
      </w:r>
    </w:p>
    <w:p>
      <w:pPr>
        <w:pStyle w:val="BookText"/>
        <w:rPr/>
      </w:pPr>
      <w:r>
        <w:rPr>
          <w:rFonts w:ascii="Amiri" w:hAnsi="Amiri" w:eastAsia="Amiri" w:cs="Amiri"/>
          <w:color w:val="111111"/>
          <w:sz w:val="28"/>
          <w:sz w:val="28"/>
          <w:szCs w:val="28"/>
          <w:rtl w:val="true"/>
          <w:lang w:bidi="ar-SA"/>
        </w:rPr>
        <w:t xml:space="preserve">أخيك أو أمّ أختك لأبوين ، ولا شكّ في أنّ هذين العنوانين في النسب ملازمان مع كونها أمّا له ، فلو حصلا من الرضاع وقلنا بعموم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زوجته في المفروض حراما ، لصيرورتها بمنزلة أمّ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نقل به فلا تحرم ، لأنّ عنوان أمّ الأخ الأبويني أو أمّ الأخت الأبويني لم يجعل في النسب موضوعا لحرمة النكاح ، وإن كان كلّ واحد منهما ملازم مع العنوان المحرّم ، أي عنوان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زوجتك ابن ابنتك ، أو ابنة ابنتك ، فتصير أمّا لكلّ واحد منهما ، ولا شكّ أنّه في النسب هذان العنوانان ، أي عنوان أمّ ابن البنت ، أو عنوان أمّ بنت البنت ملازمان لكونها بنتا له ، ولكن نفس هذين العنوانين لم يجعلا موضوعا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بعموم المنزلة تصير زوجتك حراما عليك ، لأنّها تصير بمنزلة ابنتك النسبي ، وإن لم نقل فلا تحرم ، لأنّ هذين العنوانين الحاصلين من الرضاع المفروض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أمّ ابن البنت ، أو عنوان أمّ بنت البنت ليسا من العناوين المحرّمة ، وإن كانا ملازمين في النسب للعنوان المحرّم ، أي البنتيّة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زوجتك ابن أختك أو بنتها ، فتصير أمّ ابن أختك أو أمّ ابنة أختك ، ومعلوم أنّه في النسب هذان العنوانان ملازمان للأختيّة التي هي من العناوين المحرّمة ، وإن لم يكونا بنفسهما من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بعموم المنزلة تصير زوجتك حراما عليك ، لأنّها تصير بمنزلة أختك للنسب ، وإن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 لأنّ العنوانين الحاصلين من الرضاع ليسا من العناوين المحرّمة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زوجتك عمّك أو عمّتك أو خالك أو خالتك ، فتصير أمّا لهم من الرضاعة ، ولا شكّ في أنّ عنوان أمّ العمّ وعنوان أمّ العمّة في النسب ملازمان لكونها جدّة للإنسان من طرف أبيه ، إن كان العمّ والعمّة مع أبيه من أمّ واحدة ، وكذا </w:t>
      </w:r>
      <w:bookmarkStart w:id="308" w:name="pg15937_235304"/>
    </w:p>
    <w:p>
      <w:pPr>
        <w:pStyle w:val="BookText"/>
        <w:rPr/>
      </w:pPr>
      <w:bookmarkEnd w:id="308"/>
      <w:r>
        <w:rPr>
          <w:rFonts w:ascii="Amiri" w:hAnsi="Amiri" w:eastAsia="Amiri" w:cs="Amiri"/>
          <w:color w:val="111111"/>
          <w:sz w:val="28"/>
          <w:sz w:val="28"/>
          <w:szCs w:val="28"/>
          <w:rtl w:val="true"/>
          <w:lang w:bidi="ar-SA"/>
        </w:rPr>
        <w:t>عنوان أمّ الخال وأمّ الخالة في النسب ملازمان لكونها جدّة من طرف أمّك ، إن كان الخال والخالة مع أمّك من أمّ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بعموم المنزلة فتصير زوجتك حراما عليك ، من جهة أنّها تصير بمنزلة جدّتك من طرف أبيك ، أو جدّتك من طرف أمّك ، وهما من العناوين المحرّمة ، أي يكونان من مصاديق عنوان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نقل بعموم المنزلة فلا تحرم ، لأنّ عنوان أمّ العمّ والعمّة والخال والخالة ليس من العناوين المحرّمة ، وإن كانت ملازمة لعنوان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جميع الأمثلة المذكورة الثمانية من قسم لحوق الفساد بواسطة الرضاع المحرّم للعقد الصحيح ، كما أنّه لو فرضنا أنّ المرضعة ليس امرأة للشخص المفروض ، بل أجنبيّة عنه ، ويجوز نكاحها ، فبعد الرضاعات المذكورة تصير محرّمة ، فيمنع الرضاع عن وقوع النكاح الصحيح</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6073492_2142443653"/>
      <w:bookmarkStart w:id="310" w:name="_Toc101"/>
      <w:bookmarkEnd w:id="309"/>
      <w:r>
        <w:rPr>
          <w:rtl w:val="true"/>
        </w:rPr>
        <w:t xml:space="preserve">الجهة الثامنة </w:t>
      </w:r>
      <w:r>
        <w:rPr>
          <w:rtl w:val="true"/>
        </w:rPr>
        <w:t xml:space="preserve">: </w:t>
      </w:r>
      <w:r>
        <w:rPr>
          <w:rtl w:val="true"/>
        </w:rPr>
        <w:t>في طريق إثبات الرضاع</w:t>
      </w:r>
      <w:bookmarkEnd w:id="310"/>
    </w:p>
    <w:p>
      <w:pPr>
        <w:pStyle w:val="Heading4"/>
        <w:numPr>
          <w:ilvl w:val="3"/>
          <w:numId w:val="1"/>
        </w:numPr>
        <w:rPr/>
      </w:pPr>
      <w:bookmarkStart w:id="311" w:name="__RefHeading___Toc16073494_2142443653"/>
      <w:bookmarkStart w:id="312" w:name="_Toc102"/>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فتارة يكون دليل الإثبات هو الإقرار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أختي أو بنتي من الرضاعة ، وهكذا في سائر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هي البيّنة ، أي شهادة عدلين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شكّ في لزوم الأخذ بما أقرّ إن كان على ضرره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نافذ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وأماريّة الإقرار لإثبات ما أقرّ به إن كان على ضرره ربما كان أقوى من البيّنة على ثبوت ما أقرّ به ، لأنّ العاقل لا يقدم على الإضرار بنفسه ، فلا بدّ وأن يكون الإقرار على نفسه للفرار عن المفاسد المترتّبة على مخالفة الواقع ، فإذا لم يعلم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بأنّ إقراره لدواعي أخر غير بيان الواقع والإخبار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يحمل على أنّه بصدد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حجّية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طريق إلى إثبات ما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مفروغ عنه فيما إذا كان على ضرره ، وعليها بناء العقلاء في مقام القضاء ، حتّى إنّهم يرون الإقرار من نفس الجناة أقوى دليل على صدور الجناية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بكون هذه المرأة المعلومة إحدى محارمي من أمّ أو أخت أو بنت أو غيرها تارة يلاحظ بالنسبة إلى عمل نفس المقرّ مع تلك المرأة ، فلا أثر لإقراره أصلا ، بل العمل تابع لما هو الواقع ، فإن أحرز بمحرز وجداني أو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عنده حجّة على ثبوت ما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طبقها ، وإلاّ يكون من قبيل الشكّ في الموضوع ، فيجري أصالة الحلّ ، إلاّ في مواضع المستثناة التي حكم الشرع فيها بالاحتياط ، كما هو المعروف في باب الفروج والدماء ، بل قد يقال في الأموال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يعلم بخلاف ما أقرّ به ، وإلاّ فواضح لزوم العمل على طبق علمه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أثر لإقراره بالنسبة إلى عمل نفسه ، فإذا أقرّ بأنّ هذه المرأة التي تحته وزوجته إحدى محارمه أمّا رضاعيّا مثلا ، وهو يعلم بأنّه ليس كذلك ، أو قام عنده حجّة على أنّه ليس كذلك مع كونه شاكّا ، فيجب ترتيب آثار الزوجيّة من لزوم إعطاء مهرها ، ويجب عليه نفقتها وسائر الآثار المذكورة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أقرّ عند الحاكم وحكم الحاكم بالانفصال ، فيدخل في المسألة المعروفة ، وهي أنّه هل يجب ترتيب الأثر على حكم الحاكم حتّى مع علم المحكوم عليه بالخلاف ، أو قيام الحجّة عنده على الخلاف ، أمّ لا؟</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هذا الإقرار بالنسبة إلى عمل المرأة التي تحته ، فإن صدّقته في هذا الإقرار ، فيرجع إلى إقرارها بثبوت ما أقرّ به هذا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هذا الإقرار حال إقرار الزوج في جميع ما ذكرنا ، ولا يجوز لها أن تتزوّج بغير هذا الزوج إن كانت تعلم بكذب إقرار الزوج وتصديقها له ، ومع الشكّ وعدم قيام حجّة على الوجود ولا على العدم ترجع إلى الأصول العمليّة ، وعلى أيّ حال لا أثر لإقراره ، ولا لإقرارها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هذا الإقرار بالنسبة إلى عمل غيرهما الذي لا يعلم كذبه فلا شكّ في أنّه لو أقرّ عند الحاكم يؤخذ بإقراره بالنسبة إلى فيما ضرره ، لا فيما نفعه ، ويكون حال الإقرار عند الحاكم بأنّ زوجته إحدى محارمه رضاعا ، حال الاعتراف بأنّه مديون لزيد مثلا بكذا ، ويثبت ما أقرّ به بالنسبة إلى الأحكام والآثار التي للمقرّ به ، إذا كانت تلك الآثار عليها ، وكذلك يثبت بإقراره بالنسبة إلى الآثار التي عليها ، لا لها لغير الحاكم أيضا إذا لم يعلم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عند العقلاء نافذ بالنسبة إلى ما عليه ، لا بالنسبة إلى ماله ، وإلاّ فكل مدّع في مقام الدعوى مقرّ ومعترف بما يدّعيه ، والشارع أمضى ما سلكه العقلاء في إنفاذ الإقرار بما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 هنا كلام في إنكاره للرضاع المحرّم بعد ما أقرّ واعترف به ، وأنّه هل يسمع منه هذا الإنكار ، أم لا بل يعدّ من قبيل الإنكار بعد الإقرار في باب الدعاوي والمخاصمات ، فلا يسمع؟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عدم سماع الإنكار بعد الإقرار هو أنّه يرجع إلى الإقرار والاعتراف بماله ، لا بما عليه ، والعقلاء بناؤهم على سماع الإقرار إذا صدر عن عاقل ، ونفوذه إذا كان الإقرار عليه لا له ، والشارع أمضى ما هو بناء العقلاء عليه ، ففي الحقيقة يرجع الإنكار لما أقرّ به ممّا يكون عليه إلى دعوى عدم ثبوت ما أقرّ به مع وجود الأمارة على ثبوته ، أعني إقراره ، فيصير هذا الإنكار بعد إقراره مثل أنّ يدّعى شيئا تكون البيّنة على خلافه ، ومعلوم مثل هذه الدعوى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كان متعلّق إنكاره نفي ما أقرّ به ، وأمّا لو كان مرجع إنكاره إلى دعوى بطلان مدرك إقراره ، كما إذا ادّعى أنّ مدرك إقراري كان إخبار فلان ، مع اعتقادي أنّه صادق القول ، ثمَّ تبيّن لي أنّه كذّاب ، أو كان إخباره بذلك الغرض كذا ، فهذه دعوى جديدة يسمع منه ، بمعنى أنّه يطالب بالبيّنة بخلاف الصورة الأولى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متعلّق الإنكار نفس ما أقرّ به ، لأنّه لا أثر للبيّنة مع إقراره وثبوته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إثبات الرضاع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الفراغ عن حجّية البيّنة وإثباتها لجميع الموضوعات عند الشكّ فيها ، سواء أكان في مقام المخاصمة وعند الحاكم ، أم لا وإن لم يكن مخاصمة في البين ، بل حجّيتها مطلقة وعند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ذكر جماعة من الأصحاب عدم قبول الشهادة على ثبوت الرضاع إلاّ مفصّلة ، بأن يشهد بوقوع الرضاع الذي هو عبارة عن كذا وكذا ، بأن يذكر حقيقته وماهيّته وجميع القيود المعتبرة فيه ، حتّى ولو شهد الشاهدان بوقوع الرضاع المحرّم لا يثبت بها ، فضلا عن أن يكون شهادتهما بالرضاع المطلق من دون قيد المحرّم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وعلّلوا ذلك بأنّ الرضاع المحرّم يختلف عند الفقهاء من حيث اعتبار الشروط قلّة وكثرة ، فربما يكون ارتضاع خاصّ رضاعا محرّما عند فقيه ، من جهة عدم اعتبار ذلك الشرط المفقود عنده ، وهذا الارتضاع بعينه لا يكون محرّما عند فقيه آخر ، لأجل اعتبار ذلك الشرط المفقود عنده ، فمن الممكن أن يكون المشهود به رضاعا عند </w:t>
      </w:r>
    </w:p>
    <w:p>
      <w:pPr>
        <w:pStyle w:val="BookText"/>
        <w:rPr/>
      </w:pPr>
      <w:r>
        <w:rPr>
          <w:rFonts w:ascii="Amiri" w:hAnsi="Amiri" w:eastAsia="Amiri" w:cs="Amiri"/>
          <w:color w:val="111111"/>
          <w:sz w:val="28"/>
          <w:sz w:val="28"/>
          <w:szCs w:val="28"/>
          <w:rtl w:val="true"/>
          <w:lang w:bidi="ar-SA"/>
        </w:rPr>
        <w:t>الشاهدين اجتهادا أو تقليدا ، ولا يكون رضاعا عند الحاكم ، فلو حكم على طبق شهادتهما فقد حكم على خلاف معتقده واجتهاده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وبطلان هذا معلوم ، لأنّ جعل الحاكم لأجل الحكم على طبق ما استنبطه من الأدلّة ، 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إلى رجل منكم روى حديثنا ، ونظر في حلالنا وحرامنا ، وعرف أحكامنا ، فليرضوا به حكما ، فإنّي قد جعلته عليكم 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حكم بحكمنا فالرادّ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 إلى آخره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للحاكم أن يحرز بمحرز وجداني أو تعبّدي أنّ ما يحكم به يكون حكمهم علیهم السلام كي يكون الردّ عليه حراما ، والمفروض فيما نحن فيه أنّه ليس في المقام محرز وجداني ولا تعبّدي على أنّ المشهود به هو الرضاع المحرّم ، ولو صرّح بأنّه رضاع محرّم ، إذ الرضاع المحرّم مختلف عند الفقهاء من حيث الكميّة والكيفيّة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أن يدّعى أنّ لفظ الرضاع المطلق أو الرضاع المحرّم ظاهر في الرضاع الذي جعله الشارع موضوعا للحرمة ، فبعد الفراغ عن حجّية البيّنة وحجّية الظواهر كلام الشاهدين يكون محرزا تعبديا لموضوع الحرمة ، أعني ما جعله الشارع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حجّية الظواهر من جهة بناء العقلاء على إرادة ما هو ظاهر اللفظ منه في مقام التفهيم والتفهّم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إذا كان المعنى الذي هو ظاهر اللفظ معلوما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معنى اللفظ مختلفا عند المتكلّم والمستمع ، ومعلوم أنّ الظاهر من اللفظ حينئذ أنّ المراد هو الذي يكون معنى اللفظ عنده ، أي المتكلّم ، فلو كان ما هو المعنى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فيحمل عليه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ما هو معنى اللفظ عنده معلوما ، كما فيما نحن فيه ، فيصير مجملا </w:t>
      </w:r>
    </w:p>
    <w:p>
      <w:pPr>
        <w:pStyle w:val="BookText"/>
        <w:rPr/>
      </w:pPr>
      <w:r>
        <w:rPr>
          <w:rFonts w:ascii="Amiri" w:hAnsi="Amiri" w:eastAsia="Amiri" w:cs="Amiri"/>
          <w:color w:val="111111"/>
          <w:sz w:val="28"/>
          <w:sz w:val="28"/>
          <w:szCs w:val="28"/>
          <w:rtl w:val="true"/>
          <w:lang w:bidi="ar-SA"/>
        </w:rPr>
        <w:t>ومن قبيل استعمال اللفظ المشترك في بعض معانيه بدون قرينة معيّنة لذلك البعض ، فلا بدّ للشاهدين حينئذ من التفصيل وشرح ما هو مراده من لفظة الرضاع المطلق ، أو الرضاع المحرّم ، كي يفهم من يقوم عنده البيّنة مراد الشاهدين ، وأنّ المشهود به هو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الحاكم من الخارج أنّ معنى الرضاع عند الشاهدين هو المعنى المختار عنده ، فلا يحتاج في حكمه بتحقيق الرضاع إلى الشرح والتفصيل ، وكذلك الأمر في صورة العلم بأنّ معنى الرضاع عند الشاهد اجتهادا أو تقليدا كذلك في غير الحاكم أيضا بالنسبة إلى ترتيب الأثر ، فإن علم بالموافقة أو المخالفة فالأمر واضح ، وإن لم يعلم فيحتاج في ترتيب الأثر مثل الحكم إلى التفصيل ، كي يعلم الموفقة أو المخالفة ، ويرتّب أثر كلّ واحد منهما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تفصيل الشاهد مراده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كلّ ما هو من هذا القبيل ، أي ما كان معنى اللفظ مختلفا عند أهل المحاورة ، خصوصا عند المتكلّم والسامع وعند الشاهدين ومن تقوم عنده البيّنة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فإنّ فيه اختلافا كثيرا بين الفقهاء من حيث الوزن والمساحة ، ولو شهد الشاهدان العادلان على كرّية ماء ، وكان ما هو معنى الكرّ عندهما معلوما عند من تقوم عنده البيّنة ، فلا إشكال ، لأنّه إن كان موافقا مع مختاره اجتهادا أو تقليدا يرتّب أثر الكرّية على ذلك الماء ، ويثبت كرّيته عنده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ما هو المعنى للفظ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فبناء على ما ذكرنا من لزوم التفصيل في الشهادة على الرضاع ، يجب التفصيل ها هنا أيضا ، لكن ظاهر الأصحاب ها هنا قبول الشهادة مطلقا وترتيب آثار الكرّ الواقعي ، مع أنّه لا فارق في البين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الرضاع بشهادة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ذات قولين </w:t>
      </w:r>
    </w:p>
    <w:p>
      <w:pPr>
        <w:pStyle w:val="BookText"/>
        <w:rPr/>
      </w:pPr>
      <w:r>
        <w:rPr>
          <w:rFonts w:ascii="Amiri" w:hAnsi="Amiri" w:eastAsia="Amiri" w:cs="Amiri"/>
          <w:color w:val="111111"/>
          <w:sz w:val="28"/>
          <w:sz w:val="28"/>
          <w:szCs w:val="28"/>
          <w:rtl w:val="true"/>
          <w:lang w:bidi="ar-SA"/>
        </w:rPr>
        <w:t xml:space="preserve">فذهب جماعة منهم الشيخ </w:t>
      </w:r>
      <w:r>
        <w:rPr>
          <w:rStyle w:val="FootnoteAnchor"/>
          <w:rtl w:val="true"/>
        </w:rPr>
        <w:footnoteReference w:id="499"/>
      </w:r>
      <w:r>
        <w:rPr>
          <w:rFonts w:ascii="Amiri" w:hAnsi="Amiri" w:eastAsia="Amiri" w:cs="Amiri"/>
          <w:color w:val="111111"/>
          <w:sz w:val="28"/>
          <w:sz w:val="28"/>
          <w:szCs w:val="28"/>
          <w:rtl w:val="true"/>
          <w:lang w:bidi="ar-SA"/>
        </w:rPr>
        <w:t xml:space="preserve">والعلاّمة قدس سره </w:t>
      </w:r>
      <w:r>
        <w:rPr>
          <w:rStyle w:val="FootnoteAnchor"/>
          <w:rtl w:val="true"/>
        </w:rPr>
        <w:footnoteReference w:id="500"/>
      </w:r>
      <w:r>
        <w:rPr>
          <w:rFonts w:ascii="Amiri" w:hAnsi="Amiri" w:eastAsia="Amiri" w:cs="Amiri"/>
          <w:color w:val="111111"/>
          <w:sz w:val="28"/>
          <w:sz w:val="28"/>
          <w:szCs w:val="28"/>
          <w:rtl w:val="true"/>
          <w:lang w:bidi="ar-SA"/>
        </w:rPr>
        <w:t>في بعض كتبه إلى عدم قبول شهادتهن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أخرى إلى القبول ، منهم الشيخ الأجل المفيد </w:t>
      </w:r>
      <w:r>
        <w:rPr>
          <w:rStyle w:val="FootnoteAnchor"/>
          <w:rtl w:val="true"/>
        </w:rPr>
        <w:footnoteReference w:id="501"/>
      </w:r>
      <w:r>
        <w:rPr>
          <w:rFonts w:ascii="IRNazanin" w:hAnsi="IRNazanin" w:eastAsia="IRNazanin"/>
          <w:color w:val="111111"/>
          <w:sz w:val="28"/>
          <w:sz w:val="28"/>
          <w:szCs w:val="28"/>
          <w:rtl w:val="true"/>
          <w:lang w:bidi="fa-IR"/>
        </w:rPr>
        <w:t xml:space="preserve">والمرتضى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في أنّ مقتضى القواعد الأوّليّة عدم ثبوت الرضاع إلاّ بالعلم الوجداني أو البيّنة ، هو مفاد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الأشياء كلّها على هذا حتّى يتبيّن لك أو تقوم به البيّنة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والظاهر أنّ المراد بالبيّنة معناها المصطلح عند الفقهاء ، وهو شهادة رجلين عادلين ، فقبول قول النساء وشهادتهنّ في باب الرضاع يحتاج إلى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يكون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بكير عن الصادق علیه السلام في امرأة أرضعت غلاما وجارية؟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ذلك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تصدّق إن لم يكن غيرها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فمفهوم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إن لم يكن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تصدّق إن كان غيرها ، وهذا بإطلاقه يشمل فيما إذا كان ذلك الغير امرأة أخرى ، فينتج أنّه لو كانت هناك امرأة أخرى مع المرضعة وشهدوا بوقوع الرضاع يقبل قولهما وتصدّقان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تصدّق إن لم يكن هناك حجّة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إخبارها ، فالمرسلة في مقام نفي حجّية إخبار المرضعة واحتياج إثبات الرضاع إلى حجّة أخرى ، وهي كالبيّنة مثلا ، لا أنّ قولها وحدها ليس بحجّة ، ومع انضمامها إلى </w:t>
      </w:r>
      <w:bookmarkStart w:id="313" w:name="pg15937_235311"/>
    </w:p>
    <w:p>
      <w:pPr>
        <w:pStyle w:val="BookText"/>
        <w:rPr/>
      </w:pPr>
      <w:bookmarkEnd w:id="313"/>
      <w:r>
        <w:rPr>
          <w:rFonts w:ascii="Amiri" w:hAnsi="Amiri" w:eastAsia="Amiri" w:cs="Amiri"/>
          <w:color w:val="111111"/>
          <w:sz w:val="28"/>
          <w:sz w:val="28"/>
          <w:szCs w:val="28"/>
          <w:rtl w:val="true"/>
          <w:lang w:bidi="ar-SA"/>
        </w:rPr>
        <w:t>امرأة أخرى حجّة ، ولا أقلّ من تكافؤ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إثبات هذا الحكم المخالف للأصول والقواعد الأوّلية بمثل هذه المرسلة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لا يعلم في الأغلب إلاّ من قبلهنّ ، فلو لم يقبل شهادتهنّ يقع الناس كثيرا في مخالفة الواقع ، لأنّه إذا لم تصدّقن ولم تقبل شهادتهنّ ، فيكون المرجع عمومات الحلّ ، لجريان الأصل الموضوعي ، لعدم إمكان قيام البيّنة ، أي شهادة رجلين عدلين ، بحيث يشهدان بأنّ هذا الطفل ارتضع من ثدي هذه المرأة بالتفاهم الثدي والامتصاص منه ، من جهة أنّ مثل هذه الشهادة تحتاج إلى أن يكون هناك رجلين عدلين من محارم المرضعة ، ينظران إلى ثدييها ، وأنّ الطفل التقمه وامتصّ منه ، وهذا الأمر تكرّر خمسة عشر مرّة متوالية ، في كلّ مرّة رضعة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بأنّ وقوع مثل هذا في غاية القلّة بل الندرة ، فلا بأس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شهادتهنّ تقبل فيما لم يكن متّهمات ، كما أنّه ربما يستفاد من بعض الأخبار ، حيث أنّه علیه السلام علّل عدم تصديق المرضعة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أمّ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دعائم الإسلام عن جعفر بن محمّد علیه السلام أنّ رجلا سأله عن جارية له ولدت عنده ، فأراد أن يطأها ، فقالت أمّ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أرضعتها؟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 إلى نفسها وتتّهم لا تصدّق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6073496_2142443653"/>
      <w:bookmarkStart w:id="315" w:name="_Toc103"/>
      <w:bookmarkEnd w:id="314"/>
      <w:r>
        <w:rPr>
          <w:rtl w:val="true"/>
        </w:rPr>
        <w:t>ثمَّ إنّ ها هنا أمور نذكرها تتميما للفائدة</w:t>
      </w:r>
      <w:bookmarkEnd w:id="31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الرجل إحدى المحرّمات عليه نسبا ، كالأمّ والبنت </w:t>
      </w:r>
    </w:p>
    <w:p>
      <w:pPr>
        <w:pStyle w:val="BookText"/>
        <w:rPr/>
      </w:pPr>
      <w:r>
        <w:rPr>
          <w:rFonts w:ascii="Amiri" w:hAnsi="Amiri" w:eastAsia="Amiri" w:cs="Amiri"/>
          <w:color w:val="111111"/>
          <w:sz w:val="28"/>
          <w:sz w:val="28"/>
          <w:szCs w:val="28"/>
          <w:rtl w:val="true"/>
          <w:lang w:bidi="ar-SA"/>
        </w:rPr>
        <w:t>والأخت والعمّة والخالة وغيرهنّ ، فينعتقن عليه ، فهل إذا حصلت هذه العناوين من الرضاع وملكهنّ ينعتقن عليه ، أم لا؟</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روايتان أشهرهما العتق ، انتهى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المسألة قولان ، أشهرهما من حيث الرواية والفتوى انعتاقهنّ ، بل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بين المتأخّرين ، وحكى عن بعضهم دعوى الإجماع عليه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اتّحاد حكم المحارم الرضاعيّة مع المحارم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الانعتاق بعد حصول ملكيتهنّ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 وذلك لورود روايات خاصّة في 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أبي بصير وابي العباس وعبيد بن زرارة كلّهم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يملك أمّه من الرضاعة ولا أخته ولا عمّته ولا خالته ، إذا ملكن عتقن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يحرم من النسب فإنّه يحرم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يملك الذكور ما خلا والدا أو ولدا ، ولا يملك من النساء ذات رحم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في الرضاع مثل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يجري في الرضاع مثل ذلك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أخبار أخر أيضا تدلّ على هذا المعنى لا حاجة إلى ذكرها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مضافا إلى إمكان ادّعاء شمول لفظة الأمّ وسائر العناوين الرضاعيّة مثل النسبيّة ، بدون عناية ورعاية علاقة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المتفاهم العرفي من هذه الألفاظ معنى عامّ ، ينطبق على </w:t>
      </w:r>
    </w:p>
    <w:p>
      <w:pPr>
        <w:pStyle w:val="BookText"/>
        <w:rPr/>
      </w:pPr>
      <w:r>
        <w:rPr>
          <w:rFonts w:ascii="Amiri" w:hAnsi="Amiri" w:eastAsia="Amiri" w:cs="Amiri"/>
          <w:color w:val="111111"/>
          <w:sz w:val="28"/>
          <w:sz w:val="28"/>
          <w:szCs w:val="28"/>
          <w:rtl w:val="true"/>
          <w:lang w:bidi="ar-SA"/>
        </w:rPr>
        <w:t xml:space="preserve">الإضافة الحاصلة من الرضاع ومن الولادة ، فإذا كان كذلك فالأخبار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مفادها انعتاق الأمّ أو أحد العناوين الأخر من هذه العناوين من دون التقييد بالنسب أو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تشمل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المعارضة لهذه الأخبار ، كصحيح الحلبي عن الصادق علیه السلام في بيع الأمّ من الرضاع؟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إذا احتاج </w:t>
      </w:r>
      <w:r>
        <w:rPr>
          <w:rFonts w:eastAsia="IRNazanin" w:cs="IRNazanin"/>
          <w:color w:val="111111"/>
          <w:sz w:val="28"/>
          <w:szCs w:val="28"/>
          <w:rtl w:val="true"/>
          <w:lang w:bidi="fa-IR"/>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عليها تلك الأخبار المتقدّمة ، ويتعيّن الأخذ بها دون هذه الأخبار ، لإعراض المشهور عنها بناء على أن يكون القول بالانعتاق هو المشهور بين المتأخّرين ، كما ادّعاه صاحب الجواهر قدس سره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الترجيح بمثل هذه الشهرة مشكل ، لما ذكرنا في الأصول من أنّ المدار في الجارية والكاسريّة هي الشهرة الفتوائيّة بين المتقدّمين ، وكذلك في الإعراض ، لا الشهرة أو الأعراض فيما بين المتأخّرين ، فالمتعيّن أن يقال بترجيح الأخبار التي تدلّ على الانعتاق ، لمخالفتها للعامّة ، وحمل تلك الأخبار المعارضة 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الفرع جهات من البحث ، والمقصود بالذكر ها هنا جهة وحدة حكم الرضاع مع النسب بالنسبة إلى هذا الحكم ، أي انعتاقهنّ لو ملكهنّ الذي بينه وبينهنّ إحدى هذه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من الجهات الأخر ، ففي كتاب البيع في باب بيع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يقع الظهار بالعناوين الحاصلة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مثل تلك العناوين الحاصلة من النسب التي يقع بها الظهار ، كعنوان الأمّ والأخت أو إحدى المحرّمات الأخر ، بناء على عدم اختصاص وقوعه بخصوص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عدم الوقوع ، لأنّ وقوع الظهار بها إمّا لأجل كون هذه العناوين حقيقة في ما إذا حصلت من الرضاع كما إذا حصلت من النسب ، فيكون الحكم المترتّب على </w:t>
      </w:r>
    </w:p>
    <w:p>
      <w:pPr>
        <w:pStyle w:val="BookText"/>
        <w:rPr/>
      </w:pPr>
      <w:r>
        <w:rPr>
          <w:rFonts w:ascii="Amiri" w:hAnsi="Amiri" w:eastAsia="Amiri" w:cs="Amiri"/>
          <w:color w:val="111111"/>
          <w:sz w:val="28"/>
          <w:sz w:val="28"/>
          <w:szCs w:val="28"/>
          <w:rtl w:val="true"/>
          <w:lang w:bidi="ar-SA"/>
        </w:rPr>
        <w:t xml:space="preserve">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الوطي قبل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عليها إذا حصلت من 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لا يساعد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لأجل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 التنزيل بلحاظ حرمة النكاح من ناحية حصول هذه العناوين ، لا كلّ أثر مترتّب على هذه العناوين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من جهة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ذي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ذي محرم عنوان عام يشمل المحارم الرضاعيّة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ذي مرحم بحسب المتفاهم العرفي ظاهر في المحارم النسبيّة ، وفي صحيحة زرارة سأل أبا جعفر علیه السلام من الظهار؟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كلّ ذي محرم أمّ أو أخت أو عمّة أو 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1"/>
      </w:r>
      <w:r>
        <w:rPr>
          <w:rFonts w:ascii="Amiri" w:hAnsi="Amiri" w:eastAsia="Amiri" w:cs="Amiri"/>
          <w:color w:val="111111"/>
          <w:sz w:val="28"/>
          <w:sz w:val="28"/>
          <w:szCs w:val="28"/>
          <w:rtl w:val="true"/>
          <w:lang w:bidi="ar-SA"/>
        </w:rPr>
        <w:t>وظاهر التفسير هي المحارم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كثيرا من الأحكام التي يترتّب على هذه العناوين إذا كانت حاصلة من النسب لا تترتّب عليها إن كانت حاصلة من الرضاع ، ومن جملتها التوارث ، فلا يرث الابن البنت الرضاعيين من أبيهما أو أمّهما الرضاعيين وهكذا الأمر في سائر العناوين الحاصلة من الرضاع ومن جملتها عدم وجوب نفقة الأقارب عليهم ، مثلا لا يجب نفقة الابن أو البنت الرضاعيين على أبيهما الرضاعي إن كانا فقيرين ، وكذلك بالعكس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سائر العناوين الحاصلة من الرضاع ممّا يوجب إعطاء النفقة في مثلها إذا كانت حاصلة من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قود الوالد بقتل ولده ، فإنّه في الولد نسبا لا يقتل الوالد إن قتل ولده ، وإن ثبت ذلك ببيّنة أو إقرار ، ولكن الأب الرضاعي لو قتل ابنه الرضاعي أو بنته يقتل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 نسبا لا يقطع يده بسرقة مال ولده نسبا ، ولكنّ الأب الرضاعي لو سرق مال ولده الرضاعي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الأب الرضاعي على ابنه أو ابنته الرضاعيين ، بخلاف الأب النسبي ، فإنّه له الولاية عليهما وعلى مالهما ما دام كانا 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ليس للأمّ الرضاعيّة حقّ الحضانة ، لا للابن الرضاعي ولا لابنتها الرضاعية ، بخلاف الأمّ النسبي ، فإنّ لها حقّ حضانة ابنها سنتين ، وحقّ حضانة ابنتها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على هذه الأحكام رتّب فيها هذه الأحكام على نفس هذه العناوين ، وهذه العناوين إمّا حقيقة في خصوص ما إذا كانت حاصلة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واستعمالها في الإضافة الحاصلة من الرضاع يكون بالعناية وبرعاية مع المعنى الحقيقي ، فتكون الحاصلة من الرضاع خارجة عن تحت تلك المفاهيم ولا تشملها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تلك المفاهيم منصرفه عن الحاصلة من الرضاع ، وإن قلنا بأنّها حقيقة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فالظاهر منه أنّ التنزيل بلحاظ حرمة النكاح فقط</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ترتّب غير حرمة النكاح من آثار هذه العناوين إذا كانت حاصلة من </w:t>
      </w:r>
    </w:p>
    <w:p>
      <w:pPr>
        <w:pStyle w:val="BookText"/>
        <w:rPr/>
      </w:pPr>
      <w:r>
        <w:rPr>
          <w:rFonts w:ascii="Amiri" w:hAnsi="Amiri" w:eastAsia="Amiri" w:cs="Amiri"/>
          <w:color w:val="111111"/>
          <w:sz w:val="28"/>
          <w:sz w:val="28"/>
          <w:szCs w:val="28"/>
          <w:rtl w:val="true"/>
          <w:lang w:bidi="ar-SA"/>
        </w:rPr>
        <w:t>النسب على الحاصلة من الرضاع يحتاج إلى وجود دليل خاصّ يدلّ عليه ، كما ادّعيناه في الانعتاق إذا ملكهنّ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316" w:name="pg15937_23531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16073498_2142443653"/>
      <w:bookmarkStart w:id="318" w:name="_Toc104"/>
      <w:bookmarkEnd w:id="316"/>
      <w:bookmarkEnd w:id="317"/>
      <w:r>
        <w:rPr>
          <w:rtl w:val="true"/>
        </w:rPr>
        <w:t>فهرس الموضوعات</w:t>
      </w:r>
      <w:bookmarkEnd w:id="3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مدلولها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إمكان لحقوق الولد بصاحب الفراش شرعا ، ذكر الفقهاء شروط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ستة أشهر هلالية من زمان الوطىء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الوضع في أكثر من أكثر مدة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المدعي المقابل للفراش إذا كان أيضا صاحب الفراش ففيه صور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اليد ما أخذت حتى تؤديه</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هذه القاعدة وقاعدة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معنى الضمان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ضمان منافع العين بقسميها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بيان ضابط المثلي والقيمي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المثل إلا بأكثر من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تعيين القيمة هو قيمة يوم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دلالة صحيحة أبي 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المناقشات التي استظهرت من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بدل الحيلولة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أمور يجب التنبيه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التعذر عدم إمكان رد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بدل الحيلولة يصير ملكا للمالك؟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ملكية المالك للبدل ، هل يكون دائما أو ما دام الرد متعذرا؟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للغاصب إلزام المالك بأخذ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العين المغصوبة باقية على ملك المالك حتى بعد </w:t>
      </w:r>
    </w:p>
    <w:p>
      <w:pPr>
        <w:pStyle w:val="BookText"/>
        <w:rPr/>
      </w:pPr>
      <w:r>
        <w:rPr>
          <w:rFonts w:ascii="IRNazanin" w:hAnsi="IRNazanin" w:eastAsia="IRNazanin"/>
          <w:color w:val="111111"/>
          <w:sz w:val="28"/>
          <w:sz w:val="28"/>
          <w:szCs w:val="28"/>
          <w:rtl w:val="true"/>
          <w:lang w:bidi="fa-IR"/>
        </w:rPr>
        <w:t>أخذ 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رد العين بعد دفع التعذر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يصدق تعذر الرد إن كان موجبا لتلف مال محترم أو نفس محترمة أم لا؟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تعاقب الأيادي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نتيجة ما ذكرنا في مفاد 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 المالك إلى أي واحد من الغاصبين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استوفى حقه من أحدهم فليس له بعد ذلك الرجوع إلى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 كل سابق إلى اللاحق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جواز رجوع كل سابق إلى اللاحق بعد أداء السابق ما في ذمته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ها هنا 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أبرء المالك أحد الغاصبين يسقط عن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المالك ما في ذمة أحدهم له ، فليس له الرجوع بعد ذلك إلى أحدهم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أحدهم بالغصبية دون الباقين وتلف المال ، فعليه الأداء دونهم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المال المغصوب من اللاحق إلى سابقه وأخذ منه البدل ، فلا يحق له الرجوع إليه بأخذ ما خسره للمالك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عبادات الصبي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الأدلة العامة والمطلقات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التي دلت على ترتب الثواب على من صلى أو صام أو حج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أن لا يستحق الأجر والثواب القريب من البلوغ عند إتيانه بالواجبات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الميسور لا يسقط بالمعسور</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تقرير الاستصحاب من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الاشكال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إمكان إرادة الكل والكي من الشئ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شمول القاعدة للمستحبات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إمكان إحراز موضوع قاعدة الميسور في الماهيات المخترعة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عدم جريان القاعدة فيما إذا تعذر القيد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 حجية سوق المسلمين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أمارة التذكية فقط أو أوسع 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السوق أمارة في عرض اليد 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السوق أمارة أم 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الفرق بين الأصل والامارة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الروايات الواردة في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هذه القاعدة مع غيرها من الأدلة في مقام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البلوغ في الأحكام الوضعية</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مدلولها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المتدينين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والأدلة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بيان حديث رفع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بيان الأجوبة على الاشكالات الواردة في حديث رفع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ليس بمفسد للعقد</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الأقوال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الوفاء بالشرط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هو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الدليل على القول المختار من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المعاملات والعقود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في أدلة القائلين بالافساد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فساد الشرط يوجب سقوطه عن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رضاء المشروط له بهذا العقد منوط بوجود هذا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بيان الحل عن هذا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 يجب أن تذكر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 المشروط له الشرط الفاسد فهل يصح العقد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الشرط الفاسد قبل العقد ولم يذكره في متنه ، فهل يكون مفسدا أم لا؟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عدم تأثير الشرط الفاسد في خارج العقد في إفساده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أقسام الشروط الفاسدة في الافساد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الخارجة عن هذه القاعدة بناء على عدم الافساد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جريان هذه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هذا الخلاف في الايقاعات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أهلها</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 وهي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ولتوضيح المراد من القاعدة نبين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حقيقة الوقوف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الوقف عقد يحتاج إلى القبول أو إلى الايقاع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أن الوقف عبادة لا يقع بدون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الأدلة على اعتبار قصد القربة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الوقف وهي أربعة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الشروط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شرط في صحته أو لزومه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هاهنا 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بموت الواقف قبل قبض الموقوف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تحقق القبض إذن الواقف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القبض أن يكون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قبض الطبقة الأولى كافية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الطبقة الأولى صغارا أو الواقف هو وليهم فلا يحتاج إلى القبض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الأوقاف العامة وعلى الجهات ، هل يحتاج إلى القبض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تحقيق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الوقف على من ينقرض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على تقدير الانقراض هل يرجع إلى المالك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لو شرط الواقف أداء دينه أو غيره ، فهل يكون وقفا على نفسه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إذا استثنى مقدارا من المنافع لنفسه ، فهل وقف على النفس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لو جعل نفسه متوليا وجعل مقدارا كبيرا من المنافع للمتولي ، فهل يكون وقفا على النفس أم لا؟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إذا وقف وشرط عوده إليه إذا احتاج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الانتفاع بها مع بقائها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البقاء مدة معتدة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الموقوفة منفعة محلله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متعلقا لحق الغير المانع عن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يمكن اقباضه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الواقف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جواز وقف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يصح تمليكه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الوقف عليه محرما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مدرسة دينية أو مسجد فانهدما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 وفيه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الموقوف عن ملك الواقف بالوقف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على 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الوقف بخرابه وانهدامه ، ولا يجوز 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المتولى والناظر للعين الموقوفة ، وفيه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جعل الواقف نفسه متوليا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المتولي في ضمن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العدالة في الناظر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أن يجعل الواقف شخصا ناظرا على المتوالي في ضمن عقد الوقف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لأكثر 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عين الواقف وظيفة المتولي في العقد فعليه العمل بما عين له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تطبيقها على مواردها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مفهوم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وأمهاتكم اللاتي أرضعنكم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الرضاع من جهة الشبهة المفهومة أو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تحقق الرضاع ، وهي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تقدير الرضاع طرق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اعتبروا في الرضاع المحرم من حيث العدد شروطا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رضعة من تلك الرضعات رضعة كامله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الرضعات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الرضعات من امرأة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الرضعات من الثدي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المرضعة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في حولي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خالصا غير ممزوج بشئ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ينشر الحرمة قبل النكاح والتزويج وبعدهما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السبعة النسبية المعروفة موجبة للحرمة إن حصلت بالرضاع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إثبات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إثبات الرضاع بالاقرار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إثبات الرضاع 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إثبات الرضاع بشهادة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أمور لتتميم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الرجل إحدى المحرمات عليه من الرضاع تنعتق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الظهار بالعناوين الحاصلة من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كثير من الاحكام على الرضاع وترتبها على النسب كالإرث والنفقة وغيرها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يكون له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ألفاظ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الولد للفراش وللعاهر الحجر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تفسير المشبّهات ،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نص البخاري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الولد للفراش ، وتوقي الشبهات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الولد للفراش وللعاهر الحجر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 عن ابن عباس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أبى الحديد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نسب زياد بن أبيه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يكون له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المماليك والإماء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يكون له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القوم يتبايعون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بإلحاق القائف الولد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أعلاه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مجزّزا المدلجي</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تسمية النساء المسلمات المبايعات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الحامل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بالجميل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الحامل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لسنتين بدل لسنة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نوادر المعجزات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تمام الستّة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تمام السنة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الحسين بن علي علیهماالسلام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وتقلبه في بطن أمه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الأولاد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بالحمل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عدد النساء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الأولاد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بالحمل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عدد النساء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الأولاد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بالحمل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عدد النساء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لحوق الأولاد بالآباء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لحوق الأولاد بالآباء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ضمان يد غير قانونى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كريمى ، ماچستير جامعه الشهيد بهشتى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موجبات ضمان قهري وأسباب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غلامعلى پيراسته ، ماچستير ، جامعه طهران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مالكي ويد ضماني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گرجى ، فصليّة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على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محمد مدرس الأصفهاني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تضمين العارية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الصدقات ، باب العارية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أنّ العارية مؤداة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الأنفال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تحديد المثلي والقيمي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البينة على المدعى واليمين على المدعى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والقضاء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مدرك القول بيوم الضمان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مدرك القول بيوم الضمان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الوجوه المحتملة من صحيحة أبي ولاّد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المدّعى واليمين على من أنكر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بدل الحيلولة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بدل الحيلولة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بدل الحيلولة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بدل الحيلولة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الخراساني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الفروع المترتبة على الضمان الطولي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ورد في سقي الماء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اللذين يجب عليهما الحد تماما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المستطرفات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باب ضمان النفوس وغيرها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العاقلة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الصبيان متى يؤمرون بالصلاة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ونوافلها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الصبيان ومتى يؤخذون بها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الذي يؤخذ فيه الصبيان بالصلاة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الحج مرة في العمر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الحج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الحج مرة في العمر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الحجّ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باب من يجب رد شهادته ومن يجب قبول شهادته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الصلاة فيه ،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متفرقة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يصلّى فيه وما لا يصلّى فيه من الثياب وجميع الأنواع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متفرقة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يصلّى فيه وما لا يصلّى فيه من الثياب وجميع الأنواع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والمكان وما لا يجوز ،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السباب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ألفاظ موجزة 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اللّه بن مسعود ، الديلمي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إحياء الموات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وصفة الطهارة منها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التقاء الختانين يوجب الغسل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الجنابة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البدن والثياب من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وغيرها من النجاسات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قهزقة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القرض ،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فيمن أحدث بئرا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فيمن أحدث بئرا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مستقصى مدارك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قاعدة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الفاسد ليس بمفسد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سيد محمد موسوي بجنوردى ، فصليّة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الشروط ،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خيار الاشتراط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خلف الوعد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خلف الوعد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المهور والأجور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على امرأة وشرط لها أن لا يتزوّج عليها ولا تيسر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المهور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ولاء المعتق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العتق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الرجل يتصدّق أو يعتق عند الموت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خيار الأمة إذا أعتقت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المهور والأجور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عقد على امرأة وشرط لها أن لا يتزوج عليها ولا يتسرى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المهور والأجور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أحل اللّه عزّ وجلّ من النكاح وما حرّم منه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وما ينعقد من النكاح من ذلك وما لا ينعقد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المدارك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العينة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من البيوع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العقود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حكى على العلاّمة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المجموعة ،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المتاجر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بيع الغرر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بيع الحصاة ، والبيع الذي فيه غرر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كراهية بيع الغرر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حكى عن ابن المتوج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وقف وقفا ولم يذكر الموقوف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الديون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الشروط في الوقف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الرجل يوقف الوقف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الوقف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صدقات النبي صلی اللّه علیه و آله وفاطمة والأئمة علیهم السلام ووصاياهم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بيع الوقف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صدقات النبي صلی اللّه علیه و آله وفاطمة والأئمة علیهم السلام ووصاياهم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الوقوف والصدقات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تصدّق على ولده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تصدّق على ولده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التوقيعات ،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التوقيعات ،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تصدّق على ولده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تصدّق على ولده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الوقف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والصدقة والنحل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يجوز بيع الوقف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والصدقة والنحل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والصدقات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الوصيّة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على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التدبير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والصدقة والنحل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والصدقات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والصدقات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تصدّق بمسكن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الوقف ، الميداني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شرح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الوقف ، الكاساني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الوقف والصدقة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الوقف ،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ذوي الأرحام ، نحوه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يجوز من الصدقة وما لا يجوز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الوقوف والصدقات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ترك الوضوء أو بعضه أو شكّ فيه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رفع عن هذه الأمّة تسعة أشياء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غصب لوحا فأدخله في سفينة أو بنى عليه جدارا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يشترط في الواقف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الغلام والجارية التي لم تدرك وما يجوز منها وما لا يجوز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الذي إذا بلغه الصبي جازت وصيته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الصبي والمحجور عليه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الوقوف والصدقات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الصبي والمحجور عليه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الوقوف والصدقات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الصبي والمحجور عليه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أحكام الوقوف والصدقات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والصدقات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والصدقة والنحل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حكى عن المفيد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الوقوف والصدقات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بيع الوقف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توقيعات الناحية المقدسة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يجوز من الصدقة وما لا يجوز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 النبي صلی اللّه علیه و آله وفاطمة والأئمة علیهم السلام ووصاياهم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بيع الوقف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والصدقة والنحل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الوقوف والصدقات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شروط صحة الوقف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قاعدتان فقهيتان اللاضرر والرضاع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الشهادة على الأنساب ، والرضاع المستفيض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الرضاعة من ماء الفحل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عبد اللّه بن عباس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وحرم منهن في شرع الإسلام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أحلّ اللّه عزّ وجلّ من النكاح وما حرّم منه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وحرّم منهن في شرع الإسلام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متفرقة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لبن الفحل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لبن الفحل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وما لا يحرم منه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اللبن للفحل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لبن الفحل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اللبن للفحل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لبن الفحل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اللبن للفحل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الرضاع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الرضاع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الرضاع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أحلّ اللّه نكاحه من النساء وحرم منهن في شرع الإسلام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السراري وملك الايمان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المماليك والإماء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السراري وملك الايمان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يفجر بالمرأة فيتزوج أمها أو ابنتها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الرجل يفجر بالمرأة ثمَّ يبدو له في 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ونحوها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الرضاع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الرضاع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اللبن للفحل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لبن الفحل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مانع الرضاع ، نقل عن أبي حنيفة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رضاعه الصغير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ما جاء في حرمة الرضاعة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لأقرب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بيان أحكام الرضاع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الأوزاعي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أحكام الرضاع ، المسألة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المقدار المحرم في الرضاع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الرضاع ، نقل عن الأوزاعي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 نقل عن الأوزاعي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 نقل عن الثوري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الرضاع وأحكامه ، نقل عن البلخي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 نقل عن الليث بن سعد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الرضاع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المحرمات بالرضاع ، نقل عن الإسكافي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الرضاع وأحكامه ، نقل عن الإسكافي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النكاح من الرضاع وما لا يحرم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 النكاح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والمتعة والرضاع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الكتاب ،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الأحكام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انتشار الحرمة بالرضاع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يحرم من الرضاع إلاّ ما كان مجبورا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الرضاع الذي يحرم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متفرقة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يحرم من الرضاع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المحرمات بالرضاع ، حكى عن العمّاني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بدء النكاح والحثّ عليه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الإسكافي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لإرضاع بعد فطام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لإرضاع بعد فطام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ما يحرم بالرضار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رضاع بعد فطام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في الرضاع وما لا يحرم منه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لإرضاع بعد فطام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 في الرضاع ، حكى قول ابن أبي عقيل العمّاني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الرضاع وأحكامه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الرضاع وأحكامه ، حكى عن الإسكافي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 ما لا يحرم منه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الأعظم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شروط انتشار الحرمة بالرضاع ، حكى قول الشهيد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 يحرم من الرضاع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رضاع بعد فطام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لبن الفحل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وما لا يحرم منه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اللبن للفحل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اللبن للفحل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أحكام الرضاع ، المسألة الرابعة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القول في الرضاع ،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الحديث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الارتفاع الى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إليه الحكم وأقسام القضاة والمفتين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من النكاح من الرضاع وما لا يحرم منه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الرضاع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الفصل الثالث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العتق وأحكامه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العتق وأحكام ،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العتق وأحكامه ،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الظهار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بابا الرضاع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وحرّم منهن في شرع الإسلام ،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101265</Words>
  <Characters>395815</Characters>
  <CharactersWithSpaces>494677</CharactersWithSpaces>
  <Paragraphs>2794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2026-08-25T06:35:08Z</dcterms:created>
  <dc:creator>ghaemiyeh.com</dc:creator>
  <dc:description/>
  <dc:language>en-US</dc:language>
  <cp:lastModifiedBy/>
  <dcterms:modified xsi:type="dcterms:W3CDTF">2026-08-25T10:06:13Z</dcterms:modified>
  <cp:revision>1</cp:revision>
  <dc:subject/>
  <dc:title>القواعد الفقهیة جلد 4</dc:title>
</cp:coreProperties>
</file>

<file path=docProps/custom.xml><?xml version="1.0" encoding="utf-8"?>
<Properties xmlns="http://schemas.openxmlformats.org/officeDocument/2006/custom-properties" xmlns:vt="http://schemas.openxmlformats.org/officeDocument/2006/docPropsVTypes"/>
</file>