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تبصرة الفقهاء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99589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14099591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099593_2142443653">
            <w:r>
              <w:rPr>
                <w:webHidden/>
                <w:rStyle w:val="IndexLink"/>
                <w:rtl w:val="true"/>
              </w:rPr>
              <w:t>تقديم</w:t>
            </w:r>
            <w:r>
              <w:rPr>
                <w:rStyle w:val="IndexLink"/>
                <w:rtl w:val="true"/>
              </w:rPr>
              <w:tab/>
            </w:r>
            <w:r>
              <w:rPr>
                <w:rStyle w:val="IndexLink"/>
              </w:rPr>
              <w:t>10</w:t>
            </w:r>
          </w:hyperlink>
        </w:p>
        <w:p>
          <w:pPr>
            <w:pStyle w:val="Contents3"/>
            <w:tabs>
              <w:tab w:val="clear" w:pos="8459"/>
              <w:tab w:val="right" w:pos="9026" w:leader="dot"/>
            </w:tabs>
            <w:rPr/>
          </w:pPr>
          <w:hyperlink w:anchor="__RefHeading___Toc14099595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4099597_2142443653">
            <w:r>
              <w:rPr>
                <w:webHidden/>
                <w:rStyle w:val="IndexLink"/>
                <w:rtl w:val="true"/>
              </w:rPr>
              <w:t>الأقوال حول الكتاب</w:t>
            </w:r>
            <w:r>
              <w:rPr>
                <w:rStyle w:val="IndexLink"/>
                <w:rtl w:val="true"/>
              </w:rPr>
              <w:tab/>
            </w:r>
            <w:r>
              <w:rPr>
                <w:rStyle w:val="IndexLink"/>
              </w:rPr>
              <w:t>11</w:t>
            </w:r>
          </w:hyperlink>
        </w:p>
        <w:p>
          <w:pPr>
            <w:pStyle w:val="Contents3"/>
            <w:tabs>
              <w:tab w:val="clear" w:pos="8459"/>
              <w:tab w:val="right" w:pos="9026" w:leader="dot"/>
            </w:tabs>
            <w:rPr/>
          </w:pPr>
          <w:hyperlink w:anchor="__RefHeading___Toc14099599_2142443653">
            <w:r>
              <w:rPr>
                <w:webHidden/>
                <w:rStyle w:val="IndexLink"/>
                <w:rtl w:val="true"/>
              </w:rPr>
              <w:t>تنبيه</w:t>
            </w:r>
            <w:r>
              <w:rPr>
                <w:rStyle w:val="IndexLink"/>
                <w:rtl w:val="true"/>
              </w:rPr>
              <w:tab/>
            </w:r>
            <w:r>
              <w:rPr>
                <w:rStyle w:val="IndexLink"/>
              </w:rPr>
              <w:t>15</w:t>
            </w:r>
          </w:hyperlink>
        </w:p>
        <w:p>
          <w:pPr>
            <w:pStyle w:val="Contents3"/>
            <w:tabs>
              <w:tab w:val="clear" w:pos="8459"/>
              <w:tab w:val="right" w:pos="9026" w:leader="dot"/>
            </w:tabs>
            <w:rPr/>
          </w:pPr>
          <w:hyperlink w:anchor="__RefHeading___Toc14099601_2142443653">
            <w:r>
              <w:rPr>
                <w:webHidden/>
                <w:rStyle w:val="IndexLink"/>
                <w:rtl w:val="true"/>
              </w:rPr>
              <w:t>وأما تبصرة الفقهاء</w:t>
            </w:r>
            <w:r>
              <w:rPr>
                <w:rStyle w:val="IndexLink"/>
                <w:rtl w:val="true"/>
              </w:rPr>
              <w:tab/>
            </w:r>
            <w:r>
              <w:rPr>
                <w:rStyle w:val="IndexLink"/>
              </w:rPr>
              <w:t>15</w:t>
            </w:r>
          </w:hyperlink>
        </w:p>
        <w:p>
          <w:pPr>
            <w:pStyle w:val="Contents3"/>
            <w:tabs>
              <w:tab w:val="clear" w:pos="8459"/>
              <w:tab w:val="right" w:pos="9026" w:leader="dot"/>
            </w:tabs>
            <w:rPr/>
          </w:pPr>
          <w:hyperlink w:anchor="__RefHeading___Toc14099603_2142443653">
            <w:r>
              <w:rPr>
                <w:webHidden/>
                <w:rStyle w:val="IndexLink"/>
                <w:rtl w:val="true"/>
              </w:rPr>
              <w:t>نسخ الكتاب</w:t>
            </w:r>
            <w:r>
              <w:rPr>
                <w:rStyle w:val="IndexLink"/>
                <w:rtl w:val="true"/>
              </w:rPr>
              <w:tab/>
            </w:r>
            <w:r>
              <w:rPr>
                <w:rStyle w:val="IndexLink"/>
              </w:rPr>
              <w:t>16</w:t>
            </w:r>
          </w:hyperlink>
        </w:p>
        <w:p>
          <w:pPr>
            <w:pStyle w:val="Contents3"/>
            <w:tabs>
              <w:tab w:val="clear" w:pos="8459"/>
              <w:tab w:val="right" w:pos="9026" w:leader="dot"/>
            </w:tabs>
            <w:rPr/>
          </w:pPr>
          <w:hyperlink w:anchor="__RefHeading___Toc14099605_2142443653">
            <w:r>
              <w:rPr>
                <w:webHidden/>
                <w:rStyle w:val="IndexLink"/>
                <w:rtl w:val="true"/>
              </w:rPr>
              <w:t>شكر وتقدير</w:t>
            </w:r>
            <w:r>
              <w:rPr>
                <w:rStyle w:val="IndexLink"/>
                <w:rtl w:val="true"/>
              </w:rPr>
              <w:tab/>
            </w:r>
            <w:r>
              <w:rPr>
                <w:rStyle w:val="IndexLink"/>
              </w:rPr>
              <w:t>18</w:t>
            </w:r>
          </w:hyperlink>
        </w:p>
        <w:p>
          <w:pPr>
            <w:pStyle w:val="Contents2"/>
            <w:tabs>
              <w:tab w:val="clear" w:pos="8743"/>
              <w:tab w:val="right" w:pos="9026" w:leader="dot"/>
            </w:tabs>
            <w:rPr/>
          </w:pPr>
          <w:hyperlink w:anchor="__RefHeading___Toc14099607_2142443653">
            <w:r>
              <w:rPr>
                <w:webHidden/>
                <w:rStyle w:val="IndexLink"/>
                <w:rtl w:val="true"/>
              </w:rPr>
              <w:t>ترجمة المؤلف</w:t>
            </w:r>
            <w:r>
              <w:rPr>
                <w:rStyle w:val="IndexLink"/>
                <w:rtl w:val="true"/>
              </w:rPr>
              <w:tab/>
            </w:r>
            <w:r>
              <w:rPr>
                <w:rStyle w:val="IndexLink"/>
              </w:rPr>
              <w:t>20</w:t>
            </w:r>
          </w:hyperlink>
        </w:p>
        <w:p>
          <w:pPr>
            <w:pStyle w:val="Contents3"/>
            <w:tabs>
              <w:tab w:val="clear" w:pos="8459"/>
              <w:tab w:val="right" w:pos="9026" w:leader="dot"/>
            </w:tabs>
            <w:rPr/>
          </w:pPr>
          <w:hyperlink w:anchor="__RefHeading___Toc14099609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4099611_2142443653">
            <w:r>
              <w:rPr>
                <w:webHidden/>
                <w:rStyle w:val="IndexLink"/>
                <w:rtl w:val="true"/>
              </w:rPr>
              <w:t xml:space="preserve">عشيرته وأسرته </w:t>
            </w:r>
            <w:r>
              <w:rPr>
                <w:rStyle w:val="IndexLink"/>
                <w:rtl w:val="true"/>
              </w:rPr>
              <w:t>:</w:t>
              <w:tab/>
            </w:r>
            <w:r>
              <w:rPr>
                <w:rStyle w:val="IndexLink"/>
              </w:rPr>
              <w:t>20</w:t>
            </w:r>
          </w:hyperlink>
        </w:p>
        <w:p>
          <w:pPr>
            <w:pStyle w:val="Contents3"/>
            <w:tabs>
              <w:tab w:val="clear" w:pos="8459"/>
              <w:tab w:val="right" w:pos="9026" w:leader="dot"/>
            </w:tabs>
            <w:rPr/>
          </w:pPr>
          <w:hyperlink w:anchor="__RefHeading___Toc14099613_2142443653">
            <w:r>
              <w:rPr>
                <w:webHidden/>
                <w:rStyle w:val="IndexLink"/>
                <w:rtl w:val="true"/>
              </w:rPr>
              <w:t xml:space="preserve">مولده وشي‌ء عن نشأته </w:t>
            </w:r>
            <w:r>
              <w:rPr>
                <w:rStyle w:val="IndexLink"/>
                <w:rtl w:val="true"/>
              </w:rPr>
              <w:t>:</w:t>
              <w:tab/>
            </w:r>
            <w:r>
              <w:rPr>
                <w:rStyle w:val="IndexLink"/>
              </w:rPr>
              <w:t>23</w:t>
            </w:r>
          </w:hyperlink>
        </w:p>
        <w:p>
          <w:pPr>
            <w:pStyle w:val="Contents3"/>
            <w:tabs>
              <w:tab w:val="clear" w:pos="8459"/>
              <w:tab w:val="right" w:pos="9026" w:leader="dot"/>
            </w:tabs>
            <w:rPr/>
          </w:pPr>
          <w:hyperlink w:anchor="__RefHeading___Toc14099615_2142443653">
            <w:r>
              <w:rPr>
                <w:webHidden/>
                <w:rStyle w:val="IndexLink"/>
                <w:rtl w:val="true"/>
              </w:rPr>
              <w:t xml:space="preserve">الهجرة الى ايران </w:t>
            </w:r>
            <w:r>
              <w:rPr>
                <w:rStyle w:val="IndexLink"/>
                <w:rtl w:val="true"/>
              </w:rPr>
              <w:t>:</w:t>
              <w:tab/>
            </w:r>
            <w:r>
              <w:rPr>
                <w:rStyle w:val="IndexLink"/>
              </w:rPr>
              <w:t>25</w:t>
            </w:r>
          </w:hyperlink>
        </w:p>
        <w:p>
          <w:pPr>
            <w:pStyle w:val="Contents3"/>
            <w:tabs>
              <w:tab w:val="clear" w:pos="8459"/>
              <w:tab w:val="right" w:pos="9026" w:leader="dot"/>
            </w:tabs>
            <w:rPr/>
          </w:pPr>
          <w:hyperlink w:anchor="__RefHeading___Toc14099617_2142443653">
            <w:r>
              <w:rPr>
                <w:webHidden/>
                <w:rStyle w:val="IndexLink"/>
                <w:rtl w:val="true"/>
              </w:rPr>
              <w:t xml:space="preserve">الاقامة بأصبهان </w:t>
            </w:r>
            <w:r>
              <w:rPr>
                <w:rStyle w:val="IndexLink"/>
                <w:rtl w:val="true"/>
              </w:rPr>
              <w:t>:</w:t>
              <w:tab/>
            </w:r>
            <w:r>
              <w:rPr>
                <w:rStyle w:val="IndexLink"/>
              </w:rPr>
              <w:t>26</w:t>
            </w:r>
          </w:hyperlink>
        </w:p>
        <w:p>
          <w:pPr>
            <w:pStyle w:val="Contents3"/>
            <w:tabs>
              <w:tab w:val="clear" w:pos="8459"/>
              <w:tab w:val="right" w:pos="9026" w:leader="dot"/>
            </w:tabs>
            <w:rPr/>
          </w:pPr>
          <w:hyperlink w:anchor="__RefHeading___Toc14099619_2142443653">
            <w:r>
              <w:rPr>
                <w:webHidden/>
                <w:rStyle w:val="IndexLink"/>
                <w:rtl w:val="true"/>
              </w:rPr>
              <w:t xml:space="preserve">الأصولي الفقيه </w:t>
            </w:r>
            <w:r>
              <w:rPr>
                <w:rStyle w:val="IndexLink"/>
                <w:rtl w:val="true"/>
              </w:rPr>
              <w:t>:</w:t>
              <w:tab/>
            </w:r>
            <w:r>
              <w:rPr>
                <w:rStyle w:val="IndexLink"/>
              </w:rPr>
              <w:t>27</w:t>
            </w:r>
          </w:hyperlink>
        </w:p>
        <w:p>
          <w:pPr>
            <w:pStyle w:val="Contents3"/>
            <w:tabs>
              <w:tab w:val="clear" w:pos="8459"/>
              <w:tab w:val="right" w:pos="9026" w:leader="dot"/>
            </w:tabs>
            <w:rPr/>
          </w:pPr>
          <w:hyperlink w:anchor="__RefHeading___Toc14099621_2142443653">
            <w:r>
              <w:rPr>
                <w:webHidden/>
                <w:rStyle w:val="IndexLink"/>
                <w:rtl w:val="true"/>
              </w:rPr>
              <w:t xml:space="preserve">بعض تلامذته البارزين </w:t>
            </w:r>
            <w:r>
              <w:rPr>
                <w:rStyle w:val="IndexLink"/>
                <w:rtl w:val="true"/>
              </w:rPr>
              <w:t>:</w:t>
              <w:tab/>
            </w:r>
            <w:r>
              <w:rPr>
                <w:rStyle w:val="IndexLink"/>
              </w:rPr>
              <w:t>28</w:t>
            </w:r>
          </w:hyperlink>
        </w:p>
        <w:p>
          <w:pPr>
            <w:pStyle w:val="Contents3"/>
            <w:tabs>
              <w:tab w:val="clear" w:pos="8459"/>
              <w:tab w:val="right" w:pos="9026" w:leader="dot"/>
            </w:tabs>
            <w:rPr/>
          </w:pPr>
          <w:hyperlink w:anchor="__RefHeading___Toc14099623_2142443653">
            <w:r>
              <w:rPr>
                <w:webHidden/>
                <w:rStyle w:val="IndexLink"/>
                <w:rtl w:val="true"/>
              </w:rPr>
              <w:t xml:space="preserve">قالوا فيه </w:t>
            </w:r>
            <w:r>
              <w:rPr>
                <w:rStyle w:val="IndexLink"/>
                <w:rtl w:val="true"/>
              </w:rPr>
              <w:t>:</w:t>
              <w:tab/>
            </w:r>
            <w:r>
              <w:rPr>
                <w:rStyle w:val="IndexLink"/>
              </w:rPr>
              <w:t>31</w:t>
            </w:r>
          </w:hyperlink>
        </w:p>
        <w:p>
          <w:pPr>
            <w:pStyle w:val="Contents3"/>
            <w:tabs>
              <w:tab w:val="clear" w:pos="8459"/>
              <w:tab w:val="right" w:pos="9026" w:leader="dot"/>
            </w:tabs>
            <w:rPr/>
          </w:pPr>
          <w:hyperlink w:anchor="__RefHeading___Toc14099625_2142443653">
            <w:r>
              <w:rPr>
                <w:webHidden/>
                <w:rStyle w:val="IndexLink"/>
                <w:rtl w:val="true"/>
              </w:rPr>
              <w:t xml:space="preserve">آثاره العلمية </w:t>
            </w:r>
            <w:r>
              <w:rPr>
                <w:rStyle w:val="IndexLink"/>
                <w:rtl w:val="true"/>
              </w:rPr>
              <w:t>:</w:t>
              <w:tab/>
            </w:r>
            <w:r>
              <w:rPr>
                <w:rStyle w:val="IndexLink"/>
              </w:rPr>
              <w:t>32</w:t>
            </w:r>
          </w:hyperlink>
        </w:p>
        <w:p>
          <w:pPr>
            <w:pStyle w:val="Contents3"/>
            <w:tabs>
              <w:tab w:val="clear" w:pos="8459"/>
              <w:tab w:val="right" w:pos="9026" w:leader="dot"/>
            </w:tabs>
            <w:rPr/>
          </w:pPr>
          <w:hyperlink w:anchor="__RefHeading___Toc14099627_2142443653">
            <w:r>
              <w:rPr>
                <w:webHidden/>
                <w:rStyle w:val="IndexLink"/>
                <w:rtl w:val="true"/>
              </w:rPr>
              <w:t xml:space="preserve">وفاته </w:t>
            </w:r>
            <w:r>
              <w:rPr>
                <w:rStyle w:val="IndexLink"/>
                <w:rtl w:val="true"/>
              </w:rPr>
              <w:t>:</w:t>
              <w:tab/>
            </w:r>
            <w:r>
              <w:rPr>
                <w:rStyle w:val="IndexLink"/>
              </w:rPr>
              <w:t>33</w:t>
            </w:r>
          </w:hyperlink>
        </w:p>
        <w:p>
          <w:pPr>
            <w:pStyle w:val="Contents3"/>
            <w:tabs>
              <w:tab w:val="clear" w:pos="8459"/>
              <w:tab w:val="right" w:pos="9026" w:leader="dot"/>
            </w:tabs>
            <w:rPr/>
          </w:pPr>
          <w:hyperlink w:anchor="__RefHeading___Toc14099629_2142443653">
            <w:r>
              <w:rPr>
                <w:webHidden/>
                <w:rStyle w:val="IndexLink"/>
                <w:rtl w:val="true"/>
              </w:rPr>
              <w:t xml:space="preserve">مصادر الترجمة </w:t>
            </w:r>
            <w:r>
              <w:rPr>
                <w:rStyle w:val="IndexLink"/>
                <w:rtl w:val="true"/>
              </w:rPr>
              <w:t>:</w:t>
              <w:tab/>
            </w:r>
            <w:r>
              <w:rPr>
                <w:rStyle w:val="IndexLink"/>
              </w:rPr>
              <w:t>35</w:t>
            </w:r>
          </w:hyperlink>
        </w:p>
        <w:p>
          <w:pPr>
            <w:pStyle w:val="Contents2"/>
            <w:tabs>
              <w:tab w:val="clear" w:pos="8743"/>
              <w:tab w:val="right" w:pos="9026" w:leader="dot"/>
            </w:tabs>
            <w:rPr/>
          </w:pPr>
          <w:hyperlink w:anchor="__RefHeading___Toc14099631_2142443653">
            <w:r>
              <w:rPr>
                <w:webHidden/>
                <w:rStyle w:val="IndexLink"/>
                <w:rtl w:val="true"/>
              </w:rPr>
              <w:t>كتاب الطّهارة</w:t>
            </w:r>
            <w:r>
              <w:rPr>
                <w:rStyle w:val="IndexLink"/>
                <w:rtl w:val="true"/>
              </w:rPr>
              <w:tab/>
            </w:r>
            <w:r>
              <w:rPr>
                <w:rStyle w:val="IndexLink"/>
              </w:rPr>
              <w:t>47</w:t>
            </w:r>
          </w:hyperlink>
        </w:p>
        <w:p>
          <w:pPr>
            <w:pStyle w:val="Contents3"/>
            <w:tabs>
              <w:tab w:val="clear" w:pos="8459"/>
              <w:tab w:val="right" w:pos="9026" w:leader="dot"/>
            </w:tabs>
            <w:rPr/>
          </w:pPr>
          <w:hyperlink w:anchor="__RefHeading___Toc14099633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4099635_2142443653">
            <w:r>
              <w:rPr>
                <w:webHidden/>
                <w:rStyle w:val="IndexLink"/>
                <w:rtl w:val="true"/>
              </w:rPr>
              <w:t xml:space="preserve">[ </w:t>
            </w:r>
            <w:r>
              <w:rPr>
                <w:rStyle w:val="IndexLink"/>
                <w:rtl w:val="true"/>
              </w:rPr>
              <w:t xml:space="preserve">تبصرة </w:t>
            </w:r>
            <w:r>
              <w:rPr>
                <w:rStyle w:val="IndexLink"/>
                <w:rtl w:val="true"/>
              </w:rPr>
              <w:t xml:space="preserve">]: [ </w:t>
            </w:r>
            <w:r>
              <w:rPr>
                <w:rStyle w:val="IndexLink"/>
                <w:rtl w:val="true"/>
              </w:rPr>
              <w:t xml:space="preserve">في معنى الطهارة اللغوي والمصطلح </w:t>
            </w:r>
            <w:r>
              <w:rPr>
                <w:rStyle w:val="IndexLink"/>
                <w:rtl w:val="true"/>
              </w:rPr>
              <w:t>]</w:t>
              <w:tab/>
            </w:r>
            <w:r>
              <w:rPr>
                <w:rStyle w:val="IndexLink"/>
              </w:rPr>
              <w:t>49</w:t>
            </w:r>
          </w:hyperlink>
        </w:p>
        <w:p>
          <w:pPr>
            <w:pStyle w:val="Contents3"/>
            <w:tabs>
              <w:tab w:val="clear" w:pos="8459"/>
              <w:tab w:val="right" w:pos="9026" w:leader="dot"/>
            </w:tabs>
            <w:rPr/>
          </w:pPr>
          <w:hyperlink w:anchor="__RefHeading___Toc14099637_2142443653">
            <w:r>
              <w:rPr>
                <w:webHidden/>
                <w:rStyle w:val="IndexLink"/>
                <w:rtl w:val="true"/>
              </w:rPr>
              <w:t>الباب الأول</w:t>
            </w:r>
            <w:r>
              <w:rPr>
                <w:rStyle w:val="IndexLink"/>
                <w:rtl w:val="true"/>
              </w:rPr>
              <w:t xml:space="preserve">: </w:t>
            </w:r>
            <w:r>
              <w:rPr>
                <w:rStyle w:val="IndexLink"/>
                <w:rtl w:val="true"/>
              </w:rPr>
              <w:t>في المياه</w:t>
            </w:r>
            <w:r>
              <w:rPr>
                <w:rStyle w:val="IndexLink"/>
                <w:rtl w:val="true"/>
              </w:rPr>
              <w:tab/>
            </w:r>
            <w:r>
              <w:rPr>
                <w:rStyle w:val="IndexLink"/>
              </w:rPr>
              <w:t>53</w:t>
            </w:r>
          </w:hyperlink>
        </w:p>
        <w:p>
          <w:pPr>
            <w:pStyle w:val="Contents4"/>
            <w:tabs>
              <w:tab w:val="clear" w:pos="8176"/>
              <w:tab w:val="right" w:pos="9026" w:leader="dot"/>
            </w:tabs>
            <w:rPr/>
          </w:pPr>
          <w:hyperlink w:anchor="__RefHeading___Toc14099639_2142443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4099641_2142443653">
            <w:r>
              <w:rPr>
                <w:webHidden/>
                <w:rStyle w:val="IndexLink"/>
                <w:rtl w:val="true"/>
              </w:rPr>
              <w:t>البحث الأول</w:t>
            </w:r>
            <w:r>
              <w:rPr>
                <w:rStyle w:val="IndexLink"/>
                <w:rtl w:val="true"/>
              </w:rPr>
              <w:tab/>
            </w:r>
            <w:r>
              <w:rPr>
                <w:rStyle w:val="IndexLink"/>
              </w:rPr>
              <w:t>53</w:t>
            </w:r>
          </w:hyperlink>
        </w:p>
        <w:p>
          <w:pPr>
            <w:pStyle w:val="Contents5"/>
            <w:tabs>
              <w:tab w:val="clear" w:pos="7892"/>
              <w:tab w:val="right" w:pos="9026" w:leader="dot"/>
            </w:tabs>
            <w:rPr/>
          </w:pPr>
          <w:hyperlink w:anchor="__RefHeading___Toc14099643_2142443653">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4099645_2142443653">
            <w:r>
              <w:rPr>
                <w:webHidden/>
                <w:rStyle w:val="IndexLink"/>
                <w:rtl w:val="true"/>
              </w:rPr>
              <w:t>مقدّمة</w:t>
            </w:r>
            <w:r>
              <w:rPr>
                <w:rStyle w:val="IndexLink"/>
                <w:rtl w:val="true"/>
              </w:rPr>
              <w:t xml:space="preserve">: [ </w:t>
            </w:r>
            <w:r>
              <w:rPr>
                <w:rStyle w:val="IndexLink"/>
                <w:rtl w:val="true"/>
              </w:rPr>
              <w:t xml:space="preserve">في الماء المطلق والمضاف </w:t>
            </w:r>
            <w:r>
              <w:rPr>
                <w:rStyle w:val="IndexLink"/>
                <w:rtl w:val="true"/>
              </w:rPr>
              <w:t>]</w:t>
              <w:tab/>
            </w:r>
            <w:r>
              <w:rPr>
                <w:rStyle w:val="IndexLink"/>
              </w:rPr>
              <w:t>53</w:t>
            </w:r>
          </w:hyperlink>
        </w:p>
        <w:p>
          <w:pPr>
            <w:pStyle w:val="Contents5"/>
            <w:tabs>
              <w:tab w:val="clear" w:pos="7892"/>
              <w:tab w:val="right" w:pos="9026" w:leader="dot"/>
            </w:tabs>
            <w:rPr/>
          </w:pPr>
          <w:hyperlink w:anchor="__RefHeading___Toc14099647_2142443653">
            <w:r>
              <w:rPr>
                <w:webHidden/>
                <w:rStyle w:val="IndexLink"/>
                <w:rtl w:val="true"/>
              </w:rPr>
              <w:t>تبصرة</w:t>
            </w:r>
            <w:r>
              <w:rPr>
                <w:rStyle w:val="IndexLink"/>
                <w:rtl w:val="true"/>
              </w:rPr>
              <w:t xml:space="preserve">: [ </w:t>
            </w:r>
            <w:r>
              <w:rPr>
                <w:rStyle w:val="IndexLink"/>
                <w:rtl w:val="true"/>
              </w:rPr>
              <w:t xml:space="preserve">في أن الماء طاهر مطهّر </w:t>
            </w:r>
            <w:r>
              <w:rPr>
                <w:rStyle w:val="IndexLink"/>
                <w:rtl w:val="true"/>
              </w:rPr>
              <w:t>]</w:t>
              <w:tab/>
            </w:r>
            <w:r>
              <w:rPr>
                <w:rStyle w:val="IndexLink"/>
              </w:rPr>
              <w:t>59</w:t>
            </w:r>
          </w:hyperlink>
        </w:p>
        <w:p>
          <w:pPr>
            <w:pStyle w:val="Contents6"/>
            <w:tabs>
              <w:tab w:val="clear" w:pos="7609"/>
              <w:tab w:val="right" w:pos="9026" w:leader="dot"/>
            </w:tabs>
            <w:rPr/>
          </w:pPr>
          <w:hyperlink w:anchor="__RefHeading___Toc14099649_2142443653">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4099651_2142443653">
            <w:r>
              <w:rPr>
                <w:webHidden/>
                <w:rStyle w:val="IndexLink"/>
                <w:rtl w:val="true"/>
              </w:rPr>
              <w:t>وريقهنّ طهوراً</w:t>
            </w:r>
            <w:r>
              <w:rPr>
                <w:rStyle w:val="IndexLink"/>
                <w:rtl w:val="true"/>
              </w:rPr>
              <w:tab/>
            </w:r>
            <w:r>
              <w:rPr>
                <w:rStyle w:val="IndexLink"/>
              </w:rPr>
              <w:t>70</w:t>
            </w:r>
          </w:hyperlink>
        </w:p>
        <w:p>
          <w:pPr>
            <w:pStyle w:val="Contents5"/>
            <w:tabs>
              <w:tab w:val="clear" w:pos="7892"/>
              <w:tab w:val="right" w:pos="9026" w:leader="dot"/>
            </w:tabs>
            <w:rPr/>
          </w:pPr>
          <w:hyperlink w:anchor="__RefHeading___Toc14099653_2142443653">
            <w:r>
              <w:rPr>
                <w:webHidden/>
                <w:rStyle w:val="IndexLink"/>
                <w:rtl w:val="true"/>
              </w:rPr>
              <w:t>تبصرة</w:t>
            </w:r>
            <w:r>
              <w:rPr>
                <w:rStyle w:val="IndexLink"/>
                <w:rtl w:val="true"/>
              </w:rPr>
              <w:t xml:space="preserve">: [ </w:t>
            </w:r>
            <w:r>
              <w:rPr>
                <w:rStyle w:val="IndexLink"/>
                <w:rtl w:val="true"/>
              </w:rPr>
              <w:t xml:space="preserve">في كيفيّة تنجّس الماء </w:t>
            </w:r>
            <w:r>
              <w:rPr>
                <w:rStyle w:val="IndexLink"/>
                <w:rtl w:val="true"/>
              </w:rPr>
              <w:t>]</w:t>
              <w:tab/>
            </w:r>
            <w:r>
              <w:rPr>
                <w:rStyle w:val="IndexLink"/>
              </w:rPr>
              <w:t>78</w:t>
            </w:r>
          </w:hyperlink>
        </w:p>
        <w:p>
          <w:pPr>
            <w:pStyle w:val="Contents6"/>
            <w:tabs>
              <w:tab w:val="clear" w:pos="7609"/>
              <w:tab w:val="right" w:pos="9026" w:leader="dot"/>
            </w:tabs>
            <w:rPr/>
          </w:pPr>
          <w:hyperlink w:anchor="__RefHeading___Toc14099655_2142443653">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14099657_2142443653">
            <w:r>
              <w:rPr>
                <w:webHidden/>
                <w:rStyle w:val="IndexLink"/>
                <w:rtl w:val="true"/>
              </w:rPr>
              <w:t xml:space="preserve">[ </w:t>
            </w:r>
            <w:r>
              <w:rPr>
                <w:rStyle w:val="IndexLink"/>
                <w:rtl w:val="true"/>
              </w:rPr>
              <w:t xml:space="preserve">المدار في صفات النجاسة </w:t>
            </w:r>
            <w:r>
              <w:rPr>
                <w:rStyle w:val="IndexLink"/>
                <w:rtl w:val="true"/>
              </w:rPr>
              <w:t>]</w:t>
              <w:tab/>
            </w:r>
            <w:r>
              <w:rPr>
                <w:rStyle w:val="IndexLink"/>
              </w:rPr>
              <w:t>79</w:t>
            </w:r>
          </w:hyperlink>
        </w:p>
        <w:p>
          <w:pPr>
            <w:pStyle w:val="Contents6"/>
            <w:tabs>
              <w:tab w:val="clear" w:pos="7609"/>
              <w:tab w:val="right" w:pos="9026" w:leader="dot"/>
            </w:tabs>
            <w:rPr/>
          </w:pPr>
          <w:hyperlink w:anchor="__RefHeading___Toc14099659_2142443653">
            <w:r>
              <w:rPr>
                <w:webHidden/>
                <w:rStyle w:val="IndexLink"/>
                <w:rtl w:val="true"/>
              </w:rPr>
              <w:t xml:space="preserve">[ </w:t>
            </w:r>
            <w:r>
              <w:rPr>
                <w:rStyle w:val="IndexLink"/>
                <w:rtl w:val="true"/>
              </w:rPr>
              <w:t xml:space="preserve">الكلام في الصفات الطبيعية </w:t>
            </w:r>
            <w:r>
              <w:rPr>
                <w:rStyle w:val="IndexLink"/>
                <w:rtl w:val="true"/>
              </w:rPr>
              <w:t>]</w:t>
              <w:tab/>
            </w:r>
            <w:r>
              <w:rPr>
                <w:rStyle w:val="IndexLink"/>
              </w:rPr>
              <w:t>80</w:t>
            </w:r>
          </w:hyperlink>
        </w:p>
        <w:p>
          <w:pPr>
            <w:pStyle w:val="Contents6"/>
            <w:tabs>
              <w:tab w:val="clear" w:pos="7609"/>
              <w:tab w:val="right" w:pos="9026" w:leader="dot"/>
            </w:tabs>
            <w:rPr/>
          </w:pPr>
          <w:hyperlink w:anchor="__RefHeading___Toc14099661_2142443653">
            <w:r>
              <w:rPr>
                <w:webHidden/>
                <w:rStyle w:val="IndexLink"/>
                <w:rtl w:val="true"/>
              </w:rPr>
              <w:t xml:space="preserve">[ </w:t>
            </w:r>
            <w:r>
              <w:rPr>
                <w:rStyle w:val="IndexLink"/>
                <w:rtl w:val="true"/>
              </w:rPr>
              <w:t xml:space="preserve">القول في الملوحة </w:t>
            </w:r>
            <w:r>
              <w:rPr>
                <w:rStyle w:val="IndexLink"/>
                <w:rtl w:val="true"/>
              </w:rPr>
              <w:t>]</w:t>
              <w:tab/>
            </w:r>
            <w:r>
              <w:rPr>
                <w:rStyle w:val="IndexLink"/>
              </w:rPr>
              <w:t>81</w:t>
            </w:r>
          </w:hyperlink>
        </w:p>
        <w:p>
          <w:pPr>
            <w:pStyle w:val="Contents6"/>
            <w:tabs>
              <w:tab w:val="clear" w:pos="7609"/>
              <w:tab w:val="right" w:pos="9026" w:leader="dot"/>
            </w:tabs>
            <w:rPr/>
          </w:pPr>
          <w:hyperlink w:anchor="__RefHeading___Toc14099663_2142443653">
            <w:r>
              <w:rPr>
                <w:webHidden/>
                <w:rStyle w:val="IndexLink"/>
                <w:rtl w:val="true"/>
              </w:rPr>
              <w:t xml:space="preserve">[ </w:t>
            </w:r>
            <w:r>
              <w:rPr>
                <w:rStyle w:val="IndexLink"/>
                <w:rtl w:val="true"/>
              </w:rPr>
              <w:t xml:space="preserve">التغيير في غير الأوصاف الثلاثة </w:t>
            </w:r>
            <w:r>
              <w:rPr>
                <w:rStyle w:val="IndexLink"/>
                <w:rtl w:val="true"/>
              </w:rPr>
              <w:t>]</w:t>
              <w:tab/>
            </w:r>
            <w:r>
              <w:rPr>
                <w:rStyle w:val="IndexLink"/>
              </w:rPr>
              <w:t>83</w:t>
            </w:r>
          </w:hyperlink>
        </w:p>
        <w:p>
          <w:pPr>
            <w:pStyle w:val="Contents6"/>
            <w:tabs>
              <w:tab w:val="clear" w:pos="7609"/>
              <w:tab w:val="right" w:pos="9026" w:leader="dot"/>
            </w:tabs>
            <w:rPr/>
          </w:pPr>
          <w:hyperlink w:anchor="__RefHeading___Toc14099665_2142443653">
            <w:r>
              <w:rPr>
                <w:webHidden/>
                <w:rStyle w:val="IndexLink"/>
                <w:rtl w:val="true"/>
              </w:rPr>
              <w:t xml:space="preserve">[ </w:t>
            </w:r>
            <w:r>
              <w:rPr>
                <w:rStyle w:val="IndexLink"/>
                <w:rtl w:val="true"/>
              </w:rPr>
              <w:t xml:space="preserve">مجاورة النجاسة </w:t>
            </w:r>
            <w:r>
              <w:rPr>
                <w:rStyle w:val="IndexLink"/>
                <w:rtl w:val="true"/>
              </w:rPr>
              <w:t>]</w:t>
              <w:tab/>
            </w:r>
            <w:r>
              <w:rPr>
                <w:rStyle w:val="IndexLink"/>
              </w:rPr>
              <w:t>84</w:t>
            </w:r>
          </w:hyperlink>
        </w:p>
        <w:p>
          <w:pPr>
            <w:pStyle w:val="Contents6"/>
            <w:tabs>
              <w:tab w:val="clear" w:pos="7609"/>
              <w:tab w:val="right" w:pos="9026" w:leader="dot"/>
            </w:tabs>
            <w:rPr/>
          </w:pPr>
          <w:hyperlink w:anchor="__RefHeading___Toc14099667_2142443653">
            <w:r>
              <w:rPr>
                <w:webHidden/>
                <w:rStyle w:val="IndexLink"/>
                <w:rtl w:val="true"/>
              </w:rPr>
              <w:t xml:space="preserve">[ </w:t>
            </w:r>
            <w:r>
              <w:rPr>
                <w:rStyle w:val="IndexLink"/>
                <w:rtl w:val="true"/>
              </w:rPr>
              <w:t xml:space="preserve">اعتبار التغيير حال الملاقاة </w:t>
            </w:r>
            <w:r>
              <w:rPr>
                <w:rStyle w:val="IndexLink"/>
                <w:rtl w:val="true"/>
              </w:rPr>
              <w:t>]</w:t>
              <w:tab/>
            </w:r>
            <w:r>
              <w:rPr>
                <w:rStyle w:val="IndexLink"/>
              </w:rPr>
              <w:t>85</w:t>
            </w:r>
          </w:hyperlink>
        </w:p>
        <w:p>
          <w:pPr>
            <w:pStyle w:val="Contents6"/>
            <w:tabs>
              <w:tab w:val="clear" w:pos="7609"/>
              <w:tab w:val="right" w:pos="9026" w:leader="dot"/>
            </w:tabs>
            <w:rPr/>
          </w:pPr>
          <w:hyperlink w:anchor="__RefHeading___Toc14099669_2142443653">
            <w:r>
              <w:rPr>
                <w:webHidden/>
                <w:rStyle w:val="IndexLink"/>
                <w:rtl w:val="true"/>
              </w:rPr>
              <w:t xml:space="preserve">[ </w:t>
            </w:r>
            <w:r>
              <w:rPr>
                <w:rStyle w:val="IndexLink"/>
                <w:rtl w:val="true"/>
              </w:rPr>
              <w:t xml:space="preserve">مدار التنجّس </w:t>
            </w:r>
            <w:r>
              <w:rPr>
                <w:rStyle w:val="IndexLink"/>
                <w:rtl w:val="true"/>
              </w:rPr>
              <w:t xml:space="preserve">: </w:t>
            </w:r>
            <w:r>
              <w:rPr>
                <w:rStyle w:val="IndexLink"/>
                <w:rtl w:val="true"/>
              </w:rPr>
              <w:t xml:space="preserve">التغيّر بالنجاسة </w:t>
            </w:r>
            <w:r>
              <w:rPr>
                <w:rStyle w:val="IndexLink"/>
                <w:rtl w:val="true"/>
              </w:rPr>
              <w:t>]</w:t>
              <w:tab/>
            </w:r>
            <w:r>
              <w:rPr>
                <w:rStyle w:val="IndexLink"/>
              </w:rPr>
              <w:t>86</w:t>
            </w:r>
          </w:hyperlink>
        </w:p>
        <w:p>
          <w:pPr>
            <w:pStyle w:val="Contents6"/>
            <w:tabs>
              <w:tab w:val="clear" w:pos="7609"/>
              <w:tab w:val="right" w:pos="9026" w:leader="dot"/>
            </w:tabs>
            <w:rPr/>
          </w:pPr>
          <w:hyperlink w:anchor="__RefHeading___Toc14099671_2142443653">
            <w:r>
              <w:rPr>
                <w:webHidden/>
                <w:rStyle w:val="IndexLink"/>
                <w:rtl w:val="true"/>
              </w:rPr>
              <w:t xml:space="preserve">[ </w:t>
            </w:r>
            <w:r>
              <w:rPr>
                <w:rStyle w:val="IndexLink"/>
                <w:rtl w:val="true"/>
              </w:rPr>
              <w:t xml:space="preserve">مدار التنجّس فعليّته </w:t>
            </w:r>
            <w:r>
              <w:rPr>
                <w:rStyle w:val="IndexLink"/>
                <w:rtl w:val="true"/>
              </w:rPr>
              <w:t>]</w:t>
              <w:tab/>
            </w:r>
            <w:r>
              <w:rPr>
                <w:rStyle w:val="IndexLink"/>
              </w:rPr>
              <w:t>89</w:t>
            </w:r>
          </w:hyperlink>
        </w:p>
        <w:p>
          <w:pPr>
            <w:pStyle w:val="Contents6"/>
            <w:tabs>
              <w:tab w:val="clear" w:pos="7609"/>
              <w:tab w:val="right" w:pos="9026" w:leader="dot"/>
            </w:tabs>
            <w:rPr/>
          </w:pPr>
          <w:hyperlink w:anchor="__RefHeading___Toc14099673_2142443653">
            <w:r>
              <w:rPr>
                <w:webHidden/>
                <w:rStyle w:val="IndexLink"/>
                <w:rtl w:val="true"/>
              </w:rPr>
              <w:t xml:space="preserve">[ </w:t>
            </w:r>
            <w:r>
              <w:rPr>
                <w:rStyle w:val="IndexLink"/>
                <w:rtl w:val="true"/>
              </w:rPr>
              <w:t xml:space="preserve">الاستهلاك في النجاسة والممازجة </w:t>
            </w:r>
            <w:r>
              <w:rPr>
                <w:rStyle w:val="IndexLink"/>
                <w:rtl w:val="true"/>
              </w:rPr>
              <w:t>]</w:t>
              <w:tab/>
            </w:r>
            <w:r>
              <w:rPr>
                <w:rStyle w:val="IndexLink"/>
              </w:rPr>
              <w:t>93</w:t>
            </w:r>
          </w:hyperlink>
        </w:p>
        <w:p>
          <w:pPr>
            <w:pStyle w:val="Contents4"/>
            <w:tabs>
              <w:tab w:val="clear" w:pos="8176"/>
              <w:tab w:val="right" w:pos="9026" w:leader="dot"/>
            </w:tabs>
            <w:rPr/>
          </w:pPr>
          <w:hyperlink w:anchor="__RefHeading___Toc14099675_2142443653">
            <w:r>
              <w:rPr>
                <w:webHidden/>
                <w:rStyle w:val="IndexLink"/>
                <w:rtl w:val="true"/>
              </w:rPr>
              <w:t>البحث الثاني</w:t>
            </w:r>
            <w:r>
              <w:rPr>
                <w:rStyle w:val="IndexLink"/>
                <w:rtl w:val="true"/>
              </w:rPr>
              <w:t xml:space="preserve">: </w:t>
            </w:r>
            <w:r>
              <w:rPr>
                <w:rStyle w:val="IndexLink"/>
                <w:rtl w:val="true"/>
              </w:rPr>
              <w:t>في بيان أقسام المياه وأحكام كلّ منها وكيفيّة تطهيرها بعد تنجّسها</w:t>
            </w:r>
            <w:r>
              <w:rPr>
                <w:rStyle w:val="IndexLink"/>
                <w:rtl w:val="true"/>
              </w:rPr>
              <w:tab/>
            </w:r>
            <w:r>
              <w:rPr>
                <w:rStyle w:val="IndexLink"/>
              </w:rPr>
              <w:t>95</w:t>
            </w:r>
          </w:hyperlink>
        </w:p>
        <w:p>
          <w:pPr>
            <w:pStyle w:val="Contents5"/>
            <w:tabs>
              <w:tab w:val="clear" w:pos="7892"/>
              <w:tab w:val="right" w:pos="9026" w:leader="dot"/>
            </w:tabs>
            <w:rPr/>
          </w:pPr>
          <w:hyperlink w:anchor="__RefHeading___Toc14099677_2142443653">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4099679_2142443653">
            <w:r>
              <w:rPr>
                <w:webHidden/>
                <w:rStyle w:val="IndexLink"/>
                <w:rtl w:val="true"/>
              </w:rPr>
              <w:t>تبصرة</w:t>
            </w:r>
            <w:r>
              <w:rPr>
                <w:rStyle w:val="IndexLink"/>
                <w:rtl w:val="true"/>
              </w:rPr>
              <w:t xml:space="preserve">: [ </w:t>
            </w:r>
            <w:r>
              <w:rPr>
                <w:rStyle w:val="IndexLink"/>
                <w:rtl w:val="true"/>
              </w:rPr>
              <w:t xml:space="preserve">في أقسام المياه </w:t>
            </w:r>
            <w:r>
              <w:rPr>
                <w:rStyle w:val="IndexLink"/>
                <w:rtl w:val="true"/>
              </w:rPr>
              <w:t>]</w:t>
              <w:tab/>
            </w:r>
            <w:r>
              <w:rPr>
                <w:rStyle w:val="IndexLink"/>
              </w:rPr>
              <w:t>95</w:t>
            </w:r>
          </w:hyperlink>
        </w:p>
        <w:p>
          <w:pPr>
            <w:pStyle w:val="Contents5"/>
            <w:tabs>
              <w:tab w:val="clear" w:pos="7892"/>
              <w:tab w:val="right" w:pos="9026" w:leader="dot"/>
            </w:tabs>
            <w:rPr/>
          </w:pPr>
          <w:hyperlink w:anchor="__RefHeading___Toc14099681_2142443653">
            <w:r>
              <w:rPr>
                <w:webHidden/>
                <w:rStyle w:val="IndexLink"/>
                <w:rtl w:val="true"/>
              </w:rPr>
              <w:t>تبصرة</w:t>
            </w:r>
            <w:r>
              <w:rPr>
                <w:rStyle w:val="IndexLink"/>
                <w:rtl w:val="true"/>
              </w:rPr>
              <w:t xml:space="preserve">: [ </w:t>
            </w:r>
            <w:r>
              <w:rPr>
                <w:rStyle w:val="IndexLink"/>
                <w:rtl w:val="true"/>
              </w:rPr>
              <w:t xml:space="preserve">في كيفيّة تنجّس الجاري </w:t>
            </w:r>
            <w:r>
              <w:rPr>
                <w:rStyle w:val="IndexLink"/>
                <w:rtl w:val="true"/>
              </w:rPr>
              <w:t>]</w:t>
              <w:tab/>
            </w:r>
            <w:r>
              <w:rPr>
                <w:rStyle w:val="IndexLink"/>
              </w:rPr>
              <w:t>98</w:t>
            </w:r>
          </w:hyperlink>
        </w:p>
        <w:p>
          <w:pPr>
            <w:pStyle w:val="Contents5"/>
            <w:tabs>
              <w:tab w:val="clear" w:pos="7892"/>
              <w:tab w:val="right" w:pos="9026" w:leader="dot"/>
            </w:tabs>
            <w:rPr/>
          </w:pPr>
          <w:hyperlink w:anchor="__RefHeading___Toc14099683_2142443653">
            <w:r>
              <w:rPr>
                <w:webHidden/>
                <w:rStyle w:val="IndexLink"/>
                <w:rtl w:val="true"/>
              </w:rPr>
              <w:t>تبصرة</w:t>
            </w:r>
            <w:r>
              <w:rPr>
                <w:rStyle w:val="IndexLink"/>
                <w:rtl w:val="true"/>
              </w:rPr>
              <w:t xml:space="preserve">: [ </w:t>
            </w:r>
            <w:r>
              <w:rPr>
                <w:rStyle w:val="IndexLink"/>
                <w:rtl w:val="true"/>
              </w:rPr>
              <w:t xml:space="preserve">في اعتبار كرّية المادة وعدمه </w:t>
            </w:r>
            <w:r>
              <w:rPr>
                <w:rStyle w:val="IndexLink"/>
                <w:rtl w:val="true"/>
              </w:rPr>
              <w:t>]</w:t>
              <w:tab/>
            </w:r>
            <w:r>
              <w:rPr>
                <w:rStyle w:val="IndexLink"/>
              </w:rPr>
              <w:t>105</w:t>
            </w:r>
          </w:hyperlink>
        </w:p>
        <w:p>
          <w:pPr>
            <w:pStyle w:val="Contents6"/>
            <w:tabs>
              <w:tab w:val="clear" w:pos="7609"/>
              <w:tab w:val="right" w:pos="9026" w:leader="dot"/>
            </w:tabs>
            <w:rPr/>
          </w:pPr>
          <w:hyperlink w:anchor="__RefHeading___Toc14099685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4099687_2142443653">
            <w:r>
              <w:rPr>
                <w:webHidden/>
                <w:rStyle w:val="IndexLink"/>
                <w:rtl w:val="true"/>
              </w:rPr>
              <w:t xml:space="preserve">[ </w:t>
            </w:r>
            <w:r>
              <w:rPr>
                <w:rStyle w:val="IndexLink"/>
                <w:rtl w:val="true"/>
              </w:rPr>
              <w:t xml:space="preserve">تطهير ماء الحمام </w:t>
            </w:r>
            <w:r>
              <w:rPr>
                <w:rStyle w:val="IndexLink"/>
                <w:rtl w:val="true"/>
              </w:rPr>
              <w:t>]</w:t>
              <w:tab/>
            </w:r>
            <w:r>
              <w:rPr>
                <w:rStyle w:val="IndexLink"/>
              </w:rPr>
              <w:t>112</w:t>
            </w:r>
          </w:hyperlink>
        </w:p>
        <w:p>
          <w:pPr>
            <w:pStyle w:val="Contents6"/>
            <w:tabs>
              <w:tab w:val="clear" w:pos="7609"/>
              <w:tab w:val="right" w:pos="9026" w:leader="dot"/>
            </w:tabs>
            <w:rPr/>
          </w:pPr>
          <w:hyperlink w:anchor="__RefHeading___Toc14099689_2142443653">
            <w:r>
              <w:rPr>
                <w:webHidden/>
                <w:rStyle w:val="IndexLink"/>
                <w:rtl w:val="true"/>
              </w:rPr>
              <w:t xml:space="preserve">[ </w:t>
            </w:r>
            <w:r>
              <w:rPr>
                <w:rStyle w:val="IndexLink"/>
                <w:rtl w:val="true"/>
              </w:rPr>
              <w:t xml:space="preserve">تسرية حكم الحمام إلى غيره </w:t>
            </w:r>
            <w:r>
              <w:rPr>
                <w:rStyle w:val="IndexLink"/>
                <w:rtl w:val="true"/>
              </w:rPr>
              <w:t>]</w:t>
              <w:tab/>
            </w:r>
            <w:r>
              <w:rPr>
                <w:rStyle w:val="IndexLink"/>
              </w:rPr>
              <w:t>114</w:t>
            </w:r>
          </w:hyperlink>
        </w:p>
        <w:p>
          <w:pPr>
            <w:pStyle w:val="Contents5"/>
            <w:tabs>
              <w:tab w:val="clear" w:pos="7892"/>
              <w:tab w:val="right" w:pos="9026" w:leader="dot"/>
            </w:tabs>
            <w:rPr/>
          </w:pPr>
          <w:hyperlink w:anchor="__RefHeading___Toc14099691_2142443653">
            <w:r>
              <w:rPr>
                <w:webHidden/>
                <w:rStyle w:val="IndexLink"/>
                <w:rtl w:val="true"/>
              </w:rPr>
              <w:t>تبصرة</w:t>
            </w:r>
            <w:r>
              <w:rPr>
                <w:rStyle w:val="IndexLink"/>
                <w:rtl w:val="true"/>
              </w:rPr>
              <w:t xml:space="preserve">: [ </w:t>
            </w:r>
            <w:r>
              <w:rPr>
                <w:rStyle w:val="IndexLink"/>
                <w:rtl w:val="true"/>
              </w:rPr>
              <w:t xml:space="preserve">في ماء المطر </w:t>
            </w:r>
            <w:r>
              <w:rPr>
                <w:rStyle w:val="IndexLink"/>
                <w:rtl w:val="true"/>
              </w:rPr>
              <w:t>]</w:t>
              <w:tab/>
            </w:r>
            <w:r>
              <w:rPr>
                <w:rStyle w:val="IndexLink"/>
              </w:rPr>
              <w:t>116</w:t>
            </w:r>
          </w:hyperlink>
        </w:p>
        <w:p>
          <w:pPr>
            <w:pStyle w:val="Contents6"/>
            <w:tabs>
              <w:tab w:val="clear" w:pos="7609"/>
              <w:tab w:val="right" w:pos="9026" w:leader="dot"/>
            </w:tabs>
            <w:rPr/>
          </w:pPr>
          <w:hyperlink w:anchor="__RefHeading___Toc14099693_2142443653">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14099695_2142443653">
            <w:r>
              <w:rPr>
                <w:webHidden/>
                <w:rStyle w:val="IndexLink"/>
                <w:rtl w:val="true"/>
              </w:rPr>
              <w:t xml:space="preserve">[ </w:t>
            </w:r>
            <w:r>
              <w:rPr>
                <w:rStyle w:val="IndexLink"/>
                <w:rtl w:val="true"/>
              </w:rPr>
              <w:t xml:space="preserve">المقام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بيان مسمّى المطر</w:t>
            </w:r>
            <w:r>
              <w:rPr>
                <w:rStyle w:val="IndexLink"/>
                <w:rtl w:val="true"/>
              </w:rPr>
              <w:t>.</w:t>
              <w:tab/>
            </w:r>
            <w:r>
              <w:rPr>
                <w:rStyle w:val="IndexLink"/>
              </w:rPr>
              <w:t>116</w:t>
            </w:r>
          </w:hyperlink>
        </w:p>
        <w:p>
          <w:pPr>
            <w:pStyle w:val="Contents6"/>
            <w:tabs>
              <w:tab w:val="clear" w:pos="7609"/>
              <w:tab w:val="right" w:pos="9026" w:leader="dot"/>
            </w:tabs>
            <w:rPr/>
          </w:pPr>
          <w:hyperlink w:anchor="__RefHeading___Toc14099697_2142443653">
            <w:r>
              <w:rPr>
                <w:webHidden/>
                <w:rStyle w:val="IndexLink"/>
                <w:rtl w:val="true"/>
              </w:rPr>
              <w:t>المقام الثاني</w:t>
            </w:r>
            <w:r>
              <w:rPr>
                <w:rStyle w:val="IndexLink"/>
                <w:rtl w:val="true"/>
              </w:rPr>
              <w:t xml:space="preserve">: </w:t>
            </w:r>
            <w:r>
              <w:rPr>
                <w:rStyle w:val="IndexLink"/>
                <w:rtl w:val="true"/>
              </w:rPr>
              <w:t xml:space="preserve">في بيان </w:t>
            </w:r>
            <w:r>
              <w:rPr>
                <w:rStyle w:val="IndexLink"/>
                <w:rtl w:val="true"/>
              </w:rPr>
              <w:t xml:space="preserve">( </w:t>
            </w:r>
            <w:r>
              <w:rPr>
                <w:rStyle w:val="IndexLink"/>
                <w:rtl w:val="true"/>
              </w:rPr>
              <w:t xml:space="preserve">الحكم </w:t>
            </w:r>
            <w:r>
              <w:rPr>
                <w:rStyle w:val="IndexLink"/>
                <w:rtl w:val="true"/>
              </w:rPr>
              <w:t>)</w:t>
              <w:tab/>
            </w:r>
            <w:r>
              <w:rPr>
                <w:rStyle w:val="IndexLink"/>
              </w:rPr>
              <w:t>118</w:t>
            </w:r>
          </w:hyperlink>
        </w:p>
        <w:p>
          <w:pPr>
            <w:pStyle w:val="Contents6"/>
            <w:tabs>
              <w:tab w:val="clear" w:pos="7609"/>
              <w:tab w:val="right" w:pos="9026" w:leader="dot"/>
            </w:tabs>
            <w:rPr/>
          </w:pPr>
          <w:hyperlink w:anchor="__RefHeading___Toc14099699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124</w:t>
            </w:r>
          </w:hyperlink>
        </w:p>
        <w:p>
          <w:pPr>
            <w:pStyle w:val="Contents5"/>
            <w:tabs>
              <w:tab w:val="clear" w:pos="7892"/>
              <w:tab w:val="right" w:pos="9026" w:leader="dot"/>
            </w:tabs>
            <w:rPr/>
          </w:pPr>
          <w:hyperlink w:anchor="__RefHeading___Toc14099701_2142443653">
            <w:r>
              <w:rPr>
                <w:webHidden/>
                <w:rStyle w:val="IndexLink"/>
                <w:rtl w:val="true"/>
              </w:rPr>
              <w:t>تبصرة</w:t>
            </w:r>
            <w:r>
              <w:rPr>
                <w:rStyle w:val="IndexLink"/>
                <w:rtl w:val="true"/>
              </w:rPr>
              <w:t xml:space="preserve">: [ </w:t>
            </w:r>
            <w:r>
              <w:rPr>
                <w:rStyle w:val="IndexLink"/>
                <w:rtl w:val="true"/>
              </w:rPr>
              <w:t xml:space="preserve">في تنجس ما دون الكر من الماء الراكد </w:t>
            </w:r>
            <w:r>
              <w:rPr>
                <w:rStyle w:val="IndexLink"/>
                <w:rtl w:val="true"/>
              </w:rPr>
              <w:t>]</w:t>
              <w:tab/>
            </w:r>
            <w:r>
              <w:rPr>
                <w:rStyle w:val="IndexLink"/>
              </w:rPr>
              <w:t>127</w:t>
            </w:r>
          </w:hyperlink>
        </w:p>
        <w:p>
          <w:pPr>
            <w:pStyle w:val="Contents5"/>
            <w:tabs>
              <w:tab w:val="clear" w:pos="7892"/>
              <w:tab w:val="right" w:pos="9026" w:leader="dot"/>
            </w:tabs>
            <w:rPr/>
          </w:pPr>
          <w:hyperlink w:anchor="__RefHeading___Toc14099703_2142443653">
            <w:r>
              <w:rPr>
                <w:webHidden/>
                <w:rStyle w:val="IndexLink"/>
                <w:rtl w:val="true"/>
              </w:rPr>
              <w:t xml:space="preserve">[ </w:t>
            </w:r>
            <w:r>
              <w:rPr>
                <w:rStyle w:val="IndexLink"/>
                <w:rtl w:val="true"/>
              </w:rPr>
              <w:t xml:space="preserve">انفعال القليل بملاقاة النجاسة </w:t>
            </w:r>
            <w:r>
              <w:rPr>
                <w:rStyle w:val="IndexLink"/>
                <w:rtl w:val="true"/>
              </w:rPr>
              <w:t>]</w:t>
              <w:tab/>
            </w:r>
            <w:r>
              <w:rPr>
                <w:rStyle w:val="IndexLink"/>
              </w:rPr>
              <w:t>128</w:t>
            </w:r>
          </w:hyperlink>
        </w:p>
        <w:p>
          <w:pPr>
            <w:pStyle w:val="Contents5"/>
            <w:tabs>
              <w:tab w:val="clear" w:pos="7892"/>
              <w:tab w:val="right" w:pos="9026" w:leader="dot"/>
            </w:tabs>
            <w:rPr/>
          </w:pPr>
          <w:hyperlink w:anchor="__RefHeading___Toc14099705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142</w:t>
            </w:r>
          </w:hyperlink>
        </w:p>
        <w:p>
          <w:pPr>
            <w:pStyle w:val="Contents4"/>
            <w:tabs>
              <w:tab w:val="clear" w:pos="8176"/>
              <w:tab w:val="right" w:pos="9026" w:leader="dot"/>
            </w:tabs>
            <w:rPr/>
          </w:pPr>
          <w:hyperlink w:anchor="__RefHeading___Toc14099707_2142443653">
            <w:r>
              <w:rPr>
                <w:webHidden/>
                <w:rStyle w:val="IndexLink"/>
                <w:rtl w:val="true"/>
              </w:rPr>
              <w:t>تبصرة</w:t>
            </w:r>
            <w:r>
              <w:rPr>
                <w:rStyle w:val="IndexLink"/>
                <w:rtl w:val="true"/>
              </w:rPr>
              <w:t xml:space="preserve">: [ </w:t>
            </w:r>
            <w:r>
              <w:rPr>
                <w:rStyle w:val="IndexLink"/>
                <w:rtl w:val="true"/>
              </w:rPr>
              <w:t xml:space="preserve">في حكم الكثير الراكد </w:t>
            </w:r>
            <w:r>
              <w:rPr>
                <w:rStyle w:val="IndexLink"/>
                <w:rtl w:val="true"/>
              </w:rPr>
              <w:t>]</w:t>
              <w:tab/>
            </w:r>
            <w:r>
              <w:rPr>
                <w:rStyle w:val="IndexLink"/>
              </w:rPr>
              <w:t>148</w:t>
            </w:r>
          </w:hyperlink>
        </w:p>
        <w:p>
          <w:pPr>
            <w:pStyle w:val="Contents5"/>
            <w:tabs>
              <w:tab w:val="clear" w:pos="7892"/>
              <w:tab w:val="right" w:pos="9026" w:leader="dot"/>
            </w:tabs>
            <w:rPr/>
          </w:pPr>
          <w:hyperlink w:anchor="__RefHeading___Toc14099709_2142443653">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4099711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155</w:t>
            </w:r>
          </w:hyperlink>
        </w:p>
        <w:p>
          <w:pPr>
            <w:pStyle w:val="Contents4"/>
            <w:tabs>
              <w:tab w:val="clear" w:pos="8176"/>
              <w:tab w:val="right" w:pos="9026" w:leader="dot"/>
            </w:tabs>
            <w:rPr/>
          </w:pPr>
          <w:hyperlink w:anchor="__RefHeading___Toc14099713_2142443653">
            <w:r>
              <w:rPr>
                <w:webHidden/>
                <w:rStyle w:val="IndexLink"/>
                <w:rtl w:val="true"/>
              </w:rPr>
              <w:t>تبصرة</w:t>
            </w:r>
            <w:r>
              <w:rPr>
                <w:rStyle w:val="IndexLink"/>
                <w:rtl w:val="true"/>
              </w:rPr>
              <w:t xml:space="preserve">: [ </w:t>
            </w:r>
            <w:r>
              <w:rPr>
                <w:rStyle w:val="IndexLink"/>
                <w:rtl w:val="true"/>
              </w:rPr>
              <w:t xml:space="preserve">في تقدير الكرّ بالوزن </w:t>
            </w:r>
            <w:r>
              <w:rPr>
                <w:rStyle w:val="IndexLink"/>
                <w:rtl w:val="true"/>
              </w:rPr>
              <w:t>]</w:t>
              <w:tab/>
            </w:r>
            <w:r>
              <w:rPr>
                <w:rStyle w:val="IndexLink"/>
              </w:rPr>
              <w:t>162</w:t>
            </w:r>
          </w:hyperlink>
        </w:p>
        <w:p>
          <w:pPr>
            <w:pStyle w:val="Contents4"/>
            <w:tabs>
              <w:tab w:val="clear" w:pos="8176"/>
              <w:tab w:val="right" w:pos="9026" w:leader="dot"/>
            </w:tabs>
            <w:rPr/>
          </w:pPr>
          <w:hyperlink w:anchor="__RefHeading___Toc14099715_2142443653">
            <w:r>
              <w:rPr>
                <w:webHidden/>
                <w:rStyle w:val="IndexLink"/>
                <w:rtl w:val="true"/>
              </w:rPr>
              <w:t>تبصرة</w:t>
            </w:r>
            <w:r>
              <w:rPr>
                <w:rStyle w:val="IndexLink"/>
                <w:rtl w:val="true"/>
              </w:rPr>
              <w:t xml:space="preserve">: [ </w:t>
            </w:r>
            <w:r>
              <w:rPr>
                <w:rStyle w:val="IndexLink"/>
                <w:rtl w:val="true"/>
              </w:rPr>
              <w:t xml:space="preserve">في تقدير الكر بالمساحة </w:t>
            </w:r>
            <w:r>
              <w:rPr>
                <w:rStyle w:val="IndexLink"/>
                <w:rtl w:val="true"/>
              </w:rPr>
              <w:t>]</w:t>
              <w:tab/>
            </w:r>
            <w:r>
              <w:rPr>
                <w:rStyle w:val="IndexLink"/>
              </w:rPr>
              <w:t>175</w:t>
            </w:r>
          </w:hyperlink>
        </w:p>
        <w:p>
          <w:pPr>
            <w:pStyle w:val="Contents5"/>
            <w:tabs>
              <w:tab w:val="clear" w:pos="7892"/>
              <w:tab w:val="right" w:pos="9026" w:leader="dot"/>
            </w:tabs>
            <w:rPr/>
          </w:pPr>
          <w:hyperlink w:anchor="__RefHeading___Toc14099717_2142443653">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4099719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189</w:t>
            </w:r>
          </w:hyperlink>
        </w:p>
        <w:p>
          <w:pPr>
            <w:pStyle w:val="Contents4"/>
            <w:tabs>
              <w:tab w:val="clear" w:pos="8176"/>
              <w:tab w:val="right" w:pos="9026" w:leader="dot"/>
            </w:tabs>
            <w:rPr/>
          </w:pPr>
          <w:hyperlink w:anchor="__RefHeading___Toc14099721_2142443653">
            <w:r>
              <w:rPr>
                <w:webHidden/>
                <w:rStyle w:val="IndexLink"/>
                <w:rtl w:val="true"/>
              </w:rPr>
              <w:t>تبصرة</w:t>
            </w:r>
            <w:r>
              <w:rPr>
                <w:rStyle w:val="IndexLink"/>
                <w:rtl w:val="true"/>
              </w:rPr>
              <w:t xml:space="preserve">: [ </w:t>
            </w:r>
            <w:r>
              <w:rPr>
                <w:rStyle w:val="IndexLink"/>
                <w:rtl w:val="true"/>
              </w:rPr>
              <w:t xml:space="preserve">في موضوع البئر وبعض أحكامها </w:t>
            </w:r>
            <w:r>
              <w:rPr>
                <w:rStyle w:val="IndexLink"/>
                <w:rtl w:val="true"/>
              </w:rPr>
              <w:t>]</w:t>
              <w:tab/>
            </w:r>
            <w:r>
              <w:rPr>
                <w:rStyle w:val="IndexLink"/>
              </w:rPr>
              <w:t>192</w:t>
            </w:r>
          </w:hyperlink>
        </w:p>
        <w:p>
          <w:pPr>
            <w:pStyle w:val="Contents4"/>
            <w:tabs>
              <w:tab w:val="clear" w:pos="8176"/>
              <w:tab w:val="right" w:pos="9026" w:leader="dot"/>
            </w:tabs>
            <w:rPr/>
          </w:pPr>
          <w:hyperlink w:anchor="__RefHeading___Toc14099723_2142443653">
            <w:r>
              <w:rPr>
                <w:webHidden/>
                <w:rStyle w:val="IndexLink"/>
                <w:rtl w:val="true"/>
              </w:rPr>
              <w:t>تبصرة</w:t>
            </w:r>
            <w:r>
              <w:rPr>
                <w:rStyle w:val="IndexLink"/>
                <w:rtl w:val="true"/>
              </w:rPr>
              <w:t xml:space="preserve">: [ </w:t>
            </w:r>
            <w:r>
              <w:rPr>
                <w:rStyle w:val="IndexLink"/>
                <w:rtl w:val="true"/>
              </w:rPr>
              <w:t xml:space="preserve">في كيفية اعتصام البئر بالملاقاة </w:t>
            </w:r>
            <w:r>
              <w:rPr>
                <w:rStyle w:val="IndexLink"/>
                <w:rtl w:val="true"/>
              </w:rPr>
              <w:t>]</w:t>
              <w:tab/>
            </w:r>
            <w:r>
              <w:rPr>
                <w:rStyle w:val="IndexLink"/>
              </w:rPr>
              <w:t>196</w:t>
            </w:r>
          </w:hyperlink>
        </w:p>
        <w:p>
          <w:pPr>
            <w:pStyle w:val="Contents4"/>
            <w:tabs>
              <w:tab w:val="clear" w:pos="8176"/>
              <w:tab w:val="right" w:pos="9026" w:leader="dot"/>
            </w:tabs>
            <w:rPr/>
          </w:pPr>
          <w:hyperlink w:anchor="__RefHeading___Toc14099725_2142443653">
            <w:r>
              <w:rPr>
                <w:webHidden/>
                <w:rStyle w:val="IndexLink"/>
                <w:rtl w:val="true"/>
              </w:rPr>
              <w:t>تبصرة</w:t>
            </w:r>
            <w:r>
              <w:rPr>
                <w:rStyle w:val="IndexLink"/>
                <w:rtl w:val="true"/>
              </w:rPr>
              <w:t xml:space="preserve">: [ </w:t>
            </w:r>
            <w:r>
              <w:rPr>
                <w:rStyle w:val="IndexLink"/>
                <w:rtl w:val="true"/>
              </w:rPr>
              <w:t xml:space="preserve">في تطهير المياه النجسة </w:t>
            </w:r>
            <w:r>
              <w:rPr>
                <w:rStyle w:val="IndexLink"/>
                <w:rtl w:val="true"/>
              </w:rPr>
              <w:t>]</w:t>
              <w:tab/>
            </w:r>
            <w:r>
              <w:rPr>
                <w:rStyle w:val="IndexLink"/>
              </w:rPr>
              <w:t>210</w:t>
            </w:r>
          </w:hyperlink>
        </w:p>
        <w:p>
          <w:pPr>
            <w:pStyle w:val="Contents5"/>
            <w:tabs>
              <w:tab w:val="clear" w:pos="7892"/>
              <w:tab w:val="right" w:pos="9026" w:leader="dot"/>
            </w:tabs>
            <w:rPr/>
          </w:pPr>
          <w:hyperlink w:anchor="__RefHeading___Toc14099727_2142443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4099729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215</w:t>
            </w:r>
          </w:hyperlink>
        </w:p>
        <w:p>
          <w:pPr>
            <w:pStyle w:val="Contents5"/>
            <w:tabs>
              <w:tab w:val="clear" w:pos="7892"/>
              <w:tab w:val="right" w:pos="9026" w:leader="dot"/>
            </w:tabs>
            <w:rPr/>
          </w:pPr>
          <w:hyperlink w:anchor="__RefHeading___Toc14099731_2142443653">
            <w:r>
              <w:rPr>
                <w:webHidden/>
                <w:rStyle w:val="IndexLink"/>
                <w:rtl w:val="true"/>
              </w:rPr>
              <w:t xml:space="preserve">[ </w:t>
            </w:r>
            <w:r>
              <w:rPr>
                <w:rStyle w:val="IndexLink"/>
                <w:rtl w:val="true"/>
              </w:rPr>
              <w:t xml:space="preserve">مسائل </w:t>
            </w:r>
            <w:r>
              <w:rPr>
                <w:rStyle w:val="IndexLink"/>
                <w:rtl w:val="true"/>
              </w:rPr>
              <w:t>]</w:t>
              <w:tab/>
            </w:r>
            <w:r>
              <w:rPr>
                <w:rStyle w:val="IndexLink"/>
              </w:rPr>
              <w:t>218</w:t>
            </w:r>
          </w:hyperlink>
        </w:p>
        <w:p>
          <w:pPr>
            <w:pStyle w:val="Contents4"/>
            <w:tabs>
              <w:tab w:val="clear" w:pos="8176"/>
              <w:tab w:val="right" w:pos="9026" w:leader="dot"/>
            </w:tabs>
            <w:rPr/>
          </w:pPr>
          <w:hyperlink w:anchor="__RefHeading___Toc14099733_2142443653">
            <w:r>
              <w:rPr>
                <w:webHidden/>
                <w:rStyle w:val="IndexLink"/>
                <w:rtl w:val="true"/>
              </w:rPr>
              <w:t>تبصرة</w:t>
            </w:r>
            <w:r>
              <w:rPr>
                <w:rStyle w:val="IndexLink"/>
                <w:rtl w:val="true"/>
              </w:rPr>
              <w:t xml:space="preserve">: [ </w:t>
            </w:r>
            <w:r>
              <w:rPr>
                <w:rStyle w:val="IndexLink"/>
                <w:rtl w:val="true"/>
              </w:rPr>
              <w:t xml:space="preserve">في كيفية تطهير البئر ، والكلام في النزح </w:t>
            </w:r>
            <w:r>
              <w:rPr>
                <w:rStyle w:val="IndexLink"/>
                <w:rtl w:val="true"/>
              </w:rPr>
              <w:t>]</w:t>
              <w:tab/>
            </w:r>
            <w:r>
              <w:rPr>
                <w:rStyle w:val="IndexLink"/>
              </w:rPr>
              <w:t>226</w:t>
            </w:r>
          </w:hyperlink>
        </w:p>
        <w:p>
          <w:pPr>
            <w:pStyle w:val="Contents4"/>
            <w:tabs>
              <w:tab w:val="clear" w:pos="8176"/>
              <w:tab w:val="right" w:pos="9026" w:leader="dot"/>
            </w:tabs>
            <w:rPr/>
          </w:pPr>
          <w:hyperlink w:anchor="__RefHeading___Toc14099735_2142443653">
            <w:r>
              <w:rPr>
                <w:webHidden/>
                <w:rStyle w:val="IndexLink"/>
                <w:rtl w:val="true"/>
              </w:rPr>
              <w:t>تبصرة</w:t>
            </w:r>
            <w:r>
              <w:rPr>
                <w:rStyle w:val="IndexLink"/>
                <w:rtl w:val="true"/>
              </w:rPr>
              <w:t xml:space="preserve">: [ </w:t>
            </w:r>
            <w:r>
              <w:rPr>
                <w:rStyle w:val="IndexLink"/>
                <w:rtl w:val="true"/>
              </w:rPr>
              <w:t xml:space="preserve">في مقدار نزح ماء البئر </w:t>
            </w:r>
            <w:r>
              <w:rPr>
                <w:rStyle w:val="IndexLink"/>
                <w:rtl w:val="true"/>
              </w:rPr>
              <w:t>]</w:t>
              <w:tab/>
            </w:r>
            <w:r>
              <w:rPr>
                <w:rStyle w:val="IndexLink"/>
              </w:rPr>
              <w:t>230</w:t>
            </w:r>
          </w:hyperlink>
        </w:p>
        <w:p>
          <w:pPr>
            <w:pStyle w:val="Contents4"/>
            <w:tabs>
              <w:tab w:val="clear" w:pos="8176"/>
              <w:tab w:val="right" w:pos="9026" w:leader="dot"/>
            </w:tabs>
            <w:rPr/>
          </w:pPr>
          <w:hyperlink w:anchor="__RefHeading___Toc14099737_2142443653">
            <w:r>
              <w:rPr>
                <w:webHidden/>
                <w:rStyle w:val="IndexLink"/>
                <w:rtl w:val="true"/>
              </w:rPr>
              <w:t>تبصرة</w:t>
            </w:r>
            <w:r>
              <w:rPr>
                <w:rStyle w:val="IndexLink"/>
                <w:rtl w:val="true"/>
              </w:rPr>
              <w:t xml:space="preserve">: [ </w:t>
            </w:r>
            <w:r>
              <w:rPr>
                <w:rStyle w:val="IndexLink"/>
                <w:rtl w:val="true"/>
              </w:rPr>
              <w:t xml:space="preserve">في تراوح الرجال ونزح ماء البئر </w:t>
            </w:r>
            <w:r>
              <w:rPr>
                <w:rStyle w:val="IndexLink"/>
                <w:rtl w:val="true"/>
              </w:rPr>
              <w:t>]</w:t>
              <w:tab/>
            </w:r>
            <w:r>
              <w:rPr>
                <w:rStyle w:val="IndexLink"/>
              </w:rPr>
              <w:t>239</w:t>
            </w:r>
          </w:hyperlink>
        </w:p>
        <w:p>
          <w:pPr>
            <w:pStyle w:val="Contents4"/>
            <w:tabs>
              <w:tab w:val="clear" w:pos="8176"/>
              <w:tab w:val="right" w:pos="9026" w:leader="dot"/>
            </w:tabs>
            <w:rPr/>
          </w:pPr>
          <w:hyperlink w:anchor="__RefHeading___Toc14099739_2142443653">
            <w:r>
              <w:rPr>
                <w:webHidden/>
                <w:rStyle w:val="IndexLink"/>
                <w:rtl w:val="true"/>
              </w:rPr>
              <w:t>تبصرة</w:t>
            </w:r>
            <w:r>
              <w:rPr>
                <w:rStyle w:val="IndexLink"/>
                <w:rtl w:val="true"/>
              </w:rPr>
              <w:t xml:space="preserve">: [ </w:t>
            </w:r>
            <w:r>
              <w:rPr>
                <w:rStyle w:val="IndexLink"/>
                <w:rtl w:val="true"/>
              </w:rPr>
              <w:t xml:space="preserve">في نزح الماء للدوابّ </w:t>
            </w:r>
            <w:r>
              <w:rPr>
                <w:rStyle w:val="IndexLink"/>
                <w:rtl w:val="true"/>
              </w:rPr>
              <w:t>]</w:t>
              <w:tab/>
            </w:r>
            <w:r>
              <w:rPr>
                <w:rStyle w:val="IndexLink"/>
              </w:rPr>
              <w:t>248</w:t>
            </w:r>
          </w:hyperlink>
        </w:p>
        <w:p>
          <w:pPr>
            <w:pStyle w:val="Contents4"/>
            <w:tabs>
              <w:tab w:val="clear" w:pos="8176"/>
              <w:tab w:val="right" w:pos="9026" w:leader="dot"/>
            </w:tabs>
            <w:rPr/>
          </w:pPr>
          <w:hyperlink w:anchor="__RefHeading___Toc14099741_2142443653">
            <w:r>
              <w:rPr>
                <w:webHidden/>
                <w:rStyle w:val="IndexLink"/>
                <w:rtl w:val="true"/>
              </w:rPr>
              <w:t>تبصرة</w:t>
            </w:r>
            <w:r>
              <w:rPr>
                <w:rStyle w:val="IndexLink"/>
                <w:rtl w:val="true"/>
              </w:rPr>
              <w:t xml:space="preserve">: [ </w:t>
            </w:r>
            <w:r>
              <w:rPr>
                <w:rStyle w:val="IndexLink"/>
                <w:rtl w:val="true"/>
              </w:rPr>
              <w:t xml:space="preserve">في النزح لموت الإنسان </w:t>
            </w:r>
            <w:r>
              <w:rPr>
                <w:rStyle w:val="IndexLink"/>
                <w:rtl w:val="true"/>
              </w:rPr>
              <w:t>]</w:t>
              <w:tab/>
            </w:r>
            <w:r>
              <w:rPr>
                <w:rStyle w:val="IndexLink"/>
              </w:rPr>
              <w:t>253</w:t>
            </w:r>
          </w:hyperlink>
        </w:p>
        <w:p>
          <w:pPr>
            <w:pStyle w:val="Contents4"/>
            <w:tabs>
              <w:tab w:val="clear" w:pos="8176"/>
              <w:tab w:val="right" w:pos="9026" w:leader="dot"/>
            </w:tabs>
            <w:rPr/>
          </w:pPr>
          <w:hyperlink w:anchor="__RefHeading___Toc14099743_2142443653">
            <w:r>
              <w:rPr>
                <w:webHidden/>
                <w:rStyle w:val="IndexLink"/>
                <w:rtl w:val="true"/>
              </w:rPr>
              <w:t>تبصرة</w:t>
            </w:r>
            <w:r>
              <w:rPr>
                <w:rStyle w:val="IndexLink"/>
                <w:rtl w:val="true"/>
              </w:rPr>
              <w:t xml:space="preserve">: [ </w:t>
            </w:r>
            <w:r>
              <w:rPr>
                <w:rStyle w:val="IndexLink"/>
                <w:rtl w:val="true"/>
              </w:rPr>
              <w:t xml:space="preserve">في ثبوت نزح الخمسين </w:t>
            </w:r>
            <w:r>
              <w:rPr>
                <w:rStyle w:val="IndexLink"/>
                <w:rtl w:val="true"/>
              </w:rPr>
              <w:t>]</w:t>
              <w:tab/>
            </w:r>
            <w:r>
              <w:rPr>
                <w:rStyle w:val="IndexLink"/>
              </w:rPr>
              <w:t>256</w:t>
            </w:r>
          </w:hyperlink>
        </w:p>
        <w:p>
          <w:pPr>
            <w:pStyle w:val="Contents4"/>
            <w:tabs>
              <w:tab w:val="clear" w:pos="8176"/>
              <w:tab w:val="right" w:pos="9026" w:leader="dot"/>
            </w:tabs>
            <w:rPr/>
          </w:pPr>
          <w:hyperlink w:anchor="__RefHeading___Toc14099745_2142443653">
            <w:r>
              <w:rPr>
                <w:webHidden/>
                <w:rStyle w:val="IndexLink"/>
                <w:rtl w:val="true"/>
              </w:rPr>
              <w:t>تبصرة</w:t>
            </w:r>
            <w:r>
              <w:rPr>
                <w:rStyle w:val="IndexLink"/>
                <w:rtl w:val="true"/>
              </w:rPr>
              <w:t xml:space="preserve">: </w:t>
            </w:r>
            <w:r>
              <w:rPr>
                <w:rStyle w:val="IndexLink"/>
                <w:rtl w:val="true"/>
              </w:rPr>
              <w:t>في نزح الأربعين دلوا</w:t>
            </w:r>
            <w:r>
              <w:rPr>
                <w:rStyle w:val="IndexLink"/>
                <w:rtl w:val="true"/>
              </w:rPr>
              <w:tab/>
            </w:r>
            <w:r>
              <w:rPr>
                <w:rStyle w:val="IndexLink"/>
              </w:rPr>
              <w:t>262</w:t>
            </w:r>
          </w:hyperlink>
        </w:p>
        <w:p>
          <w:pPr>
            <w:pStyle w:val="Contents4"/>
            <w:tabs>
              <w:tab w:val="clear" w:pos="8176"/>
              <w:tab w:val="right" w:pos="9026" w:leader="dot"/>
            </w:tabs>
            <w:rPr/>
          </w:pPr>
          <w:hyperlink w:anchor="__RefHeading___Toc14099747_2142443653">
            <w:r>
              <w:rPr>
                <w:webHidden/>
                <w:rStyle w:val="IndexLink"/>
                <w:rtl w:val="true"/>
              </w:rPr>
              <w:t>تبصرة</w:t>
            </w:r>
            <w:r>
              <w:rPr>
                <w:rStyle w:val="IndexLink"/>
                <w:rtl w:val="true"/>
              </w:rPr>
              <w:t xml:space="preserve">: </w:t>
            </w:r>
            <w:r>
              <w:rPr>
                <w:rStyle w:val="IndexLink"/>
                <w:rtl w:val="true"/>
              </w:rPr>
              <w:t>في نزح الثلاثين دلوا</w:t>
            </w:r>
            <w:r>
              <w:rPr>
                <w:rStyle w:val="IndexLink"/>
                <w:rtl w:val="true"/>
              </w:rPr>
              <w:tab/>
            </w:r>
            <w:r>
              <w:rPr>
                <w:rStyle w:val="IndexLink"/>
              </w:rPr>
              <w:t>270</w:t>
            </w:r>
          </w:hyperlink>
        </w:p>
        <w:p>
          <w:pPr>
            <w:pStyle w:val="Contents4"/>
            <w:tabs>
              <w:tab w:val="clear" w:pos="8176"/>
              <w:tab w:val="right" w:pos="9026" w:leader="dot"/>
            </w:tabs>
            <w:rPr/>
          </w:pPr>
          <w:hyperlink w:anchor="__RefHeading___Toc14099749_2142443653">
            <w:r>
              <w:rPr>
                <w:webHidden/>
                <w:rStyle w:val="IndexLink"/>
                <w:rtl w:val="true"/>
              </w:rPr>
              <w:t>تبصرة</w:t>
            </w:r>
            <w:r>
              <w:rPr>
                <w:rStyle w:val="IndexLink"/>
                <w:rtl w:val="true"/>
              </w:rPr>
              <w:t xml:space="preserve">: [ </w:t>
            </w:r>
            <w:r>
              <w:rPr>
                <w:rStyle w:val="IndexLink"/>
                <w:rtl w:val="true"/>
              </w:rPr>
              <w:t xml:space="preserve">في المضاف والأسئار </w:t>
            </w:r>
            <w:r>
              <w:rPr>
                <w:rStyle w:val="IndexLink"/>
                <w:rtl w:val="true"/>
              </w:rPr>
              <w:t>]</w:t>
              <w:tab/>
            </w:r>
            <w:r>
              <w:rPr>
                <w:rStyle w:val="IndexLink"/>
              </w:rPr>
              <w:t>274</w:t>
            </w:r>
          </w:hyperlink>
        </w:p>
        <w:p>
          <w:pPr>
            <w:pStyle w:val="Contents4"/>
            <w:tabs>
              <w:tab w:val="clear" w:pos="8176"/>
              <w:tab w:val="right" w:pos="9026" w:leader="dot"/>
            </w:tabs>
            <w:rPr/>
          </w:pPr>
          <w:hyperlink w:anchor="__RefHeading___Toc14099751_2142443653">
            <w:r>
              <w:rPr>
                <w:webHidden/>
                <w:rStyle w:val="IndexLink"/>
                <w:rtl w:val="true"/>
              </w:rPr>
              <w:t>تبصرة</w:t>
            </w:r>
            <w:r>
              <w:rPr>
                <w:rStyle w:val="IndexLink"/>
                <w:rtl w:val="true"/>
              </w:rPr>
              <w:t xml:space="preserve">: [ </w:t>
            </w:r>
            <w:r>
              <w:rPr>
                <w:rStyle w:val="IndexLink"/>
                <w:rtl w:val="true"/>
              </w:rPr>
              <w:t xml:space="preserve">في امتزاج المضاف بالمطلق </w:t>
            </w:r>
            <w:r>
              <w:rPr>
                <w:rStyle w:val="IndexLink"/>
                <w:rtl w:val="true"/>
              </w:rPr>
              <w:t>]</w:t>
              <w:tab/>
            </w:r>
            <w:r>
              <w:rPr>
                <w:rStyle w:val="IndexLink"/>
              </w:rPr>
              <w:t>276</w:t>
            </w:r>
          </w:hyperlink>
        </w:p>
        <w:p>
          <w:pPr>
            <w:pStyle w:val="Contents4"/>
            <w:tabs>
              <w:tab w:val="clear" w:pos="8176"/>
              <w:tab w:val="right" w:pos="9026" w:leader="dot"/>
            </w:tabs>
            <w:rPr/>
          </w:pPr>
          <w:hyperlink w:anchor="__RefHeading___Toc14099753_2142443653">
            <w:r>
              <w:rPr>
                <w:webHidden/>
                <w:rStyle w:val="IndexLink"/>
                <w:rtl w:val="true"/>
              </w:rPr>
              <w:t>تبصرة</w:t>
            </w:r>
            <w:r>
              <w:rPr>
                <w:rStyle w:val="IndexLink"/>
                <w:rtl w:val="true"/>
              </w:rPr>
              <w:t xml:space="preserve">: [ </w:t>
            </w:r>
            <w:r>
              <w:rPr>
                <w:rStyle w:val="IndexLink"/>
                <w:rtl w:val="true"/>
              </w:rPr>
              <w:t xml:space="preserve">في تنجس المضاف </w:t>
            </w:r>
            <w:r>
              <w:rPr>
                <w:rStyle w:val="IndexLink"/>
                <w:rtl w:val="true"/>
              </w:rPr>
              <w:t>]</w:t>
              <w:tab/>
            </w:r>
            <w:r>
              <w:rPr>
                <w:rStyle w:val="IndexLink"/>
              </w:rPr>
              <w:t>280</w:t>
            </w:r>
          </w:hyperlink>
        </w:p>
        <w:p>
          <w:pPr>
            <w:pStyle w:val="Contents4"/>
            <w:tabs>
              <w:tab w:val="clear" w:pos="8176"/>
              <w:tab w:val="right" w:pos="9026" w:leader="dot"/>
            </w:tabs>
            <w:rPr/>
          </w:pPr>
          <w:hyperlink w:anchor="__RefHeading___Toc14099755_2142443653">
            <w:r>
              <w:rPr>
                <w:webHidden/>
                <w:rStyle w:val="IndexLink"/>
                <w:rtl w:val="true"/>
              </w:rPr>
              <w:t>تبصرة</w:t>
            </w:r>
            <w:r>
              <w:rPr>
                <w:rStyle w:val="IndexLink"/>
                <w:rtl w:val="true"/>
              </w:rPr>
              <w:t xml:space="preserve">: [ </w:t>
            </w:r>
            <w:r>
              <w:rPr>
                <w:rStyle w:val="IndexLink"/>
                <w:rtl w:val="true"/>
              </w:rPr>
              <w:t xml:space="preserve">في الاختلاف في طهورية المضاف أحيانا </w:t>
            </w:r>
            <w:r>
              <w:rPr>
                <w:rStyle w:val="IndexLink"/>
                <w:rtl w:val="true"/>
              </w:rPr>
              <w:t>]</w:t>
              <w:tab/>
            </w:r>
            <w:r>
              <w:rPr>
                <w:rStyle w:val="IndexLink"/>
              </w:rPr>
              <w:t>285</w:t>
            </w:r>
          </w:hyperlink>
        </w:p>
        <w:p>
          <w:pPr>
            <w:pStyle w:val="Contents4"/>
            <w:tabs>
              <w:tab w:val="clear" w:pos="8176"/>
              <w:tab w:val="right" w:pos="9026" w:leader="dot"/>
            </w:tabs>
            <w:rPr/>
          </w:pPr>
          <w:hyperlink w:anchor="__RefHeading___Toc14099757_2142443653">
            <w:r>
              <w:rPr>
                <w:webHidden/>
                <w:rStyle w:val="IndexLink"/>
                <w:rtl w:val="true"/>
              </w:rPr>
              <w:t>تبصرة</w:t>
            </w:r>
            <w:r>
              <w:rPr>
                <w:rStyle w:val="IndexLink"/>
                <w:rtl w:val="true"/>
              </w:rPr>
              <w:t xml:space="preserve">: [ </w:t>
            </w:r>
            <w:r>
              <w:rPr>
                <w:rStyle w:val="IndexLink"/>
                <w:rtl w:val="true"/>
              </w:rPr>
              <w:t xml:space="preserve">في كيفية تطهير المضاف المتنجّس </w:t>
            </w:r>
            <w:r>
              <w:rPr>
                <w:rStyle w:val="IndexLink"/>
                <w:rtl w:val="true"/>
              </w:rPr>
              <w:t>]</w:t>
              <w:tab/>
            </w:r>
            <w:r>
              <w:rPr>
                <w:rStyle w:val="IndexLink"/>
              </w:rPr>
              <w:t>292</w:t>
            </w:r>
          </w:hyperlink>
        </w:p>
        <w:p>
          <w:pPr>
            <w:pStyle w:val="Contents4"/>
            <w:tabs>
              <w:tab w:val="clear" w:pos="8176"/>
              <w:tab w:val="right" w:pos="9026" w:leader="dot"/>
            </w:tabs>
            <w:rPr/>
          </w:pPr>
          <w:hyperlink w:anchor="__RefHeading___Toc14099759_2142443653">
            <w:r>
              <w:rPr>
                <w:webHidden/>
                <w:rStyle w:val="IndexLink"/>
                <w:rtl w:val="true"/>
              </w:rPr>
              <w:t>تبصرة</w:t>
            </w:r>
            <w:r>
              <w:rPr>
                <w:rStyle w:val="IndexLink"/>
                <w:rtl w:val="true"/>
              </w:rPr>
              <w:t xml:space="preserve">: [ </w:t>
            </w:r>
            <w:r>
              <w:rPr>
                <w:rStyle w:val="IndexLink"/>
                <w:rtl w:val="true"/>
              </w:rPr>
              <w:t xml:space="preserve">في تحديد السؤر </w:t>
            </w:r>
            <w:r>
              <w:rPr>
                <w:rStyle w:val="IndexLink"/>
                <w:rtl w:val="true"/>
              </w:rPr>
              <w:t>]</w:t>
              <w:tab/>
            </w:r>
            <w:r>
              <w:rPr>
                <w:rStyle w:val="IndexLink"/>
              </w:rPr>
              <w:t>296</w:t>
            </w:r>
          </w:hyperlink>
        </w:p>
        <w:p>
          <w:pPr>
            <w:pStyle w:val="Contents4"/>
            <w:tabs>
              <w:tab w:val="clear" w:pos="8176"/>
              <w:tab w:val="right" w:pos="9026" w:leader="dot"/>
            </w:tabs>
            <w:rPr/>
          </w:pPr>
          <w:hyperlink w:anchor="__RefHeading___Toc14099761_2142443653">
            <w:r>
              <w:rPr>
                <w:webHidden/>
                <w:rStyle w:val="IndexLink"/>
                <w:rtl w:val="true"/>
              </w:rPr>
              <w:t>تبصرة</w:t>
            </w:r>
            <w:r>
              <w:rPr>
                <w:rStyle w:val="IndexLink"/>
                <w:rtl w:val="true"/>
              </w:rPr>
              <w:t xml:space="preserve">: [ </w:t>
            </w:r>
            <w:r>
              <w:rPr>
                <w:rStyle w:val="IndexLink"/>
                <w:rtl w:val="true"/>
              </w:rPr>
              <w:t xml:space="preserve">في تبعية السؤر للحيوان في الطهارة والنجاسة </w:t>
            </w:r>
            <w:r>
              <w:rPr>
                <w:rStyle w:val="IndexLink"/>
                <w:rtl w:val="true"/>
              </w:rPr>
              <w:t>]</w:t>
              <w:tab/>
            </w:r>
            <w:r>
              <w:rPr>
                <w:rStyle w:val="IndexLink"/>
              </w:rPr>
              <w:t>300</w:t>
            </w:r>
          </w:hyperlink>
        </w:p>
        <w:p>
          <w:pPr>
            <w:pStyle w:val="Contents4"/>
            <w:tabs>
              <w:tab w:val="clear" w:pos="8176"/>
              <w:tab w:val="right" w:pos="9026" w:leader="dot"/>
            </w:tabs>
            <w:rPr/>
          </w:pPr>
          <w:hyperlink w:anchor="__RefHeading___Toc14099763_2142443653">
            <w:r>
              <w:rPr>
                <w:webHidden/>
                <w:rStyle w:val="IndexLink"/>
                <w:rtl w:val="true"/>
              </w:rPr>
              <w:t>تبصرة</w:t>
            </w:r>
            <w:r>
              <w:rPr>
                <w:rStyle w:val="IndexLink"/>
                <w:rtl w:val="true"/>
              </w:rPr>
              <w:t xml:space="preserve">: [ </w:t>
            </w:r>
            <w:r>
              <w:rPr>
                <w:rStyle w:val="IndexLink"/>
                <w:rtl w:val="true"/>
              </w:rPr>
              <w:t xml:space="preserve">في سؤر الحائض </w:t>
            </w:r>
            <w:r>
              <w:rPr>
                <w:rStyle w:val="IndexLink"/>
                <w:rtl w:val="true"/>
              </w:rPr>
              <w:t>]</w:t>
              <w:tab/>
            </w:r>
            <w:r>
              <w:rPr>
                <w:rStyle w:val="IndexLink"/>
              </w:rPr>
              <w:t>307</w:t>
            </w:r>
          </w:hyperlink>
        </w:p>
        <w:p>
          <w:pPr>
            <w:pStyle w:val="Contents4"/>
            <w:tabs>
              <w:tab w:val="clear" w:pos="8176"/>
              <w:tab w:val="right" w:pos="9026" w:leader="dot"/>
            </w:tabs>
            <w:rPr/>
          </w:pPr>
          <w:hyperlink w:anchor="__RefHeading___Toc14099765_2142443653">
            <w:r>
              <w:rPr>
                <w:webHidden/>
                <w:rStyle w:val="IndexLink"/>
                <w:rtl w:val="true"/>
              </w:rPr>
              <w:t>تبصرة</w:t>
            </w:r>
            <w:r>
              <w:rPr>
                <w:rStyle w:val="IndexLink"/>
                <w:rtl w:val="true"/>
              </w:rPr>
              <w:t xml:space="preserve">: [ </w:t>
            </w:r>
            <w:r>
              <w:rPr>
                <w:rStyle w:val="IndexLink"/>
                <w:rtl w:val="true"/>
              </w:rPr>
              <w:t xml:space="preserve">في كراهية سؤر الحائض المتّهمة </w:t>
            </w:r>
            <w:r>
              <w:rPr>
                <w:rStyle w:val="IndexLink"/>
                <w:rtl w:val="true"/>
              </w:rPr>
              <w:t>]</w:t>
              <w:tab/>
            </w:r>
            <w:r>
              <w:rPr>
                <w:rStyle w:val="IndexLink"/>
              </w:rPr>
              <w:t>308</w:t>
            </w:r>
          </w:hyperlink>
        </w:p>
        <w:p>
          <w:pPr>
            <w:pStyle w:val="Contents4"/>
            <w:tabs>
              <w:tab w:val="clear" w:pos="8176"/>
              <w:tab w:val="right" w:pos="9026" w:leader="dot"/>
            </w:tabs>
            <w:rPr/>
          </w:pPr>
          <w:hyperlink w:anchor="__RefHeading___Toc14099767_2142443653">
            <w:r>
              <w:rPr>
                <w:webHidden/>
                <w:rStyle w:val="IndexLink"/>
                <w:rtl w:val="true"/>
              </w:rPr>
              <w:t>فصل</w:t>
            </w:r>
            <w:r>
              <w:rPr>
                <w:rStyle w:val="IndexLink"/>
                <w:rtl w:val="true"/>
              </w:rPr>
              <w:t xml:space="preserve">: </w:t>
            </w:r>
            <w:r>
              <w:rPr>
                <w:rStyle w:val="IndexLink"/>
                <w:rtl w:val="true"/>
              </w:rPr>
              <w:t>في الماء المستعمل في إزالة الأخباث أو رفع الأحداث</w:t>
            </w:r>
            <w:r>
              <w:rPr>
                <w:rStyle w:val="IndexLink"/>
                <w:rtl w:val="true"/>
              </w:rPr>
              <w:tab/>
            </w:r>
            <w:r>
              <w:rPr>
                <w:rStyle w:val="IndexLink"/>
              </w:rPr>
              <w:t>311</w:t>
            </w:r>
          </w:hyperlink>
        </w:p>
        <w:p>
          <w:pPr>
            <w:pStyle w:val="Contents4"/>
            <w:tabs>
              <w:tab w:val="clear" w:pos="8176"/>
              <w:tab w:val="right" w:pos="9026" w:leader="dot"/>
            </w:tabs>
            <w:rPr/>
          </w:pPr>
          <w:hyperlink w:anchor="__RefHeading___Toc14099769_2142443653">
            <w:r>
              <w:rPr>
                <w:webHidden/>
                <w:rStyle w:val="IndexLink"/>
                <w:rtl w:val="true"/>
              </w:rPr>
              <w:t>تبصرة</w:t>
            </w:r>
            <w:r>
              <w:rPr>
                <w:rStyle w:val="IndexLink"/>
                <w:rtl w:val="true"/>
              </w:rPr>
              <w:t xml:space="preserve">: [ </w:t>
            </w:r>
            <w:r>
              <w:rPr>
                <w:rStyle w:val="IndexLink"/>
                <w:rtl w:val="true"/>
              </w:rPr>
              <w:t xml:space="preserve">في نجاسة الغسالة </w:t>
            </w:r>
            <w:r>
              <w:rPr>
                <w:rStyle w:val="IndexLink"/>
                <w:rtl w:val="true"/>
              </w:rPr>
              <w:t>]</w:t>
              <w:tab/>
            </w:r>
            <w:r>
              <w:rPr>
                <w:rStyle w:val="IndexLink"/>
              </w:rPr>
              <w:t>312</w:t>
            </w:r>
          </w:hyperlink>
        </w:p>
        <w:p>
          <w:pPr>
            <w:pStyle w:val="Contents4"/>
            <w:tabs>
              <w:tab w:val="clear" w:pos="8176"/>
              <w:tab w:val="right" w:pos="9026" w:leader="dot"/>
            </w:tabs>
            <w:rPr/>
          </w:pPr>
          <w:hyperlink w:anchor="__RefHeading___Toc14099771_2142443653">
            <w:r>
              <w:rPr>
                <w:webHidden/>
                <w:rStyle w:val="IndexLink"/>
                <w:rtl w:val="true"/>
              </w:rPr>
              <w:t>تبصرة</w:t>
            </w:r>
            <w:r>
              <w:rPr>
                <w:rStyle w:val="IndexLink"/>
                <w:rtl w:val="true"/>
              </w:rPr>
              <w:t xml:space="preserve">: [ </w:t>
            </w:r>
            <w:r>
              <w:rPr>
                <w:rStyle w:val="IndexLink"/>
                <w:rtl w:val="true"/>
              </w:rPr>
              <w:t xml:space="preserve">في إزالة ماء الاستنجاء من البدن والثوب </w:t>
            </w:r>
            <w:r>
              <w:rPr>
                <w:rStyle w:val="IndexLink"/>
                <w:rtl w:val="true"/>
              </w:rPr>
              <w:t>]</w:t>
              <w:tab/>
            </w:r>
            <w:r>
              <w:rPr>
                <w:rStyle w:val="IndexLink"/>
              </w:rPr>
              <w:t>319</w:t>
            </w:r>
          </w:hyperlink>
        </w:p>
        <w:p>
          <w:pPr>
            <w:pStyle w:val="Contents4"/>
            <w:tabs>
              <w:tab w:val="clear" w:pos="8176"/>
              <w:tab w:val="right" w:pos="9026" w:leader="dot"/>
            </w:tabs>
            <w:rPr/>
          </w:pPr>
          <w:hyperlink w:anchor="__RefHeading___Toc14099773_2142443653">
            <w:r>
              <w:rPr>
                <w:webHidden/>
                <w:rStyle w:val="IndexLink"/>
                <w:rtl w:val="true"/>
              </w:rPr>
              <w:t>تبصرة</w:t>
            </w:r>
            <w:r>
              <w:rPr>
                <w:rStyle w:val="IndexLink"/>
                <w:rtl w:val="true"/>
              </w:rPr>
              <w:t xml:space="preserve">: [ </w:t>
            </w:r>
            <w:r>
              <w:rPr>
                <w:rStyle w:val="IndexLink"/>
                <w:rtl w:val="true"/>
              </w:rPr>
              <w:t xml:space="preserve">في طهورية الماء المستعمل </w:t>
            </w:r>
            <w:r>
              <w:rPr>
                <w:rStyle w:val="IndexLink"/>
                <w:rtl w:val="true"/>
              </w:rPr>
              <w:t>]</w:t>
              <w:tab/>
            </w:r>
            <w:r>
              <w:rPr>
                <w:rStyle w:val="IndexLink"/>
              </w:rPr>
              <w:t>327</w:t>
            </w:r>
          </w:hyperlink>
        </w:p>
        <w:p>
          <w:pPr>
            <w:pStyle w:val="Contents4"/>
            <w:tabs>
              <w:tab w:val="clear" w:pos="8176"/>
              <w:tab w:val="right" w:pos="9026" w:leader="dot"/>
            </w:tabs>
            <w:rPr/>
          </w:pPr>
          <w:hyperlink w:anchor="__RefHeading___Toc14099775_2142443653">
            <w:r>
              <w:rPr>
                <w:webHidden/>
                <w:rStyle w:val="IndexLink"/>
                <w:rtl w:val="true"/>
              </w:rPr>
              <w:t>تبصرة</w:t>
            </w:r>
            <w:r>
              <w:rPr>
                <w:rStyle w:val="IndexLink"/>
                <w:rtl w:val="true"/>
              </w:rPr>
              <w:t xml:space="preserve">: [ </w:t>
            </w:r>
            <w:r>
              <w:rPr>
                <w:rStyle w:val="IndexLink"/>
                <w:rtl w:val="true"/>
              </w:rPr>
              <w:t xml:space="preserve">في المستعمل في رفع حدث الجنابة </w:t>
            </w:r>
            <w:r>
              <w:rPr>
                <w:rStyle w:val="IndexLink"/>
                <w:rtl w:val="true"/>
              </w:rPr>
              <w:t>]</w:t>
              <w:tab/>
            </w:r>
            <w:r>
              <w:rPr>
                <w:rStyle w:val="IndexLink"/>
              </w:rPr>
              <w:t>329</w:t>
            </w:r>
          </w:hyperlink>
        </w:p>
        <w:p>
          <w:pPr>
            <w:pStyle w:val="Contents5"/>
            <w:tabs>
              <w:tab w:val="clear" w:pos="7892"/>
              <w:tab w:val="right" w:pos="9026" w:leader="dot"/>
            </w:tabs>
            <w:rPr/>
          </w:pPr>
          <w:hyperlink w:anchor="__RefHeading___Toc14099777_2142443653">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4099779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332</w:t>
            </w:r>
          </w:hyperlink>
        </w:p>
        <w:p>
          <w:pPr>
            <w:pStyle w:val="Contents4"/>
            <w:tabs>
              <w:tab w:val="clear" w:pos="8176"/>
              <w:tab w:val="right" w:pos="9026" w:leader="dot"/>
            </w:tabs>
            <w:rPr/>
          </w:pPr>
          <w:hyperlink w:anchor="__RefHeading___Toc14099781_2142443653">
            <w:r>
              <w:rPr>
                <w:webHidden/>
                <w:rStyle w:val="IndexLink"/>
                <w:rtl w:val="true"/>
              </w:rPr>
              <w:t>تبصرة</w:t>
            </w:r>
            <w:r>
              <w:rPr>
                <w:rStyle w:val="IndexLink"/>
                <w:rtl w:val="true"/>
              </w:rPr>
              <w:t xml:space="preserve">: [ </w:t>
            </w:r>
            <w:r>
              <w:rPr>
                <w:rStyle w:val="IndexLink"/>
                <w:rtl w:val="true"/>
              </w:rPr>
              <w:t xml:space="preserve">في غسالة الحمام </w:t>
            </w:r>
            <w:r>
              <w:rPr>
                <w:rStyle w:val="IndexLink"/>
                <w:rtl w:val="true"/>
              </w:rPr>
              <w:t>]</w:t>
              <w:tab/>
            </w:r>
            <w:r>
              <w:rPr>
                <w:rStyle w:val="IndexLink"/>
              </w:rPr>
              <w:t>339</w:t>
            </w:r>
          </w:hyperlink>
        </w:p>
        <w:p>
          <w:pPr>
            <w:pStyle w:val="Contents5"/>
            <w:tabs>
              <w:tab w:val="clear" w:pos="7892"/>
              <w:tab w:val="right" w:pos="9026" w:leader="dot"/>
            </w:tabs>
            <w:rPr/>
          </w:pPr>
          <w:hyperlink w:anchor="__RefHeading___Toc14099783_2142443653">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4099785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343</w:t>
            </w:r>
          </w:hyperlink>
        </w:p>
        <w:p>
          <w:pPr>
            <w:pStyle w:val="Contents4"/>
            <w:tabs>
              <w:tab w:val="clear" w:pos="8176"/>
              <w:tab w:val="right" w:pos="9026" w:leader="dot"/>
            </w:tabs>
            <w:rPr/>
          </w:pPr>
          <w:hyperlink w:anchor="__RefHeading___Toc14099787_2142443653">
            <w:r>
              <w:rPr>
                <w:webHidden/>
                <w:rStyle w:val="IndexLink"/>
                <w:rtl w:val="true"/>
              </w:rPr>
              <w:t>تبصرة</w:t>
            </w:r>
            <w:r>
              <w:rPr>
                <w:rStyle w:val="IndexLink"/>
                <w:rtl w:val="true"/>
              </w:rPr>
              <w:t xml:space="preserve">: [ </w:t>
            </w:r>
            <w:r>
              <w:rPr>
                <w:rStyle w:val="IndexLink"/>
                <w:rtl w:val="true"/>
              </w:rPr>
              <w:t xml:space="preserve">في اشتباه الماء النجس بالطاهر </w:t>
            </w:r>
            <w:r>
              <w:rPr>
                <w:rStyle w:val="IndexLink"/>
                <w:rtl w:val="true"/>
              </w:rPr>
              <w:t>]</w:t>
              <w:tab/>
            </w:r>
            <w:r>
              <w:rPr>
                <w:rStyle w:val="IndexLink"/>
              </w:rPr>
              <w:t>346</w:t>
            </w:r>
          </w:hyperlink>
        </w:p>
        <w:p>
          <w:pPr>
            <w:pStyle w:val="Contents4"/>
            <w:tabs>
              <w:tab w:val="clear" w:pos="8176"/>
              <w:tab w:val="right" w:pos="9026" w:leader="dot"/>
            </w:tabs>
            <w:rPr/>
          </w:pPr>
          <w:hyperlink w:anchor="__RefHeading___Toc14099789_2142443653">
            <w:r>
              <w:rPr>
                <w:webHidden/>
                <w:rStyle w:val="IndexLink"/>
                <w:rtl w:val="true"/>
              </w:rPr>
              <w:t>الفصل الثاني</w:t>
            </w:r>
            <w:r>
              <w:rPr>
                <w:rStyle w:val="IndexLink"/>
                <w:rtl w:val="true"/>
              </w:rPr>
              <w:t xml:space="preserve">: </w:t>
            </w:r>
            <w:r>
              <w:rPr>
                <w:rStyle w:val="IndexLink"/>
                <w:rtl w:val="true"/>
              </w:rPr>
              <w:t>في الوضوء</w:t>
            </w:r>
            <w:r>
              <w:rPr>
                <w:rStyle w:val="IndexLink"/>
                <w:rtl w:val="true"/>
              </w:rPr>
              <w:tab/>
            </w:r>
            <w:r>
              <w:rPr>
                <w:rStyle w:val="IndexLink"/>
              </w:rPr>
              <w:t>360</w:t>
            </w:r>
          </w:hyperlink>
        </w:p>
        <w:p>
          <w:pPr>
            <w:pStyle w:val="Contents5"/>
            <w:tabs>
              <w:tab w:val="clear" w:pos="7892"/>
              <w:tab w:val="right" w:pos="9026" w:leader="dot"/>
            </w:tabs>
            <w:rPr/>
          </w:pPr>
          <w:hyperlink w:anchor="__RefHeading___Toc14099791_2142443653">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4099793_2142443653">
            <w:r>
              <w:rPr>
                <w:webHidden/>
                <w:rStyle w:val="IndexLink"/>
                <w:rtl w:val="true"/>
              </w:rPr>
              <w:t>القول في الأسباب</w:t>
            </w:r>
            <w:r>
              <w:rPr>
                <w:rStyle w:val="IndexLink"/>
                <w:rtl w:val="true"/>
              </w:rPr>
              <w:tab/>
            </w:r>
            <w:r>
              <w:rPr>
                <w:rStyle w:val="IndexLink"/>
              </w:rPr>
              <w:t>360</w:t>
            </w:r>
          </w:hyperlink>
        </w:p>
        <w:p>
          <w:pPr>
            <w:pStyle w:val="Contents4"/>
            <w:tabs>
              <w:tab w:val="clear" w:pos="8176"/>
              <w:tab w:val="right" w:pos="9026" w:leader="dot"/>
            </w:tabs>
            <w:rPr/>
          </w:pPr>
          <w:hyperlink w:anchor="__RefHeading___Toc14099795_2142443653">
            <w:r>
              <w:rPr>
                <w:webHidden/>
                <w:rStyle w:val="IndexLink"/>
                <w:rtl w:val="true"/>
              </w:rPr>
              <w:t>تبصرة</w:t>
            </w:r>
            <w:r>
              <w:rPr>
                <w:rStyle w:val="IndexLink"/>
                <w:rtl w:val="true"/>
              </w:rPr>
              <w:t xml:space="preserve">: [ </w:t>
            </w:r>
            <w:r>
              <w:rPr>
                <w:rStyle w:val="IndexLink"/>
                <w:rtl w:val="true"/>
              </w:rPr>
              <w:t xml:space="preserve">في خروج البول أو الغائط والريح </w:t>
            </w:r>
            <w:r>
              <w:rPr>
                <w:rStyle w:val="IndexLink"/>
                <w:rtl w:val="true"/>
              </w:rPr>
              <w:t>]</w:t>
              <w:tab/>
            </w:r>
            <w:r>
              <w:rPr>
                <w:rStyle w:val="IndexLink"/>
              </w:rPr>
              <w:t>361</w:t>
            </w:r>
          </w:hyperlink>
        </w:p>
        <w:p>
          <w:pPr>
            <w:pStyle w:val="Contents4"/>
            <w:tabs>
              <w:tab w:val="clear" w:pos="8176"/>
              <w:tab w:val="right" w:pos="9026" w:leader="dot"/>
            </w:tabs>
            <w:rPr/>
          </w:pPr>
          <w:hyperlink w:anchor="__RefHeading___Toc14099797_2142443653">
            <w:r>
              <w:rPr>
                <w:webHidden/>
                <w:rStyle w:val="IndexLink"/>
                <w:rtl w:val="true"/>
              </w:rPr>
              <w:t>تبصرة</w:t>
            </w:r>
            <w:r>
              <w:rPr>
                <w:rStyle w:val="IndexLink"/>
                <w:rtl w:val="true"/>
              </w:rPr>
              <w:t xml:space="preserve">: [ </w:t>
            </w:r>
            <w:r>
              <w:rPr>
                <w:rStyle w:val="IndexLink"/>
                <w:rtl w:val="true"/>
              </w:rPr>
              <w:t xml:space="preserve">في النوم الغالب </w:t>
            </w:r>
            <w:r>
              <w:rPr>
                <w:rStyle w:val="IndexLink"/>
                <w:rtl w:val="true"/>
              </w:rPr>
              <w:t>]</w:t>
              <w:tab/>
            </w:r>
            <w:r>
              <w:rPr>
                <w:rStyle w:val="IndexLink"/>
              </w:rPr>
              <w:t>367</w:t>
            </w:r>
          </w:hyperlink>
        </w:p>
        <w:p>
          <w:pPr>
            <w:pStyle w:val="Contents4"/>
            <w:tabs>
              <w:tab w:val="clear" w:pos="8176"/>
              <w:tab w:val="right" w:pos="9026" w:leader="dot"/>
            </w:tabs>
            <w:rPr/>
          </w:pPr>
          <w:hyperlink w:anchor="__RefHeading___Toc14099799_2142443653">
            <w:r>
              <w:rPr>
                <w:webHidden/>
                <w:rStyle w:val="IndexLink"/>
                <w:rtl w:val="true"/>
              </w:rPr>
              <w:t>تبصرة</w:t>
            </w:r>
            <w:r>
              <w:rPr>
                <w:rStyle w:val="IndexLink"/>
                <w:rtl w:val="true"/>
              </w:rPr>
              <w:t xml:space="preserve">: [ </w:t>
            </w:r>
            <w:r>
              <w:rPr>
                <w:rStyle w:val="IndexLink"/>
                <w:rtl w:val="true"/>
              </w:rPr>
              <w:t xml:space="preserve">في إلحاق ما يزيل العقل بالنوم </w:t>
            </w:r>
            <w:r>
              <w:rPr>
                <w:rStyle w:val="IndexLink"/>
                <w:rtl w:val="true"/>
              </w:rPr>
              <w:t>]</w:t>
              <w:tab/>
            </w:r>
            <w:r>
              <w:rPr>
                <w:rStyle w:val="IndexLink"/>
              </w:rPr>
              <w:t>370</w:t>
            </w:r>
          </w:hyperlink>
        </w:p>
        <w:p>
          <w:pPr>
            <w:pStyle w:val="Contents4"/>
            <w:tabs>
              <w:tab w:val="clear" w:pos="8176"/>
              <w:tab w:val="right" w:pos="9026" w:leader="dot"/>
            </w:tabs>
            <w:rPr/>
          </w:pPr>
          <w:hyperlink w:anchor="__RefHeading___Toc14099801_2142443653">
            <w:r>
              <w:rPr>
                <w:webHidden/>
                <w:rStyle w:val="IndexLink"/>
                <w:rtl w:val="true"/>
              </w:rPr>
              <w:t>تبصرة</w:t>
            </w:r>
            <w:r>
              <w:rPr>
                <w:rStyle w:val="IndexLink"/>
                <w:rtl w:val="true"/>
              </w:rPr>
              <w:t xml:space="preserve">: [ </w:t>
            </w:r>
            <w:r>
              <w:rPr>
                <w:rStyle w:val="IndexLink"/>
                <w:rtl w:val="true"/>
              </w:rPr>
              <w:t xml:space="preserve">في الاستحاضة القليلة </w:t>
            </w:r>
            <w:r>
              <w:rPr>
                <w:rStyle w:val="IndexLink"/>
                <w:rtl w:val="true"/>
              </w:rPr>
              <w:t>]</w:t>
              <w:tab/>
            </w:r>
            <w:r>
              <w:rPr>
                <w:rStyle w:val="IndexLink"/>
              </w:rPr>
              <w:t>372</w:t>
            </w:r>
          </w:hyperlink>
        </w:p>
        <w:p>
          <w:pPr>
            <w:pStyle w:val="Contents4"/>
            <w:tabs>
              <w:tab w:val="clear" w:pos="8176"/>
              <w:tab w:val="right" w:pos="9026" w:leader="dot"/>
            </w:tabs>
            <w:rPr/>
          </w:pPr>
          <w:hyperlink w:anchor="__RefHeading___Toc14099803_2142443653">
            <w:r>
              <w:rPr>
                <w:webHidden/>
                <w:rStyle w:val="IndexLink"/>
                <w:rtl w:val="true"/>
              </w:rPr>
              <w:t>تبصرة</w:t>
            </w:r>
            <w:r>
              <w:rPr>
                <w:rStyle w:val="IndexLink"/>
                <w:rtl w:val="true"/>
              </w:rPr>
              <w:t xml:space="preserve">: [ </w:t>
            </w:r>
            <w:r>
              <w:rPr>
                <w:rStyle w:val="IndexLink"/>
                <w:rtl w:val="true"/>
              </w:rPr>
              <w:t xml:space="preserve">في حصر النواقض بما ذكر </w:t>
            </w:r>
            <w:r>
              <w:rPr>
                <w:rStyle w:val="IndexLink"/>
                <w:rtl w:val="true"/>
              </w:rPr>
              <w:t>]</w:t>
              <w:tab/>
            </w:r>
            <w:r>
              <w:rPr>
                <w:rStyle w:val="IndexLink"/>
              </w:rPr>
              <w:t>376</w:t>
            </w:r>
          </w:hyperlink>
        </w:p>
        <w:p>
          <w:pPr>
            <w:pStyle w:val="Contents4"/>
            <w:tabs>
              <w:tab w:val="clear" w:pos="8176"/>
              <w:tab w:val="right" w:pos="9026" w:leader="dot"/>
            </w:tabs>
            <w:rPr/>
          </w:pPr>
          <w:hyperlink w:anchor="__RefHeading___Toc14099805_2142443653">
            <w:r>
              <w:rPr>
                <w:webHidden/>
                <w:rStyle w:val="IndexLink"/>
                <w:rtl w:val="true"/>
              </w:rPr>
              <w:t>تبصرة</w:t>
            </w:r>
            <w:r>
              <w:rPr>
                <w:rStyle w:val="IndexLink"/>
                <w:rtl w:val="true"/>
              </w:rPr>
              <w:t xml:space="preserve">: [ </w:t>
            </w:r>
            <w:r>
              <w:rPr>
                <w:rStyle w:val="IndexLink"/>
                <w:rtl w:val="true"/>
              </w:rPr>
              <w:t xml:space="preserve">في النواقض المحتملة </w:t>
            </w:r>
            <w:r>
              <w:rPr>
                <w:rStyle w:val="IndexLink"/>
                <w:rtl w:val="true"/>
              </w:rPr>
              <w:t>]</w:t>
              <w:tab/>
            </w:r>
            <w:r>
              <w:rPr>
                <w:rStyle w:val="IndexLink"/>
              </w:rPr>
              <w:t>381</w:t>
            </w:r>
          </w:hyperlink>
        </w:p>
        <w:p>
          <w:pPr>
            <w:pStyle w:val="Contents4"/>
            <w:tabs>
              <w:tab w:val="clear" w:pos="8176"/>
              <w:tab w:val="right" w:pos="9026" w:leader="dot"/>
            </w:tabs>
            <w:rPr/>
          </w:pPr>
          <w:hyperlink w:anchor="__RefHeading___Toc14099807_2142443653">
            <w:r>
              <w:rPr>
                <w:webHidden/>
                <w:rStyle w:val="IndexLink"/>
                <w:rtl w:val="true"/>
              </w:rPr>
              <w:t>تبصرة</w:t>
            </w:r>
            <w:r>
              <w:rPr>
                <w:rStyle w:val="IndexLink"/>
                <w:rtl w:val="true"/>
              </w:rPr>
              <w:t xml:space="preserve">: [ </w:t>
            </w:r>
            <w:r>
              <w:rPr>
                <w:rStyle w:val="IndexLink"/>
                <w:rtl w:val="true"/>
              </w:rPr>
              <w:t xml:space="preserve">في الأسباب النادبة للوضوء </w:t>
            </w:r>
            <w:r>
              <w:rPr>
                <w:rStyle w:val="IndexLink"/>
                <w:rtl w:val="true"/>
              </w:rPr>
              <w:t>]</w:t>
              <w:tab/>
            </w:r>
            <w:r>
              <w:rPr>
                <w:rStyle w:val="IndexLink"/>
              </w:rPr>
              <w:t>385</w:t>
            </w:r>
          </w:hyperlink>
        </w:p>
        <w:p>
          <w:pPr>
            <w:pStyle w:val="Contents4"/>
            <w:tabs>
              <w:tab w:val="clear" w:pos="8176"/>
              <w:tab w:val="right" w:pos="9026" w:leader="dot"/>
            </w:tabs>
            <w:rPr/>
          </w:pPr>
          <w:hyperlink w:anchor="__RefHeading___Toc14099809_2142443653">
            <w:r>
              <w:rPr>
                <w:webHidden/>
                <w:rStyle w:val="IndexLink"/>
                <w:rtl w:val="true"/>
              </w:rPr>
              <w:t>فصل</w:t>
            </w:r>
            <w:r>
              <w:rPr>
                <w:rStyle w:val="IndexLink"/>
                <w:rtl w:val="true"/>
              </w:rPr>
              <w:t xml:space="preserve">: </w:t>
            </w:r>
            <w:r>
              <w:rPr>
                <w:rStyle w:val="IndexLink"/>
                <w:rtl w:val="true"/>
              </w:rPr>
              <w:t>في أحكام الخلوة</w:t>
            </w:r>
            <w:r>
              <w:rPr>
                <w:rStyle w:val="IndexLink"/>
                <w:rtl w:val="true"/>
              </w:rPr>
              <w:tab/>
            </w:r>
            <w:r>
              <w:rPr>
                <w:rStyle w:val="IndexLink"/>
              </w:rPr>
              <w:t>388</w:t>
            </w:r>
          </w:hyperlink>
        </w:p>
        <w:p>
          <w:pPr>
            <w:pStyle w:val="Contents4"/>
            <w:tabs>
              <w:tab w:val="clear" w:pos="8176"/>
              <w:tab w:val="right" w:pos="9026" w:leader="dot"/>
            </w:tabs>
            <w:rPr/>
          </w:pPr>
          <w:hyperlink w:anchor="__RefHeading___Toc14099811_2142443653">
            <w:r>
              <w:rPr>
                <w:webHidden/>
                <w:rStyle w:val="IndexLink"/>
                <w:rtl w:val="true"/>
              </w:rPr>
              <w:t>تبصرة</w:t>
            </w:r>
            <w:r>
              <w:rPr>
                <w:rStyle w:val="IndexLink"/>
                <w:rtl w:val="true"/>
              </w:rPr>
              <w:t xml:space="preserve">: [ </w:t>
            </w:r>
            <w:r>
              <w:rPr>
                <w:rStyle w:val="IndexLink"/>
                <w:rtl w:val="true"/>
              </w:rPr>
              <w:t xml:space="preserve">في ستر العورة </w:t>
            </w:r>
            <w:r>
              <w:rPr>
                <w:rStyle w:val="IndexLink"/>
                <w:rtl w:val="true"/>
              </w:rPr>
              <w:t>]</w:t>
              <w:tab/>
            </w:r>
            <w:r>
              <w:rPr>
                <w:rStyle w:val="IndexLink"/>
              </w:rPr>
              <w:t>389</w:t>
            </w:r>
          </w:hyperlink>
        </w:p>
        <w:p>
          <w:pPr>
            <w:pStyle w:val="Contents4"/>
            <w:tabs>
              <w:tab w:val="clear" w:pos="8176"/>
              <w:tab w:val="right" w:pos="9026" w:leader="dot"/>
            </w:tabs>
            <w:rPr/>
          </w:pPr>
          <w:hyperlink w:anchor="__RefHeading___Toc14099813_2142443653">
            <w:r>
              <w:rPr>
                <w:webHidden/>
                <w:rStyle w:val="IndexLink"/>
                <w:rtl w:val="true"/>
              </w:rPr>
              <w:t>تبصرة</w:t>
            </w:r>
            <w:r>
              <w:rPr>
                <w:rStyle w:val="IndexLink"/>
                <w:rtl w:val="true"/>
              </w:rPr>
              <w:t xml:space="preserve">: [ </w:t>
            </w:r>
            <w:r>
              <w:rPr>
                <w:rStyle w:val="IndexLink"/>
                <w:rtl w:val="true"/>
              </w:rPr>
              <w:t xml:space="preserve">في تحريم استقبال القبلة واستدبارها </w:t>
            </w:r>
            <w:r>
              <w:rPr>
                <w:rStyle w:val="IndexLink"/>
                <w:rtl w:val="true"/>
              </w:rPr>
              <w:t xml:space="preserve">] [ </w:t>
            </w:r>
            <w:r>
              <w:rPr>
                <w:rStyle w:val="IndexLink"/>
                <w:rtl w:val="true"/>
              </w:rPr>
              <w:t xml:space="preserve">حال البول والتغوّط </w:t>
            </w:r>
            <w:r>
              <w:rPr>
                <w:rStyle w:val="IndexLink"/>
                <w:rtl w:val="true"/>
              </w:rPr>
              <w:t>]</w:t>
              <w:tab/>
            </w:r>
            <w:r>
              <w:rPr>
                <w:rStyle w:val="IndexLink"/>
              </w:rPr>
              <w:t>395</w:t>
            </w:r>
          </w:hyperlink>
        </w:p>
        <w:p>
          <w:pPr>
            <w:pStyle w:val="Contents4"/>
            <w:tabs>
              <w:tab w:val="clear" w:pos="8176"/>
              <w:tab w:val="right" w:pos="9026" w:leader="dot"/>
            </w:tabs>
            <w:rPr/>
          </w:pPr>
          <w:hyperlink w:anchor="__RefHeading___Toc14099815_2142443653">
            <w:r>
              <w:rPr>
                <w:webHidden/>
                <w:rStyle w:val="IndexLink"/>
                <w:rtl w:val="true"/>
              </w:rPr>
              <w:t>تبصرة</w:t>
            </w:r>
            <w:r>
              <w:rPr>
                <w:rStyle w:val="IndexLink"/>
                <w:rtl w:val="true"/>
              </w:rPr>
              <w:t xml:space="preserve">: [ </w:t>
            </w:r>
            <w:r>
              <w:rPr>
                <w:rStyle w:val="IndexLink"/>
                <w:rtl w:val="true"/>
              </w:rPr>
              <w:t xml:space="preserve">في الاستنجاء للبول والغائط </w:t>
            </w:r>
            <w:r>
              <w:rPr>
                <w:rStyle w:val="IndexLink"/>
                <w:rtl w:val="true"/>
              </w:rPr>
              <w:t>]</w:t>
              <w:tab/>
            </w:r>
            <w:r>
              <w:rPr>
                <w:rStyle w:val="IndexLink"/>
              </w:rPr>
              <w:t>401</w:t>
            </w:r>
          </w:hyperlink>
        </w:p>
        <w:p>
          <w:pPr>
            <w:pStyle w:val="Contents5"/>
            <w:tabs>
              <w:tab w:val="clear" w:pos="7892"/>
              <w:tab w:val="right" w:pos="9026" w:leader="dot"/>
            </w:tabs>
            <w:rPr/>
          </w:pPr>
          <w:hyperlink w:anchor="__RefHeading___Toc14099817_2142443653">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4099819_2142443653">
            <w:r>
              <w:rPr>
                <w:webHidden/>
                <w:rStyle w:val="IndexLink"/>
                <w:rtl w:val="true"/>
              </w:rPr>
              <w:t>فروع</w:t>
            </w:r>
            <w:r>
              <w:rPr>
                <w:rStyle w:val="IndexLink"/>
                <w:rtl w:val="true"/>
              </w:rPr>
              <w:tab/>
            </w:r>
            <w:r>
              <w:rPr>
                <w:rStyle w:val="IndexLink"/>
              </w:rPr>
              <w:t>406</w:t>
            </w:r>
          </w:hyperlink>
        </w:p>
        <w:p>
          <w:pPr>
            <w:pStyle w:val="Contents4"/>
            <w:tabs>
              <w:tab w:val="clear" w:pos="8176"/>
              <w:tab w:val="right" w:pos="9026" w:leader="dot"/>
            </w:tabs>
            <w:rPr/>
          </w:pPr>
          <w:hyperlink w:anchor="__RefHeading___Toc14099821_2142443653">
            <w:r>
              <w:rPr>
                <w:webHidden/>
                <w:rStyle w:val="IndexLink"/>
                <w:rtl w:val="true"/>
              </w:rPr>
              <w:t>تبصرة</w:t>
            </w:r>
            <w:r>
              <w:rPr>
                <w:rStyle w:val="IndexLink"/>
                <w:rtl w:val="true"/>
              </w:rPr>
              <w:t xml:space="preserve">: [ </w:t>
            </w:r>
            <w:r>
              <w:rPr>
                <w:rStyle w:val="IndexLink"/>
                <w:rtl w:val="true"/>
              </w:rPr>
              <w:t xml:space="preserve">في الاستنجاء من الغائط </w:t>
            </w:r>
            <w:r>
              <w:rPr>
                <w:rStyle w:val="IndexLink"/>
                <w:rtl w:val="true"/>
              </w:rPr>
              <w:t>]</w:t>
              <w:tab/>
            </w:r>
            <w:r>
              <w:rPr>
                <w:rStyle w:val="IndexLink"/>
              </w:rPr>
              <w:t>408</w:t>
            </w:r>
          </w:hyperlink>
        </w:p>
        <w:p>
          <w:pPr>
            <w:pStyle w:val="Contents4"/>
            <w:tabs>
              <w:tab w:val="clear" w:pos="8176"/>
              <w:tab w:val="right" w:pos="9026" w:leader="dot"/>
            </w:tabs>
            <w:rPr/>
          </w:pPr>
          <w:hyperlink w:anchor="__RefHeading___Toc14099823_2142443653">
            <w:r>
              <w:rPr>
                <w:webHidden/>
                <w:rStyle w:val="IndexLink"/>
                <w:rtl w:val="true"/>
              </w:rPr>
              <w:t>تبصرة</w:t>
            </w:r>
            <w:r>
              <w:rPr>
                <w:rStyle w:val="IndexLink"/>
                <w:rtl w:val="true"/>
              </w:rPr>
              <w:t xml:space="preserve">: [ </w:t>
            </w:r>
            <w:r>
              <w:rPr>
                <w:rStyle w:val="IndexLink"/>
                <w:rtl w:val="true"/>
              </w:rPr>
              <w:t xml:space="preserve">في الاستنجاء بالماء والأحجار وما قام مقامها </w:t>
            </w:r>
            <w:r>
              <w:rPr>
                <w:rStyle w:val="IndexLink"/>
                <w:rtl w:val="true"/>
              </w:rPr>
              <w:t>]</w:t>
              <w:tab/>
            </w:r>
            <w:r>
              <w:rPr>
                <w:rStyle w:val="IndexLink"/>
              </w:rPr>
              <w:t>411</w:t>
            </w:r>
          </w:hyperlink>
        </w:p>
        <w:p>
          <w:pPr>
            <w:pStyle w:val="Contents4"/>
            <w:tabs>
              <w:tab w:val="clear" w:pos="8176"/>
              <w:tab w:val="right" w:pos="9026" w:leader="dot"/>
            </w:tabs>
            <w:rPr/>
          </w:pPr>
          <w:hyperlink w:anchor="__RefHeading___Toc14099825_2142443653">
            <w:r>
              <w:rPr>
                <w:webHidden/>
                <w:rStyle w:val="IndexLink"/>
                <w:rtl w:val="true"/>
              </w:rPr>
              <w:t>تبصرة</w:t>
            </w:r>
            <w:r>
              <w:rPr>
                <w:rStyle w:val="IndexLink"/>
                <w:rtl w:val="true"/>
              </w:rPr>
              <w:t xml:space="preserve">: [ </w:t>
            </w:r>
            <w:r>
              <w:rPr>
                <w:rStyle w:val="IndexLink"/>
                <w:rtl w:val="true"/>
              </w:rPr>
              <w:t xml:space="preserve">في مستحبات المتخلّي </w:t>
            </w:r>
            <w:r>
              <w:rPr>
                <w:rStyle w:val="IndexLink"/>
                <w:rtl w:val="true"/>
              </w:rPr>
              <w:t>]</w:t>
              <w:tab/>
            </w:r>
            <w:r>
              <w:rPr>
                <w:rStyle w:val="IndexLink"/>
              </w:rPr>
              <w:t>416</w:t>
            </w:r>
          </w:hyperlink>
        </w:p>
        <w:p>
          <w:pPr>
            <w:pStyle w:val="Contents4"/>
            <w:tabs>
              <w:tab w:val="clear" w:pos="8176"/>
              <w:tab w:val="right" w:pos="9026" w:leader="dot"/>
            </w:tabs>
            <w:rPr/>
          </w:pPr>
          <w:hyperlink w:anchor="__RefHeading___Toc14099827_2142443653">
            <w:r>
              <w:rPr>
                <w:webHidden/>
                <w:rStyle w:val="IndexLink"/>
                <w:rtl w:val="true"/>
              </w:rPr>
              <w:t>تبصرة</w:t>
            </w:r>
            <w:r>
              <w:rPr>
                <w:rStyle w:val="IndexLink"/>
                <w:rtl w:val="true"/>
              </w:rPr>
              <w:t xml:space="preserve">: [ </w:t>
            </w:r>
            <w:r>
              <w:rPr>
                <w:rStyle w:val="IndexLink"/>
                <w:rtl w:val="true"/>
              </w:rPr>
              <w:t xml:space="preserve">في مكروهات التخلّي </w:t>
            </w:r>
            <w:r>
              <w:rPr>
                <w:rStyle w:val="IndexLink"/>
                <w:rtl w:val="true"/>
              </w:rPr>
              <w:t>]</w:t>
              <w:tab/>
            </w:r>
            <w:r>
              <w:rPr>
                <w:rStyle w:val="IndexLink"/>
              </w:rPr>
              <w:t>431</w:t>
            </w:r>
          </w:hyperlink>
        </w:p>
        <w:p>
          <w:pPr>
            <w:pStyle w:val="Contents3"/>
            <w:tabs>
              <w:tab w:val="clear" w:pos="8459"/>
              <w:tab w:val="right" w:pos="9026" w:leader="dot"/>
            </w:tabs>
            <w:rPr/>
          </w:pPr>
          <w:hyperlink w:anchor="__RefHeading___Toc14099829_2142443653">
            <w:r>
              <w:rPr>
                <w:webHidden/>
                <w:rStyle w:val="IndexLink"/>
                <w:rtl w:val="true"/>
              </w:rPr>
              <w:t xml:space="preserve">البحث </w:t>
            </w:r>
            <w:r>
              <w:rPr>
                <w:rStyle w:val="IndexLink"/>
                <w:rtl w:val="true"/>
              </w:rPr>
              <w:t xml:space="preserve">[ </w:t>
            </w:r>
            <w:r>
              <w:rPr>
                <w:rStyle w:val="IndexLink"/>
                <w:rtl w:val="true"/>
              </w:rPr>
              <w:t xml:space="preserve">الأول </w:t>
            </w:r>
            <w:r>
              <w:rPr>
                <w:rStyle w:val="IndexLink"/>
                <w:rtl w:val="true"/>
              </w:rPr>
              <w:t xml:space="preserve">]: </w:t>
            </w:r>
            <w:r>
              <w:rPr>
                <w:rStyle w:val="IndexLink"/>
                <w:rtl w:val="true"/>
              </w:rPr>
              <w:t>في أفعال الوضوء</w:t>
            </w:r>
            <w:r>
              <w:rPr>
                <w:rStyle w:val="IndexLink"/>
                <w:rtl w:val="true"/>
              </w:rPr>
              <w:tab/>
            </w:r>
            <w:r>
              <w:rPr>
                <w:rStyle w:val="IndexLink"/>
              </w:rPr>
              <w:t>455</w:t>
            </w:r>
          </w:hyperlink>
        </w:p>
        <w:p>
          <w:pPr>
            <w:pStyle w:val="Contents4"/>
            <w:tabs>
              <w:tab w:val="clear" w:pos="8176"/>
              <w:tab w:val="right" w:pos="9026" w:leader="dot"/>
            </w:tabs>
            <w:rPr/>
          </w:pPr>
          <w:hyperlink w:anchor="__RefHeading___Toc14099831_2142443653">
            <w:r>
              <w:rPr>
                <w:webHidden/>
                <w:rStyle w:val="IndexLink"/>
                <w:rtl w:val="true"/>
              </w:rPr>
              <w:t>تبصرة</w:t>
            </w:r>
            <w:r>
              <w:rPr>
                <w:rStyle w:val="IndexLink"/>
                <w:rtl w:val="true"/>
              </w:rPr>
              <w:t xml:space="preserve">: [ </w:t>
            </w:r>
            <w:r>
              <w:rPr>
                <w:rStyle w:val="IndexLink"/>
                <w:rtl w:val="true"/>
              </w:rPr>
              <w:t xml:space="preserve">في نية القربة </w:t>
            </w:r>
            <w:r>
              <w:rPr>
                <w:rStyle w:val="IndexLink"/>
                <w:rtl w:val="true"/>
              </w:rPr>
              <w:t>]</w:t>
              <w:tab/>
            </w:r>
            <w:r>
              <w:rPr>
                <w:rStyle w:val="IndexLink"/>
              </w:rPr>
              <w:t>455</w:t>
            </w:r>
          </w:hyperlink>
        </w:p>
        <w:p>
          <w:pPr>
            <w:pStyle w:val="Contents4"/>
            <w:tabs>
              <w:tab w:val="clear" w:pos="8176"/>
              <w:tab w:val="right" w:pos="9026" w:leader="dot"/>
            </w:tabs>
            <w:rPr/>
          </w:pPr>
          <w:hyperlink w:anchor="__RefHeading___Toc14099833_2142443653">
            <w:r>
              <w:rPr>
                <w:webHidden/>
                <w:rStyle w:val="IndexLink"/>
                <w:rtl w:val="true"/>
              </w:rPr>
              <w:t>تبصرة</w:t>
            </w:r>
            <w:r>
              <w:rPr>
                <w:rStyle w:val="IndexLink"/>
                <w:rtl w:val="true"/>
              </w:rPr>
              <w:t xml:space="preserve">: [ </w:t>
            </w:r>
            <w:r>
              <w:rPr>
                <w:rStyle w:val="IndexLink"/>
                <w:rtl w:val="true"/>
              </w:rPr>
              <w:t xml:space="preserve">في اعتبار التعيين في النية </w:t>
            </w:r>
            <w:r>
              <w:rPr>
                <w:rStyle w:val="IndexLink"/>
                <w:rtl w:val="true"/>
              </w:rPr>
              <w:t>]</w:t>
              <w:tab/>
            </w:r>
            <w:r>
              <w:rPr>
                <w:rStyle w:val="IndexLink"/>
              </w:rPr>
              <w:t>459</w:t>
            </w:r>
          </w:hyperlink>
        </w:p>
        <w:p>
          <w:pPr>
            <w:pStyle w:val="Contents4"/>
            <w:tabs>
              <w:tab w:val="clear" w:pos="8176"/>
              <w:tab w:val="right" w:pos="9026" w:leader="dot"/>
            </w:tabs>
            <w:rPr/>
          </w:pPr>
          <w:hyperlink w:anchor="__RefHeading___Toc14099835_2142443653">
            <w:r>
              <w:rPr>
                <w:webHidden/>
                <w:rStyle w:val="IndexLink"/>
                <w:rtl w:val="true"/>
              </w:rPr>
              <w:t>تبصرة</w:t>
            </w:r>
            <w:r>
              <w:rPr>
                <w:rStyle w:val="IndexLink"/>
                <w:rtl w:val="true"/>
              </w:rPr>
              <w:t xml:space="preserve">: [ </w:t>
            </w:r>
            <w:r>
              <w:rPr>
                <w:rStyle w:val="IndexLink"/>
                <w:rtl w:val="true"/>
              </w:rPr>
              <w:t xml:space="preserve">في داعي النية </w:t>
            </w:r>
            <w:r>
              <w:rPr>
                <w:rStyle w:val="IndexLink"/>
                <w:rtl w:val="true"/>
              </w:rPr>
              <w:t>]</w:t>
              <w:tab/>
            </w:r>
            <w:r>
              <w:rPr>
                <w:rStyle w:val="IndexLink"/>
              </w:rPr>
              <w:t>464</w:t>
            </w:r>
          </w:hyperlink>
        </w:p>
        <w:p>
          <w:pPr>
            <w:pStyle w:val="Contents5"/>
            <w:tabs>
              <w:tab w:val="clear" w:pos="7892"/>
              <w:tab w:val="right" w:pos="9026" w:leader="dot"/>
            </w:tabs>
            <w:rPr/>
          </w:pPr>
          <w:hyperlink w:anchor="__RefHeading___Toc14099837_2142443653">
            <w:r>
              <w:rPr>
                <w:webHidden/>
                <w:rStyle w:val="IndexLink"/>
                <w:rtl w:val="true"/>
              </w:rPr>
              <w:t>اشارة</w:t>
            </w:r>
            <w:r>
              <w:rPr>
                <w:rStyle w:val="IndexLink"/>
                <w:rtl w:val="true"/>
              </w:rPr>
              <w:tab/>
            </w:r>
            <w:r>
              <w:rPr>
                <w:rStyle w:val="IndexLink"/>
              </w:rPr>
              <w:t>464</w:t>
            </w:r>
          </w:hyperlink>
        </w:p>
        <w:p>
          <w:pPr>
            <w:pStyle w:val="Contents5"/>
            <w:tabs>
              <w:tab w:val="clear" w:pos="7892"/>
              <w:tab w:val="right" w:pos="9026" w:leader="dot"/>
            </w:tabs>
            <w:rPr/>
          </w:pPr>
          <w:hyperlink w:anchor="__RefHeading___Toc14099839_2142443653">
            <w:r>
              <w:rPr>
                <w:webHidden/>
                <w:rStyle w:val="IndexLink"/>
                <w:rtl w:val="true"/>
              </w:rPr>
              <w:t xml:space="preserve">[ </w:t>
            </w:r>
            <w:r>
              <w:rPr>
                <w:rStyle w:val="IndexLink"/>
                <w:rtl w:val="true"/>
              </w:rPr>
              <w:t xml:space="preserve">مسائل </w:t>
            </w:r>
            <w:r>
              <w:rPr>
                <w:rStyle w:val="IndexLink"/>
                <w:rtl w:val="true"/>
              </w:rPr>
              <w:t>]:</w:t>
              <w:tab/>
            </w:r>
            <w:r>
              <w:rPr>
                <w:rStyle w:val="IndexLink"/>
              </w:rPr>
              <w:t>464</w:t>
            </w:r>
          </w:hyperlink>
        </w:p>
        <w:p>
          <w:pPr>
            <w:pStyle w:val="Contents4"/>
            <w:tabs>
              <w:tab w:val="clear" w:pos="8176"/>
              <w:tab w:val="right" w:pos="9026" w:leader="dot"/>
            </w:tabs>
            <w:rPr/>
          </w:pPr>
          <w:hyperlink w:anchor="__RefHeading___Toc14099841_2142443653">
            <w:r>
              <w:rPr>
                <w:webHidden/>
                <w:rStyle w:val="IndexLink"/>
                <w:rtl w:val="true"/>
              </w:rPr>
              <w:t>تبصرة</w:t>
            </w:r>
            <w:r>
              <w:rPr>
                <w:rStyle w:val="IndexLink"/>
                <w:rtl w:val="true"/>
              </w:rPr>
              <w:t xml:space="preserve">: </w:t>
            </w:r>
            <w:r>
              <w:rPr>
                <w:rStyle w:val="IndexLink"/>
                <w:rtl w:val="true"/>
              </w:rPr>
              <w:t>في بيان كيفيّة النيّة في الوضوء</w:t>
            </w:r>
            <w:r>
              <w:rPr>
                <w:rStyle w:val="IndexLink"/>
                <w:rtl w:val="true"/>
              </w:rPr>
              <w:tab/>
            </w:r>
            <w:r>
              <w:rPr>
                <w:rStyle w:val="IndexLink"/>
              </w:rPr>
              <w:t>470</w:t>
            </w:r>
          </w:hyperlink>
        </w:p>
        <w:p>
          <w:pPr>
            <w:pStyle w:val="Contents4"/>
            <w:tabs>
              <w:tab w:val="clear" w:pos="8176"/>
              <w:tab w:val="right" w:pos="9026" w:leader="dot"/>
            </w:tabs>
            <w:rPr/>
          </w:pPr>
          <w:hyperlink w:anchor="__RefHeading___Toc14099843_2142443653">
            <w:r>
              <w:rPr>
                <w:webHidden/>
                <w:rStyle w:val="IndexLink"/>
                <w:rtl w:val="true"/>
              </w:rPr>
              <w:t>تبصرة</w:t>
            </w:r>
            <w:r>
              <w:rPr>
                <w:rStyle w:val="IndexLink"/>
                <w:rtl w:val="true"/>
              </w:rPr>
              <w:t xml:space="preserve">: [ </w:t>
            </w:r>
            <w:r>
              <w:rPr>
                <w:rStyle w:val="IndexLink"/>
                <w:rtl w:val="true"/>
              </w:rPr>
              <w:t xml:space="preserve">في غسل الوجه واليدين </w:t>
            </w:r>
            <w:r>
              <w:rPr>
                <w:rStyle w:val="IndexLink"/>
                <w:rtl w:val="true"/>
              </w:rPr>
              <w:t>]</w:t>
              <w:tab/>
            </w:r>
            <w:r>
              <w:rPr>
                <w:rStyle w:val="IndexLink"/>
              </w:rPr>
              <w:t>479</w:t>
            </w:r>
          </w:hyperlink>
        </w:p>
        <w:p>
          <w:pPr>
            <w:pStyle w:val="Contents4"/>
            <w:tabs>
              <w:tab w:val="clear" w:pos="8176"/>
              <w:tab w:val="right" w:pos="9026" w:leader="dot"/>
            </w:tabs>
            <w:rPr/>
          </w:pPr>
          <w:hyperlink w:anchor="__RefHeading___Toc14099845_2142443653">
            <w:r>
              <w:rPr>
                <w:webHidden/>
                <w:rStyle w:val="IndexLink"/>
                <w:rtl w:val="true"/>
              </w:rPr>
              <w:t>تبصرة</w:t>
            </w:r>
            <w:r>
              <w:rPr>
                <w:rStyle w:val="IndexLink"/>
                <w:rtl w:val="true"/>
              </w:rPr>
              <w:t xml:space="preserve">: [ </w:t>
            </w:r>
            <w:r>
              <w:rPr>
                <w:rStyle w:val="IndexLink"/>
                <w:rtl w:val="true"/>
              </w:rPr>
              <w:t xml:space="preserve">في كفاية مسمّى الغسل </w:t>
            </w:r>
            <w:r>
              <w:rPr>
                <w:rStyle w:val="IndexLink"/>
                <w:rtl w:val="true"/>
              </w:rPr>
              <w:t>]</w:t>
              <w:tab/>
            </w:r>
            <w:r>
              <w:rPr>
                <w:rStyle w:val="IndexLink"/>
              </w:rPr>
              <w:t>485</w:t>
            </w:r>
          </w:hyperlink>
        </w:p>
        <w:p>
          <w:pPr>
            <w:pStyle w:val="Contents4"/>
            <w:tabs>
              <w:tab w:val="clear" w:pos="8176"/>
              <w:tab w:val="right" w:pos="9026" w:leader="dot"/>
            </w:tabs>
            <w:rPr/>
          </w:pPr>
          <w:hyperlink w:anchor="__RefHeading___Toc14099847_2142443653">
            <w:r>
              <w:rPr>
                <w:webHidden/>
                <w:rStyle w:val="IndexLink"/>
                <w:rtl w:val="true"/>
              </w:rPr>
              <w:t>تبصرة</w:t>
            </w:r>
            <w:r>
              <w:rPr>
                <w:rStyle w:val="IndexLink"/>
                <w:rtl w:val="true"/>
              </w:rPr>
              <w:t xml:space="preserve">: [ </w:t>
            </w:r>
            <w:r>
              <w:rPr>
                <w:rStyle w:val="IndexLink"/>
                <w:rtl w:val="true"/>
              </w:rPr>
              <w:t xml:space="preserve">في غسل ظاهر الوجه </w:t>
            </w:r>
            <w:r>
              <w:rPr>
                <w:rStyle w:val="IndexLink"/>
                <w:rtl w:val="true"/>
              </w:rPr>
              <w:t>]</w:t>
              <w:tab/>
            </w:r>
            <w:r>
              <w:rPr>
                <w:rStyle w:val="IndexLink"/>
              </w:rPr>
              <w:t>488</w:t>
            </w:r>
          </w:hyperlink>
        </w:p>
        <w:p>
          <w:pPr>
            <w:pStyle w:val="Contents4"/>
            <w:tabs>
              <w:tab w:val="clear" w:pos="8176"/>
              <w:tab w:val="right" w:pos="9026" w:leader="dot"/>
            </w:tabs>
            <w:rPr/>
          </w:pPr>
          <w:hyperlink w:anchor="__RefHeading___Toc14099849_2142443653">
            <w:r>
              <w:rPr>
                <w:webHidden/>
                <w:rStyle w:val="IndexLink"/>
                <w:rtl w:val="true"/>
              </w:rPr>
              <w:t>تبصرة</w:t>
            </w:r>
            <w:r>
              <w:rPr>
                <w:rStyle w:val="IndexLink"/>
                <w:rtl w:val="true"/>
              </w:rPr>
              <w:t xml:space="preserve">: [ </w:t>
            </w:r>
            <w:r>
              <w:rPr>
                <w:rStyle w:val="IndexLink"/>
                <w:rtl w:val="true"/>
              </w:rPr>
              <w:t xml:space="preserve">في غسل اليدين </w:t>
            </w:r>
            <w:r>
              <w:rPr>
                <w:rStyle w:val="IndexLink"/>
                <w:rtl w:val="true"/>
              </w:rPr>
              <w:t>]</w:t>
              <w:tab/>
            </w:r>
            <w:r>
              <w:rPr>
                <w:rStyle w:val="IndexLink"/>
              </w:rPr>
              <w:t>492</w:t>
            </w:r>
          </w:hyperlink>
        </w:p>
        <w:p>
          <w:pPr>
            <w:pStyle w:val="Contents4"/>
            <w:tabs>
              <w:tab w:val="clear" w:pos="8176"/>
              <w:tab w:val="right" w:pos="9026" w:leader="dot"/>
            </w:tabs>
            <w:rPr/>
          </w:pPr>
          <w:hyperlink w:anchor="__RefHeading___Toc14099851_2142443653">
            <w:r>
              <w:rPr>
                <w:webHidden/>
                <w:rStyle w:val="IndexLink"/>
                <w:rtl w:val="true"/>
              </w:rPr>
              <w:t>تبصرة</w:t>
            </w:r>
            <w:r>
              <w:rPr>
                <w:rStyle w:val="IndexLink"/>
                <w:rtl w:val="true"/>
              </w:rPr>
              <w:t xml:space="preserve">: [ </w:t>
            </w:r>
            <w:r>
              <w:rPr>
                <w:rStyle w:val="IndexLink"/>
                <w:rtl w:val="true"/>
              </w:rPr>
              <w:t xml:space="preserve">في مسح الرأس </w:t>
            </w:r>
            <w:r>
              <w:rPr>
                <w:rStyle w:val="IndexLink"/>
                <w:rtl w:val="true"/>
              </w:rPr>
              <w:t>]</w:t>
              <w:tab/>
            </w:r>
            <w:r>
              <w:rPr>
                <w:rStyle w:val="IndexLink"/>
              </w:rPr>
              <w:t>496</w:t>
            </w:r>
          </w:hyperlink>
        </w:p>
        <w:p>
          <w:pPr>
            <w:pStyle w:val="Contents5"/>
            <w:tabs>
              <w:tab w:val="clear" w:pos="7892"/>
              <w:tab w:val="right" w:pos="9026" w:leader="dot"/>
            </w:tabs>
            <w:rPr/>
          </w:pPr>
          <w:hyperlink w:anchor="__RefHeading___Toc14099853_2142443653">
            <w:r>
              <w:rPr>
                <w:webHidden/>
                <w:rStyle w:val="IndexLink"/>
                <w:rtl w:val="true"/>
              </w:rPr>
              <w:t>اشارة</w:t>
            </w:r>
            <w:r>
              <w:rPr>
                <w:rStyle w:val="IndexLink"/>
                <w:rtl w:val="true"/>
              </w:rPr>
              <w:tab/>
            </w:r>
            <w:r>
              <w:rPr>
                <w:rStyle w:val="IndexLink"/>
              </w:rPr>
              <w:t>496</w:t>
            </w:r>
          </w:hyperlink>
        </w:p>
        <w:p>
          <w:pPr>
            <w:pStyle w:val="Contents5"/>
            <w:tabs>
              <w:tab w:val="clear" w:pos="7892"/>
              <w:tab w:val="right" w:pos="9026" w:leader="dot"/>
            </w:tabs>
            <w:rPr/>
          </w:pPr>
          <w:hyperlink w:anchor="__RefHeading___Toc14099855_2142443653">
            <w:r>
              <w:rPr>
                <w:webHidden/>
                <w:rStyle w:val="IndexLink"/>
                <w:rtl w:val="true"/>
              </w:rPr>
              <w:t xml:space="preserve">[ </w:t>
            </w:r>
            <w:r>
              <w:rPr>
                <w:rStyle w:val="IndexLink"/>
                <w:rtl w:val="true"/>
              </w:rPr>
              <w:t xml:space="preserve">تنبيهات </w:t>
            </w:r>
            <w:r>
              <w:rPr>
                <w:rStyle w:val="IndexLink"/>
                <w:rtl w:val="true"/>
              </w:rPr>
              <w:t>]</w:t>
              <w:tab/>
            </w:r>
            <w:r>
              <w:rPr>
                <w:rStyle w:val="IndexLink"/>
              </w:rPr>
              <w:t>500</w:t>
            </w:r>
          </w:hyperlink>
        </w:p>
        <w:p>
          <w:pPr>
            <w:pStyle w:val="Contents4"/>
            <w:tabs>
              <w:tab w:val="clear" w:pos="8176"/>
              <w:tab w:val="right" w:pos="9026" w:leader="dot"/>
            </w:tabs>
            <w:rPr/>
          </w:pPr>
          <w:hyperlink w:anchor="__RefHeading___Toc14099857_2142443653">
            <w:r>
              <w:rPr>
                <w:webHidden/>
                <w:rStyle w:val="IndexLink"/>
                <w:rtl w:val="true"/>
              </w:rPr>
              <w:t>تبصرة</w:t>
            </w:r>
            <w:r>
              <w:rPr>
                <w:rStyle w:val="IndexLink"/>
                <w:rtl w:val="true"/>
              </w:rPr>
              <w:t xml:space="preserve">: [ </w:t>
            </w:r>
            <w:r>
              <w:rPr>
                <w:rStyle w:val="IndexLink"/>
                <w:rtl w:val="true"/>
              </w:rPr>
              <w:t xml:space="preserve">في مسح الرجلين </w:t>
            </w:r>
            <w:r>
              <w:rPr>
                <w:rStyle w:val="IndexLink"/>
                <w:rtl w:val="true"/>
              </w:rPr>
              <w:t>]</w:t>
              <w:tab/>
            </w:r>
            <w:r>
              <w:rPr>
                <w:rStyle w:val="IndexLink"/>
              </w:rPr>
              <w:t>501</w:t>
            </w:r>
          </w:hyperlink>
        </w:p>
        <w:p>
          <w:pPr>
            <w:pStyle w:val="Contents4"/>
            <w:tabs>
              <w:tab w:val="clear" w:pos="8176"/>
              <w:tab w:val="right" w:pos="9026" w:leader="dot"/>
            </w:tabs>
            <w:rPr/>
          </w:pPr>
          <w:hyperlink w:anchor="__RefHeading___Toc14099859_2142443653">
            <w:r>
              <w:rPr>
                <w:webHidden/>
                <w:rStyle w:val="IndexLink"/>
                <w:rtl w:val="true"/>
              </w:rPr>
              <w:t>تبصرة</w:t>
            </w:r>
            <w:r>
              <w:rPr>
                <w:rStyle w:val="IndexLink"/>
                <w:rtl w:val="true"/>
              </w:rPr>
              <w:t xml:space="preserve">: [ </w:t>
            </w:r>
            <w:r>
              <w:rPr>
                <w:rStyle w:val="IndexLink"/>
                <w:rtl w:val="true"/>
              </w:rPr>
              <w:t xml:space="preserve">في تحديد الكعبين </w:t>
            </w:r>
            <w:r>
              <w:rPr>
                <w:rStyle w:val="IndexLink"/>
                <w:rtl w:val="true"/>
              </w:rPr>
              <w:t>]</w:t>
              <w:tab/>
            </w:r>
            <w:r>
              <w:rPr>
                <w:rStyle w:val="IndexLink"/>
              </w:rPr>
              <w:t>506</w:t>
            </w:r>
          </w:hyperlink>
        </w:p>
        <w:p>
          <w:pPr>
            <w:pStyle w:val="Contents2"/>
            <w:tabs>
              <w:tab w:val="clear" w:pos="8743"/>
              <w:tab w:val="right" w:pos="9026" w:leader="dot"/>
            </w:tabs>
            <w:rPr/>
          </w:pPr>
          <w:hyperlink w:anchor="__RefHeading___Toc14099861_2142443653">
            <w:r>
              <w:rPr>
                <w:webHidden/>
                <w:rStyle w:val="IndexLink"/>
                <w:rtl w:val="true"/>
              </w:rPr>
              <w:t>فهرس المواضيع الجزء الأول</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27_173535"/>
      <w:bookmarkStart w:id="1" w:name="pg15827_173535"/>
      <w:bookmarkEnd w:id="1"/>
    </w:p>
    <w:p>
      <w:pPr>
        <w:pStyle w:val="Heading2"/>
        <w:numPr>
          <w:ilvl w:val="1"/>
          <w:numId w:val="1"/>
        </w:numPr>
        <w:rPr/>
      </w:pPr>
      <w:bookmarkStart w:id="2" w:name="pg15827_173535"/>
      <w:bookmarkStart w:id="3" w:name="__RefHeading___Toc14099589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الرازي النجفي الاصفهاني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الكوثر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تبصرة الفقهاء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99591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تبصرة الفقهاء</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و الأصولي المدقق الشيخ محمد تقي الرازي النجفي الإصفهاني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الحسيني الأشكوري </w:t>
      </w:r>
    </w:p>
    <w:p>
      <w:pPr>
        <w:pStyle w:val="BookText"/>
        <w:rPr/>
      </w:pPr>
      <w:r>
        <w:rPr>
          <w:rFonts w:ascii="IRNazanin" w:hAnsi="IRNazanin" w:eastAsia="IRNazanin"/>
          <w:color w:val="111111"/>
          <w:sz w:val="28"/>
          <w:sz w:val="28"/>
          <w:szCs w:val="28"/>
          <w:rtl w:val="true"/>
          <w:lang w:bidi="fa-IR"/>
        </w:rPr>
        <w:t xml:space="preserve">رازی نجفی اصفهانی، محمد تقی، </w:t>
      </w:r>
      <w:r>
        <w:rPr>
          <w:rFonts w:eastAsia="IRNazanin" w:cs="IRNazanin"/>
          <w:color w:val="111111"/>
          <w:sz w:val="28"/>
          <w:szCs w:val="28"/>
          <w:rtl w:val="true"/>
          <w:lang w:bidi="fa-IR"/>
        </w:rPr>
        <w:t xml:space="preserve">... -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محمد تقی رازی نجفی اصفهانی؛ تحقیق سید صادق حسینی اشكوری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 978-988-003-7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اشكوری، سید صادق،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297/3</w:t>
      </w:r>
    </w:p>
    <w:p>
      <w:pPr>
        <w:pStyle w:val="BookText"/>
        <w:rPr/>
      </w:pP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تقي الرازي النجفي الاصفهاني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صادق الحسيني الإشكوري</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طبعة الكوثر، الطبعة الأولی</w:t>
      </w:r>
    </w:p>
    <w:p>
      <w:pPr>
        <w:pStyle w:val="BookText"/>
        <w:rPr/>
      </w:pPr>
      <w:r>
        <w:rPr>
          <w:rFonts w:ascii="Amiri" w:hAnsi="Amiri" w:eastAsia="Amiri" w:cs="Amiri"/>
          <w:color w:val="111111"/>
          <w:sz w:val="28"/>
          <w:sz w:val="28"/>
          <w:szCs w:val="28"/>
          <w:rtl w:val="true"/>
          <w:lang w:bidi="ar-SA"/>
        </w:rPr>
        <w:t>ليتوغراف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قمشارع آذرزقاق</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09122524335</w:t>
      </w:r>
    </w:p>
    <w:p>
      <w:pPr>
        <w:pStyle w:val="BookText"/>
        <w:rPr/>
      </w:pPr>
      <w:r>
        <w:rPr>
          <w:rFonts w:eastAsia="Times New Roman" w:cs="Times New Roman" w:ascii="Times New Roman" w:hAnsi="Times New Roman"/>
          <w:color w:val="111111"/>
          <w:sz w:val="28"/>
          <w:szCs w:val="28"/>
          <w:lang w:val="en-US" w:bidi="en-US"/>
        </w:rPr>
        <w:t>www.ismajma.com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www.zakhair.net</w:t>
      </w:r>
      <w:r>
        <w:rPr>
          <w:rFonts w:eastAsia="Times New Roman" w:cs="Times New Roman" w:ascii="Times New Roman" w:hAnsi="Times New Roman"/>
          <w:color w:val="111111"/>
          <w:sz w:val="28"/>
          <w:szCs w:val="28"/>
          <w:rtl w:val="true"/>
          <w:lang w:val="en-US" w:bidi="en-US"/>
        </w:rPr>
        <w:t xml:space="preserve"> </w:t>
      </w:r>
      <w:bookmarkStart w:id="7" w:name="pg15827_173539"/>
    </w:p>
    <w:p>
      <w:pPr>
        <w:pStyle w:val="Heading2"/>
        <w:numPr>
          <w:ilvl w:val="1"/>
          <w:numId w:val="1"/>
        </w:numPr>
        <w:rPr/>
      </w:pPr>
      <w:bookmarkStart w:id="8" w:name="__RefHeading___Toc14099593_2142443653"/>
      <w:bookmarkStart w:id="9" w:name="_Toc3"/>
      <w:bookmarkEnd w:id="7"/>
      <w:bookmarkEnd w:id="8"/>
      <w:r>
        <w:rPr>
          <w:rtl w:val="true"/>
        </w:rPr>
        <w:t>تقديم</w:t>
      </w:r>
      <w:bookmarkEnd w:id="9"/>
    </w:p>
    <w:p>
      <w:pPr>
        <w:pStyle w:val="Heading3"/>
        <w:numPr>
          <w:ilvl w:val="2"/>
          <w:numId w:val="1"/>
        </w:numPr>
        <w:rPr/>
      </w:pPr>
      <w:bookmarkStart w:id="10" w:name="__RefHeading___Toc14099595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بقلم العلّامة الفقيه الشيخ هادي النجفي</w:t>
      </w:r>
    </w:p>
    <w:p>
      <w:pPr>
        <w:pStyle w:val="BookText"/>
        <w:rPr/>
      </w:pPr>
      <w:r>
        <w:rPr>
          <w:rFonts w:ascii="Amiri" w:hAnsi="Amiri" w:eastAsia="Amiri" w:cs="Amiri"/>
          <w:color w:val="111111"/>
          <w:sz w:val="28"/>
          <w:sz w:val="28"/>
          <w:szCs w:val="28"/>
          <w:rtl w:val="true"/>
          <w:lang w:bidi="ar-SA"/>
        </w:rPr>
        <w:t>من آل العلّامة التقي مؤلّف الكتاب</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فضّل مداد العلماء على دماء الشهداء ، والصلاة والسلام على مبلّغ رسالات اللّه محمّد المصطفى ، وعلى آله الأمجاد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 فإنّ سماحة العلّامة الثاني ، والمحقّق الكبير ، والأصولي المدقّق ، والفقيه النبيه ، آية اللّه العظمى الشيخ محمّد تقي الرازي النجفي الأصفهاني قدس‌سره المتوفى عام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أصول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في أندية العلم وعند أهله وهو غنيّ عن التعريف والتبجيل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لك بعنوان النموذج كلام العلّامة السيّد عبد الحسين شرف الدين قدس‌سره المتوفى عام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تقي ، فقد كان آية من آيات اللّه المحكمة ، وحجّة من حججه البالغة ، يمثل أئمة أهل البيت عليهم‌السلام في هديهم ، ويصدع بأمرهم ونهيهم ، بحر علم من بحار علومهم المحيطة ، وعلما راسخا جعله اللّه من أوتاد البسيطة ، وله في خدمة الدين والمؤمنين سيرة شكرها اللّه 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رجع إلى اصفهان شمر </w:t>
      </w:r>
      <w:bookmarkStart w:id="12" w:name="pg15827_173540"/>
    </w:p>
    <w:p>
      <w:pPr>
        <w:pStyle w:val="BookText"/>
        <w:rPr/>
      </w:pPr>
      <w:bookmarkEnd w:id="12"/>
      <w:r>
        <w:rPr>
          <w:rFonts w:ascii="Amiri" w:hAnsi="Amiri" w:eastAsia="Amiri" w:cs="Amiri"/>
          <w:color w:val="111111"/>
          <w:sz w:val="28"/>
          <w:sz w:val="28"/>
          <w:szCs w:val="28"/>
          <w:rtl w:val="true"/>
          <w:lang w:bidi="ar-SA"/>
        </w:rPr>
        <w:t xml:space="preserve">لنشر العلم عن ساقه وحسر لتربية طالبي العلم عن ساعده ، فكانت حوزته منهم تقارب ثلاث مائة من الفضلاء والأجلّاء وله في تخريج المجتهدين غاية تتراجع عنها سوابق الهمم ، وله في التأليف عزيمة قلّ نظيرها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من آثاره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في شرح 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الكتب الممتعة في الفقه والأصول </w:t>
      </w:r>
      <w:r>
        <w:rPr>
          <w:rFonts w:eastAsia="Amiri" w:cs="Amiri" w:ascii="Amiri" w:hAnsi="Amiri"/>
          <w:color w:val="111111"/>
          <w:sz w:val="28"/>
          <w:szCs w:val="28"/>
          <w:rtl w:val="true"/>
          <w:lang w:bidi="ar-SA"/>
        </w:rPr>
        <w:t xml:space="preserve">...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كتاب في الفقه الاستدلالي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يطبع حتّى الآن وهو هذا الكتاب الذي بين يدي القارئ الكريم ويرى النور لأول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ونسرد هنا بعض ما قاله الأعلام حول الكتاب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4099597_2142443653"/>
      <w:bookmarkStart w:id="14" w:name="_Toc5"/>
      <w:bookmarkEnd w:id="13"/>
      <w:r>
        <w:rPr>
          <w:rtl w:val="true"/>
        </w:rPr>
        <w:t>الأقوال حول الكتاب</w:t>
      </w:r>
      <w:bookmarkEnd w:id="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الروضات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أيضا كتاب في الفقه الاستدلالي كبير جدّا كان يشتغل به ايام تشرّفنا بخدمته المقدسة الّا انّه بقى في المسودات ولم يدوّن منه مجلد بعد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صاحب الروضات في كتابه الآخر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أساتيده وترجمة شيخنا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أيضا في الفقه كثير لم يدوّن </w:t>
      </w:r>
      <w:r>
        <w:rPr>
          <w:rFonts w:eastAsia="Amiri" w:cs="Amiri" w:ascii="Amiri" w:hAnsi="Amiri"/>
          <w:color w:val="111111"/>
          <w:sz w:val="28"/>
          <w:szCs w:val="28"/>
          <w:rtl w:val="true"/>
          <w:lang w:bidi="ar-SA"/>
        </w:rPr>
        <w:t xml:space="preserve">... »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نقل تلميذه آية اللّه المجدّد الشيرازي في تقريرات بحثه الشريف عن فقه أستاذه شيخنا المؤلّف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ذهب بعض من المحققين من متأخري المتأخّرين في فقهه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الاجازة كاشفة ، والتزم باللازم الأوّل ، وهو جواز تصرّف الأصيل ، وظهر ما فيه ممّا بيّنّا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في هامش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الشيخ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حفيد المؤلّف ، العلّامة آية اللّه الشيخ محمّد تقي آقا النجفي الأصفهاني المتوفى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من فقه الإمامية أربع مرّات عن جده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جدي العلّامة رحمه‌اللّه وكأنّه مبنيّ على نجاسة البئر أو على استكراه منه ، فيوجب الضرر على الناس أو كان في وقوعه إفسادا للماء بوجه آخر كإفساده بالتغيير مع كون الماء ملكا للغير أو كونه في تصرّفهم أو وقفا يوجب ذلك الإضرار بالموقوف عليهم فلو خلي عن جميع ما ذكر فالظاهر وجوب النزول أخذا بإطلاق الوجدان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اختاره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الأقوى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حفيده أيضا في كتاب الطهارة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وقع الخلاف بين الأصحاب في أنّ الانتقال إلى التيمّم في هذا الباب هل يختصّ بمن لم يتعمّد في الجنابة على الحال المذكور أو يعمّ من تعمّده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بينهما ، والظاهر أنّه المعروف بين الأصحاب كما نصّ عليه بعضهم ، وإليه ذهب جدّي العلّامة رحمه‌اللّه </w:t>
      </w:r>
      <w:r>
        <w:rPr>
          <w:rFonts w:eastAsia="Amiri" w:cs="Amiri" w:ascii="Amiri" w:hAnsi="Amiri"/>
          <w:color w:val="111111"/>
          <w:sz w:val="28"/>
          <w:szCs w:val="28"/>
          <w:rtl w:val="true"/>
          <w:lang w:bidi="ar-SA"/>
        </w:rPr>
        <w:t xml:space="preserve">... »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نقل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الخلاف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العلّامة في مسألة أنّ خوف العطش من أسباب العجز عن استعمال الماء في الطهارة فينتقل إلى التيمم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ذكر جدّي العلّامة طاب ثراه بأنّ الجاهل بالحكم كالعامد إلّا مع الجهل الذي يكون عذرا كالجاهل المطلق الغافل عن المسألة أو المعتقد للإباحة بحيث لا يحتمل الخلاف ليجب عليه السؤال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واستدرك ابن حفيده الآخر العلّامة آية اللّه أبي المجد الشيخ محمّد الرضا النجفي الأصفهاني طاب ثراه على كلام صاحب الروضات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الفقه الاستدلالي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خرج منه كتاب الطهارة ، وهو في الفقه كالهداية في الأصول ، وله شرح كتاب الوافي </w:t>
      </w:r>
    </w:p>
    <w:p>
      <w:pPr>
        <w:pStyle w:val="BookText"/>
        <w:rPr/>
      </w:pPr>
      <w:r>
        <w:rPr>
          <w:rFonts w:ascii="Amiri" w:hAnsi="Amiri" w:eastAsia="Amiri" w:cs="Amiri"/>
          <w:color w:val="111111"/>
          <w:sz w:val="28"/>
          <w:sz w:val="28"/>
          <w:szCs w:val="28"/>
          <w:rtl w:val="true"/>
          <w:lang w:bidi="ar-SA"/>
        </w:rPr>
        <w:t xml:space="preserve">على ما نقل لي والدي طاب ثراه </w:t>
      </w:r>
      <w:r>
        <w:rPr>
          <w:rFonts w:eastAsia="Amiri" w:cs="Amiri" w:ascii="Amiri" w:hAnsi="Amiri"/>
          <w:color w:val="111111"/>
          <w:sz w:val="28"/>
          <w:szCs w:val="28"/>
          <w:rtl w:val="true"/>
          <w:lang w:bidi="ar-SA"/>
        </w:rPr>
        <w:t xml:space="preserve">... »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حفيده العلّامة الشيخ محمّد باقر ألفت ابن آية اللّه آقا النجفي الأصفهاني المذكور ما ترجمته بالعربية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صنف كتابا في علم الفقه ولكن ما رأيته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هذا الكتاب صاحب الذريعة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الكرام البررة في ترجمة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 قال في التكملة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وهو في غاية التحقيق يبلغ قدر طهارة المعالم ، وله شرح طهارة الوافي للفيض من تقرير أستاذه السيّد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العلوم </w:t>
      </w:r>
      <w:r>
        <w:rPr>
          <w:rFonts w:eastAsia="Amiri" w:cs="Amiri" w:ascii="Amiri" w:hAnsi="Amiri"/>
          <w:color w:val="111111"/>
          <w:sz w:val="28"/>
          <w:szCs w:val="28"/>
          <w:rtl w:val="true"/>
          <w:lang w:bidi="ar-SA"/>
        </w:rPr>
        <w:t xml:space="preserve">] ... »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الشيخ محمّد على المعلّم ما ترجمته بالعربية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وله كتاب كبير في الفقه الاستدلالي لم يخرج من المسودّة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الكتاب العلّامة المؤرّخ السيّد مصلح الدّين المهدوي رحمه‌اللّه في كتابه في ترجمة المؤلف وآله الأمجاد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سبل الهداية في ذكر أعقاب صاحب الهداية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والدنا العلّامة آية اللّه الشيخ مهدي مجد الإسلام النّجفي قدس‌سره في مقدمته على هداية المسترشدين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وجدنا نسخة كتاب فقه صاحب الهداية في قريب من خمسمائة صفحة </w:t>
      </w:r>
      <w:r>
        <w:rPr>
          <w:rStyle w:val="FootnoteAnchor"/>
          <w:rtl w:val="true"/>
        </w:rPr>
        <w:footnoteReference w:id="19"/>
      </w:r>
      <w:r>
        <w:rPr>
          <w:rFonts w:ascii="Amiri" w:hAnsi="Amiri" w:eastAsia="Amiri" w:cs="Amiri"/>
          <w:color w:val="111111"/>
          <w:sz w:val="28"/>
          <w:sz w:val="28"/>
          <w:szCs w:val="28"/>
          <w:rtl w:val="true"/>
          <w:lang w:bidi="ar-SA"/>
        </w:rPr>
        <w:t>سمّي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جلّ مسائل الطهارة وبحث مواقيت الصلاة وبعض الزكاة وقسم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 كالهداية في الأصول </w:t>
      </w:r>
      <w:r>
        <w:rPr>
          <w:rFonts w:eastAsia="Amiri" w:cs="Amiri" w:ascii="Amiri" w:hAnsi="Amiri"/>
          <w:color w:val="111111"/>
          <w:sz w:val="28"/>
          <w:szCs w:val="28"/>
          <w:rtl w:val="true"/>
          <w:lang w:bidi="ar-SA"/>
        </w:rPr>
        <w:t xml:space="preserve">... »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العلّامة المحقّق السيّد أحمد الحسيني الإشكوري مدّ ظلّه في ترجمة المؤلّف المطبوعة في أوّل الهداية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اشتغل الشيخ في أيام الدراسة والطلب بالفقه والأصول </w:t>
      </w:r>
    </w:p>
    <w:p>
      <w:pPr>
        <w:pStyle w:val="BookText"/>
        <w:rPr/>
      </w:pPr>
      <w:r>
        <w:rPr>
          <w:rFonts w:ascii="Amiri" w:hAnsi="Amiri" w:eastAsia="Amiri" w:cs="Amiri"/>
          <w:color w:val="111111"/>
          <w:sz w:val="28"/>
          <w:sz w:val="28"/>
          <w:szCs w:val="28"/>
          <w:rtl w:val="true"/>
          <w:lang w:bidi="ar-SA"/>
        </w:rPr>
        <w:t>معا ، ثم درّس فيهما طيلة حياته ممارسا لهما معا وفاحصا عن أدلّتهما سوية ، ولذا نراه في كتابه تبصرة الفقهاء مستوعبا لجوانب المسائل الفقهية كما هو الحال في كتابه الهداية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يوفّق الشيخ إلى إكمال الشوط لكلّ أبواب الفقه في كتابه تبصرة الفقهاء ، بل كتب منه نبذا من كتاب الطهارة والصلاة والزكاة والبيع ، وبهذه النبذ دلّنا على قوّة عارضته في الاجتهاد الفقهي ، وتسلّطه على الأقوال والآراء ، وقدرته الفائقة على نقدها وتمحيصها ، ثم لباقته الممتازة في عرض الأدلة من الكتاب الكريم والسنّة المأثورة عن أهل البيت عليهم‌السلام واستخراج الحكم الأوفق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شيخنا الفقيه عند ما يتعرّض لموضوع ما ، يبدأ بما ذكره اللغويون مع الجرح والتعديل لما ذكروه وتطبيقه بالذوق العرفي ، ثم يستعرض أهم الآراء لكبار الفقهاء ويتناولها بالفحص والنقد العلمي ، ثم يأتي بالأدلة الفقهيّة من الآيات والأحاديث ، ويسندها بما يؤدّي إليه نظره ، ويستخرج بالتالي فتواه غير مشوبة بالضعف على الأغلب ، وبهذه الطريقة المتأنية يدلّنا على تمكّنه من الاجتهاد ويعرّفنا الطريقة الصحيحة للاستنباط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ذكرت الكتاب في ترجمة المؤلف في كتابي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عالمان دين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فراجعه إن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مؤلفنا الفقيه الكبير كتاب الطهارة من الكتب الفقهية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كتابه هذا تبصرة الفقهاء ، وسيأتي منّا ذكر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 ألّفها مستقلا ، وقد طبعت الصفحة الأولى منها بخطّه الشريف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عالمان دين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الطهارة من الوافي الشريف من تقرير بحث أستاذه آية اللّه السيّد مهدي بحر العلوم النجفي قدس‌سره وقد عرّفه العلّامة الطهراني قدس‌سره في ثلاثة مواضع من الذريعة في </w:t>
      </w:r>
      <w:bookmarkStart w:id="15" w:name="pg15827_173544"/>
    </w:p>
    <w:p>
      <w:pPr>
        <w:pStyle w:val="BookText"/>
        <w:rPr/>
      </w:pPr>
      <w:bookmarkEnd w:id="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التقريرات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شرح طهارة الوافي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 شرح الوافي</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4099599_2142443653"/>
      <w:bookmarkStart w:id="17" w:name="_Toc6"/>
      <w:bookmarkEnd w:id="16"/>
      <w:r>
        <w:rPr>
          <w:rtl w:val="true"/>
        </w:rPr>
        <w:t>تنبيه</w:t>
      </w:r>
      <w:bookmarkEnd w:id="17"/>
    </w:p>
    <w:p>
      <w:pPr>
        <w:pStyle w:val="BookText"/>
        <w:rPr/>
      </w:pPr>
      <w:r>
        <w:rPr>
          <w:rFonts w:ascii="Amiri" w:hAnsi="Amiri" w:eastAsia="Amiri" w:cs="Amiri"/>
          <w:color w:val="111111"/>
          <w:sz w:val="28"/>
          <w:sz w:val="28"/>
          <w:szCs w:val="28"/>
          <w:rtl w:val="true"/>
          <w:lang w:bidi="ar-SA"/>
        </w:rPr>
        <w:t xml:space="preserve">وقد كتب العلّامة الفقيه المتتبّع السيّد جواد العاملي المتوفى عام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مفتاح الكرامة نفس هذه التقريرات من السيّد بحر العلوم قدس‌سرهما ، وقد عرّفها العلّامة السيّد حسن الصدر في التكملة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كتاب شرح طهارة الوافي تقرير درس السيّد بحر العلوم لم يتم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عرّفها صاحب الذريعة في ثلاثة مواضع من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4099601_2142443653"/>
      <w:bookmarkStart w:id="19" w:name="_Toc7"/>
      <w:bookmarkEnd w:id="18"/>
      <w:r>
        <w:rPr>
          <w:rtl w:val="true"/>
        </w:rPr>
        <w:t>وأما تبصرة الفقهاء</w:t>
      </w:r>
      <w:bookmarkEnd w:id="19"/>
    </w:p>
    <w:p>
      <w:pPr>
        <w:pStyle w:val="BookText"/>
        <w:rPr/>
      </w:pPr>
      <w:r>
        <w:rPr>
          <w:rFonts w:ascii="Amiri" w:hAnsi="Amiri" w:eastAsia="Amiri" w:cs="Amiri"/>
          <w:color w:val="111111"/>
          <w:sz w:val="28"/>
          <w:sz w:val="28"/>
          <w:szCs w:val="28"/>
          <w:rtl w:val="true"/>
          <w:lang w:bidi="ar-SA"/>
        </w:rPr>
        <w:t>هذا المؤلّف الجليل يشمل على أكثر أبحاث كتاب الطهارة وبحث أوقات الصلاة وقسم من الزكاة وبعض أبحاث كتاب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 طهارته يستوعب قريبا من نصف الكتاب يمكن أن يستظهر من صاحب الروضات انّ المؤلّف دوّنه حين تدريسه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يشتغل به أيام تشرّفنا بخدمته المقدسة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مع الأسف لم يدوّن ولمّا يطبع إلى الحين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وأحسن مقال في حق الكتاب كلام جدنا العلّامة أبي المجد الشيخ محمّد الرضا النجفي الأصفهاني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في الفقه كالهداية في الأصول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0" w:name="pg15827_173545"/>
    </w:p>
    <w:p>
      <w:pPr>
        <w:pStyle w:val="BookText"/>
        <w:rPr/>
      </w:pPr>
      <w:bookmarkEnd w:id="20"/>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الكتاب بأحسن وجه على قوة استنباط مؤلّفه وقدرة اجتهاده وكيفية وروده وخروجه في المسائل الفقهية وآرائه المتكاملة وتسلّطه على الأقوال وقدرته على نقدها وتمكّنه من الجمع بين الروايات المتعارضة بالذوق الفقهي السليم ، وبالجملة استخراج الأحكام الالهية من مداركها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4099603_2142443653"/>
      <w:bookmarkStart w:id="22" w:name="_Toc8"/>
      <w:bookmarkEnd w:id="21"/>
      <w:r>
        <w:rPr>
          <w:rtl w:val="true"/>
        </w:rPr>
        <w:t>نسخ الكتاب</w:t>
      </w:r>
      <w:bookmarkEnd w:id="22"/>
    </w:p>
    <w:p>
      <w:pPr>
        <w:pStyle w:val="BookText"/>
        <w:rPr/>
      </w:pPr>
      <w:r>
        <w:rPr>
          <w:rFonts w:ascii="Amiri" w:hAnsi="Amiri" w:eastAsia="Amiri" w:cs="Amiri"/>
          <w:color w:val="111111"/>
          <w:sz w:val="28"/>
          <w:sz w:val="28"/>
          <w:szCs w:val="28"/>
          <w:rtl w:val="true"/>
          <w:lang w:bidi="ar-SA"/>
        </w:rPr>
        <w:t>بالرغم من عدم تدوين الكتاب على يد مؤلّفه الفقيه ، بعد الفحص التام وجدنا عدة نسخ من هذا الكتاب الشريف ، وأكثرها بأيدينا في عمليّة التحقيق والطبع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ابن عمّتنا العلّامة المحقّق ، سادن تراث الإماميّة ، آية اللّه السيّد محمّد على الروضاتي مدّ ظلّه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بيت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 أرسل إلينا نسخة كتاب تبصرة الفقهاء ، وكانت بأيدينا أكثر من عامين ، أشكره وأدعوا له بالصحة والعافية وطول العمر ، فإنّه من ذخائر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آية اللّه السيّد عبد الحسين سيّد العراقين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باصفهان في أكثر من مأئة صفحة وهي قطعة من الكتاب في ضمن مجموعة ، دلّنا على وجودها العلّامة الروضاتي ، وتمكنت من أخذ صورتها بإجازة حجة الإسلام والمسلمين السيّد ابراهيم مير عمادي سيد العراقين دامت بركاته نجل مؤسس المكتبة ، أشكره وأدعوا للابن بطول العمر والعافية وللأب بالمغفرة والرحمة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آية اللّه المرعشي بقم المقدسة بالرقم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والمفهرس في فهرسها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الصحيح أنّه نفس هذا الكتاب ولذا جاء في عطفه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بخط ملا مصطفى التفرشي وعليها تملّك السيّد ريحان اللّه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نجل آية اللّه المرعشي سماحة حجة الإسلام والمسلمين الدكتور السيّد محمود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أرسل إلينا صورة من هذه النسخة الشريفة لوجه اللّه تعالى ، سلام اللّه على الوالد وما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كلية الالهيات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الفردوسى بمدينة المشهد الرضوي المقدس على ساكنها آلاف التحية والثناء ، وقد عرّفت في فهرس مخطوطها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مجموعة بالرقم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 أن أشكر إدارة هذه المكتبة العامرة سيّما من مديرها الأستاذ الدكتور محمّد على الرضائي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أرسل إليّ صورة هذه النسخة الشريفة خالصا مخلصا لله تعالى وأكرمني بوجه الطلق وخلقه الحسن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آية اللّه الشيخ زين العابدين الگلپايگاني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بمدينة گلپايگان بخطه ، وهو من تلاميذ المؤلّف في مجموعة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تبصرة الفقهاء ، 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من كتاب هداية المسترشدين إلى آخر الكتاب وقد عرّفت في فهرس مخطوطات مكتبته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الأسف بالرغم من كثرة تتبّعي لهذه النسخة وإرسال بعض الأفاضل على إثرها لم أجدها ، واللّه هو العالم بمحلّها وعاقبتها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آية اللّه الشيخ رضا الأستادي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في فهرسها </w:t>
      </w:r>
      <w:r>
        <w:rPr>
          <w:rStyle w:val="FootnoteAnchor"/>
          <w:rtl w:val="true"/>
        </w:rPr>
        <w:footnoteReference w:id="29"/>
      </w:r>
      <w:r>
        <w:rPr>
          <w:rFonts w:ascii="Amiri" w:hAnsi="Amiri" w:eastAsia="Amiri" w:cs="Amiri"/>
          <w:color w:val="111111"/>
          <w:sz w:val="28"/>
          <w:sz w:val="28"/>
          <w:szCs w:val="28"/>
          <w:rtl w:val="true"/>
          <w:lang w:bidi="ar-SA"/>
        </w:rPr>
        <w:t>بعنوان كتاب الطهارة ، ولكنه في الحقيقة قطعة من تبصرة الفقهاء وأبحاث طهارتها بحسب ما نقل من اوّلها ، لا كتاب الطهارة التي صنفها المؤلف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انتقل هذه النسخة إلى مكتبة آية اللّه المرعشي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لم تفهرس إلى الآن ولذا لم نتمكن من تصويرها والاستفادة منها</w:t>
      </w:r>
      <w:r>
        <w:rPr>
          <w:rFonts w:eastAsia="Amiri" w:cs="Amiri" w:ascii="Amiri" w:hAnsi="Amiri"/>
          <w:color w:val="111111"/>
          <w:sz w:val="28"/>
          <w:szCs w:val="28"/>
          <w:rtl w:val="true"/>
          <w:lang w:bidi="ar-SA"/>
        </w:rPr>
        <w:t xml:space="preserve">. </w:t>
      </w:r>
      <w:bookmarkStart w:id="23" w:name="pg15827_173547"/>
    </w:p>
    <w:p>
      <w:pPr>
        <w:pStyle w:val="Heading3"/>
        <w:numPr>
          <w:ilvl w:val="2"/>
          <w:numId w:val="1"/>
        </w:numPr>
        <w:rPr/>
      </w:pPr>
      <w:bookmarkStart w:id="24" w:name="__RefHeading___Toc14099605_2142443653"/>
      <w:bookmarkStart w:id="25" w:name="_Toc9"/>
      <w:bookmarkEnd w:id="23"/>
      <w:bookmarkEnd w:id="24"/>
      <w:r>
        <w:rPr>
          <w:rtl w:val="true"/>
        </w:rPr>
        <w:t>شكر وتقدير</w:t>
      </w:r>
      <w:bookmarkEnd w:id="25"/>
    </w:p>
    <w:p>
      <w:pPr>
        <w:pStyle w:val="BookText"/>
        <w:rPr/>
      </w:pPr>
      <w:r>
        <w:rPr>
          <w:rFonts w:ascii="Amiri" w:hAnsi="Amiri" w:eastAsia="Amiri" w:cs="Amiri"/>
          <w:color w:val="111111"/>
          <w:sz w:val="28"/>
          <w:sz w:val="28"/>
          <w:szCs w:val="28"/>
          <w:rtl w:val="true"/>
          <w:lang w:bidi="ar-SA"/>
        </w:rPr>
        <w:t xml:space="preserve">وفي الختام لا بدّ لي أن أشكر المحقّق الجليل الأستاذ السيّد صادق الحسيني الإشكوري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حقّق هذا السفر الذي يرى النور لأوّل مرّة بتحقيقه وتصحيحه ، وأدعو له بالتوفيق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 متن الكتاب على أربعة من النسخ التي ذكرتها ، وأنت ترى بداية هذه النسخ ونهايتها قبل شروع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بمتن مصحّح وتحقيق دقيق مع تخريج الآيات والروايات وكثير من الأقوال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وأثبت حفظه اللّه تعالى مع هذا التحقيق المنيف أنّ له باعا طويلا في إحياء التراث الفقهي في مكتبة أهل البيت عليهم‌السلام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وبما أن بدء عملنا كانت مع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نسخة كثيرة الأغلاط وفيها سقط كثير ، وآخر ما وصل إلى أيدينا كانت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أحسن النسخ وأمتنها ، فتعبنا كثيرا لتطبيق النصوص والهوامش ، وإضافة ما ميّز بها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الوقت قليل ، والوعد لازم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كما بين يدي القارئ الكريم ، ولله الحمد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تمت هذه المقدمة بقلم العبد هادي ابن الشيخ مهدي ابن الشيخ مجد الدين ابن الشيخ محمّد الرضا ابن الشيخ محمّد حسين ابن الشيخ محمّد باقر ابن الشيخ محمّد تقي الرازي النجفي الاصفهاني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مساء يوم الثلاثاء غرّة ذي القعدة الحرام عام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ولادة سيدتنا ومولاتنا فاطمة المعصومة عليها‌السلام بنت الإمام </w:t>
      </w:r>
    </w:p>
    <w:p>
      <w:pPr>
        <w:pStyle w:val="BookText"/>
        <w:rPr/>
      </w:pPr>
      <w:r>
        <w:rPr>
          <w:rFonts w:ascii="Amiri" w:hAnsi="Amiri" w:eastAsia="Amiri" w:cs="Amiri"/>
          <w:color w:val="111111"/>
          <w:sz w:val="28"/>
          <w:sz w:val="28"/>
          <w:szCs w:val="28"/>
          <w:rtl w:val="true"/>
          <w:lang w:bidi="ar-SA"/>
        </w:rPr>
        <w:t>موسى بن جعفر عليهما‌السلام بمدينة أصبهان ، صانها اللّه تعالى عن الحدثان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 وصلّى اللّه على سيدنا محمّد وآله الطيّبين الطاهرين المعصومين</w:t>
      </w:r>
      <w:r>
        <w:rPr>
          <w:rFonts w:eastAsia="Amiri" w:cs="Amiri" w:ascii="Amiri" w:hAnsi="Amiri"/>
          <w:color w:val="111111"/>
          <w:sz w:val="28"/>
          <w:szCs w:val="28"/>
          <w:rtl w:val="true"/>
          <w:lang w:bidi="ar-SA"/>
        </w:rPr>
        <w:t xml:space="preserve">. </w:t>
      </w:r>
      <w:bookmarkStart w:id="26" w:name="pg15827_173549"/>
    </w:p>
    <w:p>
      <w:pPr>
        <w:pStyle w:val="Heading2"/>
        <w:numPr>
          <w:ilvl w:val="1"/>
          <w:numId w:val="1"/>
        </w:numPr>
        <w:rPr/>
      </w:pPr>
      <w:bookmarkStart w:id="27" w:name="__RefHeading___Toc14099607_2142443653"/>
      <w:bookmarkStart w:id="28" w:name="_Toc10"/>
      <w:bookmarkEnd w:id="26"/>
      <w:bookmarkEnd w:id="27"/>
      <w:r>
        <w:rPr>
          <w:rtl w:val="true"/>
        </w:rPr>
        <w:t>ترجمة المؤلف</w:t>
      </w:r>
      <w:bookmarkEnd w:id="28"/>
    </w:p>
    <w:p>
      <w:pPr>
        <w:pStyle w:val="Heading3"/>
        <w:numPr>
          <w:ilvl w:val="2"/>
          <w:numId w:val="1"/>
        </w:numPr>
        <w:rPr/>
      </w:pPr>
      <w:bookmarkStart w:id="29" w:name="__RefHeading___Toc14099609_2142443653"/>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مستل من موسوعة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في تراجم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للعلامة المحقق</w:t>
      </w:r>
    </w:p>
    <w:p>
      <w:pPr>
        <w:pStyle w:val="BookText"/>
        <w:rPr/>
      </w:pPr>
      <w:r>
        <w:rPr>
          <w:rFonts w:ascii="Amiri" w:hAnsi="Amiri" w:eastAsia="Amiri" w:cs="Amiri"/>
          <w:color w:val="111111"/>
          <w:sz w:val="28"/>
          <w:sz w:val="28"/>
          <w:szCs w:val="28"/>
          <w:rtl w:val="true"/>
          <w:lang w:bidi="ar-SA"/>
        </w:rPr>
        <w:t>السيد أحمد الحسيني</w:t>
      </w:r>
    </w:p>
    <w:p>
      <w:pPr>
        <w:pStyle w:val="BookText"/>
        <w:rPr/>
      </w:pPr>
      <w:r>
        <w:rPr>
          <w:rFonts w:ascii="Amiri" w:hAnsi="Amiri" w:eastAsia="Amiri" w:cs="Amiri"/>
          <w:color w:val="111111"/>
          <w:sz w:val="28"/>
          <w:sz w:val="28"/>
          <w:szCs w:val="28"/>
          <w:rtl w:val="true"/>
          <w:lang w:bidi="ar-SA"/>
        </w:rPr>
        <w:t xml:space="preserve">الشيخ محمد تقي بن محمد رحيم 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قاسم الرازي الأيوان كيفي النجفي الأصبهاني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كان والده 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رحيم بيك استاجلو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سماه بعض أرباب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الموجود بخط 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الأشهر الأصح</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4099611_2142443653"/>
      <w:bookmarkStart w:id="32" w:name="_Toc12"/>
      <w:bookmarkEnd w:id="31"/>
      <w:r>
        <w:rPr>
          <w:rtl w:val="true"/>
        </w:rPr>
        <w:t xml:space="preserve">عشيرته وأسرته </w:t>
      </w:r>
      <w:r>
        <w:rPr>
          <w:rtl w:val="true"/>
        </w:rPr>
        <w:t>:</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ينتهي نسب الأسرة إلى عشيرة تعرف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استاجلو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لها صلة وثيقة بالسلاطين الصفوية منذ بداية حكومتها في ايران ، وتصدى بعض رجالها وظائف حكومية هامة في أيام الصفويين والقاجاريين كما جاء في تواريخ تلك العصور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أشغل والد الشيخ صاحب الترجمة الحاج محمد رحيم بيك بعض الوظائف الحكومية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إيوان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أنه في سنواته الأخيرة ترك الوظيفة وهاجر إلى العتبات المقدسة بالعراق وأقام بالنجف الأشرف منصرفا إلى العبادة حتى وافاه الأجل في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جده الأمي الأعلى ميرزا مهدي قلي خان بيكدلي ، كان من سكنة كرمانشاه وأرسله السلطان نادر شاه أفشار إلى النجف لتولي شئون تعمير الصحن العلوي الشريف وتذهيب القبة والأيوان والمنارتين ، فتصدى ذلك وسجل اسمه على القاشي لبعض الكتائب قرب باب الطوسي ، وكان إنجاز هذه المهمة على يده في سنوات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بزغ نجم هذه الأسرة العلمي في أصبهان منذ نحو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هاجر الشيخ فيما يقرب من هذا التاريخ من يزد إليها ، واشتهر بالمقام العلمي الرفيع والزهد والتقوى والتف حوله الخاصة والعامة وانتهت إليه الزعامة العلمية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من الأسرة علماء مشاهير وفضلاء ذوو الأقدار والمكانة ، كانوا ولم يزالوا موضع احترام العلماء وحفاوة سائر الطبقات المؤمنة في أصبهان وغيرها ، نذكر أسماء بعضهم كنماذج بارزة لا للحصر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أخو صاحب الترجمة ، الشيخ محمد 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العالم الكبير مؤلف الكتاب السائر في الأوساط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ابنه الشيخ محمد باقر المسجد شاهي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من أعاظم علماء أصبهان الفقهاء صاحب شرح هداية المسترشدين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النجفي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من وجوه تلامذة الامام المجدد ميرزا محمد حسن الشيرازي ومؤلف التفسير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البيان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أبو المجد الحاج آقا رضا المسجد شاهي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العالم الكبير والأديب الشاعر المشهور ، مفخرة القرن الرابع عشر في العلم والفضل والأدب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الشيخ محمد تقي آقا 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حفيد الشيخ وصاحب المؤلفات الكثيرة المطبوعة الذائعة والمتقدم على علماء عصره بأصبهان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آقا نور اللّه النجفي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من تلامذة المجدد الشيرازي والمشارك في النهضة المعروفة بايران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الأستاذ محمد باقر النجفي الأصبهاني المعروف بألفت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العلامة الأديب الفاضل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علي النجفي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مهدي بن محمد علي النجفي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صاحب المؤلفات الكثيرة المتجاوزة على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جمال الدين النجفي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من أعلام علماء أصبهان وذي المكانة المحترمة في مختلف الأوساط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اسماعيل النجفي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صاحب المؤلفات الكثيرة التي لا زالت 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مجد الدين الملقب بمجد العلماء النجفي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العالم الجليل الوجيه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يتصل بيت النجفي مصاهرة ببيوتات علمية كبيرة معروفة في الأوساط العراقية والايرانية ،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الشيخ جعفر الكبير النجفي صاحب كشف الغطاء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خاتون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زوجة الشيخ صاحب الترجمة ، لعله تزوجها عند سفر الشيخ جعفر إلى أصبهان ، وتوفيت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بجوار قبر زوجها في 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تخت‌فولاد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يبدو من هذه القصة أن الزواج كان في النجف الأشرف وليس في أصبهان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5827_173552"/>
    </w:p>
    <w:p>
      <w:pPr>
        <w:pStyle w:val="BookText"/>
        <w:rPr/>
      </w:pPr>
      <w:bookmarkEnd w:id="33"/>
      <w:r>
        <w:rPr>
          <w:rFonts w:ascii="Amiri" w:hAnsi="Amiri" w:eastAsia="Amiri" w:cs="Amiri"/>
          <w:color w:val="111111"/>
          <w:sz w:val="28"/>
          <w:sz w:val="28"/>
          <w:szCs w:val="28"/>
          <w:rtl w:val="true"/>
          <w:lang w:bidi="ar-SA"/>
        </w:rPr>
        <w:t>والعلوية بنت السيد صدر الدين العاملي ، زوجة الشيخ محمد باقر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ربابة سلطان 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السيد محمد علي المعروف بآقا مجتهد حفيد السيد محمد باقر حجة الإسلام الشفتي ، زوجة الشيخ محمد حسين الأصبهاني وأم أبي المجد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آقا بزرك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صاحب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علم جليل في أصفهان ، يعدّ من أشرفها وأعرقها في الفضل ، فقد نبغ فيه جمع من فطاحل العلماء ورجال الدين الأفاضل ، كما قضوا دورا مهما في خدمة الشريعة ، ونالوا الرئاسة العامة لا في أصبهان فحسب بل في ايران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ففيهم علماء وفضلاء وأجلاء </w:t>
      </w:r>
      <w:r>
        <w:rPr>
          <w:rFonts w:eastAsia="Amiri" w:cs="Amiri" w:ascii="Amiri" w:hAnsi="Amiri"/>
          <w:color w:val="111111"/>
          <w:sz w:val="28"/>
          <w:szCs w:val="28"/>
          <w:rtl w:val="true"/>
          <w:lang w:bidi="ar-SA"/>
        </w:rPr>
        <w:t>.. ».</w:t>
      </w:r>
    </w:p>
    <w:p>
      <w:pPr>
        <w:pStyle w:val="Heading3"/>
        <w:numPr>
          <w:ilvl w:val="2"/>
          <w:numId w:val="1"/>
        </w:numPr>
        <w:rPr/>
      </w:pPr>
      <w:bookmarkStart w:id="34" w:name="__RefHeading___Toc14099613_2142443653"/>
      <w:bookmarkStart w:id="35" w:name="_Toc13"/>
      <w:bookmarkEnd w:id="34"/>
      <w:r>
        <w:rPr>
          <w:rtl w:val="true"/>
        </w:rPr>
        <w:t xml:space="preserve">مولده وشي‌ء عن نشأته </w:t>
      </w:r>
      <w:r>
        <w:rPr>
          <w:rtl w:val="true"/>
        </w:rPr>
        <w:t>:</w:t>
      </w:r>
      <w:bookmarkEnd w:id="35"/>
    </w:p>
    <w:p>
      <w:pPr>
        <w:pStyle w:val="BookText"/>
        <w:rPr/>
      </w:pPr>
      <w:r>
        <w:rPr>
          <w:rFonts w:ascii="Amiri" w:hAnsi="Amiri" w:eastAsia="Amiri" w:cs="Amiri"/>
          <w:color w:val="111111"/>
          <w:sz w:val="28"/>
          <w:sz w:val="28"/>
          <w:szCs w:val="28"/>
          <w:rtl w:val="true"/>
          <w:lang w:bidi="ar-SA"/>
        </w:rPr>
        <w:t xml:space="preserve">لم يتعرض أصحاب التراجم لتأريخ ولادة الشيخ ومحلها على التحديد ، إلا أن السيد المهدوي يحتمل أن تكون الولادة نحو سنة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إيوان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كانت مسكن والده قبل هجرته إلى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الخوانساري صاحب الروضات يصرح أنه انتقل في عنفوان الشباب إلى عتبات الأئمة الأطياب ، وهذا يؤيد كونه ولد في القرية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الشيخ أول من انصرف من أسرته عن الوظائف الحكومية على دأبهم واتجه إلى طلب العلم متمحضا فيه تاركا العناوين الدنيوية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دراسته في الحوزات العلمية بالنجف الأشرف وكربلاء والكاظمية ، فبقي أكثر من اثنتي عشرة سنة في كربلاء قبل وفاة المولى محمد باقر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ويذكر المترجمون له من أساتذته الذين درس لديهم في المراحل العالية </w:t>
      </w:r>
    </w:p>
    <w:p>
      <w:pPr>
        <w:pStyle w:val="BookText"/>
        <w:rPr/>
      </w:pPr>
      <w:r>
        <w:rPr>
          <w:rFonts w:ascii="Amiri" w:hAnsi="Amiri" w:eastAsia="Amiri" w:cs="Amiri"/>
          <w:color w:val="111111"/>
          <w:sz w:val="28"/>
          <w:sz w:val="28"/>
          <w:szCs w:val="28"/>
          <w:rtl w:val="true"/>
          <w:lang w:bidi="ar-SA"/>
        </w:rPr>
        <w:t xml:space="preserve">واستفاد من علمهم جماعة لم نعرف تفصيل ما تتلمذ لديهم </w:t>
      </w:r>
      <w:r>
        <w:rPr>
          <w:rStyle w:val="FootnoteAnchor"/>
          <w:rtl w:val="true"/>
        </w:rPr>
        <w:footnoteReference w:id="33"/>
      </w:r>
      <w:r>
        <w:rPr>
          <w:rFonts w:ascii="IRNazanin" w:hAnsi="IRNazanin" w:eastAsia="IRNazanin"/>
          <w:color w:val="111111"/>
          <w:sz w:val="28"/>
          <w:sz w:val="28"/>
          <w:szCs w:val="28"/>
          <w:rtl w:val="true"/>
          <w:lang w:bidi="fa-IR"/>
        </w:rPr>
        <w:t xml:space="preserve">، وهم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مهدي بحر العلوم الطباطبائي النجفي ، استفاد منه علما وعملا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 وله منه إجازة الحديث والاجتهاد ، وصاهره على بنته كما سبق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المولى محمد باقر الوحيد البهبهاني ، وهو أول أساتذته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علي الطباطبائي الحائري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الأعرجي الكاظمي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في علم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أحمد بن زين الدين الأحسائي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من بعض القرائن في أحوال الشيخ أنه كان ذا جدّ وسعي كبير في تحصيل العلم واكتساب الفضائل أيام الدراسة والتحصيل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قائمة أسماء أساتذته وشيوخه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يختار أحسن رجال العلم وأشهر المدرسين المتقدمين في التدريس ، ولو أدى ذلك إلى التنقل في الحوزات العلمية وعدم الاخلاد إلى الاستقرار والطمأنينة في حوزة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وبما نرى من مؤلفاته العلمية المتناهية في الدقة والاحاطة والموقع الدراسي والعلمي الذي حصله زمن الإفادة ، نستشف مدى جهده أيام الطلب وذكائه في تلقي العلوم وتقدمه على كثير من أترابه ومعاصريه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اضطر إلى الهجرة من العتبات المقدسة إلى إيران على أثر صدمة الوهابيين وابتلائه بمرض القلب ، ولو كان باقيا بها لكان له شأن عظيم أكثر مما حصل له في أصبهان ، ولكن اللّه تعالى يقدر الأمور وليس مما قدر من مفر</w:t>
      </w:r>
      <w:r>
        <w:rPr>
          <w:rFonts w:eastAsia="Amiri" w:cs="Amiri" w:ascii="Amiri" w:hAnsi="Amiri"/>
          <w:color w:val="111111"/>
          <w:sz w:val="28"/>
          <w:szCs w:val="28"/>
          <w:rtl w:val="true"/>
          <w:lang w:bidi="ar-SA"/>
        </w:rPr>
        <w:t xml:space="preserve">. </w:t>
      </w:r>
      <w:bookmarkStart w:id="36" w:name="pg15827_173554"/>
    </w:p>
    <w:p>
      <w:pPr>
        <w:pStyle w:val="Heading3"/>
        <w:numPr>
          <w:ilvl w:val="2"/>
          <w:numId w:val="1"/>
        </w:numPr>
        <w:rPr/>
      </w:pPr>
      <w:bookmarkStart w:id="37" w:name="__RefHeading___Toc14099615_2142443653"/>
      <w:bookmarkStart w:id="38" w:name="_Toc14"/>
      <w:bookmarkEnd w:id="36"/>
      <w:bookmarkEnd w:id="37"/>
      <w:r>
        <w:rPr>
          <w:rtl w:val="true"/>
        </w:rPr>
        <w:t xml:space="preserve">الهجرة الى ايران </w:t>
      </w:r>
      <w:r>
        <w:rPr>
          <w:rtl w:val="true"/>
        </w:rPr>
        <w:t>:</w:t>
      </w:r>
      <w:bookmarkEnd w:id="38"/>
    </w:p>
    <w:p>
      <w:pPr>
        <w:pStyle w:val="BookText"/>
        <w:rPr/>
      </w:pPr>
      <w:r>
        <w:rPr>
          <w:rFonts w:ascii="Amiri" w:hAnsi="Amiri" w:eastAsia="Amiri" w:cs="Amiri"/>
          <w:color w:val="111111"/>
          <w:sz w:val="28"/>
          <w:sz w:val="28"/>
          <w:szCs w:val="28"/>
          <w:rtl w:val="true"/>
          <w:lang w:bidi="ar-SA"/>
        </w:rPr>
        <w:t xml:space="preserve">هاجر الشيخ من العراق إلى إيران بعد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فيها واقعة حملة الوهابيين على كربلاء والمجزرة الدامية التي أجروا فيها وهتكوا الحرم الحسيني وظهرت منهم فضائع وجرائم لا يسع المقام شرحها ، ويقال في سبب هجرته كثرة ديونه وابتلائه بمرض القلب واضطراب الوضع في كربلاء والنجف بسبب الحملة الوهابية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كانت الهجرة بعيد وفاة والد الشيخ في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التقى في هذا التأريخ بالميرزا أبى القاسم الجيلاني القمي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قصد أول دخوله إيران زيارة الامام الرضا عليه‌السلام ، بعد أن بقي في قم أياما ، فنزل بالمشهد في بيت الحاج ميرزا داود الخراساني الأصبهاني الذي كان من أجلاء فضلاء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وأقام في ضيافته لمدة أربعة عشر شهرا بكل تجلة واحترام ، وكان الميرزا يدرس لديه في هذه المدة علم الفقه والأصول ، ويذكرون أنه أدى كل ديون شيخه البالغة في ذلك الوقت ألف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من المشهد الرضوي إلى يزد ، واشتغل فيها بتدريس الفقه والأصول العاليين ، واجتمع عليه طلاب العلوم الدينية للاستفادة من علمه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بقاء مدة في 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مقدارها بالتحديد ويقال إنها كانت نحو سنة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الشيخ إلى أصبهان مهد العلم يومذاك ومجمع كبار العلماء والفحول ، وكان ذلك نحو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 فاحتفى به العلماء والطلاب وبقية الطبقات المؤمنة ، وبقي بها إلى حين وفاته معززا مكرما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علمنا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حفاوة العلماء والطلاب أينما حلّ وحيثما ارتحل ، يهتم بالتدريس وإفادة الطلاب مما رزقه اللّه تعالى من العلم والدراية ، حريصا على وقته أن يضيع فيما لا طائل تحته ، وعلى علمه أن لا يؤدي زكاته بتعليم الآخرين ، وبهذا كان منبعا فياضا أينما أقام ومأسوفا عليه حيث انتقل</w:t>
      </w:r>
      <w:r>
        <w:rPr>
          <w:rFonts w:eastAsia="Amiri" w:cs="Amiri" w:ascii="Amiri" w:hAnsi="Amiri"/>
          <w:color w:val="111111"/>
          <w:sz w:val="28"/>
          <w:szCs w:val="28"/>
          <w:rtl w:val="true"/>
          <w:lang w:bidi="ar-SA"/>
        </w:rPr>
        <w:t xml:space="preserve">. </w:t>
      </w:r>
      <w:bookmarkStart w:id="39" w:name="pg15827_173555"/>
    </w:p>
    <w:p>
      <w:pPr>
        <w:pStyle w:val="Heading3"/>
        <w:numPr>
          <w:ilvl w:val="2"/>
          <w:numId w:val="1"/>
        </w:numPr>
        <w:rPr/>
      </w:pPr>
      <w:bookmarkStart w:id="40" w:name="__RefHeading___Toc14099617_2142443653"/>
      <w:bookmarkStart w:id="41" w:name="_Toc15"/>
      <w:bookmarkEnd w:id="39"/>
      <w:bookmarkEnd w:id="40"/>
      <w:r>
        <w:rPr>
          <w:rtl w:val="true"/>
        </w:rPr>
        <w:t xml:space="preserve">الاقامة بأصبهان </w:t>
      </w:r>
      <w:r>
        <w:rPr>
          <w:rtl w:val="true"/>
        </w:rPr>
        <w:t>:</w:t>
      </w:r>
      <w:bookmarkEnd w:id="41"/>
    </w:p>
    <w:p>
      <w:pPr>
        <w:pStyle w:val="BookText"/>
        <w:rPr/>
      </w:pPr>
      <w:r>
        <w:rPr>
          <w:rFonts w:ascii="Amiri" w:hAnsi="Amiri" w:eastAsia="Amiri" w:cs="Amiri"/>
          <w:color w:val="111111"/>
          <w:sz w:val="28"/>
          <w:sz w:val="28"/>
          <w:szCs w:val="28"/>
          <w:rtl w:val="true"/>
          <w:lang w:bidi="ar-SA"/>
        </w:rPr>
        <w:t xml:space="preserve">أول ما ورد الشيخ المترجم له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سكن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من المحلات القديمة بهذه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كوّن بعد استقراره حوزة تدريسية في مسجد المحلة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ايلچي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وشاع ذكره وعرف مقامه العلمي في أوساط الأفاضل والطلاب ، فاجتمعوا عليه للاستفادة من درسه وتحقيقاته العلمية المعمقة ، وخاصة في أصول الفقه الذي اشتهر بأنه صاحب آراء خاصة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يقيم صلاة الجماعة أيضا بهذا المسجد ، وأمّ بصلاته كثير من المؤمنين عند ما عرفوا مكانته الرفيعة في الزهد والتقوى والإعراض عن زخارف الدنيا والتوجه التام إلى اللّه تعالى ، فكانت الصفوف مزدحمة بالمؤمنين المؤتمين بصلاته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كثرة الطلاب في مجالس التدريس وازدياد عدد المصلين في الجماعة بعد مرور مدة على ورود الشيخ ، سببا الشعور بالضيق وضرورة الانتقال إلى مكان أوسع ، فانتقل إلى محلة مسجد شاه والصلاة والتدريس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أبنية الشاه عباس الصفوي الكبير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المؤهلات العلمية في الشيخ وشدة ممارسته لعلمي الفقه والأصول وحسن الالقاء في محاضراته ، كانت أسبابا لنجاحه في التدريس لأعلى المراحل العلمية المسمى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نقلوا أن مجلس درسه كان يحضره ثلاثمائة إلى أربعمائة طالب ، ولازدحامهم طلب الميرزا محمد حسن المجدد الشيرازي وبعض رفاقه من متقدمي شباب الطلبة الذين كانوا يحضرون في مجالس الدرس آنذاك ، طلبوا وقتا خاصا بهم يستفيدون به أكثر لحل مشاكلهم العلمية ، فأجابهم الأستاذ على ذلك وعيّن لهم ساعة يحضرون لديه ويطرحون ما أشكل عليهم ثم يجدون الحل على أحسن ما يكون ، وكان السيد المجدد يتباهى بذلك ويأسف على قصر مدته ومفاجأتهم بوفاة الأستاذ</w:t>
      </w:r>
      <w:r>
        <w:rPr>
          <w:rFonts w:eastAsia="Amiri" w:cs="Amiri" w:ascii="Amiri" w:hAnsi="Amiri"/>
          <w:color w:val="111111"/>
          <w:sz w:val="28"/>
          <w:szCs w:val="28"/>
          <w:rtl w:val="true"/>
          <w:lang w:bidi="ar-SA"/>
        </w:rPr>
        <w:t xml:space="preserve">. </w:t>
      </w:r>
      <w:bookmarkStart w:id="42" w:name="pg15827_173556"/>
    </w:p>
    <w:p>
      <w:pPr>
        <w:pStyle w:val="Heading3"/>
        <w:numPr>
          <w:ilvl w:val="2"/>
          <w:numId w:val="1"/>
        </w:numPr>
        <w:rPr/>
      </w:pPr>
      <w:bookmarkStart w:id="43" w:name="__RefHeading___Toc14099619_2142443653"/>
      <w:bookmarkStart w:id="44" w:name="_Toc16"/>
      <w:bookmarkEnd w:id="42"/>
      <w:bookmarkEnd w:id="43"/>
      <w:r>
        <w:rPr>
          <w:rtl w:val="true"/>
        </w:rPr>
        <w:t xml:space="preserve">الأصولي الفقيه </w:t>
      </w:r>
      <w:r>
        <w:rPr>
          <w:rtl w:val="true"/>
        </w:rPr>
        <w:t>:</w:t>
      </w:r>
      <w:bookmarkEnd w:id="44"/>
    </w:p>
    <w:p>
      <w:pPr>
        <w:pStyle w:val="BookText"/>
        <w:rPr/>
      </w:pPr>
      <w:r>
        <w:rPr>
          <w:rFonts w:ascii="Amiri" w:hAnsi="Amiri" w:eastAsia="Amiri" w:cs="Amiri"/>
          <w:color w:val="111111"/>
          <w:sz w:val="28"/>
          <w:sz w:val="28"/>
          <w:szCs w:val="28"/>
          <w:rtl w:val="true"/>
          <w:lang w:bidi="ar-SA"/>
        </w:rPr>
        <w:t>لقد ذكرنا أن شيخنا صاحب الترجمة كان بأصبهان من المدرسين البارعين في الفقه وأصوله ، توافد على مجلس درسه الأفاضل من الطلاب والمشتغلين بالعلوم والمعارف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امتدت شهرته في هذين الفنين في الحوزات العلمية بعد وفاته إلى هذا اليوم بما خلّف من الكتب والرسائل ، وأهمها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يعرفه المشتغلون في الحوزات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المقدمات التي لا بدّ للفقهاء من النظر فيها توطئة للاجتهاد وقدرة استنباط الأحكام الشرعية والتصدي للفتوى ، وليس هذا الفن مقصودا بالذات كما يعلمه المشتغلون بالدراسات العالية ، إلا أن توفر آلات الاجتهاد يمهّد للشخص طريق الاستنباط ، فكلما كانت هذه الآلات أوفر يكون سبيل الوصول إلى الهدف الغائي أيسر وأسهل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نجد كثيرا من أعلامنا المجتهدين يتوغلون في البحث حول القواعد الأصولية ، وبه يكون استنباطهم للمسائل الفقهية أوفق وأركز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اشتغل الشيخ في أيام الدراسة والطلب بالفقه والأصول معا ، ثم درّس فيهما طيلة حياته ممارسا لهما معا وفاحصا عن أدلتهما سوية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كتابه الهداية فهو شرح موسّع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بن زين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يشتمل على تحقيقات أصولية ممتازة مع التعرض لمختلف الآراء والأدلة مع المناقشات الطويلة لما ينقل عن أعلام العلماء والأصوليين ، وخاصة في مباحث الألفاظ التي لقيت منه عناية أكثر من المباحث العقلية ، ويهتم فيه بشكل ملحوظ بآراء العالم الأصولي الشهير ميرزا أبو القاسم الجيلاني القمي المدرجة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ويتصدى لها بمناقشات فيها الشي‌ء الكثير من الدقة والتحقيق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نظرة خاطفة على كل تعليقة من هذه الحاشية ، تبين مدى إحاطة المؤلف على جمع </w:t>
      </w:r>
      <w:bookmarkStart w:id="45" w:name="pg15827_173557"/>
    </w:p>
    <w:p>
      <w:pPr>
        <w:pStyle w:val="BookText"/>
        <w:rPr/>
      </w:pPr>
      <w:bookmarkEnd w:id="45"/>
      <w:r>
        <w:rPr>
          <w:rFonts w:ascii="Amiri" w:hAnsi="Amiri" w:eastAsia="Amiri" w:cs="Amiri"/>
          <w:color w:val="111111"/>
          <w:sz w:val="28"/>
          <w:sz w:val="28"/>
          <w:szCs w:val="28"/>
          <w:rtl w:val="true"/>
          <w:lang w:bidi="ar-SA"/>
        </w:rPr>
        <w:t>مختلف الآراء وتمحيصها تمحيصا دقيقا ودراستها من مختلف جوانبها ، فهو لا يقنع بنقل قول ما كيفما كان ، ولكنه يقلبه ظهرا لبطن ويحسب له حساب الخبير المتمرس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لمعرفة مدى فحص الشيخ في الآراء اللغوية والأصولية والاستنتاج الصحيح من مجموعها ، النظر بدقة في التعليقة الأولى على قول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في اللغة الفهم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كتابه الفقهي التبصرة فنرى شيخنا الفقيه عند ما يتعرض لموضوع ما فيه ، يبدأ بما ذكره اللغويون مع الجرح والتعديل لما ذكروه وتطبيقه بالذوق العرفي المهم جدا في استخراج الحق الواقع من الأدلة اللفظية ، ثم يستعرض أهم الآراء لكبار الفقهاء ويتناولها بالفحص والنقد العلمي ، ثم يأتي بالأدلة الفقهية من الآيات والأحاديث ويسندها بما يؤدي إليه نظره ، ويستخرج بالتالي فتواه غير مشوبة بالضعف على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المتأنية المستوعبة يدلنا على تمكنه من الاجتهاد ويعرّفنا الطريقة الصحيحة اللاحبة للاستنباط</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4099621_2142443653"/>
      <w:bookmarkStart w:id="47" w:name="_Toc17"/>
      <w:bookmarkEnd w:id="46"/>
      <w:r>
        <w:rPr>
          <w:rtl w:val="true"/>
        </w:rPr>
        <w:t xml:space="preserve">بعض تلامذته البارزين </w:t>
      </w:r>
      <w:r>
        <w:rPr>
          <w:rtl w:val="true"/>
        </w:rPr>
        <w:t>:</w:t>
      </w:r>
      <w:bookmarkEnd w:id="47"/>
    </w:p>
    <w:p>
      <w:pPr>
        <w:pStyle w:val="BookText"/>
        <w:rPr/>
      </w:pPr>
      <w:r>
        <w:rPr>
          <w:rFonts w:ascii="Amiri" w:hAnsi="Amiri" w:eastAsia="Amiri" w:cs="Amiri"/>
          <w:color w:val="111111"/>
          <w:sz w:val="28"/>
          <w:sz w:val="28"/>
          <w:szCs w:val="28"/>
          <w:rtl w:val="true"/>
          <w:lang w:bidi="ar-SA"/>
        </w:rPr>
        <w:t>لقد ذكرنا سابقا شيئا عن رفيع مقام الشيخ التدريسي وازدحام الطلاب على محاضراته العلمية ، حتى ذكر بعض مترجميه أن محضر درسه كان يحتوي على ثلاثمائة أو أربعمائة طالب ، وكان في عصره المدرس الأول في حوزة أصبهان للدروس العالية ، والعدد المذكور لا يعني الحصر به بل كان التلامذة يتجددون حيثما تنتهي دورتهم الدراسية ، فيكون العدد عاليا جدا والعطاء العلمي وفيرا لا يمكن حصره في هذه الفئة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نسرد أسماء جملة من المشاهير من تلامذة الشيخ من دون تعرض لتراجمهم ، وذلك تبعا لطريقتنا في الأخذ بجانب الاختصار وعدم التطويل في الكلام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أحمد بن عبد اللّه الخوانساري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الأصول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باقر الخوانساري الأصبهاني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تقي الكلبايكاني ، له إجازة الحديث من أستاذه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تقي الهروي الأصبهاني ،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مستجاب الدعوة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حسن الخواجوئي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سيد حسن المدرس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محمد حسن المجدد الشيرازي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ميرزا حسن الرضوي المشهدي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حسين الأصبهاني ، أخوه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ملا حسين علي التويسركاني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داود الشهيد الأصبهاني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زين العابدين مخفي الكلبايكاني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الطالبين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إجازة من أستاذه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صادق الموسوي الخوانساري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 عبد الجواد التوني الأصبهاني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 علي قاربوزآبادي الزنجاني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الأصول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فتح اللّه الشاردي القزويني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 محمد بن محمد حسين الشهرستاني الحائري ، وله منه 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آقا مهدي المهدوي الكرمانشاهي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الشرائع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مهدي الكجوري الشيرازي ، صاحب المؤلفات العديدة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هادي الأسرار السبزواري مؤلف شرح المنظومة المعروف في الفلسفة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الشهشهاني الأصبهاني ،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هداية اللّه ابر سجي الشاهرودي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الطهراني النجفي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48" w:name="pg15827_173559"/>
    </w:p>
    <w:p>
      <w:pPr>
        <w:pStyle w:val="Heading3"/>
        <w:numPr>
          <w:ilvl w:val="2"/>
          <w:numId w:val="1"/>
        </w:numPr>
        <w:rPr/>
      </w:pPr>
      <w:bookmarkStart w:id="49" w:name="__RefHeading___Toc14099623_2142443653"/>
      <w:bookmarkStart w:id="50" w:name="_Toc18"/>
      <w:bookmarkEnd w:id="48"/>
      <w:bookmarkEnd w:id="49"/>
      <w:r>
        <w:rPr>
          <w:rtl w:val="true"/>
        </w:rPr>
        <w:t xml:space="preserve">قالوا فيه </w:t>
      </w:r>
      <w:r>
        <w:rPr>
          <w:rtl w:val="true"/>
        </w:rPr>
        <w:t>:</w:t>
      </w:r>
      <w:bookmarkEnd w:id="50"/>
    </w:p>
    <w:p>
      <w:pPr>
        <w:pStyle w:val="BookText"/>
        <w:rPr/>
      </w:pPr>
      <w:r>
        <w:rPr>
          <w:rFonts w:ascii="Amiri" w:hAnsi="Amiri" w:eastAsia="Amiri" w:cs="Amiri"/>
          <w:color w:val="111111"/>
          <w:sz w:val="28"/>
          <w:sz w:val="28"/>
          <w:szCs w:val="28"/>
          <w:rtl w:val="true"/>
          <w:lang w:bidi="ar-SA"/>
        </w:rPr>
        <w:t xml:space="preserve">لقد طفحت كتب التراجم بعبارات تنم عن عظيم مكانة الشيخ بين معاصريه وجليل منزلته عند من ترجمه بعد عصره ، فقد بجلوا بمقامه العلمي ومجدوا زهده وتقواه بشتى التعابير ومختلف الألفاظ ، وفيما يلي نورد بعض ما قالوه اكتفاء باليسير عن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الخوانساري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أفضل أهل عصره في الفقه والأصول ، بل أبصر أهل وقته في المعقول والمنقول ، وصار كأنه المجسّم في الأفكار الدقيقة ، والمنظم من الأنظار العميقة ، أستادا للكل في الكل ، وفي أصول الفقه على الخصوص ، وجنّات الفضل الدائمة الأكل في مراتب المعقول والمنصوص ، فجعل أفئدة طلاب العصر تصرف إليه ، وأخبية أصحاب الفضل تضرب لديه ، بحيث لم ير في الدنيا مدرس أغص بأهله من مدرسه الشريف ، ولا مجلس أفيد لنهله من مجلسه المنيف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القمي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تعريبه مختصراً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الفاضل المحقق المدقق ، قدوة المحققين وترجمان الأصوليين ، صاحب تعليقة كبيرة على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بالشيخ جعفر الكبير صاحب كشف الغطاء حتى زوجه بابنته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المدرس الخياباني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تعريبه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أكابر فحول علماء الامامية أواسط القرن الثالث عشر الهجري ، فقيه أصولي محقق مدقق عابد زاهد ، عميق الفكر دقيق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جلالته العلمية والعملية مشهورة ، بل تقدم على معاصريه في المعقول والمنقول بشهادة بعض المترجمين له ، خصوصا في أصول الفقه الذي كان فيه بغاية التبحر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إليه المرجعية بأصبهان ، وكان يحضر في حلقة درسه قريبا من ثلاثمائة طالب </w:t>
      </w:r>
      <w:r>
        <w:rPr>
          <w:rFonts w:eastAsia="Amiri" w:cs="Amiri" w:ascii="Amiri" w:hAnsi="Amiri"/>
          <w:color w:val="111111"/>
          <w:sz w:val="28"/>
          <w:szCs w:val="28"/>
          <w:rtl w:val="true"/>
          <w:lang w:bidi="ar-SA"/>
        </w:rPr>
        <w:t xml:space="preserve">.. ». </w:t>
      </w:r>
      <w:bookmarkStart w:id="51" w:name="pg15827_173560"/>
    </w:p>
    <w:p>
      <w:pPr>
        <w:pStyle w:val="BookText"/>
        <w:rPr/>
      </w:pPr>
      <w:bookmarkEnd w:id="51"/>
      <w:r>
        <w:rPr>
          <w:rFonts w:ascii="Amiri" w:hAnsi="Amiri" w:eastAsia="Amiri" w:cs="Amiri"/>
          <w:color w:val="111111"/>
          <w:sz w:val="28"/>
          <w:sz w:val="28"/>
          <w:szCs w:val="28"/>
          <w:rtl w:val="true"/>
          <w:lang w:bidi="ar-SA"/>
        </w:rPr>
        <w:t xml:space="preserve">وقال الشيخ آقا بزرك الطهراني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الطائفة ومحققي الامامية المؤسسين في هذا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فاز بدرجة عالية من العلم والعمل ، معقولا ومنقولا فقها وأصولا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حظي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بالقبول ، ولاقى استحسان الأكابر والفحول من المحققين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يكفي للاستدلال على مدى إحاطة المترجم وتبحره وتحقيقه في علم الأصول ، ففيه تحقيقات عالية خلت منها جملة من الأسفار الجليلة ، ولم تزل آراؤه ونظرياته محط أنظار الأفاضل ومحور أبحاثهم إلى الآن </w:t>
      </w:r>
      <w:r>
        <w:rPr>
          <w:rFonts w:eastAsia="Amiri" w:cs="Amiri" w:ascii="Amiri" w:hAnsi="Amiri"/>
          <w:color w:val="111111"/>
          <w:sz w:val="28"/>
          <w:szCs w:val="28"/>
          <w:rtl w:val="true"/>
          <w:lang w:bidi="ar-SA"/>
        </w:rPr>
        <w:t>.. ».</w:t>
      </w:r>
    </w:p>
    <w:p>
      <w:pPr>
        <w:pStyle w:val="Heading3"/>
        <w:numPr>
          <w:ilvl w:val="2"/>
          <w:numId w:val="1"/>
        </w:numPr>
        <w:rPr/>
      </w:pPr>
      <w:bookmarkStart w:id="52" w:name="__RefHeading___Toc14099625_2142443653"/>
      <w:bookmarkStart w:id="53" w:name="_Toc19"/>
      <w:bookmarkEnd w:id="52"/>
      <w:r>
        <w:rPr>
          <w:rtl w:val="true"/>
        </w:rPr>
        <w:t xml:space="preserve">آثاره العلمية </w:t>
      </w:r>
      <w:r>
        <w:rPr>
          <w:rtl w:val="true"/>
        </w:rPr>
        <w:t>:</w:t>
      </w:r>
      <w:bookmarkEnd w:id="53"/>
    </w:p>
    <w:p>
      <w:pPr>
        <w:pStyle w:val="BookText"/>
        <w:rPr/>
      </w:pPr>
      <w:r>
        <w:rPr>
          <w:rFonts w:ascii="Amiri" w:hAnsi="Amiri" w:eastAsia="Amiri" w:cs="Amiri"/>
          <w:color w:val="111111"/>
          <w:sz w:val="28"/>
          <w:sz w:val="28"/>
          <w:szCs w:val="28"/>
          <w:rtl w:val="true"/>
          <w:lang w:bidi="ar-SA"/>
        </w:rPr>
        <w:t xml:space="preserve">بالرغم من اشتغال الشيخ بالتدريس وتربية الطلاب والقيام بالشئون الاجتماعية وقضاء حوائج الناس ، دبّجت يراعته آثارا علمية اشتهر بعضها في الحوزات وعند العلماء وبقي بعضها الآخر غير معروف لدى الجهابذة ، وفيما يلي نذكر هاتيك الآثار مع الإجمال في وصفها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جوابات على استفتاءات بعضها مختصر وفي بعضها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استدلالي نجز منه كتاب الطهارة وأوقات الصلاة وكتاب الزكاة وبعض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تقرير أبحاث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شرحا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كتبه حين دراسته على السيد محمد مهدي بحر العلوم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المظنة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مع حاشية معالم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 الأمر بين الأقل والأكثر ، رسالة في ردّ أستاذه السيد محسن الأعرجي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مفطرية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رد على بعض معاصري الشيخ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العملية ، فارسية في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أصبهان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صلاتيه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الشيخ مهدي الباقري السياني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فساد الشرط ضمن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 الضمان ، لو ظهر المبيع مستحقا للغير</w:t>
      </w:r>
      <w:r>
        <w:rPr>
          <w:rFonts w:eastAsia="Amiri" w:cs="Amiri" w:ascii="Amiri" w:hAnsi="Amiri"/>
          <w:color w:val="111111"/>
          <w:sz w:val="28"/>
          <w:szCs w:val="28"/>
          <w:rtl w:val="true"/>
          <w:lang w:bidi="ar-SA"/>
        </w:rPr>
        <w:t xml:space="preserve">. </w:t>
      </w:r>
      <w:bookmarkStart w:id="54" w:name="pg15827_173561"/>
    </w:p>
    <w:p>
      <w:pPr>
        <w:pStyle w:val="BookText"/>
        <w:rPr/>
      </w:pPr>
      <w:bookmarkEnd w:id="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شرحه على الوافي المذكور سابقا ، توجد نسخته في مكتبة السيد المرعشي العامة بقم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الاستدلالي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نفس كتابه الاستدلالي في الطهارة وليس كتابا غيره ، وقد صرح بعض أنه لم يخرج من المسودة وذكر أنه كتاب كبير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الأمة في رد شياطين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للشيخ محمد تقي المعروف بآقا نجفي الأصبهاني ، ونسبوه إلى صاحب الترجمة اشتباها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كذلك تلميذه السيد الخوانساري وقال إنه مستخرج من كتاب الهداية ، ولعلها هي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المظنة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 في شرح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أو حاشية موسعة على قسم أصول الفقه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بن زين الدين العاملي ، وقد اشتهر في الحوزات العلمية الشيعية وتلقاه العلماء بعين الإكبار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مكررا ، وأحسن طبعاته الطبعة الأخيرة في ثلاثة أجزاء في قم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مؤسسة النشر الاسلامي لجماعة المدرسين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4099627_2142443653"/>
      <w:bookmarkStart w:id="56" w:name="_Toc20"/>
      <w:bookmarkEnd w:id="55"/>
      <w:r>
        <w:rPr>
          <w:rtl w:val="true"/>
        </w:rPr>
        <w:t xml:space="preserve">وفاته </w:t>
      </w:r>
      <w:r>
        <w:rPr>
          <w:rtl w:val="true"/>
        </w:rPr>
        <w:t>:</w:t>
      </w:r>
      <w:bookmarkEnd w:id="56"/>
    </w:p>
    <w:p>
      <w:pPr>
        <w:pStyle w:val="BookText"/>
        <w:rPr/>
      </w:pPr>
      <w:r>
        <w:rPr>
          <w:rFonts w:ascii="Amiri" w:hAnsi="Amiri" w:eastAsia="Amiri" w:cs="Amiri"/>
          <w:color w:val="111111"/>
          <w:sz w:val="28"/>
          <w:sz w:val="28"/>
          <w:szCs w:val="28"/>
          <w:rtl w:val="true"/>
          <w:lang w:bidi="ar-SA"/>
        </w:rPr>
        <w:t xml:space="preserve">توفي شيخنا صاحب الترجمة وقت الزوال من يوم الجمعة منتصف شهر شوال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 ، وصلى عليه الشيخ محمد إبراهيم الكرباسي أو السيد محمد باقر حجة الإسلام الشفتي ، واقتدى في الصلاة عليه جماعة كبيرة من العلماء وبقية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 في المقبرة المعروفة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تخت‌فولاد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مادر شاهزاده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عرفت بعد ذلك عند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الشيخ محمد 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أبّنه جماعة من الأدباء ورثاه جملة من الشعراء وأرخوا وفاته بالعربية والفارسية ، منها قصيدة تلميذه ميرزا محمد باقر الخوانساري التي يقول فيها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للذي أضحى تقيا نهتدي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بهداه كالبدر المنير الأوقد </w:t>
      </w:r>
    </w:p>
    <w:p>
      <w:pPr>
        <w:pStyle w:val="BookText"/>
        <w:rPr/>
      </w:pPr>
      <w:r>
        <w:rPr>
          <w:rFonts w:ascii="Amiri" w:hAnsi="Amiri" w:eastAsia="Amiri" w:cs="Amiri"/>
          <w:color w:val="111111"/>
          <w:sz w:val="28"/>
          <w:sz w:val="28"/>
          <w:szCs w:val="28"/>
          <w:rtl w:val="true"/>
          <w:lang w:bidi="ar-SA"/>
        </w:rPr>
        <w:t xml:space="preserve">أسفا لفقد إمامنا الحبر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الزمان لمثله لم نفقد</w:t>
      </w:r>
    </w:p>
    <w:p>
      <w:pPr>
        <w:pStyle w:val="BookText"/>
        <w:rPr/>
      </w:pPr>
      <w:r>
        <w:rPr>
          <w:rFonts w:ascii="Amiri" w:hAnsi="Amiri" w:eastAsia="Amiri" w:cs="Amiri"/>
          <w:color w:val="111111"/>
          <w:sz w:val="28"/>
          <w:sz w:val="28"/>
          <w:szCs w:val="28"/>
          <w:rtl w:val="true"/>
          <w:lang w:bidi="ar-SA"/>
        </w:rPr>
        <w:t xml:space="preserve">لهفي عليه وليس يعقوب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يوسف هجره بمفنّد</w:t>
      </w:r>
    </w:p>
    <w:p>
      <w:pPr>
        <w:pStyle w:val="BookText"/>
        <w:rPr/>
      </w:pPr>
      <w:r>
        <w:rPr>
          <w:rFonts w:ascii="Amiri" w:hAnsi="Amiri" w:eastAsia="Amiri" w:cs="Amiri"/>
          <w:color w:val="111111"/>
          <w:sz w:val="28"/>
          <w:sz w:val="28"/>
          <w:szCs w:val="28"/>
          <w:rtl w:val="true"/>
          <w:lang w:bidi="ar-SA"/>
        </w:rPr>
        <w:t xml:space="preserve">لهفي على من لا يفي لثنائه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رقش الآجام على مجال الفدفد</w:t>
      </w:r>
    </w:p>
    <w:p>
      <w:pPr>
        <w:pStyle w:val="BookText"/>
        <w:rPr/>
      </w:pPr>
      <w:r>
        <w:rPr>
          <w:rFonts w:ascii="Amiri" w:hAnsi="Amiri" w:eastAsia="Amiri" w:cs="Amiri"/>
          <w:color w:val="111111"/>
          <w:sz w:val="28"/>
          <w:sz w:val="28"/>
          <w:szCs w:val="28"/>
          <w:rtl w:val="true"/>
          <w:lang w:bidi="ar-SA"/>
        </w:rPr>
        <w:t xml:space="preserve">العلم أمسى بعده مترحلا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لم ير بعده بمؤيّد</w:t>
      </w:r>
    </w:p>
    <w:p>
      <w:pPr>
        <w:pStyle w:val="BookText"/>
        <w:rPr/>
      </w:pPr>
      <w:r>
        <w:rPr>
          <w:rFonts w:ascii="Amiri" w:hAnsi="Amiri" w:eastAsia="Amiri" w:cs="Amiri"/>
          <w:color w:val="111111"/>
          <w:sz w:val="28"/>
          <w:sz w:val="28"/>
          <w:szCs w:val="28"/>
          <w:rtl w:val="true"/>
          <w:lang w:bidi="ar-SA"/>
        </w:rPr>
        <w:t xml:space="preserve">مهما أخال زحام حلقة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قلبي من شديد تجلدي</w:t>
      </w:r>
    </w:p>
    <w:p>
      <w:pPr>
        <w:pStyle w:val="BookText"/>
        <w:rPr/>
      </w:pPr>
      <w:r>
        <w:rPr>
          <w:rFonts w:ascii="Amiri" w:hAnsi="Amiri" w:eastAsia="Amiri" w:cs="Amiri"/>
          <w:color w:val="111111"/>
          <w:sz w:val="28"/>
          <w:sz w:val="28"/>
          <w:szCs w:val="28"/>
          <w:rtl w:val="true"/>
          <w:lang w:bidi="ar-SA"/>
        </w:rPr>
        <w:t xml:space="preserve">وا حسرتا أهل المدارس إذ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الحوادث في إمام المسجد</w:t>
      </w:r>
    </w:p>
    <w:p>
      <w:pPr>
        <w:pStyle w:val="BookText"/>
        <w:rPr/>
      </w:pPr>
      <w:r>
        <w:rPr>
          <w:rFonts w:ascii="Amiri" w:hAnsi="Amiri" w:eastAsia="Amiri" w:cs="Amiri"/>
          <w:color w:val="111111"/>
          <w:sz w:val="28"/>
          <w:sz w:val="28"/>
          <w:szCs w:val="28"/>
          <w:rtl w:val="true"/>
          <w:lang w:bidi="ar-SA"/>
        </w:rPr>
        <w:t xml:space="preserve">وا كربتاه لمسلمي هذي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ثلمة الإسلام في المتجدد</w:t>
      </w:r>
    </w:p>
    <w:p>
      <w:pPr>
        <w:pStyle w:val="BookText"/>
        <w:rPr/>
      </w:pPr>
      <w:r>
        <w:rPr>
          <w:rFonts w:ascii="Amiri" w:hAnsi="Amiri" w:eastAsia="Amiri" w:cs="Amiri"/>
          <w:color w:val="111111"/>
          <w:sz w:val="28"/>
          <w:sz w:val="28"/>
          <w:szCs w:val="28"/>
          <w:rtl w:val="true"/>
          <w:lang w:bidi="ar-SA"/>
        </w:rPr>
        <w:t xml:space="preserve">من ثلمة لا يسددن وبددت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 الفضائل والعلى والسؤدد</w:t>
      </w:r>
    </w:p>
    <w:p>
      <w:pPr>
        <w:pStyle w:val="BookText"/>
        <w:rPr/>
      </w:pPr>
      <w:r>
        <w:rPr>
          <w:rFonts w:ascii="Amiri" w:hAnsi="Amiri" w:eastAsia="Amiri" w:cs="Amiri"/>
          <w:color w:val="111111"/>
          <w:sz w:val="28"/>
          <w:sz w:val="28"/>
          <w:szCs w:val="28"/>
          <w:rtl w:val="true"/>
          <w:lang w:bidi="ar-SA"/>
        </w:rPr>
        <w:t xml:space="preserve">نقصت طلاع الأرض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موت مولانا التقي محمد</w:t>
      </w:r>
    </w:p>
    <w:p>
      <w:pPr>
        <w:pStyle w:val="BookText"/>
        <w:rPr/>
      </w:pPr>
      <w:r>
        <w:rPr>
          <w:rFonts w:ascii="Amiri" w:hAnsi="Amiri" w:eastAsia="Amiri" w:cs="Amiri"/>
          <w:color w:val="111111"/>
          <w:sz w:val="28"/>
          <w:sz w:val="28"/>
          <w:szCs w:val="28"/>
          <w:rtl w:val="true"/>
          <w:lang w:bidi="ar-SA"/>
        </w:rPr>
        <w:t xml:space="preserve">لا يوم للشيطان كاليوم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بمثلك من فقيه أوحدي</w:t>
      </w:r>
    </w:p>
    <w:p>
      <w:pPr>
        <w:pStyle w:val="BookText"/>
        <w:rPr/>
      </w:pPr>
      <w:r>
        <w:rPr>
          <w:rFonts w:ascii="Amiri" w:hAnsi="Amiri" w:eastAsia="Amiri" w:cs="Amiri"/>
          <w:color w:val="111111"/>
          <w:sz w:val="28"/>
          <w:sz w:val="28"/>
          <w:szCs w:val="28"/>
          <w:rtl w:val="true"/>
          <w:lang w:bidi="ar-SA"/>
        </w:rPr>
        <w:t xml:space="preserve">لما مضيت مضت صبابة 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 وأنت من السليل الأمجد</w:t>
      </w:r>
    </w:p>
    <w:p>
      <w:pPr>
        <w:pStyle w:val="BookText"/>
        <w:rPr/>
      </w:pPr>
      <w:r>
        <w:rPr>
          <w:rFonts w:ascii="Amiri" w:hAnsi="Amiri" w:eastAsia="Amiri" w:cs="Amiri"/>
          <w:color w:val="111111"/>
          <w:sz w:val="28"/>
          <w:sz w:val="28"/>
          <w:szCs w:val="28"/>
          <w:rtl w:val="true"/>
          <w:lang w:bidi="ar-SA"/>
        </w:rPr>
        <w:t xml:space="preserve">علامة العلماء من في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أركانهم بمكان طفل الأبجد</w:t>
      </w:r>
    </w:p>
    <w:p>
      <w:pPr>
        <w:pStyle w:val="BookText"/>
        <w:rPr/>
      </w:pPr>
      <w:r>
        <w:rPr>
          <w:rFonts w:ascii="Amiri" w:hAnsi="Amiri" w:eastAsia="Amiri" w:cs="Amiri"/>
          <w:color w:val="111111"/>
          <w:sz w:val="28"/>
          <w:sz w:val="28"/>
          <w:szCs w:val="28"/>
          <w:rtl w:val="true"/>
          <w:lang w:bidi="ar-SA"/>
        </w:rPr>
        <w:t xml:space="preserve">مولاي أي قطب الأنام وطودهم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ومشيّد الشرع المنير الأحمدي</w:t>
      </w:r>
    </w:p>
    <w:p>
      <w:pPr>
        <w:pStyle w:val="BookText"/>
        <w:rPr/>
      </w:pPr>
      <w:r>
        <w:rPr>
          <w:rFonts w:ascii="Amiri" w:hAnsi="Amiri" w:eastAsia="Amiri" w:cs="Amiri"/>
          <w:color w:val="111111"/>
          <w:sz w:val="28"/>
          <w:sz w:val="28"/>
          <w:szCs w:val="28"/>
          <w:rtl w:val="true"/>
          <w:lang w:bidi="ar-SA"/>
        </w:rPr>
        <w:t xml:space="preserve">لا سقي ربع ملت عنه وحبذا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أحلك طاهرا من مشهد</w:t>
      </w:r>
    </w:p>
    <w:p>
      <w:pPr>
        <w:pStyle w:val="BookText"/>
        <w:rPr/>
      </w:pPr>
      <w:r>
        <w:rPr>
          <w:rFonts w:ascii="Amiri" w:hAnsi="Amiri" w:eastAsia="Amiri" w:cs="Amiri"/>
          <w:color w:val="111111"/>
          <w:sz w:val="28"/>
          <w:sz w:val="28"/>
          <w:szCs w:val="28"/>
          <w:rtl w:val="true"/>
          <w:lang w:bidi="ar-SA"/>
        </w:rPr>
        <w:t xml:space="preserve">جسد لك العفر المعطّر 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لحّدوا جدثا لكنز العسجد</w:t>
      </w:r>
    </w:p>
    <w:p>
      <w:pPr>
        <w:pStyle w:val="BookText"/>
        <w:rPr/>
      </w:pPr>
      <w:r>
        <w:rPr>
          <w:rFonts w:ascii="Amiri" w:hAnsi="Amiri" w:eastAsia="Amiri" w:cs="Amiri"/>
          <w:color w:val="111111"/>
          <w:sz w:val="28"/>
          <w:sz w:val="28"/>
          <w:szCs w:val="28"/>
          <w:rtl w:val="true"/>
          <w:lang w:bidi="ar-SA"/>
        </w:rPr>
        <w:t xml:space="preserve">من ذا يحلّ المعضلات بفكرة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 ومن لأولي الحوائج من غد</w:t>
      </w:r>
    </w:p>
    <w:p>
      <w:pPr>
        <w:pStyle w:val="BookText"/>
        <w:rPr/>
      </w:pPr>
      <w:r>
        <w:rPr>
          <w:rFonts w:ascii="Amiri" w:hAnsi="Amiri" w:eastAsia="Amiri" w:cs="Amiri"/>
          <w:color w:val="111111"/>
          <w:sz w:val="28"/>
          <w:sz w:val="28"/>
          <w:szCs w:val="28"/>
          <w:rtl w:val="true"/>
          <w:lang w:bidi="ar-SA"/>
        </w:rPr>
        <w:t xml:space="preserve">ومن الذي يحيى الليالي بعدكا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بتفقه وتضرع وتهجد</w:t>
      </w:r>
    </w:p>
    <w:p>
      <w:pPr>
        <w:pStyle w:val="BookText"/>
        <w:rPr/>
      </w:pPr>
      <w:r>
        <w:rPr>
          <w:rFonts w:ascii="Amiri" w:hAnsi="Amiri" w:eastAsia="Amiri" w:cs="Amiri"/>
          <w:color w:val="111111"/>
          <w:sz w:val="28"/>
          <w:sz w:val="28"/>
          <w:szCs w:val="28"/>
          <w:rtl w:val="true"/>
          <w:lang w:bidi="ar-SA"/>
        </w:rPr>
        <w:t xml:space="preserve">أين الذي ما زال سلسل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عطاش الخلق أروى مورد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طابت ثراه كما أتى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طارت كراك إلى النعيم السرمدي </w:t>
      </w:r>
      <w:bookmarkStart w:id="57" w:name="pg15827_173563"/>
    </w:p>
    <w:p>
      <w:pPr>
        <w:pStyle w:val="Heading3"/>
        <w:numPr>
          <w:ilvl w:val="2"/>
          <w:numId w:val="1"/>
        </w:numPr>
        <w:rPr/>
      </w:pPr>
      <w:bookmarkStart w:id="58" w:name="__RefHeading___Toc14099629_2142443653"/>
      <w:bookmarkStart w:id="59" w:name="_Toc21"/>
      <w:bookmarkEnd w:id="57"/>
      <w:bookmarkEnd w:id="58"/>
      <w:r>
        <w:rPr>
          <w:rtl w:val="true"/>
        </w:rPr>
        <w:t xml:space="preserve">مصادر الترجمة </w:t>
      </w:r>
      <w:r>
        <w:rPr>
          <w:rtl w:val="true"/>
        </w:rPr>
        <w:t>:</w:t>
      </w:r>
      <w:bookmarkEnd w:id="5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مستدرك وسائل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الفوائد الرضوية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قصص العلماء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مرآة الأحوال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مكارم الآثار ص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ريحانة الأدب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الكرام البررة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نجوم السماء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تذكرة القبور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الروضة البهية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لباب الألقاب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الرازي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في مختلف الأجزاء ، الأعلام للزركلي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علمي واجتماعي اصفهان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قبيله عالمان دين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ومنهما أكثر هذه الترجمة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6"/>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الفقهاء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5827_173575"/>
      <w:bookmarkStart w:id="61" w:name="pg15827_173575"/>
      <w:bookmarkEnd w:id="61"/>
    </w:p>
    <w:p>
      <w:pPr>
        <w:pStyle w:val="Heading2"/>
        <w:numPr>
          <w:ilvl w:val="1"/>
          <w:numId w:val="1"/>
        </w:numPr>
        <w:rPr/>
      </w:pPr>
      <w:bookmarkStart w:id="62" w:name="pg15827_173575"/>
      <w:bookmarkStart w:id="63" w:name="__RefHeading___Toc14099631_2142443653"/>
      <w:bookmarkStart w:id="64" w:name="_Toc22"/>
      <w:bookmarkEnd w:id="62"/>
      <w:bookmarkEnd w:id="63"/>
      <w:r>
        <w:rPr>
          <w:rtl w:val="true"/>
        </w:rPr>
        <w:t>كتاب الطّهارة</w:t>
      </w:r>
      <w:bookmarkEnd w:id="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14099633_2142443653"/>
      <w:bookmarkStart w:id="66" w:name="_Toc23"/>
      <w:bookmarkEnd w:id="65"/>
      <w:r>
        <w:rPr>
          <w:rtl w:val="true"/>
        </w:rPr>
        <w:t>اشارة</w:t>
      </w:r>
      <w:bookmarkEnd w:id="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5827_173577"/>
      <w:bookmarkStart w:id="68" w:name="pg15827_173577"/>
      <w:bookmarkEnd w:id="68"/>
    </w:p>
    <w:p>
      <w:pPr>
        <w:pStyle w:val="BookText"/>
        <w:rPr/>
      </w:pPr>
      <w:bookmarkStart w:id="69" w:name="pg15827_173577"/>
      <w:bookmarkEnd w:id="6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كتاب الطهارة</w:t>
      </w:r>
    </w:p>
    <w:p>
      <w:pPr>
        <w:pStyle w:val="Heading3"/>
        <w:numPr>
          <w:ilvl w:val="2"/>
          <w:numId w:val="1"/>
        </w:numPr>
        <w:rPr/>
      </w:pPr>
      <w:bookmarkStart w:id="70" w:name="__RefHeading___Toc14099635_2142443653"/>
      <w:bookmarkStart w:id="71" w:name="_Toc24"/>
      <w:bookmarkEnd w:id="70"/>
      <w:r>
        <w:rPr>
          <w:rtl w:val="true"/>
        </w:rPr>
        <w:t xml:space="preserve">[ </w:t>
      </w:r>
      <w:r>
        <w:rPr>
          <w:rtl w:val="true"/>
        </w:rPr>
        <w:t xml:space="preserve">تبصرة </w:t>
      </w:r>
      <w:r>
        <w:rPr>
          <w:rtl w:val="true"/>
        </w:rPr>
        <w:t xml:space="preserve">]: [ </w:t>
      </w:r>
      <w:r>
        <w:rPr>
          <w:rtl w:val="true"/>
        </w:rPr>
        <w:t xml:space="preserve">في معنى الطهارة اللغوي والمصطلح </w:t>
      </w:r>
      <w:r>
        <w:rPr>
          <w:rtl w:val="true"/>
        </w:rPr>
        <w:t>]</w:t>
      </w:r>
      <w:bookmarkEnd w:id="71"/>
    </w:p>
    <w:p>
      <w:pPr>
        <w:pStyle w:val="BookText"/>
        <w:rPr/>
      </w:pPr>
      <w:r>
        <w:rPr>
          <w:rFonts w:ascii="Amiri" w:hAnsi="Amiri" w:eastAsia="Amiri" w:cs="Amiri"/>
          <w:color w:val="111111"/>
          <w:sz w:val="28"/>
          <w:sz w:val="28"/>
          <w:szCs w:val="28"/>
          <w:rtl w:val="true"/>
          <w:lang w:bidi="ar-SA"/>
        </w:rPr>
        <w:t xml:space="preserve">وهي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النزاهة والنظافة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وقد أعرب عن هذا المعنى اللغوي حتى المحدثين من الفقهاء مثل صاحب وسائل الشيعة فيه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تطهّرت أجزأك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الطهارة اللغوية بمعنى النظافة والنزاهة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في البحار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طهورية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الطهارة إلى أن المعنى اللغوي العرفي للطهارة هو النزاهة والنظافة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وعند المتشرّعة يطلق على معان عديدة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ذكر المعاني المختلفة التي ذكرها الفقهاء وناقش في أكثرها ،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المقابلة لصفة النجاسة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الأشياء الطهارة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الحادثة المقابلة لحالة الحدث أو المبيحة </w:t>
      </w:r>
      <w:r>
        <w:rPr>
          <w:rStyle w:val="FootnoteAnchor"/>
          <w:rtl w:val="true"/>
        </w:rPr>
        <w:footnoteReference w:id="37"/>
      </w:r>
      <w:r>
        <w:rPr>
          <w:rFonts w:ascii="Amiri" w:hAnsi="Amiri" w:eastAsia="Amiri" w:cs="Amiri"/>
          <w:color w:val="111111"/>
          <w:sz w:val="28"/>
          <w:sz w:val="28"/>
          <w:szCs w:val="28"/>
          <w:rtl w:val="true"/>
          <w:lang w:bidi="ar-SA"/>
        </w:rPr>
        <w:t xml:space="preserve">للدخول في الصلاة ، وإن اجتمع </w:t>
      </w:r>
    </w:p>
    <w:p>
      <w:pPr>
        <w:pStyle w:val="BookText"/>
        <w:rPr/>
      </w:pPr>
      <w:r>
        <w:rPr>
          <w:rFonts w:ascii="Amiri" w:hAnsi="Amiri" w:eastAsia="Amiri" w:cs="Amiri"/>
          <w:color w:val="111111"/>
          <w:sz w:val="28"/>
          <w:sz w:val="28"/>
          <w:szCs w:val="28"/>
          <w:rtl w:val="true"/>
          <w:lang w:bidi="ar-SA"/>
        </w:rPr>
        <w:t xml:space="preserve">معه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الكون على الطهارة ، ويشترط الصلاة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الجامع بين المعنيين كما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الصلاة بالطهارة ، إذا أريد به الأعم من الطهارتين ، وربما يعبّر عنه بالحالة التي يصح معها الدخول في الصلاة من غير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الخبث ،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في وجه </w:t>
      </w:r>
      <w:r>
        <w:rPr>
          <w:rStyle w:val="FootnoteAnchor"/>
          <w:rtl w:val="true"/>
        </w:rPr>
        <w:footnoteReference w:id="39"/>
      </w:r>
      <w:r>
        <w:rPr>
          <w:rFonts w:ascii="Amiri" w:hAnsi="Amiri" w:eastAsia="Amiri" w:cs="Amiri"/>
          <w:color w:val="111111"/>
          <w:sz w:val="28"/>
          <w:sz w:val="28"/>
          <w:szCs w:val="28"/>
          <w:rtl w:val="true"/>
          <w:lang w:bidi="ar-SA"/>
        </w:rPr>
        <w:t xml:space="preserve">، ويدور على ألسنتهم أنها إحدى مستعملات الطهارة </w:t>
      </w:r>
      <w:r>
        <w:rPr>
          <w:rStyle w:val="FootnoteAnchor"/>
          <w:rtl w:val="true"/>
        </w:rPr>
        <w:footnoteReference w:id="40"/>
      </w:r>
      <w:r>
        <w:rPr>
          <w:rFonts w:ascii="Amiri" w:hAnsi="Amiri" w:eastAsia="Amiri" w:cs="Amiri"/>
          <w:color w:val="111111"/>
          <w:sz w:val="28"/>
          <w:sz w:val="28"/>
          <w:szCs w:val="28"/>
          <w:rtl w:val="true"/>
          <w:lang w:bidi="ar-SA"/>
        </w:rPr>
        <w:t>، بل حكوا عن البعض كونها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الطهارة من الألفاظ اللازمة سواء كان </w:t>
      </w:r>
      <w:r>
        <w:rPr>
          <w:rStyle w:val="FootnoteAnchor"/>
          <w:rtl w:val="true"/>
        </w:rPr>
        <w:footnoteReference w:id="41"/>
      </w:r>
      <w:r>
        <w:rPr>
          <w:rFonts w:ascii="Amiri" w:hAnsi="Amiri" w:eastAsia="Amiri" w:cs="Amiri"/>
          <w:color w:val="111111"/>
          <w:sz w:val="28"/>
          <w:sz w:val="28"/>
          <w:szCs w:val="28"/>
          <w:rtl w:val="true"/>
          <w:lang w:bidi="ar-SA"/>
        </w:rPr>
        <w:t xml:space="preserve">مصدرا للمجرد أو المزيد ، ومن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إزالة الخبث من المعاني المصدرية المتعدّية فكيف يمكن جعلها أحد معانيها ولم نجدهم يوما استعملوها 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التطهير فيها لا يدل على استعمال الطهارة إلّا أن يراد استعمال تلك المادّة </w:t>
      </w:r>
      <w:r>
        <w:rPr>
          <w:rStyle w:val="FootnoteAnchor"/>
          <w:rtl w:val="true"/>
        </w:rPr>
        <w:footnoteReference w:id="43"/>
      </w:r>
      <w:r>
        <w:rPr>
          <w:rFonts w:ascii="Amiri" w:hAnsi="Amiri" w:eastAsia="Amiri" w:cs="Amiri"/>
          <w:color w:val="111111"/>
          <w:sz w:val="28"/>
          <w:sz w:val="28"/>
          <w:szCs w:val="28"/>
          <w:rtl w:val="true"/>
          <w:lang w:bidi="ar-SA"/>
        </w:rPr>
        <w:t>فيها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يقال بكونها مستعملة في الفعل المزيل للخبث على نحو ما يقولونه في المزيل للحدث ، ولعله مراد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طهور مشروط بالنيّة مطلقا أو على وجه له تأثير في استباحة الصلاة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الأعم من ذلك ومن إزالة الخبث ، ولعل المراد به الفعل </w:t>
      </w:r>
      <w:r>
        <w:rPr>
          <w:rStyle w:val="FootnoteAnchor"/>
          <w:rtl w:val="true"/>
        </w:rPr>
        <w:footnoteReference w:id="44"/>
      </w:r>
      <w:r>
        <w:rPr>
          <w:rFonts w:ascii="Amiri" w:hAnsi="Amiri" w:eastAsia="Amiri" w:cs="Amiri"/>
          <w:color w:val="111111"/>
          <w:sz w:val="28"/>
          <w:sz w:val="28"/>
          <w:szCs w:val="28"/>
          <w:rtl w:val="true"/>
          <w:lang w:bidi="ar-SA"/>
        </w:rPr>
        <w:t>المزيل للحدث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الأجلّة ، ويمكن إرادته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والدائر </w:t>
      </w:r>
      <w:r>
        <w:rPr>
          <w:rStyle w:val="FootnoteAnchor"/>
          <w:rtl w:val="true"/>
        </w:rPr>
        <w:footnoteReference w:id="45"/>
      </w:r>
      <w:r>
        <w:rPr>
          <w:rFonts w:ascii="Amiri" w:hAnsi="Amiri" w:eastAsia="Amiri" w:cs="Amiri"/>
          <w:color w:val="111111"/>
          <w:sz w:val="28"/>
          <w:sz w:val="28"/>
          <w:szCs w:val="28"/>
          <w:rtl w:val="true"/>
          <w:lang w:bidi="ar-SA"/>
        </w:rPr>
        <w:t xml:space="preserve">على ألسنتهم أنّها حقيقة في المعنى الخامس في الجملة لكن اختلفوا فيه فمنهم من جعله مشتركا لفظيا كما هو ظاهر الشرائع </w:t>
      </w:r>
      <w:r>
        <w:rPr>
          <w:rStyle w:val="FootnoteAnchor"/>
          <w:rtl w:val="true"/>
        </w:rPr>
        <w:footnoteReference w:id="46"/>
      </w:r>
      <w:r>
        <w:rPr>
          <w:rFonts w:ascii="Amiri" w:hAnsi="Amiri" w:eastAsia="Amiri" w:cs="Amiri"/>
          <w:color w:val="111111"/>
          <w:sz w:val="28"/>
          <w:sz w:val="28"/>
          <w:szCs w:val="28"/>
          <w:rtl w:val="true"/>
          <w:lang w:bidi="ar-SA"/>
        </w:rPr>
        <w:t xml:space="preserve">، والأكثر على كونه مشتركا معنويّا ، لكن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عمّمها لجميع أقسام الوضوء وأخويه حتى المجامعة للحدث كوضوء الحائض والجنب ، وهو ظاهر اللمعة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خصّصها </w:t>
      </w:r>
      <w:r>
        <w:rPr>
          <w:rStyle w:val="FootnoteAnchor"/>
          <w:rtl w:val="true"/>
        </w:rPr>
        <w:footnoteReference w:id="48"/>
      </w:r>
      <w:r>
        <w:rPr>
          <w:rFonts w:ascii="Amiri" w:hAnsi="Amiri" w:eastAsia="Amiri" w:cs="Amiri"/>
          <w:color w:val="111111"/>
          <w:sz w:val="28"/>
          <w:sz w:val="28"/>
          <w:szCs w:val="28"/>
          <w:rtl w:val="true"/>
          <w:lang w:bidi="ar-SA"/>
        </w:rPr>
        <w:t>بما يكون له مدخل في 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عن قرب وإن كان القول بدخول الأغسال الغير الرافعة والوضوء التجديدي لا يخلو عن وجه ، بل هو أقرب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 فالتأمّل في الاستعمالات والنظر في موارد الإطلاقات يعطي كونها حقيقة في الأول والثاني والخامس من المذكورات ، وإن كان خلاف ما هو المذكور في أكثر المصنّفات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الخلاف المذكور </w:t>
      </w:r>
      <w:r>
        <w:rPr>
          <w:rStyle w:val="FootnoteAnchor"/>
          <w:rtl w:val="true"/>
        </w:rPr>
        <w:footnoteReference w:id="51"/>
      </w:r>
      <w:r>
        <w:rPr>
          <w:rFonts w:ascii="Amiri" w:hAnsi="Amiri" w:eastAsia="Amiri" w:cs="Amiri"/>
          <w:color w:val="111111"/>
          <w:sz w:val="28"/>
          <w:sz w:val="28"/>
          <w:szCs w:val="28"/>
          <w:rtl w:val="true"/>
          <w:lang w:bidi="ar-SA"/>
        </w:rPr>
        <w:t>في لفظ الطهارة ، وأما مشتقّاته كالطاهر والمطهّر فالظاهر عدم الخلاف في كونها حقيقة في المعنى الأول بل الثاني أيضا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فيستدل بذلك على كون المبدأ حقيقة فيه أيضا ؛ إذ الظاهر أن المعنى الثابت للمشتقات ثابت لمبدإ الاشتقاق ؛ لكونه الغالب ولأنه الطريق في معرفة معاني المصادر غالبا عند نقلة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اللغة </w:t>
      </w:r>
      <w:r>
        <w:rPr>
          <w:rStyle w:val="FootnoteAnchor"/>
          <w:rtl w:val="true"/>
        </w:rPr>
        <w:footnoteReference w:id="53"/>
      </w:r>
      <w:r>
        <w:rPr>
          <w:rFonts w:ascii="Amiri" w:hAnsi="Amiri" w:eastAsia="Amiri" w:cs="Amiri"/>
          <w:color w:val="111111"/>
          <w:sz w:val="28"/>
          <w:sz w:val="28"/>
          <w:szCs w:val="28"/>
          <w:rtl w:val="true"/>
          <w:lang w:bidi="ar-SA"/>
        </w:rPr>
        <w:t xml:space="preserve">على الظاهر كما يعطيه </w:t>
      </w:r>
      <w:r>
        <w:rPr>
          <w:rStyle w:val="FootnoteAnchor"/>
          <w:rtl w:val="true"/>
        </w:rPr>
        <w:footnoteReference w:id="54"/>
      </w:r>
      <w:r>
        <w:rPr>
          <w:rFonts w:ascii="Amiri" w:hAnsi="Amiri" w:eastAsia="Amiri" w:cs="Amiri"/>
          <w:color w:val="111111"/>
          <w:sz w:val="28"/>
          <w:sz w:val="28"/>
          <w:szCs w:val="28"/>
          <w:rtl w:val="true"/>
          <w:lang w:bidi="ar-SA"/>
        </w:rPr>
        <w:t xml:space="preserve">النظر في كلامهم ، ولأنّ أوضاع المشتقّات باعتبار هيآتها نوعيّة ، وهي تابعة لوضع المادّة المعروضة </w:t>
      </w:r>
      <w:r>
        <w:rPr>
          <w:rStyle w:val="FootnoteAnchor"/>
          <w:rtl w:val="true"/>
        </w:rPr>
        <w:footnoteReference w:id="55"/>
      </w:r>
      <w:r>
        <w:rPr>
          <w:rFonts w:ascii="Amiri" w:hAnsi="Amiri" w:eastAsia="Amiri" w:cs="Amiri"/>
          <w:color w:val="111111"/>
          <w:sz w:val="28"/>
          <w:sz w:val="28"/>
          <w:szCs w:val="28"/>
          <w:rtl w:val="true"/>
          <w:lang w:bidi="ar-SA"/>
        </w:rPr>
        <w:t xml:space="preserve">لتلك الهيأة الموضعة </w:t>
      </w:r>
      <w:r>
        <w:rPr>
          <w:rStyle w:val="FootnoteAnchor"/>
          <w:rtl w:val="true"/>
        </w:rPr>
        <w:footnoteReference w:id="56"/>
      </w:r>
      <w:r>
        <w:rPr>
          <w:rFonts w:ascii="Amiri" w:hAnsi="Amiri" w:eastAsia="Amiri" w:cs="Amiri"/>
          <w:color w:val="111111"/>
          <w:sz w:val="28"/>
          <w:sz w:val="28"/>
          <w:szCs w:val="28"/>
          <w:rtl w:val="true"/>
          <w:lang w:bidi="ar-SA"/>
        </w:rPr>
        <w:t xml:space="preserve">بالوضع الشخصي فإذا ثبت معنى للمادّة في ضمنها يثبت </w:t>
      </w:r>
      <w:r>
        <w:rPr>
          <w:rStyle w:val="FootnoteAnchor"/>
          <w:rtl w:val="true"/>
        </w:rPr>
        <w:footnoteReference w:id="57"/>
      </w:r>
      <w:r>
        <w:rPr>
          <w:rFonts w:ascii="Amiri" w:hAnsi="Amiri" w:eastAsia="Amiri" w:cs="Amiri"/>
          <w:color w:val="111111"/>
          <w:sz w:val="28"/>
          <w:sz w:val="28"/>
          <w:szCs w:val="28"/>
          <w:rtl w:val="true"/>
          <w:lang w:bidi="ar-SA"/>
        </w:rPr>
        <w:t>وضعها شخصا لذلك ، فيكون حقيقة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يعلم اختصاص المادّة المعروضة </w:t>
      </w:r>
      <w:r>
        <w:rPr>
          <w:rStyle w:val="FootnoteAnchor"/>
          <w:rtl w:val="true"/>
        </w:rPr>
        <w:footnoteReference w:id="58"/>
      </w:r>
      <w:r>
        <w:rPr>
          <w:rFonts w:ascii="Amiri" w:hAnsi="Amiri" w:eastAsia="Amiri" w:cs="Amiri"/>
          <w:color w:val="111111"/>
          <w:sz w:val="28"/>
          <w:sz w:val="28"/>
          <w:szCs w:val="28"/>
          <w:rtl w:val="true"/>
          <w:lang w:bidi="ar-SA"/>
        </w:rPr>
        <w:t>لتلك الهيأة بذلك كما في المشتقّات الّتي لم يستعمل مبادئ اشتقاقها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 يستدعي بسطا في المقام مع أنه لا يترتّب عليه ثمرة مهمّة في الأحكام ، فتركه والتعرّض لما هو أهم أنسب بالمرام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وينتظم مباحث الكتاب في أبواب </w:t>
      </w:r>
      <w:r>
        <w:rPr>
          <w:rFonts w:eastAsia="Amiri" w:cs="Amiri" w:ascii="Amiri" w:hAnsi="Amiri"/>
          <w:color w:val="111111"/>
          <w:sz w:val="28"/>
          <w:szCs w:val="28"/>
          <w:rtl w:val="true"/>
          <w:lang w:bidi="ar-SA"/>
        </w:rPr>
        <w:t xml:space="preserve">: </w:t>
      </w:r>
      <w:bookmarkStart w:id="72" w:name="pg15827_173581"/>
    </w:p>
    <w:p>
      <w:pPr>
        <w:pStyle w:val="Heading3"/>
        <w:numPr>
          <w:ilvl w:val="2"/>
          <w:numId w:val="1"/>
        </w:numPr>
        <w:rPr/>
      </w:pPr>
      <w:bookmarkStart w:id="73" w:name="__RefHeading___Toc14099637_2142443653"/>
      <w:bookmarkStart w:id="74" w:name="_Toc25"/>
      <w:bookmarkEnd w:id="72"/>
      <w:bookmarkEnd w:id="73"/>
      <w:r>
        <w:rPr>
          <w:rtl w:val="true"/>
        </w:rPr>
        <w:t>الباب الأول</w:t>
      </w:r>
      <w:r>
        <w:rPr>
          <w:rtl w:val="true"/>
        </w:rPr>
        <w:t xml:space="preserve">: </w:t>
      </w:r>
      <w:r>
        <w:rPr>
          <w:rtl w:val="true"/>
        </w:rPr>
        <w:t>في المياه</w:t>
      </w:r>
      <w:bookmarkEnd w:id="74"/>
    </w:p>
    <w:p>
      <w:pPr>
        <w:pStyle w:val="Heading4"/>
        <w:numPr>
          <w:ilvl w:val="3"/>
          <w:numId w:val="1"/>
        </w:numPr>
        <w:rPr/>
      </w:pPr>
      <w:bookmarkStart w:id="75" w:name="__RefHeading___Toc14099639_2142443653"/>
      <w:bookmarkStart w:id="76" w:name="_Toc26"/>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والكلام فيها ، وفي أقسامها ، وما يعرضها من الطواري التي يخرجها عن الطهارة أو الطهوريّة أو غيرهما </w:t>
      </w:r>
      <w:r>
        <w:rPr>
          <w:rStyle w:val="FootnoteAnchor"/>
          <w:rtl w:val="true"/>
        </w:rPr>
        <w:footnoteReference w:id="59"/>
      </w:r>
      <w:r>
        <w:rPr>
          <w:rFonts w:ascii="Amiri" w:hAnsi="Amiri" w:eastAsia="Amiri" w:cs="Amiri"/>
          <w:color w:val="111111"/>
          <w:sz w:val="28"/>
          <w:sz w:val="28"/>
          <w:szCs w:val="28"/>
          <w:rtl w:val="true"/>
          <w:lang w:bidi="ar-SA"/>
        </w:rPr>
        <w:t>، وما يعود بها إلى حالتها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ولنفصّل ذلك في مباحث </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4099641_2142443653"/>
      <w:bookmarkStart w:id="78" w:name="_Toc27"/>
      <w:bookmarkEnd w:id="77"/>
      <w:r>
        <w:rPr>
          <w:rtl w:val="true"/>
        </w:rPr>
        <w:t>البحث الأول</w:t>
      </w:r>
      <w:bookmarkEnd w:id="78"/>
    </w:p>
    <w:p>
      <w:pPr>
        <w:pStyle w:val="Heading5"/>
        <w:numPr>
          <w:ilvl w:val="4"/>
          <w:numId w:val="1"/>
        </w:numPr>
        <w:rPr/>
      </w:pPr>
      <w:bookmarkStart w:id="79" w:name="__RefHeading___Toc14099643_2142443653"/>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في بيان أنّه بجميع أقسامه على الطهارة </w:t>
      </w:r>
      <w:r>
        <w:rPr>
          <w:rStyle w:val="FootnoteAnchor"/>
          <w:rtl w:val="true"/>
        </w:rPr>
        <w:footnoteReference w:id="60"/>
      </w:r>
      <w:r>
        <w:rPr>
          <w:rFonts w:ascii="Amiri" w:hAnsi="Amiri" w:eastAsia="Amiri" w:cs="Amiri"/>
          <w:color w:val="111111"/>
          <w:sz w:val="28"/>
          <w:sz w:val="28"/>
          <w:szCs w:val="28"/>
          <w:rtl w:val="true"/>
          <w:lang w:bidi="ar-SA"/>
        </w:rPr>
        <w:t>والطهوريّة</w:t>
      </w:r>
    </w:p>
    <w:p>
      <w:pPr>
        <w:pStyle w:val="BookText"/>
        <w:rPr/>
      </w:pPr>
      <w:r>
        <w:rPr>
          <w:rFonts w:ascii="Amiri" w:hAnsi="Amiri" w:eastAsia="Amiri" w:cs="Amiri"/>
          <w:color w:val="111111"/>
          <w:sz w:val="28"/>
          <w:sz w:val="28"/>
          <w:szCs w:val="28"/>
          <w:rtl w:val="true"/>
          <w:lang w:bidi="ar-SA"/>
        </w:rPr>
        <w:t>وبيان ما يخرجه عن الطهارة على كل حال</w:t>
      </w:r>
    </w:p>
    <w:p>
      <w:pPr>
        <w:pStyle w:val="Heading5"/>
        <w:numPr>
          <w:ilvl w:val="4"/>
          <w:numId w:val="1"/>
        </w:numPr>
        <w:rPr/>
      </w:pPr>
      <w:bookmarkStart w:id="81" w:name="__RefHeading___Toc14099645_2142443653"/>
      <w:bookmarkStart w:id="82" w:name="_Toc29"/>
      <w:bookmarkEnd w:id="81"/>
      <w:r>
        <w:rPr>
          <w:rtl w:val="true"/>
        </w:rPr>
        <w:t>مقدّمة</w:t>
      </w:r>
      <w:r>
        <w:rPr>
          <w:rtl w:val="true"/>
        </w:rPr>
        <w:t xml:space="preserve">: [ </w:t>
      </w:r>
      <w:r>
        <w:rPr>
          <w:rtl w:val="true"/>
        </w:rPr>
        <w:t xml:space="preserve">في الماء المطلق والمضاف </w:t>
      </w:r>
      <w:r>
        <w:rPr>
          <w:rtl w:val="true"/>
        </w:rPr>
        <w:t>]</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الماء إما مطلق أو مضاف ، والأوّل حقيقة </w:t>
      </w:r>
      <w:r>
        <w:rPr>
          <w:rStyle w:val="FootnoteAnchor"/>
          <w:rtl w:val="true"/>
        </w:rPr>
        <w:footnoteReference w:id="61"/>
      </w:r>
      <w:r>
        <w:rPr>
          <w:rFonts w:ascii="Amiri" w:hAnsi="Amiri" w:eastAsia="Amiri" w:cs="Amiri"/>
          <w:color w:val="111111"/>
          <w:sz w:val="28"/>
          <w:sz w:val="28"/>
          <w:szCs w:val="28"/>
          <w:rtl w:val="true"/>
          <w:lang w:bidi="ar-SA"/>
        </w:rPr>
        <w:t xml:space="preserve">معروفة بين الحقائق غنيّة عن التعريف ، غير أنّ الظاهر أنّ مدار التسمية ليس على حصول تلك الحقيقة لا وجودا ولا عدما ؛ إذ قد لا يصدق مع حصول تلك الحقيقة كما في الجمد والثلج </w:t>
      </w:r>
      <w:r>
        <w:rPr>
          <w:rStyle w:val="FootnoteAnchor"/>
          <w:rtl w:val="true"/>
        </w:rPr>
        <w:footnoteReference w:id="62"/>
      </w:r>
      <w:r>
        <w:rPr>
          <w:rFonts w:ascii="IRNazanin" w:hAnsi="IRNazanin" w:eastAsia="IRNazanin"/>
          <w:color w:val="111111"/>
          <w:sz w:val="28"/>
          <w:sz w:val="28"/>
          <w:szCs w:val="28"/>
          <w:rtl w:val="true"/>
          <w:lang w:bidi="fa-IR"/>
        </w:rPr>
        <w:t xml:space="preserve">على ما هو المعروف من المذهب ، وإن </w:t>
      </w:r>
    </w:p>
    <w:p>
      <w:pPr>
        <w:pStyle w:val="BookText"/>
        <w:rPr/>
      </w:pPr>
      <w:r>
        <w:rPr>
          <w:rFonts w:ascii="Amiri" w:hAnsi="Amiri" w:eastAsia="Amiri" w:cs="Amiri"/>
          <w:color w:val="111111"/>
          <w:sz w:val="28"/>
          <w:sz w:val="28"/>
          <w:szCs w:val="28"/>
          <w:rtl w:val="true"/>
          <w:lang w:bidi="ar-SA"/>
        </w:rPr>
        <w:t xml:space="preserve">ذهب العلّامة في المنتهى </w:t>
      </w:r>
      <w:r>
        <w:rPr>
          <w:rStyle w:val="FootnoteAnchor"/>
          <w:rtl w:val="true"/>
        </w:rPr>
        <w:footnoteReference w:id="63"/>
      </w:r>
      <w:r>
        <w:rPr>
          <w:rFonts w:ascii="Amiri" w:hAnsi="Amiri" w:eastAsia="Amiri" w:cs="Amiri"/>
          <w:color w:val="111111"/>
          <w:sz w:val="28"/>
          <w:sz w:val="28"/>
          <w:szCs w:val="28"/>
          <w:rtl w:val="true"/>
          <w:lang w:bidi="ar-SA"/>
        </w:rPr>
        <w:t xml:space="preserve">إلى صدق الماء عليه حقيقة ؛ نظرا إلى أن الجمود لا يخرجه عن حقيقته ، بل تأكّدها </w:t>
      </w:r>
      <w:r>
        <w:rPr>
          <w:rStyle w:val="FootnoteAnchor"/>
          <w:rtl w:val="true"/>
        </w:rPr>
        <w:footnoteReference w:id="64"/>
      </w:r>
      <w:r>
        <w:rPr>
          <w:rFonts w:ascii="Amiri" w:hAnsi="Amiri" w:eastAsia="Amiri" w:cs="Amiri"/>
          <w:color w:val="111111"/>
          <w:sz w:val="28"/>
          <w:sz w:val="28"/>
          <w:szCs w:val="28"/>
          <w:rtl w:val="true"/>
          <w:lang w:bidi="ar-SA"/>
        </w:rPr>
        <w:t xml:space="preserve">لما فيه من غلبة البرودة التي هي من آثار طبيعة المائيّة ، فقوّة آثار الطبيعة إن لم يوجب تقويتها فلا </w:t>
      </w:r>
      <w:r>
        <w:rPr>
          <w:rStyle w:val="FootnoteAnchor"/>
          <w:rtl w:val="true"/>
        </w:rPr>
        <w:footnoteReference w:id="65"/>
      </w:r>
      <w:r>
        <w:rPr>
          <w:rFonts w:ascii="Amiri" w:hAnsi="Amiri" w:eastAsia="Amiri" w:cs="Amiri"/>
          <w:color w:val="111111"/>
          <w:sz w:val="28"/>
          <w:sz w:val="28"/>
          <w:szCs w:val="28"/>
          <w:rtl w:val="true"/>
          <w:lang w:bidi="ar-SA"/>
        </w:rPr>
        <w:t>يصير سببا لضعفها أو رفعها ، ولذا قال بعدم انفعاله بمجرّد الملاقاة إذا كان كثيرا ، لكنه لم يقل بنجاسة جميعه مع القلّة ؛ إذ سراية النجاسة فرع الميعان دون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يقول بجواز التطهير به عن الحدث أو الخبث لكونه فرع الجريان ، ولا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فالنظر في الإطلاقات العرفية يدفع ما ذكره ، وغاية </w:t>
      </w:r>
      <w:r>
        <w:rPr>
          <w:rStyle w:val="FootnoteAnchor"/>
          <w:rtl w:val="true"/>
        </w:rPr>
        <w:footnoteReference w:id="66"/>
      </w:r>
      <w:r>
        <w:rPr>
          <w:rFonts w:ascii="Amiri" w:hAnsi="Amiri" w:eastAsia="Amiri" w:cs="Amiri"/>
          <w:color w:val="111111"/>
          <w:sz w:val="28"/>
          <w:sz w:val="28"/>
          <w:szCs w:val="28"/>
          <w:rtl w:val="true"/>
          <w:lang w:bidi="ar-SA"/>
        </w:rPr>
        <w:t xml:space="preserve">ما ذكره </w:t>
      </w:r>
      <w:r>
        <w:rPr>
          <w:rStyle w:val="FootnoteAnchor"/>
          <w:rtl w:val="true"/>
        </w:rPr>
        <w:footnoteReference w:id="67"/>
      </w:r>
      <w:r>
        <w:rPr>
          <w:rFonts w:ascii="Amiri" w:hAnsi="Amiri" w:eastAsia="Amiri" w:cs="Amiri"/>
          <w:color w:val="111111"/>
          <w:sz w:val="28"/>
          <w:sz w:val="28"/>
          <w:szCs w:val="28"/>
          <w:rtl w:val="true"/>
          <w:lang w:bidi="ar-SA"/>
        </w:rPr>
        <w:t xml:space="preserve">في التقريب بقاء الحقيقة العقلية </w:t>
      </w:r>
      <w:r>
        <w:rPr>
          <w:rStyle w:val="FootnoteAnchor"/>
          <w:rtl w:val="true"/>
        </w:rPr>
        <w:footnoteReference w:id="68"/>
      </w:r>
      <w:r>
        <w:rPr>
          <w:rFonts w:ascii="Amiri" w:hAnsi="Amiri" w:eastAsia="Amiri" w:cs="Amiri"/>
          <w:color w:val="111111"/>
          <w:sz w:val="28"/>
          <w:sz w:val="28"/>
          <w:szCs w:val="28"/>
          <w:rtl w:val="true"/>
          <w:lang w:bidi="ar-SA"/>
        </w:rPr>
        <w:t>، وهو لا يقتضي بقاء الحقيقة الاسمية التي هي المناط في الأحكام المذكورة للماء ؛ مضافا إلى إخراجه عن الميعان الذي هو أحد آثار الطبيعة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يصدق مع ضمّ غير تلك الحقيقة إليها فيصدق على المركّب منها ومن غيرها كما في المخلوط بغير السالب للاسم ، مع أن قضية الأصل حينئذ عدم صحة الإطلاق إلّا على نحو المجاز والتسامح العرفي الذي ليس مناطا للحكم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إما أن يقال بكون الاستعمالات المذكورة من قبيل التسامحات العرفية إلّا أنه قام الإجماع على اعتبارها على خلاف الأصل في خصوص المقام أو يقال بكون وضعه على النحو الأعم وضعا أوّليا أو ثانويا من جهة الغلبة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والنظر في الاستعمالات يدفع الأول ؛ إذ الظاهر عدم التأمل في كون إطلاقه على المختلط </w:t>
      </w:r>
    </w:p>
    <w:p>
      <w:pPr>
        <w:pStyle w:val="BookText"/>
        <w:rPr/>
      </w:pPr>
      <w:r>
        <w:rPr>
          <w:rFonts w:ascii="Amiri" w:hAnsi="Amiri" w:eastAsia="Amiri" w:cs="Amiri"/>
          <w:color w:val="111111"/>
          <w:sz w:val="28"/>
          <w:sz w:val="28"/>
          <w:szCs w:val="28"/>
          <w:rtl w:val="true"/>
          <w:lang w:bidi="ar-SA"/>
        </w:rPr>
        <w:t>بغيره من الحقيقة لعدم خلوّه غالبا عن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بكون الاستعمال الغالب من المجاز 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الخليط الغالب وغيره كما يظهر من جماعة من العامّة حيث ذهبوا إليه على تفصيل مذكور في كلامهم بيّن الوهم ؛ إذ صريح حكم العرف قاض بعدم الفرق ؛ وتسمية الجميع باسم الماء إلى أن يصل إلى حدّ الإضافة ، وحينئذ فالمدار فيه على التسمية العرفيّة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عرّف على </w:t>
      </w:r>
      <w:r>
        <w:rPr>
          <w:rStyle w:val="FootnoteAnchor"/>
          <w:rtl w:val="true"/>
        </w:rPr>
        <w:footnoteReference w:id="70"/>
      </w:r>
      <w:r>
        <w:rPr>
          <w:rFonts w:ascii="IRNazanin" w:hAnsi="IRNazanin" w:eastAsia="IRNazanin"/>
          <w:color w:val="111111"/>
          <w:sz w:val="28"/>
          <w:sz w:val="28"/>
          <w:szCs w:val="28"/>
          <w:rtl w:val="true"/>
          <w:lang w:bidi="fa-IR"/>
        </w:rPr>
        <w:t xml:space="preserve">المشهور </w:t>
      </w:r>
      <w:r>
        <w:rPr>
          <w:rStyle w:val="FootnoteAnchor"/>
          <w:rtl w:val="true"/>
        </w:rPr>
        <w:footnoteReference w:id="71"/>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 إطلاق الماء عليه من غير قيد وإن استحق إطلاق المقيّد عليه أيضا كماء النهر أو البحر أو ماء السدر أو الكافور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المضاف ، وهو بناء على كون المضاف حقيقة فيه كما يأتي ظاهره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التجوّز فقد يتخيّل الاستغناء عن القيد ؛ لعدم استحقاقه إذن </w:t>
      </w:r>
      <w:r>
        <w:rPr>
          <w:rStyle w:val="FootnoteAnchor"/>
          <w:rtl w:val="true"/>
        </w:rPr>
        <w:footnoteReference w:id="73"/>
      </w:r>
      <w:r>
        <w:rPr>
          <w:rFonts w:ascii="Amiri" w:hAnsi="Amiri" w:eastAsia="Amiri" w:cs="Amiri"/>
          <w:color w:val="111111"/>
          <w:sz w:val="28"/>
          <w:sz w:val="28"/>
          <w:szCs w:val="28"/>
          <w:rtl w:val="true"/>
          <w:lang w:bidi="ar-SA"/>
        </w:rPr>
        <w:t>للمقيد أيضا إلّا أن يقال بصدق استحقاق المعنى المجازي للمجاز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لفظ الماء في الحد يغني عن ذلك ، فالتزام التوضيح في القيد إذن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العلامة رحمه‌اللّه في جملة من كتبه </w:t>
      </w:r>
      <w:r>
        <w:rPr>
          <w:rStyle w:val="FootnoteAnchor"/>
          <w:rtl w:val="true"/>
        </w:rPr>
        <w:footnoteReference w:id="74"/>
      </w:r>
      <w:r>
        <w:rPr>
          <w:rFonts w:ascii="Amiri" w:hAnsi="Amiri" w:eastAsia="Amiri" w:cs="Amiri"/>
          <w:color w:val="111111"/>
          <w:sz w:val="28"/>
          <w:sz w:val="28"/>
          <w:szCs w:val="28"/>
          <w:rtl w:val="true"/>
          <w:lang w:bidi="ar-SA"/>
        </w:rPr>
        <w:t>مع ذلك عدم صحة سلب الماء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في كشف اللثام </w:t>
      </w:r>
      <w:r>
        <w:rPr>
          <w:rStyle w:val="FootnoteAnchor"/>
          <w:rtl w:val="true"/>
        </w:rPr>
        <w:footnoteReference w:id="75"/>
      </w:r>
      <w:r>
        <w:rPr>
          <w:rFonts w:ascii="Amiri" w:hAnsi="Amiri" w:eastAsia="Amiri" w:cs="Amiri"/>
          <w:color w:val="111111"/>
          <w:sz w:val="28"/>
          <w:sz w:val="28"/>
          <w:szCs w:val="28"/>
          <w:rtl w:val="true"/>
          <w:lang w:bidi="ar-SA"/>
        </w:rPr>
        <w:t xml:space="preserve">لإخراج إطلاق الماء على المضاف حملا فيقال لماء الورد أو اللحم مثلا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الاستحقاق منتف فيه أيضا ، ولذا يصح السلب عنه وإلّا لاستحق الحمل </w:t>
      </w:r>
    </w:p>
    <w:p>
      <w:pPr>
        <w:pStyle w:val="BookText"/>
        <w:rPr/>
      </w:pPr>
      <w:r>
        <w:rPr>
          <w:rFonts w:ascii="Amiri" w:hAnsi="Amiri" w:eastAsia="Amiri" w:cs="Amiri"/>
          <w:color w:val="111111"/>
          <w:sz w:val="28"/>
          <w:sz w:val="28"/>
          <w:szCs w:val="28"/>
          <w:rtl w:val="true"/>
          <w:lang w:bidi="ar-SA"/>
        </w:rPr>
        <w:t>وسلبه معا ، وهما متناقضان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استحقاق المعنى المجازي للفظ المجاز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استحقاق الحمل بها </w:t>
      </w:r>
      <w:r>
        <w:rPr>
          <w:rStyle w:val="FootnoteAnchor"/>
          <w:rtl w:val="true"/>
        </w:rPr>
        <w:footnoteReference w:id="77"/>
      </w:r>
      <w:r>
        <w:rPr>
          <w:rFonts w:ascii="Amiri" w:hAnsi="Amiri" w:eastAsia="Amiri" w:cs="Amiri"/>
          <w:color w:val="111111"/>
          <w:sz w:val="28"/>
          <w:sz w:val="28"/>
          <w:szCs w:val="28"/>
          <w:rtl w:val="true"/>
          <w:lang w:bidi="ar-SA"/>
        </w:rPr>
        <w:t>هنا مع إطلاق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حمل الشي‌ء على الشي‌ء ليس إطلاق للفظه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لخروج المضاف لعدم خروجه مما مر ؛ إذا استحقاقه لاسم الماء مقيدا قاض باستحقاقه له مطلقا ؛ إذ صدق المقيّد عليه قاض بصدق المطلق ، لكن لا يمتنع سلبه عنه عرفا فخرج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إذ لو صح ما ذكره لقضي بعدم صحة سلب المطلق عنه أيضا ، والحال أن صدق اللفظ على المعنى ليس كصدق الكلّي على الفرد لوضوح المباينة ، وإنما المراد صحة إطلاقه عليه مطلقا ، وهو تبع </w:t>
      </w:r>
      <w:r>
        <w:rPr>
          <w:rStyle w:val="FootnoteAnchor"/>
          <w:rtl w:val="true"/>
        </w:rPr>
        <w:footnoteReference w:id="78"/>
      </w:r>
      <w:r>
        <w:rPr>
          <w:rFonts w:ascii="Amiri" w:hAnsi="Amiri" w:eastAsia="Amiri" w:cs="Amiri"/>
          <w:color w:val="111111"/>
          <w:sz w:val="28"/>
          <w:sz w:val="28"/>
          <w:szCs w:val="28"/>
          <w:rtl w:val="true"/>
          <w:lang w:bidi="ar-SA"/>
        </w:rPr>
        <w:t>الوضع ، فقد يوضع المقيّد لشي‌ء لم يوضع له المطلق ، فلا يستحق إطلاق المطلق عليه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يورد على الحد باشتماله على الدور من جهة أخذ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الحد اسم الماء ، وهو غير المحدود ؛ على أن المعرّف خصوص الماء المطلق ، والمأخوذ في التعريف مطلق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البناء في صدق الماء على الرجوع إلى العرف وإجراء أحكامه على مسمّاه يجري </w:t>
      </w:r>
      <w:r>
        <w:rPr>
          <w:rStyle w:val="FootnoteAnchor"/>
          <w:rtl w:val="true"/>
        </w:rPr>
        <w:footnoteReference w:id="79"/>
      </w:r>
      <w:r>
        <w:rPr>
          <w:rFonts w:ascii="Amiri" w:hAnsi="Amiri" w:eastAsia="Amiri" w:cs="Amiri"/>
          <w:color w:val="111111"/>
          <w:sz w:val="28"/>
          <w:sz w:val="28"/>
          <w:szCs w:val="28"/>
          <w:rtl w:val="true"/>
          <w:lang w:bidi="ar-SA"/>
        </w:rPr>
        <w:t xml:space="preserve">في الخليط الممازج </w:t>
      </w:r>
      <w:r>
        <w:rPr>
          <w:rStyle w:val="FootnoteAnchor"/>
          <w:rtl w:val="true"/>
        </w:rPr>
        <w:footnoteReference w:id="80"/>
      </w:r>
      <w:r>
        <w:rPr>
          <w:rFonts w:ascii="IRNazanin" w:hAnsi="IRNazanin" w:eastAsia="IRNazanin"/>
          <w:color w:val="111111"/>
          <w:sz w:val="28"/>
          <w:sz w:val="28"/>
          <w:szCs w:val="28"/>
          <w:rtl w:val="true"/>
          <w:lang w:bidi="fa-IR"/>
        </w:rPr>
        <w:t xml:space="preserve">معه مع عدم سلبه </w:t>
      </w:r>
      <w:r>
        <w:rPr>
          <w:rStyle w:val="FootnoteAnchor"/>
          <w:rtl w:val="true"/>
        </w:rPr>
        <w:footnoteReference w:id="81"/>
      </w:r>
      <w:r>
        <w:rPr>
          <w:rFonts w:ascii="Amiri" w:hAnsi="Amiri" w:eastAsia="Amiri" w:cs="Amiri"/>
          <w:color w:val="111111"/>
          <w:sz w:val="28"/>
          <w:sz w:val="28"/>
          <w:szCs w:val="28"/>
          <w:rtl w:val="true"/>
          <w:lang w:bidi="ar-SA"/>
        </w:rPr>
        <w:t xml:space="preserve">الإطلاق أحكام الماء من الطهارة والطهوريّة وإن كان من الأعيان النجسة كالبول والدم والخمر إذا لم يغيّر </w:t>
      </w:r>
      <w:r>
        <w:rPr>
          <w:rStyle w:val="FootnoteAnchor"/>
          <w:rtl w:val="true"/>
        </w:rPr>
        <w:footnoteReference w:id="82"/>
      </w:r>
      <w:r>
        <w:rPr>
          <w:rFonts w:ascii="Amiri" w:hAnsi="Amiri" w:eastAsia="Amiri" w:cs="Amiri"/>
          <w:color w:val="111111"/>
          <w:sz w:val="28"/>
          <w:sz w:val="28"/>
          <w:szCs w:val="28"/>
          <w:rtl w:val="true"/>
          <w:lang w:bidi="ar-SA"/>
        </w:rPr>
        <w:t>أحد أوصافه الثلاثة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فيثبت لها أيضا حكم الحليّة ، وهذا من خصائص الماء لاختصاص حكم </w:t>
      </w:r>
    </w:p>
    <w:p>
      <w:pPr>
        <w:pStyle w:val="BookText"/>
        <w:rPr/>
      </w:pPr>
      <w:r>
        <w:rPr>
          <w:rFonts w:ascii="Amiri" w:hAnsi="Amiri" w:eastAsia="Amiri" w:cs="Amiri"/>
          <w:color w:val="111111"/>
          <w:sz w:val="28"/>
          <w:sz w:val="28"/>
          <w:szCs w:val="28"/>
          <w:rtl w:val="true"/>
          <w:lang w:bidi="ar-SA"/>
        </w:rPr>
        <w:t xml:space="preserve">الاستهلاك به ، بل الظاهر جريان أحكام المتنجّس عليه مع تغييره </w:t>
      </w:r>
      <w:r>
        <w:rPr>
          <w:rStyle w:val="FootnoteAnchor"/>
          <w:rtl w:val="true"/>
        </w:rPr>
        <w:footnoteReference w:id="83"/>
      </w:r>
      <w:r>
        <w:rPr>
          <w:rFonts w:ascii="Amiri" w:hAnsi="Amiri" w:eastAsia="Amiri" w:cs="Amiri"/>
          <w:color w:val="111111"/>
          <w:sz w:val="28"/>
          <w:sz w:val="28"/>
          <w:szCs w:val="28"/>
          <w:rtl w:val="true"/>
          <w:lang w:bidi="ar-SA"/>
        </w:rPr>
        <w:t xml:space="preserve">النجاسة وبقاء اسمه ، فلا يجري على المخالطة معه مع </w:t>
      </w:r>
      <w:r>
        <w:rPr>
          <w:rStyle w:val="FootnoteAnchor"/>
          <w:rtl w:val="true"/>
        </w:rPr>
        <w:footnoteReference w:id="84"/>
      </w:r>
      <w:r>
        <w:rPr>
          <w:rFonts w:ascii="IRNazanin" w:hAnsi="IRNazanin" w:eastAsia="IRNazanin"/>
          <w:color w:val="111111"/>
          <w:sz w:val="28"/>
          <w:sz w:val="28"/>
          <w:szCs w:val="28"/>
          <w:rtl w:val="true"/>
          <w:lang w:bidi="fa-IR"/>
        </w:rPr>
        <w:t xml:space="preserve">الخمر </w:t>
      </w:r>
      <w:r>
        <w:rPr>
          <w:rStyle w:val="FootnoteAnchor"/>
          <w:rtl w:val="true"/>
        </w:rPr>
        <w:footnoteReference w:id="85"/>
      </w:r>
      <w:r>
        <w:rPr>
          <w:rFonts w:ascii="IRNazanin" w:hAnsi="IRNazanin" w:eastAsia="IRNazanin"/>
          <w:color w:val="111111"/>
          <w:sz w:val="28"/>
          <w:sz w:val="28"/>
          <w:szCs w:val="28"/>
          <w:rtl w:val="true"/>
          <w:lang w:bidi="fa-IR"/>
        </w:rPr>
        <w:t xml:space="preserve">إذا </w:t>
      </w:r>
      <w:r>
        <w:rPr>
          <w:rStyle w:val="FootnoteAnchor"/>
          <w:rtl w:val="true"/>
        </w:rPr>
        <w:footnoteReference w:id="86"/>
      </w:r>
      <w:r>
        <w:rPr>
          <w:rFonts w:ascii="Amiri" w:hAnsi="Amiri" w:eastAsia="Amiri" w:cs="Amiri"/>
          <w:color w:val="111111"/>
          <w:sz w:val="28"/>
          <w:sz w:val="28"/>
          <w:szCs w:val="28"/>
          <w:rtl w:val="true"/>
          <w:lang w:bidi="ar-SA"/>
        </w:rPr>
        <w:t xml:space="preserve">حكم الخمر في وجه قوي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 بما </w:t>
      </w:r>
      <w:r>
        <w:rPr>
          <w:rStyle w:val="FootnoteAnchor"/>
          <w:rtl w:val="true"/>
        </w:rPr>
        <w:footnoteReference w:id="88"/>
      </w:r>
      <w:r>
        <w:rPr>
          <w:rFonts w:ascii="Amiri" w:hAnsi="Amiri" w:eastAsia="Amiri" w:cs="Amiri"/>
          <w:color w:val="111111"/>
          <w:sz w:val="28"/>
          <w:sz w:val="28"/>
          <w:szCs w:val="28"/>
          <w:rtl w:val="true"/>
          <w:lang w:bidi="ar-SA"/>
        </w:rPr>
        <w:t xml:space="preserve">ذكر حدّ المضاف فهو ماء لا يستحق إطلاق الماء عليه من غير قيد ، أو ما يستحق إطلاق الماء عليه </w:t>
      </w:r>
      <w:r>
        <w:rPr>
          <w:rStyle w:val="FootnoteAnchor"/>
          <w:rtl w:val="true"/>
        </w:rPr>
        <w:footnoteReference w:id="89"/>
      </w:r>
      <w:r>
        <w:rPr>
          <w:rFonts w:ascii="Amiri" w:hAnsi="Amiri" w:eastAsia="Amiri" w:cs="Amiri"/>
          <w:color w:val="111111"/>
          <w:sz w:val="28"/>
          <w:sz w:val="28"/>
          <w:szCs w:val="28"/>
          <w:rtl w:val="true"/>
          <w:lang w:bidi="ar-SA"/>
        </w:rPr>
        <w:t>مقيّدا لا مطلقا كماء الورد وماء الرمّان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الماء عليه مع القيد </w:t>
      </w:r>
      <w:r>
        <w:rPr>
          <w:rStyle w:val="FootnoteAnchor"/>
          <w:rtl w:val="true"/>
        </w:rPr>
        <w:footnoteReference w:id="90"/>
      </w:r>
      <w:r>
        <w:rPr>
          <w:rFonts w:ascii="Amiri" w:hAnsi="Amiri" w:eastAsia="Amiri" w:cs="Amiri"/>
          <w:color w:val="111111"/>
          <w:sz w:val="28"/>
          <w:sz w:val="28"/>
          <w:szCs w:val="28"/>
          <w:rtl w:val="true"/>
          <w:lang w:bidi="ar-SA"/>
        </w:rPr>
        <w:t xml:space="preserve">إما مجاز والقيد قرينة عليه ، فاستحقاقه لإطلاق الماء عليه حينئذ مبني على ما مرّ ، أو أنه حقيقة فيه حال التقييد والقيد خارج عن </w:t>
      </w:r>
      <w:r>
        <w:rPr>
          <w:rStyle w:val="FootnoteAnchor"/>
          <w:rtl w:val="true"/>
        </w:rPr>
        <w:footnoteReference w:id="91"/>
      </w:r>
      <w:r>
        <w:rPr>
          <w:rFonts w:ascii="Amiri" w:hAnsi="Amiri" w:eastAsia="Amiri" w:cs="Amiri"/>
          <w:color w:val="111111"/>
          <w:sz w:val="28"/>
          <w:sz w:val="28"/>
          <w:szCs w:val="28"/>
          <w:rtl w:val="true"/>
          <w:lang w:bidi="ar-SA"/>
        </w:rPr>
        <w:t xml:space="preserve">الموضوع ، فيكون للفظ الماء وضعان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في حال الإفراد وآخر مع التقييد ، أو أن المجموع المركب موضوع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بأن </w:t>
      </w:r>
      <w:r>
        <w:rPr>
          <w:rStyle w:val="FootnoteAnchor"/>
          <w:rtl w:val="true"/>
        </w:rPr>
        <w:footnoteReference w:id="92"/>
      </w:r>
      <w:r>
        <w:rPr>
          <w:rFonts w:ascii="Amiri" w:hAnsi="Amiri" w:eastAsia="Amiri" w:cs="Amiri"/>
          <w:color w:val="111111"/>
          <w:sz w:val="28"/>
          <w:sz w:val="28"/>
          <w:szCs w:val="28"/>
          <w:rtl w:val="true"/>
          <w:lang w:bidi="ar-SA"/>
        </w:rPr>
        <w:t xml:space="preserve">النظر في استعمالاته العرفية يأبى عن التجوز ؛ إذ </w:t>
      </w:r>
      <w:r>
        <w:rPr>
          <w:rStyle w:val="FootnoteAnchor"/>
          <w:rtl w:val="true"/>
        </w:rPr>
        <w:footnoteReference w:id="93"/>
      </w:r>
      <w:r>
        <w:rPr>
          <w:rFonts w:ascii="Amiri" w:hAnsi="Amiri" w:eastAsia="Amiri" w:cs="Amiri"/>
          <w:color w:val="111111"/>
          <w:sz w:val="28"/>
          <w:sz w:val="28"/>
          <w:szCs w:val="28"/>
          <w:rtl w:val="true"/>
          <w:lang w:bidi="ar-SA"/>
        </w:rPr>
        <w:t xml:space="preserve">لا يلاحظ في شي‌ء منها المناسبة مع المطلق ، بل يطلق عليه ابتداء من دون تبعيّة </w:t>
      </w:r>
      <w:r>
        <w:rPr>
          <w:rStyle w:val="FootnoteAnchor"/>
          <w:rtl w:val="true"/>
        </w:rPr>
        <w:footnoteReference w:id="94"/>
      </w:r>
      <w:r>
        <w:rPr>
          <w:rFonts w:ascii="IRNazanin" w:hAnsi="IRNazanin" w:eastAsia="IRNazanin"/>
          <w:color w:val="111111"/>
          <w:sz w:val="28"/>
          <w:sz w:val="28"/>
          <w:szCs w:val="28"/>
          <w:rtl w:val="true"/>
          <w:lang w:bidi="fa-IR"/>
        </w:rPr>
        <w:t>، وهو من شواهد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شيوع استعماله فيه بحيث يستبعد معه البقاء على التجوز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واشتهار الاستعمال مع ضمّ القرينة اللفظيّة وإن لم يستلزم الوضع إلّا أنه مع هذه الشهرة </w:t>
      </w:r>
    </w:p>
    <w:p>
      <w:pPr>
        <w:pStyle w:val="BookText"/>
        <w:rPr/>
      </w:pPr>
      <w:r>
        <w:rPr>
          <w:rFonts w:ascii="Amiri" w:hAnsi="Amiri" w:eastAsia="Amiri" w:cs="Amiri"/>
          <w:color w:val="111111"/>
          <w:sz w:val="28"/>
          <w:sz w:val="28"/>
          <w:szCs w:val="28"/>
          <w:rtl w:val="true"/>
          <w:lang w:bidi="ar-SA"/>
        </w:rPr>
        <w:t xml:space="preserve">مما يتبعّد </w:t>
      </w:r>
      <w:r>
        <w:rPr>
          <w:rStyle w:val="FootnoteAnchor"/>
          <w:rtl w:val="true"/>
        </w:rPr>
        <w:footnoteReference w:id="95"/>
      </w:r>
      <w:r>
        <w:rPr>
          <w:rFonts w:ascii="Amiri" w:hAnsi="Amiri" w:eastAsia="Amiri" w:cs="Amiri"/>
          <w:color w:val="111111"/>
          <w:sz w:val="28"/>
          <w:sz w:val="28"/>
          <w:szCs w:val="28"/>
          <w:rtl w:val="true"/>
          <w:lang w:bidi="ar-SA"/>
        </w:rPr>
        <w:t>خلوّه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 أيضا في غاية البعد ، بل مقطوع الفساد ؛ لوضوح استعمال المضاف إليه فيما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الوجه الثاني ، ولا يخلو عن قرب وإن عزّ </w:t>
      </w:r>
      <w:r>
        <w:rPr>
          <w:rStyle w:val="FootnoteAnchor"/>
          <w:rtl w:val="true"/>
        </w:rPr>
        <w:footnoteReference w:id="96"/>
      </w:r>
      <w:r>
        <w:rPr>
          <w:rFonts w:ascii="Amiri" w:hAnsi="Amiri" w:eastAsia="Amiri" w:cs="Amiri"/>
          <w:color w:val="111111"/>
          <w:sz w:val="28"/>
          <w:sz w:val="28"/>
          <w:szCs w:val="28"/>
          <w:rtl w:val="true"/>
          <w:lang w:bidi="ar-SA"/>
        </w:rPr>
        <w:t xml:space="preserve">مثله في الأوضاع ، وقد ذكر نحوه في لفظ </w:t>
      </w:r>
      <w:r>
        <w:rPr>
          <w:rStyle w:val="FootnoteAnchor"/>
          <w:rtl w:val="true"/>
        </w:rPr>
        <w:footnoteReference w:id="97"/>
      </w:r>
      <w:r>
        <w:rPr>
          <w:rFonts w:ascii="Amiri" w:hAnsi="Amiri" w:eastAsia="Amiri" w:cs="Amiri"/>
          <w:color w:val="111111"/>
          <w:sz w:val="28"/>
          <w:sz w:val="28"/>
          <w:szCs w:val="28"/>
          <w:rtl w:val="true"/>
          <w:lang w:bidi="ar-SA"/>
        </w:rPr>
        <w:t>الإيمان ، ويحتمله لفظ الصلاة بالنسبة إلى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فالتزام الوضع الخاص فيه بالنسبة إلى كلّ إضافة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إذا كون الوضع فيه عاما والموضوع له </w:t>
      </w:r>
      <w:r>
        <w:rPr>
          <w:rStyle w:val="FootnoteAnchor"/>
          <w:rtl w:val="true"/>
        </w:rPr>
        <w:footnoteReference w:id="98"/>
      </w:r>
      <w:r>
        <w:rPr>
          <w:rFonts w:ascii="Amiri" w:hAnsi="Amiri" w:eastAsia="Amiri" w:cs="Amiri"/>
          <w:color w:val="111111"/>
          <w:sz w:val="28"/>
          <w:sz w:val="28"/>
          <w:szCs w:val="28"/>
          <w:rtl w:val="true"/>
          <w:lang w:bidi="ar-SA"/>
        </w:rPr>
        <w:t xml:space="preserve">والموضوع أيضا خاصا بملاحظة كلّ قيد </w:t>
      </w:r>
      <w:r>
        <w:rPr>
          <w:rStyle w:val="FootnoteAnchor"/>
          <w:rtl w:val="true"/>
        </w:rPr>
        <w:footnoteReference w:id="99"/>
      </w:r>
      <w:r>
        <w:rPr>
          <w:rFonts w:ascii="Amiri" w:hAnsi="Amiri" w:eastAsia="Amiri" w:cs="Amiri"/>
          <w:color w:val="111111"/>
          <w:sz w:val="28"/>
          <w:sz w:val="28"/>
          <w:szCs w:val="28"/>
          <w:rtl w:val="true"/>
          <w:lang w:bidi="ar-SA"/>
        </w:rPr>
        <w:t>على نحو الأوضاع الكليّة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الوضع فيه إذا لغوي أو عرفي؟ وجهان</w:t>
      </w:r>
      <w:r>
        <w:rPr>
          <w:rFonts w:eastAsia="Amiri" w:cs="Amiri" w:ascii="Amiri" w:hAnsi="Amiri"/>
          <w:color w:val="111111"/>
          <w:sz w:val="28"/>
          <w:szCs w:val="28"/>
          <w:rtl w:val="true"/>
          <w:lang w:bidi="ar-SA"/>
        </w:rPr>
        <w:t xml:space="preserve">. </w:t>
      </w:r>
      <w:bookmarkStart w:id="83" w:name="pg15827_173587"/>
    </w:p>
    <w:p>
      <w:pPr>
        <w:pStyle w:val="Heading5"/>
        <w:numPr>
          <w:ilvl w:val="4"/>
          <w:numId w:val="1"/>
        </w:numPr>
        <w:rPr/>
      </w:pPr>
      <w:bookmarkStart w:id="84" w:name="__RefHeading___Toc14099647_2142443653"/>
      <w:bookmarkStart w:id="85" w:name="_Toc30"/>
      <w:bookmarkEnd w:id="83"/>
      <w:bookmarkEnd w:id="84"/>
      <w:r>
        <w:rPr>
          <w:rtl w:val="true"/>
        </w:rPr>
        <w:t>تبصرة</w:t>
      </w:r>
      <w:r>
        <w:rPr>
          <w:rtl w:val="true"/>
        </w:rPr>
        <w:t xml:space="preserve">: [ </w:t>
      </w:r>
      <w:r>
        <w:rPr>
          <w:rtl w:val="true"/>
        </w:rPr>
        <w:t xml:space="preserve">في أن الماء طاهر مطهّر </w:t>
      </w:r>
      <w:r>
        <w:rPr>
          <w:rtl w:val="true"/>
        </w:rPr>
        <w:t>]</w:t>
      </w:r>
      <w:bookmarkEnd w:id="85"/>
    </w:p>
    <w:p>
      <w:pPr>
        <w:pStyle w:val="Heading6"/>
        <w:numPr>
          <w:ilvl w:val="5"/>
          <w:numId w:val="1"/>
        </w:numPr>
        <w:rPr/>
      </w:pPr>
      <w:bookmarkStart w:id="86" w:name="__RefHeading___Toc14099649_2142443653"/>
      <w:bookmarkStart w:id="87" w:name="_Toc31"/>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الماء كلّه مع عدم طروّ النجاسة عليه طاهر في نفسه مطهّر لغيره من الأحداث والأخباث ، سواء كان قليلا أو كثيرا ، جاريا أو واقفا ، نابعا من الأرض أو نازلا من السماء أو ذائبا من الثلج أو منقلبا من الهواء أو غير ذلك ، بالإجماع من المسلمين بل هو في الجملة من ضروريات </w:t>
      </w:r>
      <w:r>
        <w:rPr>
          <w:rStyle w:val="FootnoteAnchor"/>
          <w:rtl w:val="true"/>
        </w:rPr>
        <w:footnoteReference w:id="100"/>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سعيد </w:t>
      </w:r>
      <w:r>
        <w:rPr>
          <w:rStyle w:val="FootnoteAnchor"/>
          <w:rtl w:val="true"/>
        </w:rPr>
        <w:footnoteReference w:id="101"/>
      </w:r>
      <w:r>
        <w:rPr>
          <w:rFonts w:ascii="Amiri" w:hAnsi="Amiri" w:eastAsia="Amiri" w:cs="Amiri"/>
          <w:color w:val="111111"/>
          <w:sz w:val="28"/>
          <w:sz w:val="28"/>
          <w:szCs w:val="28"/>
          <w:rtl w:val="true"/>
          <w:lang w:bidi="ar-SA"/>
        </w:rPr>
        <w:t xml:space="preserve">بن المسيّب في ماء البحر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لجئت </w:t>
      </w:r>
      <w:r>
        <w:rPr>
          <w:rStyle w:val="FootnoteAnchor"/>
          <w:rtl w:val="true"/>
        </w:rPr>
        <w:footnoteReference w:id="102"/>
      </w:r>
      <w:r>
        <w:rPr>
          <w:rFonts w:ascii="Amiri" w:hAnsi="Amiri" w:eastAsia="Amiri" w:cs="Amiri"/>
          <w:color w:val="111111"/>
          <w:sz w:val="28"/>
          <w:sz w:val="28"/>
          <w:szCs w:val="28"/>
          <w:rtl w:val="true"/>
          <w:lang w:bidi="ar-SA"/>
        </w:rPr>
        <w:t xml:space="preserve">إليه فتوضأ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عمرو بن العاص </w:t>
      </w:r>
      <w:r>
        <w:rPr>
          <w:rStyle w:val="FootnoteAnchor"/>
          <w:rtl w:val="true"/>
        </w:rPr>
        <w:footnoteReference w:id="104"/>
      </w:r>
      <w:r>
        <w:rPr>
          <w:rFonts w:ascii="IRNazanin" w:hAnsi="IRNazanin" w:eastAsia="IRNazanin"/>
          <w:color w:val="111111"/>
          <w:sz w:val="28"/>
          <w:sz w:val="28"/>
          <w:szCs w:val="28"/>
          <w:rtl w:val="true"/>
          <w:lang w:bidi="fa-IR"/>
        </w:rPr>
        <w:t xml:space="preserve">وابن عمر </w:t>
      </w:r>
      <w:r>
        <w:rPr>
          <w:rStyle w:val="FootnoteAnchor"/>
          <w:rtl w:val="true"/>
        </w:rPr>
        <w:footnoteReference w:id="105"/>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أحبّ إلينا منه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والخلاف المذكور مع عدم </w:t>
      </w:r>
      <w:r>
        <w:rPr>
          <w:rStyle w:val="FootnoteAnchor"/>
          <w:rtl w:val="true"/>
        </w:rPr>
        <w:footnoteReference w:id="107"/>
      </w:r>
      <w:r>
        <w:rPr>
          <w:rFonts w:ascii="Amiri" w:hAnsi="Amiri" w:eastAsia="Amiri" w:cs="Amiri"/>
          <w:color w:val="111111"/>
          <w:sz w:val="28"/>
          <w:sz w:val="28"/>
          <w:szCs w:val="28"/>
          <w:rtl w:val="true"/>
          <w:lang w:bidi="ar-SA"/>
        </w:rPr>
        <w:t>كونه في أصل الطهوريّة قد انعقد الإجماع من العامة والخاصة على خلافه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المذكور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ومنقولا حدّ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والنصوص المستفيضة بل المتواترة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منه على الحكم المذكور في الجملة عدة 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وقد وقع البحث في دلالة الآية </w:t>
      </w:r>
      <w:r>
        <w:rPr>
          <w:rStyle w:val="FootnoteAnchor"/>
          <w:rtl w:val="true"/>
        </w:rPr>
        <w:footnoteReference w:id="109"/>
      </w:r>
      <w:r>
        <w:rPr>
          <w:rFonts w:ascii="Amiri" w:hAnsi="Amiri" w:eastAsia="Amiri" w:cs="Amiri"/>
          <w:color w:val="111111"/>
          <w:sz w:val="28"/>
          <w:sz w:val="28"/>
          <w:szCs w:val="28"/>
          <w:rtl w:val="true"/>
          <w:lang w:bidi="ar-SA"/>
        </w:rPr>
        <w:t xml:space="preserve">الشريفة على مطهريّة الماء لما وقع من الكلام في معنى الطهور ، وجمهور الأمّة على دلالتها عليها ، وقد خالف فيه شرذمة من الجمهور يعني </w:t>
      </w:r>
      <w:r>
        <w:rPr>
          <w:rStyle w:val="FootnoteAnchor"/>
          <w:rtl w:val="true"/>
        </w:rPr>
        <w:footnoteReference w:id="110"/>
      </w:r>
      <w:r>
        <w:rPr>
          <w:rFonts w:ascii="Amiri" w:hAnsi="Amiri" w:eastAsia="Amiri" w:cs="Amiri"/>
          <w:color w:val="111111"/>
          <w:sz w:val="28"/>
          <w:sz w:val="28"/>
          <w:szCs w:val="28"/>
          <w:rtl w:val="true"/>
          <w:lang w:bidi="ar-SA"/>
        </w:rPr>
        <w:t>أبا حنيفة وبعض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القول في ذلك أن جملة ما ذكر في معاني الطهور أمور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جماعة من الأجلاء </w:t>
      </w:r>
      <w:r>
        <w:rPr>
          <w:rStyle w:val="FootnoteAnchor"/>
          <w:rtl w:val="true"/>
        </w:rPr>
        <w:footnoteReference w:id="111"/>
      </w:r>
      <w:r>
        <w:rPr>
          <w:rFonts w:ascii="Amiri" w:hAnsi="Amiri" w:eastAsia="Amiri" w:cs="Amiri"/>
          <w:color w:val="111111"/>
          <w:sz w:val="28"/>
          <w:sz w:val="28"/>
          <w:szCs w:val="28"/>
          <w:rtl w:val="true"/>
          <w:lang w:bidi="ar-SA"/>
        </w:rPr>
        <w:t xml:space="preserve">من أهل اللغة وغيرهم ، كالمطرزي في المغرب </w:t>
      </w:r>
      <w:r>
        <w:rPr>
          <w:rStyle w:val="FootnoteAnchor"/>
          <w:rtl w:val="true"/>
        </w:rPr>
        <w:footnoteReference w:id="112"/>
      </w:r>
      <w:r>
        <w:rPr>
          <w:rFonts w:ascii="Amiri" w:hAnsi="Amiri" w:eastAsia="Amiri" w:cs="Amiri"/>
          <w:color w:val="111111"/>
          <w:sz w:val="28"/>
          <w:sz w:val="28"/>
          <w:szCs w:val="28"/>
          <w:rtl w:val="true"/>
          <w:lang w:bidi="ar-SA"/>
        </w:rPr>
        <w:t xml:space="preserve">والراغب في المفردات والزمخشري في كشّافه وأساسه </w:t>
      </w:r>
      <w:r>
        <w:rPr>
          <w:rStyle w:val="FootnoteAnchor"/>
          <w:rtl w:val="true"/>
        </w:rPr>
        <w:footnoteReference w:id="113"/>
      </w:r>
      <w:r>
        <w:rPr>
          <w:rStyle w:val="FootnoteAnchor"/>
          <w:rtl w:val="true"/>
        </w:rPr>
        <w:footnoteReference w:id="114"/>
      </w:r>
      <w:r>
        <w:rPr>
          <w:rFonts w:ascii="Amiri" w:hAnsi="Amiri" w:eastAsia="Amiri" w:cs="Amiri"/>
          <w:color w:val="111111"/>
          <w:sz w:val="28"/>
          <w:sz w:val="28"/>
          <w:szCs w:val="28"/>
          <w:rtl w:val="true"/>
          <w:lang w:bidi="ar-SA"/>
        </w:rPr>
        <w:t xml:space="preserve">والفيروزآبادي </w:t>
      </w:r>
      <w:r>
        <w:rPr>
          <w:rStyle w:val="FootnoteAnchor"/>
          <w:rtl w:val="true"/>
        </w:rPr>
        <w:footnoteReference w:id="115"/>
      </w:r>
      <w:r>
        <w:rPr>
          <w:rFonts w:ascii="Amiri" w:hAnsi="Amiri" w:eastAsia="Amiri" w:cs="Amiri"/>
          <w:color w:val="111111"/>
          <w:sz w:val="28"/>
          <w:sz w:val="28"/>
          <w:szCs w:val="28"/>
          <w:rtl w:val="true"/>
          <w:lang w:bidi="ar-SA"/>
        </w:rPr>
        <w:t xml:space="preserve">والطبرسي والطريحي </w:t>
      </w:r>
      <w:r>
        <w:rPr>
          <w:rStyle w:val="FootnoteAnchor"/>
          <w:rtl w:val="true"/>
        </w:rPr>
        <w:footnoteReference w:id="116"/>
      </w:r>
      <w:r>
        <w:rPr>
          <w:rFonts w:ascii="Amiri" w:hAnsi="Amiri" w:eastAsia="Amiri" w:cs="Amiri"/>
          <w:color w:val="111111"/>
          <w:sz w:val="28"/>
          <w:sz w:val="28"/>
          <w:szCs w:val="28"/>
          <w:rtl w:val="true"/>
          <w:lang w:bidi="ar-SA"/>
        </w:rPr>
        <w:t xml:space="preserve">وصاحب الطراز ، وحكاه الطبرسي ونجم الأئمة والزمخشري وغيرهم عن سيبويه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الأولين عنه أنه جاءت خمس مصادر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ووضوء وطهور وولوع ووقود ، وحكي مجيئه مصدرا عن الخليل والأصمعي والأزهري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حينئذ مصدر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كما نصّ عليه في المغرب والنهاية </w:t>
      </w:r>
      <w:r>
        <w:rPr>
          <w:rStyle w:val="FootnoteAnchor"/>
          <w:rtl w:val="true"/>
        </w:rPr>
        <w:footnoteReference w:id="119"/>
      </w:r>
      <w:r>
        <w:rPr>
          <w:rFonts w:ascii="Amiri" w:hAnsi="Amiri" w:eastAsia="Amiri" w:cs="Amiri"/>
          <w:color w:val="111111"/>
          <w:sz w:val="28"/>
          <w:sz w:val="28"/>
          <w:szCs w:val="28"/>
          <w:rtl w:val="true"/>
          <w:lang w:bidi="ar-SA"/>
        </w:rPr>
        <w:t>، وهو ظاهر المفردات والكشاف ومجمع البيان والطراز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الأساس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طهرت طهورا وطهوراً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فظاهره </w:t>
      </w:r>
      <w:r>
        <w:rPr>
          <w:rStyle w:val="FootnoteAnchor"/>
          <w:rtl w:val="true"/>
        </w:rPr>
        <w:footnoteReference w:id="121"/>
      </w:r>
      <w:r>
        <w:rPr>
          <w:rFonts w:ascii="Amiri" w:hAnsi="Amiri" w:eastAsia="Amiri" w:cs="Amiri"/>
          <w:color w:val="111111"/>
          <w:sz w:val="28"/>
          <w:sz w:val="28"/>
          <w:szCs w:val="28"/>
          <w:rtl w:val="true"/>
          <w:lang w:bidi="ar-SA"/>
        </w:rPr>
        <w:t xml:space="preserve">جعله مصدرا للمجرد ، ويستفاد ذلك من موضع من الكشاف والطراز حيث فسّراه بالطهارة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السيوري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وروده بمعنى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يرجع </w:t>
      </w:r>
      <w:r>
        <w:rPr>
          <w:rStyle w:val="FootnoteAnchor"/>
          <w:rtl w:val="true"/>
        </w:rPr>
        <w:footnoteReference w:id="124"/>
      </w:r>
      <w:r>
        <w:rPr>
          <w:rFonts w:ascii="Amiri" w:hAnsi="Amiri" w:eastAsia="Amiri" w:cs="Amiri"/>
          <w:color w:val="111111"/>
          <w:sz w:val="28"/>
          <w:sz w:val="28"/>
          <w:szCs w:val="28"/>
          <w:rtl w:val="true"/>
          <w:lang w:bidi="ar-SA"/>
        </w:rPr>
        <w:t xml:space="preserve">ذلك إلى الأول بأن الطهارة يجي‌ء أيضا مصدرا للمزيد كما يظهر من الطراز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وتطهّر هو طهورا بالضم والفتح ، وطهارة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هناك إلّا عبارة الأساس ، وهي أيضا غير صريحة في ذلك ، فإتيانه بمجرّدها مع كونها خلاف المعروف بينهم لا يخلو عن إشكال ، ولم يذكر وروده مصدرا </w:t>
      </w:r>
      <w:r>
        <w:rPr>
          <w:rStyle w:val="FootnoteAnchor"/>
          <w:rtl w:val="true"/>
        </w:rPr>
        <w:footnoteReference w:id="125"/>
      </w:r>
      <w:r>
        <w:rPr>
          <w:rFonts w:ascii="Amiri" w:hAnsi="Amiri" w:eastAsia="Amiri" w:cs="Amiri"/>
          <w:color w:val="111111"/>
          <w:sz w:val="28"/>
          <w:sz w:val="28"/>
          <w:szCs w:val="28"/>
          <w:rtl w:val="true"/>
          <w:lang w:bidi="ar-SA"/>
        </w:rPr>
        <w:t xml:space="preserve">في المحيط والمجمل والغريبين وشمس العلوم ومختصره ضياء الحلوم </w:t>
      </w:r>
      <w:r>
        <w:rPr>
          <w:rStyle w:val="FootnoteAnchor"/>
          <w:rtl w:val="true"/>
        </w:rPr>
        <w:footnoteReference w:id="126"/>
      </w:r>
      <w:r>
        <w:rPr>
          <w:rFonts w:ascii="Amiri" w:hAnsi="Amiri" w:eastAsia="Amiri" w:cs="Amiri"/>
          <w:color w:val="111111"/>
          <w:sz w:val="28"/>
          <w:sz w:val="28"/>
          <w:szCs w:val="28"/>
          <w:rtl w:val="true"/>
          <w:lang w:bidi="ar-SA"/>
        </w:rPr>
        <w:t>والصحاح والمصباح المنير ، فظاهرهم عدم إثباتهم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عمرو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نظير لقبول </w:t>
      </w:r>
      <w:r>
        <w:rPr>
          <w:rStyle w:val="FootnoteAnchor"/>
          <w:rtl w:val="true"/>
        </w:rPr>
        <w:footnoteReference w:id="127"/>
      </w:r>
      <w:r>
        <w:rPr>
          <w:rFonts w:ascii="Amiri" w:hAnsi="Amiri" w:eastAsia="Amiri" w:cs="Amiri"/>
          <w:color w:val="111111"/>
          <w:sz w:val="28"/>
          <w:sz w:val="28"/>
          <w:szCs w:val="28"/>
          <w:rtl w:val="true"/>
          <w:lang w:bidi="ar-SA"/>
        </w:rPr>
        <w:t>بالفتح في المصادر ، والباب كلّه مضموم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الجوهري عن غير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شاذّان ، وما سواهما من المصادر فمبني على الضم ، فظاهر ذلك إنكار مجيئه مصدرا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في الطراز عن الأخفش وابن البراج </w:t>
      </w:r>
      <w:r>
        <w:rPr>
          <w:rStyle w:val="FootnoteAnchor"/>
          <w:rtl w:val="true"/>
        </w:rPr>
        <w:footnoteReference w:id="128"/>
      </w:r>
      <w:r>
        <w:rPr>
          <w:rFonts w:ascii="Amiri" w:hAnsi="Amiri" w:eastAsia="Amiri" w:cs="Amiri"/>
          <w:color w:val="111111"/>
          <w:sz w:val="28"/>
          <w:sz w:val="28"/>
          <w:szCs w:val="28"/>
          <w:rtl w:val="true"/>
          <w:lang w:bidi="ar-SA"/>
        </w:rPr>
        <w:t xml:space="preserve">أنهما زعما أن فعولا في المصادر صفة </w:t>
      </w:r>
    </w:p>
    <w:p>
      <w:pPr>
        <w:pStyle w:val="BookText"/>
        <w:rPr/>
      </w:pPr>
      <w:r>
        <w:rPr>
          <w:rFonts w:ascii="Amiri" w:hAnsi="Amiri" w:eastAsia="Amiri" w:cs="Amiri"/>
          <w:color w:val="111111"/>
          <w:sz w:val="28"/>
          <w:sz w:val="28"/>
          <w:szCs w:val="28"/>
          <w:rtl w:val="true"/>
          <w:lang w:bidi="ar-SA"/>
        </w:rPr>
        <w:t>للمصدر المقيس حذفت وأقيمت الصّفة مقامه ، وهو إنكار لمجي‌ء فعول مطلقا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فالأظهر ثبوت هذا المعنى ، لنقل أولئك الأجلاء مع ما علم من تقديم قول المثبت وإن المنكر له صريحا ليس إلّا قليل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اسما </w:t>
      </w:r>
      <w:r>
        <w:rPr>
          <w:rStyle w:val="FootnoteAnchor"/>
          <w:rtl w:val="true"/>
        </w:rPr>
        <w:footnoteReference w:id="129"/>
      </w:r>
      <w:r>
        <w:rPr>
          <w:rFonts w:ascii="Amiri" w:hAnsi="Amiri" w:eastAsia="Amiri" w:cs="Amiri"/>
          <w:color w:val="111111"/>
          <w:sz w:val="28"/>
          <w:sz w:val="28"/>
          <w:szCs w:val="28"/>
          <w:rtl w:val="true"/>
          <w:lang w:bidi="ar-SA"/>
        </w:rPr>
        <w:t xml:space="preserve">بمعنى ما يتطهّر به </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ومجي‌ء فعول بهذا المعنى مما لا شبهة فيه ؛ لوضوح ثبوته في جملة من الألفاظ كالسحور والفطور والوضوء والوقود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في خصوص المقام أكثر أئمة اللغة والتفسير كالجوهري </w:t>
      </w:r>
      <w:r>
        <w:rPr>
          <w:rStyle w:val="FootnoteAnchor"/>
          <w:rtl w:val="true"/>
        </w:rPr>
        <w:footnoteReference w:id="131"/>
      </w:r>
      <w:r>
        <w:rPr>
          <w:rFonts w:ascii="Amiri" w:hAnsi="Amiri" w:eastAsia="Amiri" w:cs="Amiri"/>
          <w:color w:val="111111"/>
          <w:sz w:val="28"/>
          <w:sz w:val="28"/>
          <w:szCs w:val="28"/>
          <w:rtl w:val="true"/>
          <w:lang w:bidi="ar-SA"/>
        </w:rPr>
        <w:t xml:space="preserve">والهروي وابن الأثير </w:t>
      </w:r>
      <w:r>
        <w:rPr>
          <w:rStyle w:val="FootnoteAnchor"/>
          <w:rtl w:val="true"/>
        </w:rPr>
        <w:footnoteReference w:id="132"/>
      </w:r>
      <w:r>
        <w:rPr>
          <w:rFonts w:ascii="Amiri" w:hAnsi="Amiri" w:eastAsia="Amiri" w:cs="Amiri"/>
          <w:color w:val="111111"/>
          <w:sz w:val="28"/>
          <w:sz w:val="28"/>
          <w:szCs w:val="28"/>
          <w:rtl w:val="true"/>
          <w:lang w:bidi="ar-SA"/>
        </w:rPr>
        <w:t xml:space="preserve">والزمخشري في كشّافه </w:t>
      </w:r>
      <w:r>
        <w:rPr>
          <w:rStyle w:val="FootnoteAnchor"/>
          <w:rtl w:val="true"/>
        </w:rPr>
        <w:footnoteReference w:id="133"/>
      </w:r>
      <w:r>
        <w:rPr>
          <w:rFonts w:ascii="IRNazanin" w:hAnsi="IRNazanin" w:eastAsia="IRNazanin"/>
          <w:color w:val="111111"/>
          <w:sz w:val="28"/>
          <w:sz w:val="28"/>
          <w:szCs w:val="28"/>
          <w:rtl w:val="true"/>
          <w:lang w:bidi="fa-IR"/>
        </w:rPr>
        <w:t xml:space="preserve">وأساسه </w:t>
      </w:r>
      <w:r>
        <w:rPr>
          <w:rStyle w:val="FootnoteAnchor"/>
          <w:rtl w:val="true"/>
        </w:rPr>
        <w:footnoteReference w:id="134"/>
      </w:r>
      <w:r>
        <w:rPr>
          <w:rFonts w:ascii="Amiri" w:hAnsi="Amiri" w:eastAsia="Amiri" w:cs="Amiri"/>
          <w:color w:val="111111"/>
          <w:sz w:val="28"/>
          <w:sz w:val="28"/>
          <w:szCs w:val="28"/>
          <w:rtl w:val="true"/>
          <w:lang w:bidi="ar-SA"/>
        </w:rPr>
        <w:t xml:space="preserve">والمطرزي والراغب والطبرسي والنيسابوري </w:t>
      </w:r>
      <w:r>
        <w:rPr>
          <w:rStyle w:val="FootnoteAnchor"/>
          <w:rtl w:val="true"/>
        </w:rPr>
        <w:footnoteReference w:id="135"/>
      </w:r>
      <w:r>
        <w:rPr>
          <w:rFonts w:ascii="Amiri" w:hAnsi="Amiri" w:eastAsia="Amiri" w:cs="Amiri"/>
          <w:color w:val="111111"/>
          <w:sz w:val="28"/>
          <w:sz w:val="28"/>
          <w:szCs w:val="28"/>
          <w:rtl w:val="true"/>
          <w:lang w:bidi="ar-SA"/>
        </w:rPr>
        <w:t xml:space="preserve">والفخري </w:t>
      </w:r>
      <w:r>
        <w:rPr>
          <w:rStyle w:val="FootnoteAnchor"/>
          <w:rtl w:val="true"/>
        </w:rPr>
        <w:footnoteReference w:id="136"/>
      </w:r>
      <w:r>
        <w:rPr>
          <w:rFonts w:ascii="Amiri" w:hAnsi="Amiri" w:eastAsia="Amiri" w:cs="Amiri"/>
          <w:color w:val="111111"/>
          <w:sz w:val="28"/>
          <w:sz w:val="28"/>
          <w:szCs w:val="28"/>
          <w:rtl w:val="true"/>
          <w:lang w:bidi="ar-SA"/>
        </w:rPr>
        <w:t xml:space="preserve">والبيضاوي وصاحب الطراز وغيرهم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حكي </w:t>
      </w:r>
      <w:r>
        <w:rPr>
          <w:rStyle w:val="FootnoteAnchor"/>
          <w:rtl w:val="true"/>
        </w:rPr>
        <w:footnoteReference w:id="138"/>
      </w:r>
      <w:r>
        <w:rPr>
          <w:rFonts w:ascii="Amiri" w:hAnsi="Amiri" w:eastAsia="Amiri" w:cs="Amiri"/>
          <w:color w:val="111111"/>
          <w:sz w:val="28"/>
          <w:sz w:val="28"/>
          <w:szCs w:val="28"/>
          <w:rtl w:val="true"/>
          <w:lang w:bidi="ar-SA"/>
        </w:rPr>
        <w:t>أيضا عن الخليل والأصمعي وسيبويه وابن دريد والسجستاني والأزهري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 بعضهم مجيئه كذلك </w:t>
      </w:r>
      <w:r>
        <w:rPr>
          <w:rStyle w:val="FootnoteAnchor"/>
          <w:rtl w:val="true"/>
        </w:rPr>
        <w:footnoteReference w:id="139"/>
      </w:r>
      <w:r>
        <w:rPr>
          <w:rFonts w:ascii="Amiri" w:hAnsi="Amiri" w:eastAsia="Amiri" w:cs="Amiri"/>
          <w:color w:val="111111"/>
          <w:sz w:val="28"/>
          <w:sz w:val="28"/>
          <w:szCs w:val="28"/>
          <w:rtl w:val="true"/>
          <w:lang w:bidi="ar-SA"/>
        </w:rPr>
        <w:t>إلى جمهور أهل اللغة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صفة بمعنى المطهّر أو الطاهر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وروده بهذا المعنى أكثر أئمة اللغة وجماعة من علماء التفسير ، ونص عليه الفقهاء ؛ فعن ثعلب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عنه </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1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الطاهر </w:t>
      </w:r>
      <w:r>
        <w:rPr>
          <w:rStyle w:val="FootnoteAnchor"/>
          <w:rtl w:val="true"/>
        </w:rPr>
        <w:footnoteReference w:id="142"/>
      </w:r>
      <w:r>
        <w:rPr>
          <w:rFonts w:ascii="Amiri" w:hAnsi="Amiri" w:eastAsia="Amiri" w:cs="Amiri"/>
          <w:color w:val="111111"/>
          <w:sz w:val="28"/>
          <w:sz w:val="28"/>
          <w:szCs w:val="28"/>
          <w:rtl w:val="true"/>
          <w:lang w:bidi="ar-SA"/>
        </w:rPr>
        <w:t xml:space="preserve">في نفسه المطهّر بغيره </w:t>
      </w:r>
      <w:r>
        <w:rPr>
          <w:rStyle w:val="FootnoteAnchor"/>
          <w:rtl w:val="true"/>
        </w:rPr>
        <w:footnoteReference w:id="143"/>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الأزهري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اللغة هو الطاهر المطهّر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ضياء الحلوم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الماء الخالص الطاهر في نفسه المطهّر لغيره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الأسماء المتعدّية ، وهو المطهّر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المعتبر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w:t>
      </w:r>
      <w:r>
        <w:rPr>
          <w:rStyle w:val="FootnoteAnchor"/>
          <w:rtl w:val="true"/>
        </w:rPr>
        <w:footnoteReference w:id="149"/>
      </w:r>
      <w:r>
        <w:rPr>
          <w:rFonts w:ascii="Amiri" w:hAnsi="Amiri" w:eastAsia="Amiri" w:cs="Amiri"/>
          <w:color w:val="111111"/>
          <w:sz w:val="28"/>
          <w:sz w:val="28"/>
          <w:szCs w:val="28"/>
          <w:rtl w:val="true"/>
          <w:lang w:bidi="ar-SA"/>
        </w:rPr>
        <w:t xml:space="preserve">عن اليزيدي </w:t>
      </w:r>
      <w:r>
        <w:rPr>
          <w:rStyle w:val="FootnoteAnchor"/>
          <w:rtl w:val="true"/>
        </w:rPr>
        <w:footnoteReference w:id="150"/>
      </w:r>
      <w:r>
        <w:rPr>
          <w:rFonts w:ascii="Amiri" w:hAnsi="Amiri" w:eastAsia="Amiri" w:cs="Amiri"/>
          <w:color w:val="111111"/>
          <w:sz w:val="28"/>
          <w:sz w:val="28"/>
          <w:szCs w:val="28"/>
          <w:rtl w:val="true"/>
          <w:lang w:bidi="ar-SA"/>
        </w:rPr>
        <w:t>فيما حكاه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جماعة من المفسرين </w:t>
      </w:r>
      <w:r>
        <w:rPr>
          <w:rStyle w:val="FootnoteAnchor"/>
          <w:rtl w:val="true"/>
        </w:rPr>
        <w:footnoteReference w:id="151"/>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طهورا </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في الآية بالطاهر في نفسه والمطهّر لغيره المزيل للأحداث والنجاسات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هبر </w:t>
      </w:r>
      <w:r>
        <w:rPr>
          <w:rStyle w:val="FootnoteAnchor"/>
          <w:rtl w:val="true"/>
        </w:rPr>
        <w:footnoteReference w:id="153"/>
      </w:r>
      <w:r>
        <w:rPr>
          <w:rFonts w:ascii="Amiri" w:hAnsi="Amiri" w:eastAsia="Amiri" w:cs="Amiri"/>
          <w:color w:val="111111"/>
          <w:sz w:val="28"/>
          <w:sz w:val="28"/>
          <w:szCs w:val="28"/>
          <w:rtl w:val="true"/>
          <w:lang w:bidi="ar-SA"/>
        </w:rPr>
        <w:t xml:space="preserve">أنه 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هو الفاعل للطهارة في غيره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لم يخالف فيه إلّا بعض أصحاب أبي حنيفة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هو الطاهر </w:t>
      </w:r>
      <w:r>
        <w:rPr>
          <w:rStyle w:val="FootnoteAnchor"/>
          <w:rtl w:val="true"/>
        </w:rPr>
        <w:footnoteReference w:id="154"/>
      </w:r>
      <w:r>
        <w:rPr>
          <w:rFonts w:ascii="Amiri" w:hAnsi="Amiri" w:eastAsia="Amiri" w:cs="Amiri"/>
          <w:color w:val="111111"/>
          <w:sz w:val="28"/>
          <w:sz w:val="28"/>
          <w:szCs w:val="28"/>
          <w:rtl w:val="true"/>
          <w:lang w:bidi="ar-SA"/>
        </w:rPr>
        <w:t xml:space="preserve">على سبيل </w:t>
      </w:r>
      <w:r>
        <w:rPr>
          <w:rStyle w:val="FootnoteAnchor"/>
          <w:rtl w:val="true"/>
        </w:rPr>
        <w:footnoteReference w:id="155"/>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عندنا أنّ الطهور هو الطاهر المطهّر المزيل للحدث والنجاسة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هو المطهّر ، وعليه 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طهور أنه مع طهارته يزيل الأحداث ويرفع حكمها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كنز العرفان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الشافعيّة وأصحابنا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مشرق الشمسين </w:t>
      </w:r>
      <w:r>
        <w:rPr>
          <w:rStyle w:val="FootnoteAnchor"/>
          <w:rtl w:val="true"/>
        </w:rPr>
        <w:footnoteReference w:id="158"/>
      </w:r>
      <w:r>
        <w:rPr>
          <w:rFonts w:ascii="Amiri" w:hAnsi="Amiri" w:eastAsia="Amiri" w:cs="Amiri"/>
          <w:color w:val="111111"/>
          <w:sz w:val="28"/>
          <w:sz w:val="28"/>
          <w:szCs w:val="28"/>
          <w:rtl w:val="true"/>
          <w:lang w:bidi="ar-SA"/>
        </w:rPr>
        <w:t xml:space="preserve">والحبل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إنكار أبي حنيفة استعماله بمعنى الطاهر المطهّر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ويردّه نصّ المحقّقين من اللغويين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المعالم </w:t>
      </w:r>
      <w:r>
        <w:rPr>
          <w:rStyle w:val="FootnoteAnchor"/>
          <w:rtl w:val="true"/>
        </w:rPr>
        <w:footnoteReference w:id="159"/>
      </w:r>
      <w:r>
        <w:rPr>
          <w:rFonts w:ascii="Amiri" w:hAnsi="Amiri" w:eastAsia="Amiri" w:cs="Amiri"/>
          <w:color w:val="111111"/>
          <w:sz w:val="28"/>
          <w:sz w:val="28"/>
          <w:szCs w:val="28"/>
          <w:rtl w:val="true"/>
          <w:lang w:bidi="ar-SA"/>
        </w:rPr>
        <w:t xml:space="preserve">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العلماء فسّروه بالطاهر في نفسه المطهّر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الذخيرة أيضا إلى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في البحار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وأجيب عن الأول بأن ذكره تعالى ماء مبهما غير معين ووصفه بالطهورية والامتنان على العباد به لا يناسب حكمته تعالى ولا فائدة في هذا الاخبار ولا امتنان فيه ، فالمراد كل ماء يكون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بأن كثيرا من أهل اللغة فسّر الطهور بالطاهر في نفسه المطهر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التهذيب أسنده إلى لغة العرب ويؤيده شيوع استعماله في هذا المعنى في كثير من الأخبار الخاصية والعامية كقول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لي الأرض مسجدا وترابها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الطاهر لم يثبت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الوضوء بماء البحر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 الطهور ماؤه ، الحلّ ميتته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يرد كونه مطهرا لم يستتم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طهور إناء أحدكم إذا ولغ فيه الكلب أن يغسله سبعا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كثير من أهل اللغة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الفاضل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جميع علماء الإسلام على أنّ المراد من الطهور في الآية المطهّر ، وعلى وقوعه في الكتاب والسنة ، ولم يخالف في الموضعين سوى أبي حنيفة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أعاظم أهل اللغة نصّوا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وبملاحظة جميع ما ذكر لا يبقى ريب في ثبوت المعنى المذكور </w:t>
      </w:r>
      <w:r>
        <w:rPr>
          <w:rStyle w:val="FootnoteAnchor"/>
          <w:rtl w:val="true"/>
        </w:rPr>
        <w:footnoteReference w:id="161"/>
      </w:r>
      <w:r>
        <w:rPr>
          <w:rFonts w:ascii="Amiri" w:hAnsi="Amiri" w:eastAsia="Amiri" w:cs="Amiri"/>
          <w:color w:val="111111"/>
          <w:sz w:val="28"/>
          <w:sz w:val="28"/>
          <w:szCs w:val="28"/>
          <w:rtl w:val="true"/>
          <w:lang w:bidi="ar-SA"/>
        </w:rPr>
        <w:t>، وهل هو من معانيه الأصلية أو أنّه مأخوذ من غيره؟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الأول بملاحظة الإطلاقات المذكورة إلّا أنّ ظاهر جماعة منهم أخذه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هو المطهّر لغيره ، وهو فعول بمعنى ما يفعل به أي يتطهّر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يستظهر </w:t>
      </w:r>
      <w:r>
        <w:rPr>
          <w:rStyle w:val="FootnoteAnchor"/>
          <w:rtl w:val="true"/>
        </w:rPr>
        <w:footnoteReference w:id="163"/>
      </w:r>
      <w:r>
        <w:rPr>
          <w:rFonts w:ascii="Amiri" w:hAnsi="Amiri" w:eastAsia="Amiri" w:cs="Amiri"/>
          <w:color w:val="111111"/>
          <w:sz w:val="28"/>
          <w:sz w:val="28"/>
          <w:szCs w:val="28"/>
          <w:rtl w:val="true"/>
          <w:lang w:bidi="ar-SA"/>
        </w:rPr>
        <w:t xml:space="preserve">منه أن تفسيره بالمطهّر </w:t>
      </w:r>
      <w:r>
        <w:rPr>
          <w:rStyle w:val="FootnoteAnchor"/>
          <w:rtl w:val="true"/>
        </w:rPr>
        <w:footnoteReference w:id="164"/>
      </w:r>
      <w:r>
        <w:rPr>
          <w:rFonts w:ascii="Amiri" w:hAnsi="Amiri" w:eastAsia="Amiri" w:cs="Amiri"/>
          <w:color w:val="111111"/>
          <w:sz w:val="28"/>
          <w:sz w:val="28"/>
          <w:szCs w:val="28"/>
          <w:rtl w:val="true"/>
          <w:lang w:bidi="ar-SA"/>
        </w:rPr>
        <w:t xml:space="preserve">في كلامه ليس من جهة استعماله فيه ، بل لاستفادته </w:t>
      </w:r>
      <w:r>
        <w:rPr>
          <w:rStyle w:val="FootnoteAnchor"/>
          <w:rtl w:val="true"/>
        </w:rPr>
        <w:footnoteReference w:id="165"/>
      </w:r>
      <w:r>
        <w:rPr>
          <w:rFonts w:ascii="Amiri" w:hAnsi="Amiri" w:eastAsia="Amiri" w:cs="Amiri"/>
          <w:color w:val="111111"/>
          <w:sz w:val="28"/>
          <w:sz w:val="28"/>
          <w:szCs w:val="28"/>
          <w:rtl w:val="true"/>
          <w:lang w:bidi="ar-SA"/>
        </w:rPr>
        <w:t>من جهة الآليّة ، فلا يكون ذلك معنى آخر سواه ، وهو خلاف ظاهر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 على إرادة إثباته </w:t>
      </w:r>
      <w:r>
        <w:rPr>
          <w:rStyle w:val="FootnoteAnchor"/>
          <w:rtl w:val="true"/>
        </w:rPr>
        <w:footnoteReference w:id="166"/>
      </w:r>
      <w:r>
        <w:rPr>
          <w:rFonts w:ascii="Amiri" w:hAnsi="Amiri" w:eastAsia="Amiri" w:cs="Amiri"/>
          <w:color w:val="111111"/>
          <w:sz w:val="28"/>
          <w:sz w:val="28"/>
          <w:szCs w:val="28"/>
          <w:rtl w:val="true"/>
          <w:lang w:bidi="ar-SA"/>
        </w:rPr>
        <w:t xml:space="preserve">المطهّرية مع قطع النظر عن ثبوت ذلك المعنى له أو أنه أراد بذلك بيان أخذه من معنى الآلة كما هو ظاهر كنز العرفان </w:t>
      </w:r>
      <w:r>
        <w:rPr>
          <w:rStyle w:val="FootnoteAnchor"/>
          <w:rtl w:val="true"/>
        </w:rPr>
        <w:footnoteReference w:id="16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حكينا عنه أوّلا من كونه بمعنى المطهّر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فيكون مأخوذا من وضعه لما يتطهّر به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يستفاد من ظواهر كلمات جماعة منهم أخذه من معنى المبالغة ، فانتقل منها إلى إرادة المطهريّة بناء على عدم إمكان المبالغة الحقيقيّة بالنسبة إلى الطهارة الشرعيّة ، فنزّل المطهّرية منزلة المبالغة في الطهارة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الأثير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الطهور في الفقه هو الذي يرفع الحدث ويزيل الخبث </w:t>
      </w:r>
      <w:r>
        <w:rPr>
          <w:rStyle w:val="FootnoteAnchor"/>
          <w:rtl w:val="true"/>
        </w:rPr>
        <w:footnoteReference w:id="170"/>
      </w:r>
      <w:r>
        <w:rPr>
          <w:rFonts w:ascii="Amiri" w:hAnsi="Amiri" w:eastAsia="Amiri" w:cs="Amiri"/>
          <w:color w:val="111111"/>
          <w:sz w:val="28"/>
          <w:sz w:val="28"/>
          <w:szCs w:val="28"/>
          <w:rtl w:val="true"/>
          <w:lang w:bidi="ar-SA"/>
        </w:rPr>
        <w:t>؛ لأنّ فعولا من أبنية المبالغة ، فكأنّه تناهى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في الخلاف والمعتبر </w:t>
      </w:r>
      <w:r>
        <w:rPr>
          <w:rStyle w:val="FootnoteAnchor"/>
          <w:rtl w:val="true"/>
        </w:rPr>
        <w:footnoteReference w:id="171"/>
      </w:r>
      <w:r>
        <w:rPr>
          <w:rFonts w:ascii="IRNazanin" w:hAnsi="IRNazanin" w:eastAsia="IRNazanin"/>
          <w:color w:val="111111"/>
          <w:sz w:val="28"/>
          <w:sz w:val="28"/>
          <w:szCs w:val="28"/>
          <w:rtl w:val="true"/>
          <w:lang w:bidi="fa-IR"/>
        </w:rPr>
        <w:t xml:space="preserve">والمنتهى </w:t>
      </w:r>
      <w:r>
        <w:rPr>
          <w:rStyle w:val="FootnoteAnchor"/>
          <w:rtl w:val="true"/>
        </w:rPr>
        <w:footnoteReference w:id="172"/>
      </w:r>
      <w:r>
        <w:rPr>
          <w:rFonts w:ascii="Amiri" w:hAnsi="Amiri" w:eastAsia="Amiri" w:cs="Amiri"/>
          <w:color w:val="111111"/>
          <w:sz w:val="28"/>
          <w:sz w:val="28"/>
          <w:szCs w:val="28"/>
          <w:rtl w:val="true"/>
          <w:lang w:bidi="ar-SA"/>
        </w:rPr>
        <w:t xml:space="preserve">والتذكرة </w:t>
      </w:r>
      <w:r>
        <w:rPr>
          <w:rStyle w:val="FootnoteAnchor"/>
          <w:rtl w:val="true"/>
        </w:rPr>
        <w:footnoteReference w:id="173"/>
      </w:r>
      <w:r>
        <w:rPr>
          <w:rFonts w:ascii="Amiri" w:hAnsi="Amiri" w:eastAsia="Amiri" w:cs="Amiri"/>
          <w:color w:val="111111"/>
          <w:sz w:val="28"/>
          <w:sz w:val="28"/>
          <w:szCs w:val="28"/>
          <w:rtl w:val="true"/>
          <w:lang w:bidi="ar-SA"/>
        </w:rPr>
        <w:t xml:space="preserve">وكنز العرفان </w:t>
      </w:r>
      <w:r>
        <w:rPr>
          <w:rStyle w:val="FootnoteAnchor"/>
          <w:rtl w:val="true"/>
        </w:rPr>
        <w:footnoteReference w:id="174"/>
      </w:r>
      <w:r>
        <w:rPr>
          <w:rStyle w:val="FootnoteAnchor"/>
          <w:rtl w:val="true"/>
        </w:rPr>
        <w:footnoteReference w:id="175"/>
      </w:r>
      <w:r>
        <w:rPr>
          <w:rFonts w:ascii="Amiri" w:hAnsi="Amiri" w:eastAsia="Amiri" w:cs="Amiri"/>
          <w:color w:val="111111"/>
          <w:sz w:val="28"/>
          <w:sz w:val="28"/>
          <w:szCs w:val="28"/>
          <w:rtl w:val="true"/>
          <w:lang w:bidi="ar-SA"/>
        </w:rPr>
        <w:t>وغيرها كونها بمعنى المطهّر بأن فعولا من أبنية المبالغة ، ولا يتحقّق في المقام إلّا مع إفادة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مبالغة في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الطاهر في نفسه المطهّر لغيره ، جعل بحسب الاستعمال متعديا وإن كان بحسب الوضع لازما كأكول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يتوهّم من هذه العبارات أن إفادته المطهّرية إنما هي من جهة دلالته على المبالغة ، فلا يكون إذن من مستعملات اللفظ ، وإنما يستفاد منه من جهة </w:t>
      </w:r>
      <w:r>
        <w:rPr>
          <w:rStyle w:val="FootnoteAnchor"/>
          <w:rtl w:val="true"/>
        </w:rPr>
        <w:footnoteReference w:id="178"/>
      </w:r>
      <w:r>
        <w:rPr>
          <w:rFonts w:ascii="Amiri" w:hAnsi="Amiri" w:eastAsia="Amiri" w:cs="Amiri"/>
          <w:color w:val="111111"/>
          <w:sz w:val="28"/>
          <w:sz w:val="28"/>
          <w:szCs w:val="28"/>
          <w:rtl w:val="true"/>
          <w:lang w:bidi="ar-SA"/>
        </w:rPr>
        <w:t>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ذلك بأنه يخالف </w:t>
      </w:r>
      <w:r>
        <w:rPr>
          <w:rStyle w:val="FootnoteAnchor"/>
          <w:rtl w:val="true"/>
        </w:rPr>
        <w:footnoteReference w:id="179"/>
      </w:r>
      <w:r>
        <w:rPr>
          <w:rFonts w:ascii="Amiri" w:hAnsi="Amiri" w:eastAsia="Amiri" w:cs="Amiri"/>
          <w:color w:val="111111"/>
          <w:sz w:val="28"/>
          <w:sz w:val="28"/>
          <w:szCs w:val="28"/>
          <w:rtl w:val="true"/>
          <w:lang w:bidi="ar-SA"/>
        </w:rPr>
        <w:t xml:space="preserve">تصريح </w:t>
      </w:r>
      <w:r>
        <w:rPr>
          <w:rStyle w:val="FootnoteAnchor"/>
          <w:rtl w:val="true"/>
        </w:rPr>
        <w:footnoteReference w:id="180"/>
      </w:r>
      <w:r>
        <w:rPr>
          <w:rFonts w:ascii="Amiri" w:hAnsi="Amiri" w:eastAsia="Amiri" w:cs="Amiri"/>
          <w:color w:val="111111"/>
          <w:sz w:val="28"/>
          <w:sz w:val="28"/>
          <w:szCs w:val="28"/>
          <w:rtl w:val="true"/>
          <w:lang w:bidi="ar-SA"/>
        </w:rPr>
        <w:t>المذكورين حيث نصّوا على استعماله في معنى المطهّر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Style w:val="FootnoteAnchor"/>
          <w:rtl w:val="true"/>
        </w:rPr>
        <w:footnoteReference w:id="181"/>
      </w:r>
      <w:r>
        <w:rPr>
          <w:rFonts w:ascii="Amiri" w:hAnsi="Amiri" w:eastAsia="Amiri" w:cs="Amiri"/>
          <w:color w:val="111111"/>
          <w:sz w:val="28"/>
          <w:sz w:val="28"/>
          <w:szCs w:val="28"/>
          <w:rtl w:val="true"/>
          <w:lang w:bidi="ar-SA"/>
        </w:rPr>
        <w:t xml:space="preserve">وكنز العرفان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منع </w:t>
      </w:r>
      <w:r>
        <w:rPr>
          <w:rStyle w:val="FootnoteAnchor"/>
          <w:rtl w:val="true"/>
        </w:rPr>
        <w:footnoteReference w:id="183"/>
      </w:r>
      <w:r>
        <w:rPr>
          <w:rFonts w:ascii="Amiri" w:hAnsi="Amiri" w:eastAsia="Amiri" w:cs="Amiri"/>
          <w:color w:val="111111"/>
          <w:sz w:val="28"/>
          <w:sz w:val="28"/>
          <w:szCs w:val="28"/>
          <w:rtl w:val="true"/>
          <w:lang w:bidi="ar-SA"/>
        </w:rPr>
        <w:t xml:space="preserve">الحنفي كون اللغة </w:t>
      </w:r>
      <w:r>
        <w:rPr>
          <w:rStyle w:val="FootnoteAnchor"/>
          <w:rtl w:val="true"/>
        </w:rPr>
        <w:footnoteReference w:id="184"/>
      </w:r>
      <w:r>
        <w:rPr>
          <w:rFonts w:ascii="IRNazanin" w:hAnsi="IRNazanin" w:eastAsia="IRNazanin"/>
          <w:color w:val="111111"/>
          <w:sz w:val="28"/>
          <w:sz w:val="28"/>
          <w:szCs w:val="28"/>
          <w:rtl w:val="true"/>
          <w:lang w:bidi="fa-IR"/>
        </w:rPr>
        <w:t xml:space="preserve">والشرع </w:t>
      </w:r>
      <w:r>
        <w:rPr>
          <w:rStyle w:val="FootnoteAnchor"/>
          <w:rtl w:val="true"/>
        </w:rPr>
        <w:footnoteReference w:id="185"/>
      </w:r>
      <w:r>
        <w:rPr>
          <w:rFonts w:ascii="Amiri" w:hAnsi="Amiri" w:eastAsia="Amiri" w:cs="Amiri"/>
          <w:color w:val="111111"/>
          <w:sz w:val="28"/>
          <w:sz w:val="28"/>
          <w:szCs w:val="28"/>
          <w:rtl w:val="true"/>
          <w:lang w:bidi="ar-SA"/>
        </w:rPr>
        <w:t xml:space="preserve">استعمله في التعدية </w:t>
      </w:r>
      <w:r>
        <w:rPr>
          <w:rStyle w:val="FootnoteAnchor"/>
          <w:rtl w:val="true"/>
        </w:rPr>
        <w:footnoteReference w:id="186"/>
      </w:r>
      <w:r>
        <w:rPr>
          <w:rFonts w:ascii="Amiri" w:hAnsi="Amiri" w:eastAsia="Amiri" w:cs="Amiri"/>
          <w:color w:val="111111"/>
          <w:sz w:val="28"/>
          <w:sz w:val="28"/>
          <w:szCs w:val="28"/>
          <w:rtl w:val="true"/>
          <w:lang w:bidi="ar-SA"/>
        </w:rPr>
        <w:t>وإن لم يكن قياسا فهو غير صحيح ، ونص فيهما أيضا على عدم استعماله في الطاهر غير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سمعت عبارة الخلاف ؛ مضافا إلى ما عرفت من نص أولئك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حمل ذلك على قصد إبداء المناسبة بين المعنيين ، وتقريب المعنى </w:t>
      </w:r>
      <w:r>
        <w:rPr>
          <w:rStyle w:val="FootnoteAnchor"/>
          <w:rtl w:val="true"/>
        </w:rPr>
        <w:footnoteReference w:id="187"/>
      </w:r>
      <w:r>
        <w:rPr>
          <w:rFonts w:ascii="Amiri" w:hAnsi="Amiri" w:eastAsia="Amiri" w:cs="Amiri"/>
          <w:color w:val="111111"/>
          <w:sz w:val="28"/>
          <w:sz w:val="28"/>
          <w:szCs w:val="28"/>
          <w:rtl w:val="true"/>
          <w:lang w:bidi="ar-SA"/>
        </w:rPr>
        <w:t xml:space="preserve">المذكور من معنى المبالغة التي هي أصل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أرادوا بذلك الرد على أبي حنيفة على فرض تسليمهم ما ادعاه من كون الصيغة للمبالغة ، فبيّنوا إفادتها المطهريّة مع ذلك أيضا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صفة بمعنى الطاهر وهو ظاهر الراغب في مفرداته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صفة كالرسول ونحو ذلك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تنبيها على أنه بخلاف ما ذكر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وَيُسْقى مِنْ ماءٍ صَدِيدٍ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نحوه الطبرسي في المجمع </w:t>
      </w:r>
      <w:r>
        <w:rPr>
          <w:rStyle w:val="FootnoteAnchor"/>
          <w:rtl w:val="true"/>
        </w:rPr>
        <w:footnoteReference w:id="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صفة فهو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فهذا كالرسول والعجوز ونحو ذلك من الصفات التي جاءت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دلالة فيه على التكرار لما لم يكن متعديا نحو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يستظهر ذلك من المحيط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ماء نظيف طهور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الأولى حمله على المعنى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البحرين أنه محكيّ عن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أحدا حكاه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يوهمه عبارة الراغب في المقام فكأنه أخذه منه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وهم فاسد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جماعة إلى أبي حنيفة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في شمس العلوم أصحابه ، ونسبه البغوي </w:t>
      </w:r>
      <w:r>
        <w:rPr>
          <w:rStyle w:val="FootnoteAnchor"/>
          <w:rtl w:val="true"/>
        </w:rPr>
        <w:footnoteReference w:id="194"/>
      </w:r>
      <w:r>
        <w:rPr>
          <w:rFonts w:ascii="IRNazanin" w:hAnsi="IRNazanin" w:eastAsia="IRNazanin"/>
          <w:color w:val="111111"/>
          <w:sz w:val="28"/>
          <w:sz w:val="28"/>
          <w:szCs w:val="28"/>
          <w:rtl w:val="true"/>
          <w:lang w:bidi="fa-IR"/>
        </w:rPr>
        <w:t xml:space="preserve">إلى </w:t>
      </w:r>
      <w:r>
        <w:rPr>
          <w:rStyle w:val="FootnoteAnchor"/>
          <w:rtl w:val="true"/>
        </w:rPr>
        <w:footnoteReference w:id="195"/>
      </w:r>
      <w:r>
        <w:rPr>
          <w:rFonts w:ascii="Amiri" w:hAnsi="Amiri" w:eastAsia="Amiri" w:cs="Amiri"/>
          <w:color w:val="111111"/>
          <w:sz w:val="28"/>
          <w:sz w:val="28"/>
          <w:szCs w:val="28"/>
          <w:rtl w:val="true"/>
          <w:lang w:bidi="ar-SA"/>
        </w:rPr>
        <w:t>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في كنز العرفان </w:t>
      </w:r>
      <w:r>
        <w:rPr>
          <w:rStyle w:val="FootnoteAnchor"/>
          <w:rtl w:val="true"/>
        </w:rPr>
        <w:footnoteReference w:id="196"/>
      </w:r>
      <w:r>
        <w:rPr>
          <w:rStyle w:val="FootnoteAnchor"/>
          <w:rtl w:val="true"/>
        </w:rPr>
        <w:footnoteReference w:id="197"/>
      </w:r>
      <w:r>
        <w:rPr>
          <w:rFonts w:ascii="Amiri" w:hAnsi="Amiri" w:eastAsia="Amiri" w:cs="Amiri"/>
          <w:color w:val="111111"/>
          <w:sz w:val="28"/>
          <w:sz w:val="28"/>
          <w:szCs w:val="28"/>
          <w:rtl w:val="true"/>
          <w:lang w:bidi="ar-SA"/>
        </w:rPr>
        <w:t xml:space="preserve">عن بعض الحنفية و </w:t>
      </w:r>
      <w:r>
        <w:rPr>
          <w:rStyle w:val="FootnoteAnchor"/>
          <w:rtl w:val="true"/>
        </w:rPr>
        <w:footnoteReference w:id="198"/>
      </w:r>
      <w:r>
        <w:rPr>
          <w:rFonts w:ascii="Amiri" w:hAnsi="Amiri" w:eastAsia="Amiri" w:cs="Amiri"/>
          <w:color w:val="111111"/>
          <w:sz w:val="28"/>
          <w:sz w:val="28"/>
          <w:szCs w:val="28"/>
          <w:rtl w:val="true"/>
          <w:lang w:bidi="ar-SA"/>
        </w:rPr>
        <w:t xml:space="preserve">العامة </w:t>
      </w:r>
      <w:r>
        <w:rPr>
          <w:rStyle w:val="FootnoteAnchor"/>
          <w:rtl w:val="true"/>
        </w:rPr>
        <w:footnoteReference w:id="199"/>
      </w:r>
      <w:r>
        <w:rPr>
          <w:rFonts w:ascii="Amiri" w:hAnsi="Amiri" w:eastAsia="Amiri" w:cs="Amiri"/>
          <w:color w:val="111111"/>
          <w:sz w:val="28"/>
          <w:sz w:val="28"/>
          <w:szCs w:val="28"/>
          <w:rtl w:val="true"/>
          <w:lang w:bidi="ar-SA"/>
        </w:rPr>
        <w:t>إنكار دلالته على غير الطهارة محتجّا بأنّ فعولا للمبالغة ، ولم ينسبا إلى أبي حنيفة أو غيره شيئا آخر ، وكأنّه الأصحّ في نقل مذهبهم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 فثبوت هذا المعنى للطهور غير بيّن الظهور عند الجمهور من نقلة اللغة ، ولا يساعد </w:t>
      </w:r>
      <w:r>
        <w:rPr>
          <w:rStyle w:val="FootnoteAnchor"/>
          <w:rtl w:val="true"/>
        </w:rPr>
        <w:footnoteReference w:id="200"/>
      </w:r>
      <w:r>
        <w:rPr>
          <w:rFonts w:ascii="Amiri" w:hAnsi="Amiri" w:eastAsia="Amiri" w:cs="Amiri"/>
          <w:color w:val="111111"/>
          <w:sz w:val="28"/>
          <w:sz w:val="28"/>
          <w:szCs w:val="28"/>
          <w:rtl w:val="true"/>
          <w:lang w:bidi="ar-SA"/>
        </w:rPr>
        <w:t xml:space="preserve">شي‌ء من الإطلاقات العرفيّة بل الظاهر من العرف خلافه ، وثبوته بمجرّد ما ذكر غير ظاهر ؛ إذ لا حجّة في قول أبي حنيفة وأصحابه بعد ثبوته </w:t>
      </w:r>
      <w:r>
        <w:rPr>
          <w:rStyle w:val="FootnoteAnchor"/>
          <w:rtl w:val="true"/>
        </w:rPr>
        <w:footnoteReference w:id="201"/>
      </w:r>
      <w:r>
        <w:rPr>
          <w:rFonts w:ascii="Amiri" w:hAnsi="Amiri" w:eastAsia="Amiri" w:cs="Amiri"/>
          <w:color w:val="111111"/>
          <w:sz w:val="28"/>
          <w:sz w:val="28"/>
          <w:szCs w:val="28"/>
          <w:rtl w:val="true"/>
          <w:lang w:bidi="ar-SA"/>
        </w:rPr>
        <w:t xml:space="preserve">، والعبارتان المنقولتان ليستا بتلك المكانة من الظهور ليعارض بهما كلام غيرهما من الأجلاء ، فالأظهر حملهما على إرادة </w:t>
      </w:r>
    </w:p>
    <w:p>
      <w:pPr>
        <w:pStyle w:val="BookText"/>
        <w:rPr/>
      </w:pPr>
      <w:r>
        <w:rPr>
          <w:rFonts w:ascii="Amiri" w:hAnsi="Amiri" w:eastAsia="Amiri" w:cs="Amiri"/>
          <w:color w:val="111111"/>
          <w:sz w:val="28"/>
          <w:sz w:val="28"/>
          <w:szCs w:val="28"/>
          <w:rtl w:val="true"/>
          <w:lang w:bidi="ar-SA"/>
        </w:rPr>
        <w:t xml:space="preserve">التشبيه بالرسول </w:t>
      </w:r>
      <w:r>
        <w:rPr>
          <w:rStyle w:val="FootnoteAnchor"/>
          <w:rtl w:val="true"/>
        </w:rPr>
        <w:footnoteReference w:id="202"/>
      </w:r>
      <w:r>
        <w:rPr>
          <w:rFonts w:ascii="Amiri" w:hAnsi="Amiri" w:eastAsia="Amiri" w:cs="Amiri"/>
          <w:color w:val="111111"/>
          <w:sz w:val="28"/>
          <w:sz w:val="28"/>
          <w:szCs w:val="28"/>
          <w:rtl w:val="true"/>
          <w:lang w:bidi="ar-SA"/>
        </w:rPr>
        <w:t>في مطلق الوصفيّة دون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صفة بمعنى المبالغة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الزمخشري </w:t>
      </w:r>
      <w:r>
        <w:rPr>
          <w:rStyle w:val="FootnoteAnchor"/>
          <w:rtl w:val="true"/>
        </w:rPr>
        <w:footnoteReference w:id="203"/>
      </w:r>
      <w:r>
        <w:rPr>
          <w:rFonts w:ascii="Amiri" w:hAnsi="Amiri" w:eastAsia="Amiri" w:cs="Amiri"/>
          <w:color w:val="111111"/>
          <w:sz w:val="28"/>
          <w:sz w:val="28"/>
          <w:szCs w:val="28"/>
          <w:rtl w:val="true"/>
          <w:lang w:bidi="ar-SA"/>
        </w:rPr>
        <w:t xml:space="preserve">والمطرزي في المغرب ، وقد تقدم عبارة النهاية والمجمع والمفردات وجملة من الكتب الاستدلاليّة الّتي يظهر منها ذلك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أيضا غير مذكور في كلام أكثر أساطين أهل اللغة كالصاحب وابن نشوان وولده والجوهري والفيروزآبادي وابن فارس وغيرهم ، فالظاهر منهم عدم إثباته لهم </w:t>
      </w:r>
      <w:r>
        <w:rPr>
          <w:rStyle w:val="FootnoteAnchor"/>
          <w:rtl w:val="true"/>
        </w:rPr>
        <w:footnoteReference w:id="205"/>
      </w:r>
      <w:r>
        <w:rPr>
          <w:rFonts w:ascii="Amiri" w:hAnsi="Amiri" w:eastAsia="Amiri" w:cs="Amiri"/>
          <w:color w:val="111111"/>
          <w:sz w:val="28"/>
          <w:sz w:val="28"/>
          <w:szCs w:val="28"/>
          <w:rtl w:val="true"/>
          <w:lang w:bidi="ar-SA"/>
        </w:rPr>
        <w:t xml:space="preserve">، بل لا يعرف مصرّح به سوى الزمخشري والمطرزي وعبارة النهاية وغيرها مما أشرنا </w:t>
      </w:r>
      <w:r>
        <w:rPr>
          <w:rStyle w:val="FootnoteAnchor"/>
          <w:rtl w:val="true"/>
        </w:rPr>
        <w:footnoteReference w:id="206"/>
      </w:r>
      <w:r>
        <w:rPr>
          <w:rFonts w:ascii="Amiri" w:hAnsi="Amiri" w:eastAsia="Amiri" w:cs="Amiri"/>
          <w:color w:val="111111"/>
          <w:sz w:val="28"/>
          <w:sz w:val="28"/>
          <w:szCs w:val="28"/>
          <w:rtl w:val="true"/>
          <w:lang w:bidi="ar-SA"/>
        </w:rPr>
        <w:t>إليه غير صريحة في ذلك ، بل الأولى حملها على ما مرّت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أنّهما أيضا تبعا إمامهما الحنفي ، وأرادا بذلك انتصار مذهبه ، ومع ذلك فلم يستندا في ذلك إلى شاهد ظاهر من السماع </w:t>
      </w:r>
      <w:r>
        <w:rPr>
          <w:rStyle w:val="FootnoteAnchor"/>
          <w:rtl w:val="true"/>
        </w:rPr>
        <w:footnoteReference w:id="207"/>
      </w:r>
      <w:r>
        <w:rPr>
          <w:rFonts w:ascii="Amiri" w:hAnsi="Amiri" w:eastAsia="Amiri" w:cs="Amiri"/>
          <w:color w:val="111111"/>
          <w:sz w:val="28"/>
          <w:sz w:val="28"/>
          <w:szCs w:val="28"/>
          <w:rtl w:val="true"/>
          <w:lang w:bidi="ar-SA"/>
        </w:rPr>
        <w:t>، وإنّما استندا فيه إلى القياس</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ما تبيّن من لزوم الاقتصار في صيغ المبالغة على المسموع يسقط </w:t>
      </w:r>
      <w:r>
        <w:rPr>
          <w:rStyle w:val="FootnoteAnchor"/>
          <w:rtl w:val="true"/>
        </w:rPr>
        <w:footnoteReference w:id="208"/>
      </w:r>
      <w:r>
        <w:rPr>
          <w:rFonts w:ascii="Amiri" w:hAnsi="Amiri" w:eastAsia="Amiri" w:cs="Amiri"/>
          <w:color w:val="111111"/>
          <w:sz w:val="28"/>
          <w:sz w:val="28"/>
          <w:szCs w:val="28"/>
          <w:rtl w:val="true"/>
          <w:lang w:bidi="ar-SA"/>
        </w:rPr>
        <w:t xml:space="preserve">هذا الكلام وما يحتجّ به بعد ذلك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 xml:space="preserve">: </w:t>
      </w:r>
      <w:bookmarkStart w:id="88" w:name="pg15827_173598"/>
    </w:p>
    <w:p>
      <w:pPr>
        <w:pStyle w:val="Heading6"/>
        <w:numPr>
          <w:ilvl w:val="5"/>
          <w:numId w:val="1"/>
        </w:numPr>
        <w:rPr/>
      </w:pPr>
      <w:bookmarkStart w:id="89" w:name="__RefHeading___Toc14099651_2142443653"/>
      <w:bookmarkStart w:id="90" w:name="_Toc32"/>
      <w:bookmarkEnd w:id="88"/>
      <w:bookmarkEnd w:id="89"/>
      <w:r>
        <w:rPr>
          <w:rtl w:val="true"/>
        </w:rPr>
        <w:t>وريقهنّ طهوراً</w:t>
      </w:r>
      <w:bookmarkEnd w:id="90"/>
    </w:p>
    <w:p>
      <w:pPr>
        <w:pStyle w:val="BookText"/>
        <w:rPr/>
      </w:pPr>
      <w:r>
        <w:rPr>
          <w:rFonts w:ascii="Amiri" w:hAnsi="Amiri" w:eastAsia="Amiri" w:cs="Amiri"/>
          <w:color w:val="111111"/>
          <w:sz w:val="28"/>
          <w:sz w:val="28"/>
          <w:szCs w:val="28"/>
          <w:rtl w:val="true"/>
          <w:lang w:bidi="ar-SA"/>
        </w:rPr>
        <w:t xml:space="preserve">وريقهنّ </w:t>
      </w:r>
      <w:r>
        <w:rPr>
          <w:rStyle w:val="FootnoteAnchor"/>
          <w:rtl w:val="true"/>
        </w:rPr>
        <w:footnoteReference w:id="210"/>
      </w:r>
      <w:r>
        <w:rPr>
          <w:rFonts w:ascii="Amiri" w:hAnsi="Amiri" w:eastAsia="Amiri" w:cs="Amiri"/>
          <w:color w:val="111111"/>
          <w:sz w:val="28"/>
          <w:sz w:val="28"/>
          <w:szCs w:val="28"/>
          <w:rtl w:val="true"/>
          <w:lang w:bidi="ar-SA"/>
        </w:rPr>
        <w:t xml:space="preserve">طهوراً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إذا المراد بهما </w:t>
      </w:r>
      <w:r>
        <w:rPr>
          <w:rStyle w:val="FootnoteAnchor"/>
          <w:rtl w:val="true"/>
        </w:rPr>
        <w:footnoteReference w:id="212"/>
      </w:r>
      <w:r>
        <w:rPr>
          <w:rFonts w:ascii="Amiri" w:hAnsi="Amiri" w:eastAsia="Amiri" w:cs="Amiri"/>
          <w:color w:val="111111"/>
          <w:sz w:val="28"/>
          <w:sz w:val="28"/>
          <w:szCs w:val="28"/>
          <w:rtl w:val="true"/>
          <w:lang w:bidi="ar-SA"/>
        </w:rPr>
        <w:t>مطلق الطاهر أو المبالغة فيه ؛ إذ لا نجاسة في الآخرة حتى يزيلها ولا معنى لدعوى المطهريّة في ريقها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بعضهم في ما حكاه في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 ماء طهورا بليغا في الطهارة ؛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 إرادة المطهريّة ممكن في الآية ؛ لاحتمال أن يراد به التطهير عن </w:t>
      </w:r>
      <w:r>
        <w:rPr>
          <w:rStyle w:val="FootnoteAnchor"/>
          <w:rtl w:val="true"/>
        </w:rPr>
        <w:footnoteReference w:id="213"/>
      </w:r>
      <w:r>
        <w:rPr>
          <w:rFonts w:ascii="Amiri" w:hAnsi="Amiri" w:eastAsia="Amiri" w:cs="Amiri"/>
          <w:color w:val="111111"/>
          <w:sz w:val="28"/>
          <w:sz w:val="28"/>
          <w:szCs w:val="28"/>
          <w:rtl w:val="true"/>
          <w:lang w:bidi="ar-SA"/>
        </w:rPr>
        <w:t>حسب ما سوى اللّه كما حكي عن جماعة من المفسرين وروي عن الصادق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214"/>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تطهيرهم عن بقايا الأخلاق الخسيسة من البخل </w:t>
      </w:r>
      <w:r>
        <w:rPr>
          <w:rStyle w:val="FootnoteAnchor"/>
          <w:rtl w:val="true"/>
        </w:rPr>
        <w:footnoteReference w:id="215"/>
      </w:r>
      <w:r>
        <w:rPr>
          <w:rFonts w:ascii="Amiri" w:hAnsi="Amiri" w:eastAsia="Amiri" w:cs="Amiri"/>
          <w:color w:val="111111"/>
          <w:sz w:val="28"/>
          <w:sz w:val="28"/>
          <w:szCs w:val="28"/>
          <w:rtl w:val="true"/>
          <w:lang w:bidi="ar-SA"/>
        </w:rPr>
        <w:t>والحسد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قيل في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ما ذكر هو المناسب للمقام ؛ إذ ليست الطهارة أو المبالغة فيها وصفا تميّز سببها </w:t>
      </w:r>
      <w:r>
        <w:rPr>
          <w:rStyle w:val="FootnoteAnchor"/>
          <w:rtl w:val="true"/>
        </w:rPr>
        <w:footnoteReference w:id="216"/>
      </w:r>
      <w:r>
        <w:rPr>
          <w:rFonts w:ascii="Amiri" w:hAnsi="Amiri" w:eastAsia="Amiri" w:cs="Amiri"/>
          <w:color w:val="111111"/>
          <w:sz w:val="28"/>
          <w:sz w:val="28"/>
          <w:szCs w:val="28"/>
          <w:rtl w:val="true"/>
          <w:lang w:bidi="ar-SA"/>
        </w:rPr>
        <w:t>في المقام ؛ لوضوح أن طعام الجنّة وشرابها في أعلى مراتب الطهارة والنظافة ، ولا خصوصية في ذلك للشراب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ذلك فلا ريب أن الامتنان </w:t>
      </w:r>
      <w:r>
        <w:rPr>
          <w:rStyle w:val="FootnoteAnchor"/>
          <w:rtl w:val="true"/>
        </w:rPr>
        <w:footnoteReference w:id="217"/>
      </w:r>
      <w:r>
        <w:rPr>
          <w:rFonts w:ascii="Amiri" w:hAnsi="Amiri" w:eastAsia="Amiri" w:cs="Amiri"/>
          <w:color w:val="111111"/>
          <w:sz w:val="28"/>
          <w:sz w:val="28"/>
          <w:szCs w:val="28"/>
          <w:rtl w:val="true"/>
          <w:lang w:bidi="ar-SA"/>
        </w:rPr>
        <w:t>بما ذكر أولى وإن لم يرجّح عليه فلا أقل من الاحتمال الذي يبطل به الاستدلال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المقصود من البيت بيان كون </w:t>
      </w:r>
      <w:r>
        <w:rPr>
          <w:rStyle w:val="FootnoteAnchor"/>
          <w:rtl w:val="true"/>
        </w:rPr>
        <w:footnoteReference w:id="218"/>
      </w:r>
      <w:r>
        <w:rPr>
          <w:rFonts w:ascii="Amiri" w:hAnsi="Amiri" w:eastAsia="Amiri" w:cs="Amiri"/>
          <w:color w:val="111111"/>
          <w:sz w:val="28"/>
          <w:sz w:val="28"/>
          <w:szCs w:val="28"/>
          <w:rtl w:val="true"/>
          <w:lang w:bidi="ar-SA"/>
        </w:rPr>
        <w:t>ريقهنّ مزيلا للهموم والغموم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يحمل </w:t>
      </w:r>
      <w:r>
        <w:rPr>
          <w:rStyle w:val="FootnoteAnchor"/>
          <w:rtl w:val="true"/>
        </w:rPr>
        <w:footnoteReference w:id="219"/>
      </w:r>
      <w:r>
        <w:rPr>
          <w:rFonts w:ascii="Amiri" w:hAnsi="Amiri" w:eastAsia="Amiri" w:cs="Amiri"/>
          <w:color w:val="111111"/>
          <w:sz w:val="28"/>
          <w:sz w:val="28"/>
          <w:szCs w:val="28"/>
          <w:rtl w:val="true"/>
          <w:lang w:bidi="ar-SA"/>
        </w:rPr>
        <w:t xml:space="preserve">أيضا على ادعاء </w:t>
      </w:r>
      <w:r>
        <w:rPr>
          <w:rStyle w:val="FootnoteAnchor"/>
          <w:rtl w:val="true"/>
        </w:rPr>
        <w:footnoteReference w:id="220"/>
      </w:r>
      <w:r>
        <w:rPr>
          <w:rFonts w:ascii="Amiri" w:hAnsi="Amiri" w:eastAsia="Amiri" w:cs="Amiri"/>
          <w:color w:val="111111"/>
          <w:sz w:val="28"/>
          <w:sz w:val="28"/>
          <w:szCs w:val="28"/>
          <w:rtl w:val="true"/>
          <w:lang w:bidi="ar-SA"/>
        </w:rPr>
        <w:t xml:space="preserve">كون ريقهنّ مطهرا </w:t>
      </w:r>
      <w:r>
        <w:rPr>
          <w:rStyle w:val="FootnoteAnchor"/>
          <w:rtl w:val="true"/>
        </w:rPr>
        <w:footnoteReference w:id="221"/>
      </w:r>
      <w:r>
        <w:rPr>
          <w:rFonts w:ascii="Amiri" w:hAnsi="Amiri" w:eastAsia="Amiri" w:cs="Amiri"/>
          <w:color w:val="111111"/>
          <w:sz w:val="28"/>
          <w:sz w:val="28"/>
          <w:szCs w:val="28"/>
          <w:rtl w:val="true"/>
          <w:lang w:bidi="ar-SA"/>
        </w:rPr>
        <w:t xml:space="preserve">على سبيل المبالغة ، والشاهد المذكور بعد تسليم </w:t>
      </w:r>
      <w:r>
        <w:rPr>
          <w:rStyle w:val="FootnoteAnchor"/>
          <w:rtl w:val="true"/>
        </w:rPr>
        <w:footnoteReference w:id="222"/>
      </w:r>
      <w:r>
        <w:rPr>
          <w:rFonts w:ascii="Amiri" w:hAnsi="Amiri" w:eastAsia="Amiri" w:cs="Amiri"/>
          <w:color w:val="111111"/>
          <w:sz w:val="28"/>
          <w:sz w:val="28"/>
          <w:szCs w:val="28"/>
          <w:rtl w:val="true"/>
          <w:lang w:bidi="ar-SA"/>
        </w:rPr>
        <w:t xml:space="preserve">كونه ممن يعتدّ بقوله لا إشارة </w:t>
      </w:r>
      <w:r>
        <w:rPr>
          <w:rStyle w:val="FootnoteAnchor"/>
          <w:rtl w:val="true"/>
        </w:rPr>
        <w:footnoteReference w:id="223"/>
      </w:r>
      <w:r>
        <w:rPr>
          <w:rFonts w:ascii="Amiri" w:hAnsi="Amiri" w:eastAsia="Amiri" w:cs="Amiri"/>
          <w:color w:val="111111"/>
          <w:sz w:val="28"/>
          <w:sz w:val="28"/>
          <w:szCs w:val="28"/>
          <w:rtl w:val="true"/>
          <w:lang w:bidi="ar-SA"/>
        </w:rPr>
        <w:t xml:space="preserve">فيه على استعمال الطهور في المبالغة ؛ إذ كون قوله بليغا في الطهارة تفسيرا للطهور غير معلوم لجواز كونه صفة أخرى </w:t>
      </w:r>
      <w:r>
        <w:rPr>
          <w:rStyle w:val="FootnoteAnchor"/>
          <w:rtl w:val="true"/>
        </w:rPr>
        <w:footnoteReference w:id="224"/>
      </w:r>
      <w:r>
        <w:rPr>
          <w:rFonts w:ascii="IRNazanin" w:hAnsi="IRNazanin" w:eastAsia="IRNazanin"/>
          <w:color w:val="111111"/>
          <w:sz w:val="28"/>
          <w:sz w:val="28"/>
          <w:szCs w:val="28"/>
          <w:rtl w:val="true"/>
          <w:lang w:bidi="fa-IR"/>
        </w:rPr>
        <w:t>للماء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سلّم إطلاق الطهور في الشواهد المذكورة على </w:t>
      </w:r>
      <w:r>
        <w:rPr>
          <w:rStyle w:val="FootnoteAnchor"/>
          <w:rtl w:val="true"/>
        </w:rPr>
        <w:footnoteReference w:id="225"/>
      </w:r>
      <w:r>
        <w:rPr>
          <w:rFonts w:ascii="Amiri" w:hAnsi="Amiri" w:eastAsia="Amiri" w:cs="Amiri"/>
          <w:color w:val="111111"/>
          <w:sz w:val="28"/>
          <w:sz w:val="28"/>
          <w:szCs w:val="28"/>
          <w:rtl w:val="true"/>
          <w:lang w:bidi="ar-SA"/>
        </w:rPr>
        <w:t xml:space="preserve">المبالغة في الطهارة ، فعدم اطّراده </w:t>
      </w:r>
      <w:r>
        <w:rPr>
          <w:rStyle w:val="FootnoteAnchor"/>
          <w:rtl w:val="true"/>
        </w:rPr>
        <w:footnoteReference w:id="226"/>
      </w:r>
      <w:r>
        <w:rPr>
          <w:rFonts w:ascii="Amiri" w:hAnsi="Amiri" w:eastAsia="Amiri" w:cs="Amiri"/>
          <w:color w:val="111111"/>
          <w:sz w:val="28"/>
          <w:sz w:val="28"/>
          <w:szCs w:val="28"/>
          <w:rtl w:val="true"/>
          <w:lang w:bidi="ar-SA"/>
        </w:rPr>
        <w:t>من أعظم الشواهد على التجوّز ؛ إذ من الظاهر عدم إطلاق الطهور عرفا على غير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جماعة من الأفاضل على عدم إطلاق الطهور </w:t>
      </w:r>
      <w:r>
        <w:rPr>
          <w:rStyle w:val="FootnoteAnchor"/>
          <w:rtl w:val="true"/>
        </w:rPr>
        <w:footnoteReference w:id="227"/>
      </w:r>
      <w:r>
        <w:rPr>
          <w:rFonts w:ascii="IRNazanin" w:hAnsi="IRNazanin" w:eastAsia="IRNazanin"/>
          <w:color w:val="111111"/>
          <w:sz w:val="28"/>
          <w:sz w:val="28"/>
          <w:szCs w:val="28"/>
          <w:rtl w:val="true"/>
          <w:lang w:bidi="fa-IR"/>
        </w:rPr>
        <w:t xml:space="preserve">على الثوب والخشب </w:t>
      </w:r>
      <w:r>
        <w:rPr>
          <w:rStyle w:val="FootnoteAnchor"/>
          <w:rtl w:val="true"/>
        </w:rPr>
        <w:footnoteReference w:id="228"/>
      </w:r>
      <w:r>
        <w:rPr>
          <w:rFonts w:ascii="Amiri" w:hAnsi="Amiri" w:eastAsia="Amiri" w:cs="Amiri"/>
          <w:color w:val="111111"/>
          <w:sz w:val="28"/>
          <w:sz w:val="28"/>
          <w:szCs w:val="28"/>
          <w:rtl w:val="true"/>
          <w:lang w:bidi="ar-SA"/>
        </w:rPr>
        <w:t xml:space="preserve">ونحوهما في لسان العرب ، ولو صحّ وضعه </w:t>
      </w:r>
      <w:r>
        <w:rPr>
          <w:rStyle w:val="FootnoteAnchor"/>
          <w:rtl w:val="true"/>
        </w:rPr>
        <w:footnoteReference w:id="229"/>
      </w:r>
      <w:r>
        <w:rPr>
          <w:rFonts w:ascii="Amiri" w:hAnsi="Amiri" w:eastAsia="Amiri" w:cs="Amiri"/>
          <w:color w:val="111111"/>
          <w:sz w:val="28"/>
          <w:sz w:val="28"/>
          <w:szCs w:val="28"/>
          <w:rtl w:val="true"/>
          <w:lang w:bidi="ar-SA"/>
        </w:rPr>
        <w:t>للمبالغة لما كان فرق بينها وبين الماء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ما قلناه أن صيغ المبالغة إنّما وضعت لإفادة تكرّر الصفة على ما نصّ عليه جماعة منهم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Style w:val="FootnoteAnchor"/>
          <w:rtl w:val="true"/>
        </w:rPr>
        <w:footnoteReference w:id="232"/>
      </w:r>
      <w:r>
        <w:rPr>
          <w:rFonts w:ascii="Amiri" w:hAnsi="Amiri" w:eastAsia="Amiri" w:cs="Amiri"/>
          <w:color w:val="111111"/>
          <w:sz w:val="28"/>
          <w:sz w:val="28"/>
          <w:szCs w:val="28"/>
          <w:rtl w:val="true"/>
          <w:lang w:bidi="ar-SA"/>
        </w:rPr>
        <w:t xml:space="preserve">الراوندي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أهل النحو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w:t>
      </w:r>
    </w:p>
    <w:p>
      <w:pPr>
        <w:pStyle w:val="BookText"/>
        <w:rPr/>
      </w:pPr>
      <w:r>
        <w:rPr>
          <w:rFonts w:ascii="Amiri" w:hAnsi="Amiri" w:eastAsia="Amiri" w:cs="Amiri"/>
          <w:color w:val="111111"/>
          <w:sz w:val="28"/>
          <w:sz w:val="28"/>
          <w:szCs w:val="28"/>
          <w:rtl w:val="true"/>
          <w:lang w:bidi="ar-SA"/>
        </w:rPr>
        <w:t xml:space="preserve">وتكرّر الصفة ؛ لأنّه </w:t>
      </w:r>
      <w:r>
        <w:rPr>
          <w:rStyle w:val="FootnoteAnchor"/>
          <w:rtl w:val="true"/>
        </w:rPr>
        <w:footnoteReference w:id="234"/>
      </w:r>
      <w:r>
        <w:rPr>
          <w:rFonts w:ascii="Amiri" w:hAnsi="Amiri" w:eastAsia="Amiri" w:cs="Amiri"/>
          <w:color w:val="111111"/>
          <w:sz w:val="28"/>
          <w:sz w:val="28"/>
          <w:szCs w:val="28"/>
          <w:rtl w:val="true"/>
          <w:lang w:bidi="ar-SA"/>
        </w:rPr>
        <w:t xml:space="preserve">لا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من تكرّر منه الضرب وكثر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ظهور ذلك من الاستعمالات العرفيّة فإن ضروبا وأكولا وضحوكا ونحوها إنّما يصدق </w:t>
      </w:r>
      <w:r>
        <w:rPr>
          <w:rStyle w:val="FootnoteAnchor"/>
          <w:rtl w:val="true"/>
        </w:rPr>
        <w:footnoteReference w:id="235"/>
      </w:r>
      <w:r>
        <w:rPr>
          <w:rFonts w:ascii="Amiri" w:hAnsi="Amiri" w:eastAsia="Amiri" w:cs="Amiri"/>
          <w:color w:val="111111"/>
          <w:sz w:val="28"/>
          <w:sz w:val="28"/>
          <w:szCs w:val="28"/>
          <w:rtl w:val="true"/>
          <w:lang w:bidi="ar-SA"/>
        </w:rPr>
        <w:t>على من تكرّرت منه تلك المبادي لا على من حصلت منه مرّة ولو كانت في أعلى مراتب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حصول المبالغة بهذا المعنى في الطهارة لا بمعناها اللغوي ولا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تعقّل </w:t>
      </w:r>
      <w:r>
        <w:rPr>
          <w:rStyle w:val="FootnoteAnchor"/>
          <w:rtl w:val="true"/>
        </w:rPr>
        <w:footnoteReference w:id="236"/>
      </w:r>
      <w:r>
        <w:rPr>
          <w:rFonts w:ascii="Amiri" w:hAnsi="Amiri" w:eastAsia="Amiri" w:cs="Amiri"/>
          <w:color w:val="111111"/>
          <w:sz w:val="28"/>
          <w:sz w:val="28"/>
          <w:szCs w:val="28"/>
          <w:rtl w:val="true"/>
          <w:lang w:bidi="ar-SA"/>
        </w:rPr>
        <w:t xml:space="preserve">التكرار في النظافة الحاصلة ، نعم يتصور حصوله بتكرّر ورود النجاسة وزوالها ، وهو لا يجدي هنا ؛ لظهور عدم إرادة ذلك من الطهور </w:t>
      </w:r>
      <w:r>
        <w:rPr>
          <w:rStyle w:val="FootnoteAnchor"/>
          <w:rtl w:val="true"/>
        </w:rPr>
        <w:footnoteReference w:id="237"/>
      </w:r>
      <w:r>
        <w:rPr>
          <w:rFonts w:ascii="Amiri" w:hAnsi="Amiri" w:eastAsia="Amiri" w:cs="Amiri"/>
          <w:color w:val="111111"/>
          <w:sz w:val="28"/>
          <w:sz w:val="28"/>
          <w:szCs w:val="28"/>
          <w:rtl w:val="true"/>
          <w:lang w:bidi="ar-SA"/>
        </w:rPr>
        <w:t xml:space="preserve">في المقام مع أنّه ممّا </w:t>
      </w:r>
      <w:r>
        <w:rPr>
          <w:rStyle w:val="FootnoteAnchor"/>
          <w:rtl w:val="true"/>
        </w:rPr>
        <w:footnoteReference w:id="238"/>
      </w:r>
      <w:r>
        <w:rPr>
          <w:rFonts w:ascii="Amiri" w:hAnsi="Amiri" w:eastAsia="Amiri" w:cs="Amiri"/>
          <w:color w:val="111111"/>
          <w:sz w:val="28"/>
          <w:sz w:val="28"/>
          <w:szCs w:val="28"/>
          <w:rtl w:val="true"/>
          <w:lang w:bidi="ar-SA"/>
        </w:rPr>
        <w:t>يجري في جميع الأشياء فلا وجه لاختصاص الماء وشبهه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بالنسبة إلى معناه </w:t>
      </w:r>
      <w:r>
        <w:rPr>
          <w:rStyle w:val="FootnoteAnchor"/>
          <w:rtl w:val="true"/>
        </w:rPr>
        <w:footnoteReference w:id="239"/>
      </w:r>
      <w:r>
        <w:rPr>
          <w:rFonts w:ascii="Amiri" w:hAnsi="Amiri" w:eastAsia="Amiri" w:cs="Amiri"/>
          <w:color w:val="111111"/>
          <w:sz w:val="28"/>
          <w:sz w:val="28"/>
          <w:szCs w:val="28"/>
          <w:rtl w:val="true"/>
          <w:lang w:bidi="ar-SA"/>
        </w:rPr>
        <w:t>الشرعي إن أريد به المبالغة في حصول الصفة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المبالغة في إعطائها أمكن فيه ذلك ويعقل فيه التكرار أيضا </w:t>
      </w:r>
      <w:r>
        <w:rPr>
          <w:rStyle w:val="FootnoteAnchor"/>
          <w:rtl w:val="true"/>
        </w:rPr>
        <w:footnoteReference w:id="240"/>
      </w:r>
      <w:r>
        <w:rPr>
          <w:rFonts w:ascii="Amiri" w:hAnsi="Amiri" w:eastAsia="Amiri" w:cs="Amiri"/>
          <w:color w:val="111111"/>
          <w:sz w:val="28"/>
          <w:sz w:val="28"/>
          <w:szCs w:val="28"/>
          <w:rtl w:val="true"/>
          <w:lang w:bidi="ar-SA"/>
        </w:rPr>
        <w:t xml:space="preserve">؛ إذ لا مانع فيه </w:t>
      </w:r>
      <w:r>
        <w:rPr>
          <w:rStyle w:val="FootnoteAnchor"/>
          <w:rtl w:val="true"/>
        </w:rPr>
        <w:footnoteReference w:id="241"/>
      </w:r>
      <w:r>
        <w:rPr>
          <w:rFonts w:ascii="Amiri" w:hAnsi="Amiri" w:eastAsia="Amiri" w:cs="Amiri"/>
          <w:color w:val="111111"/>
          <w:sz w:val="28"/>
          <w:sz w:val="28"/>
          <w:szCs w:val="28"/>
          <w:rtl w:val="true"/>
          <w:lang w:bidi="ar-SA"/>
        </w:rPr>
        <w:t xml:space="preserve">إلّا أن يكون المبالغة </w:t>
      </w:r>
      <w:r>
        <w:rPr>
          <w:rStyle w:val="FootnoteAnchor"/>
          <w:rtl w:val="true"/>
        </w:rPr>
        <w:footnoteReference w:id="242"/>
      </w:r>
      <w:r>
        <w:rPr>
          <w:rFonts w:ascii="Amiri" w:hAnsi="Amiri" w:eastAsia="Amiri" w:cs="Amiri"/>
          <w:color w:val="111111"/>
          <w:sz w:val="28"/>
          <w:sz w:val="28"/>
          <w:szCs w:val="28"/>
          <w:rtl w:val="true"/>
          <w:lang w:bidi="ar-SA"/>
        </w:rPr>
        <w:t>حينئذ في التطهير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خلاف المفهوم </w:t>
      </w:r>
      <w:r>
        <w:rPr>
          <w:rStyle w:val="FootnoteAnchor"/>
          <w:rtl w:val="true"/>
        </w:rPr>
        <w:footnoteReference w:id="243"/>
      </w:r>
      <w:r>
        <w:rPr>
          <w:rFonts w:ascii="Amiri" w:hAnsi="Amiri" w:eastAsia="Amiri" w:cs="Amiri"/>
          <w:color w:val="111111"/>
          <w:sz w:val="28"/>
          <w:sz w:val="28"/>
          <w:szCs w:val="28"/>
          <w:rtl w:val="true"/>
          <w:lang w:bidi="ar-SA"/>
        </w:rPr>
        <w:t xml:space="preserve">منه عرفا ، ومخالف لما ذكره </w:t>
      </w:r>
      <w:r>
        <w:rPr>
          <w:rStyle w:val="FootnoteAnchor"/>
          <w:rtl w:val="true"/>
        </w:rPr>
        <w:footnoteReference w:id="244"/>
      </w:r>
      <w:r>
        <w:rPr>
          <w:rFonts w:ascii="Amiri" w:hAnsi="Amiri" w:eastAsia="Amiri" w:cs="Amiri"/>
          <w:color w:val="111111"/>
          <w:sz w:val="28"/>
          <w:sz w:val="28"/>
          <w:szCs w:val="28"/>
          <w:rtl w:val="true"/>
          <w:lang w:bidi="ar-SA"/>
        </w:rPr>
        <w:t>في قاعدة المبالغة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يرجع إلى ما ذكرناه من إفادة المطهريّة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ما ذكر هو السرّ في عدم وضع المبالغة لخصوص </w:t>
      </w:r>
      <w:r>
        <w:rPr>
          <w:rStyle w:val="FootnoteAnchor"/>
          <w:rtl w:val="true"/>
        </w:rPr>
        <w:footnoteReference w:id="246"/>
      </w:r>
      <w:r>
        <w:rPr>
          <w:rFonts w:ascii="Amiri" w:hAnsi="Amiri" w:eastAsia="Amiri" w:cs="Amiri"/>
          <w:color w:val="111111"/>
          <w:sz w:val="28"/>
          <w:sz w:val="28"/>
          <w:szCs w:val="28"/>
          <w:rtl w:val="true"/>
          <w:lang w:bidi="ar-SA"/>
        </w:rPr>
        <w:t>تلك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ما ذكره بعض المتأخّرين من جعله مبالغة في الطاهر ؛ استنادا إلى قبول الطهارة لغة وعرفا للزيادة والنقيصة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تحصّل من جميع ما ذكرناه معان ثلاثة للطهور ، ولوقوعه صفة في ظاهر الآية الشريفة يتعيّن الثالث منها ؛ إذ لا يقع المصدر صفة إلّا </w:t>
      </w:r>
      <w:r>
        <w:rPr>
          <w:rStyle w:val="FootnoteAnchor"/>
          <w:rtl w:val="true"/>
        </w:rPr>
        <w:footnoteReference w:id="247"/>
      </w:r>
      <w:r>
        <w:rPr>
          <w:rFonts w:ascii="Amiri" w:hAnsi="Amiri" w:eastAsia="Amiri" w:cs="Amiri"/>
          <w:color w:val="111111"/>
          <w:sz w:val="28"/>
          <w:sz w:val="28"/>
          <w:szCs w:val="28"/>
          <w:rtl w:val="true"/>
          <w:lang w:bidi="ar-SA"/>
        </w:rPr>
        <w:t xml:space="preserve">بالتّأويل ، وكذا اسم الآلة ، ولا مقتضى له فما ذكره جماعة من حمله على المعنى الثاني </w:t>
      </w:r>
      <w:r>
        <w:rPr>
          <w:rStyle w:val="FootnoteAnchor"/>
          <w:rtl w:val="true"/>
        </w:rPr>
        <w:footnoteReference w:id="248"/>
      </w:r>
      <w:r>
        <w:rPr>
          <w:rFonts w:ascii="Amiri" w:hAnsi="Amiri" w:eastAsia="Amiri" w:cs="Amiri"/>
          <w:color w:val="111111"/>
          <w:sz w:val="28"/>
          <w:sz w:val="28"/>
          <w:szCs w:val="28"/>
          <w:rtl w:val="true"/>
          <w:lang w:bidi="ar-SA"/>
        </w:rPr>
        <w:t xml:space="preserve">ليتمّ </w:t>
      </w:r>
      <w:r>
        <w:rPr>
          <w:rStyle w:val="FootnoteAnchor"/>
          <w:rtl w:val="true"/>
        </w:rPr>
        <w:footnoteReference w:id="249"/>
      </w:r>
      <w:r>
        <w:rPr>
          <w:rFonts w:ascii="Amiri" w:hAnsi="Amiri" w:eastAsia="Amiri" w:cs="Amiri"/>
          <w:color w:val="111111"/>
          <w:sz w:val="28"/>
          <w:sz w:val="28"/>
          <w:szCs w:val="28"/>
          <w:rtl w:val="true"/>
          <w:lang w:bidi="ar-SA"/>
        </w:rPr>
        <w:t>به الاستدلال على المطهريّة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يصحّح بجعله بدلا عن الماء ، وهو أيضا خروج عن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ثبوت الحقائق الشرعيّة كما هو الأقوى يرجّح </w:t>
      </w:r>
      <w:r>
        <w:rPr>
          <w:rStyle w:val="FootnoteAnchor"/>
          <w:rtl w:val="true"/>
        </w:rPr>
        <w:footnoteReference w:id="250"/>
      </w:r>
      <w:r>
        <w:rPr>
          <w:rFonts w:ascii="Amiri" w:hAnsi="Amiri" w:eastAsia="Amiri" w:cs="Amiri"/>
          <w:color w:val="111111"/>
          <w:sz w:val="28"/>
          <w:sz w:val="28"/>
          <w:szCs w:val="28"/>
          <w:rtl w:val="true"/>
          <w:lang w:bidi="ar-SA"/>
        </w:rPr>
        <w:t xml:space="preserve">حمل الطهور على معناه الشرعي الذي هو أعمّ من إزالة الخبث ورفع الحدث على الأظهر ، فتدلّ </w:t>
      </w:r>
      <w:r>
        <w:rPr>
          <w:rStyle w:val="FootnoteAnchor"/>
          <w:rtl w:val="true"/>
        </w:rPr>
        <w:footnoteReference w:id="251"/>
      </w:r>
      <w:r>
        <w:rPr>
          <w:rFonts w:ascii="Amiri" w:hAnsi="Amiri" w:eastAsia="Amiri" w:cs="Amiri"/>
          <w:color w:val="111111"/>
          <w:sz w:val="28"/>
          <w:sz w:val="28"/>
          <w:szCs w:val="28"/>
          <w:rtl w:val="true"/>
          <w:lang w:bidi="ar-SA"/>
        </w:rPr>
        <w:t>بإطلاقه على حصول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وقوعه موقع الامتنان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عدم ثبوتها يتقوّى أيضا حمله على المعنى الشرعي أو ما يعمّه بمقتضى المقام بل لا يبعد القول بكون رفع الحدث والخبث تطهيرا لغويا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يكون خباثة المرتفع ثابتا بالشرع ؛ إذ بعد فرض دناسته يكون ارتفاعه تطهيرا في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ما عرفت نصّ جماعة من المحقّقين باستفادة </w:t>
      </w:r>
      <w:r>
        <w:rPr>
          <w:rStyle w:val="FootnoteAnchor"/>
          <w:rtl w:val="true"/>
        </w:rPr>
        <w:footnoteReference w:id="252"/>
      </w:r>
      <w:r>
        <w:rPr>
          <w:rFonts w:ascii="Amiri" w:hAnsi="Amiri" w:eastAsia="Amiri" w:cs="Amiri"/>
          <w:color w:val="111111"/>
          <w:sz w:val="28"/>
          <w:sz w:val="28"/>
          <w:szCs w:val="28"/>
          <w:rtl w:val="true"/>
          <w:lang w:bidi="ar-SA"/>
        </w:rPr>
        <w:t>تعميم المتطهّريّة من الآية الشريفة وفسّره في السرائر بتطهير الحدث ولم يذكر غيره ، فظاهره الاقتصار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مبنيّ على خروج ما يرفع الخبث </w:t>
      </w:r>
      <w:r>
        <w:rPr>
          <w:rStyle w:val="FootnoteAnchor"/>
          <w:rtl w:val="true"/>
        </w:rPr>
        <w:footnoteReference w:id="253"/>
      </w:r>
      <w:r>
        <w:rPr>
          <w:rFonts w:ascii="Amiri" w:hAnsi="Amiri" w:eastAsia="Amiri" w:cs="Amiri"/>
          <w:color w:val="111111"/>
          <w:sz w:val="28"/>
          <w:sz w:val="28"/>
          <w:szCs w:val="28"/>
          <w:rtl w:val="true"/>
          <w:lang w:bidi="ar-SA"/>
        </w:rPr>
        <w:t>عن الطهارة في الشرع على ما ذكره جماعة واشتهر القول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w:t>
      </w:r>
      <w:r>
        <w:rPr>
          <w:rStyle w:val="FootnoteAnchor"/>
          <w:rtl w:val="true"/>
        </w:rPr>
        <w:footnoteReference w:id="254"/>
      </w:r>
      <w:r>
        <w:rPr>
          <w:rFonts w:ascii="Amiri" w:hAnsi="Amiri" w:eastAsia="Amiri" w:cs="Amiri"/>
          <w:color w:val="111111"/>
          <w:sz w:val="28"/>
          <w:sz w:val="28"/>
          <w:szCs w:val="28"/>
          <w:rtl w:val="true"/>
          <w:lang w:bidi="ar-SA"/>
        </w:rPr>
        <w:t>خلاف التحقيق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ظاهر الآية طهوريّة المياه النازلة من السماء ، وأما غيرها من مياه الآبار والبحار والنابعة من الأرض فالظاهر خروجها عن مدلول الآية فيتمّ الحكم فيها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يدّعى كون جميع المياه نازلة من السماء لظواهر بعض الأخبار ، لكنّ الأظهر حملها على ما لا يخالف الظاهر بل المعلوم من الخارج على أنّها لا تجري في مياه البحار الّا أن يقال بنزولها أيضا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ثبت ذلك أيضا بدلالة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 </w:t>
      </w:r>
      <w:r>
        <w:rPr>
          <w:rStyle w:val="FootnoteAnchor"/>
          <w:rtl w:val="true"/>
        </w:rPr>
        <w:footnoteReference w:id="255"/>
      </w:r>
      <w:r>
        <w:rPr>
          <w:rFonts w:ascii="Amiri" w:hAnsi="Amiri" w:eastAsia="Amiri" w:cs="Amiri"/>
          <w:color w:val="111111"/>
          <w:sz w:val="28"/>
          <w:sz w:val="28"/>
          <w:szCs w:val="28"/>
          <w:rtl w:val="true"/>
          <w:lang w:bidi="ar-SA"/>
        </w:rPr>
        <w:t xml:space="preserve">ما دلّ على الأوّل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تعميم الآية لهما </w:t>
      </w:r>
      <w:r>
        <w:rPr>
          <w:rStyle w:val="FootnoteAnchor"/>
          <w:rtl w:val="true"/>
        </w:rPr>
        <w:footnoteReference w:id="256"/>
      </w:r>
      <w:r>
        <w:rPr>
          <w:rFonts w:ascii="IRNazanin" w:hAnsi="IRNazanin" w:eastAsia="IRNazanin"/>
          <w:color w:val="111111"/>
          <w:sz w:val="28"/>
          <w:sz w:val="28"/>
          <w:szCs w:val="28"/>
          <w:rtl w:val="true"/>
          <w:lang w:bidi="fa-IR"/>
        </w:rPr>
        <w:t xml:space="preserve">خروجا عن الظاهر ؛ إذ المتبادر عرفا هو النزول على النحو المعروف </w:t>
      </w:r>
      <w:r>
        <w:rPr>
          <w:rStyle w:val="FootnoteAnchor"/>
          <w:rtl w:val="true"/>
        </w:rPr>
        <w:footnoteReference w:id="257"/>
      </w:r>
      <w:r>
        <w:rPr>
          <w:rFonts w:ascii="IRNazanin" w:hAnsi="IRNazanin" w:eastAsia="IRNazanin"/>
          <w:color w:val="111111"/>
          <w:sz w:val="28"/>
          <w:sz w:val="28"/>
          <w:szCs w:val="28"/>
          <w:rtl w:val="true"/>
          <w:lang w:bidi="fa-IR"/>
        </w:rPr>
        <w:t xml:space="preserve">، ولا تشمل </w:t>
      </w:r>
      <w:r>
        <w:rPr>
          <w:rStyle w:val="FootnoteAnchor"/>
          <w:rtl w:val="true"/>
        </w:rPr>
        <w:footnoteReference w:id="258"/>
      </w:r>
      <w:r>
        <w:rPr>
          <w:rFonts w:ascii="Amiri" w:hAnsi="Amiri" w:eastAsia="Amiri" w:cs="Amiri"/>
          <w:color w:val="111111"/>
          <w:sz w:val="28"/>
          <w:sz w:val="28"/>
          <w:szCs w:val="28"/>
          <w:rtl w:val="true"/>
          <w:lang w:bidi="ar-SA"/>
        </w:rPr>
        <w:t>نحو نزول البحر في أوّل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يستنبط العموم من توصيف الماء بالطهور بناء على ظهور الآية في تعلّق الأخبار بالإنزال بالماء الموصوف بالطّهوريّة ، فتكون الطهوريّة صفة للجنس تثبت حيث ما ثبت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محلّ 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 إفادة التوصيف قبل الإنزال كونه من صفات أصل الطبيعة غير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يكون صفة للصنف </w:t>
      </w:r>
      <w:r>
        <w:rPr>
          <w:rStyle w:val="FootnoteAnchor"/>
          <w:rtl w:val="true"/>
        </w:rPr>
        <w:footnoteReference w:id="259"/>
      </w:r>
      <w:r>
        <w:rPr>
          <w:rFonts w:ascii="Amiri" w:hAnsi="Amiri" w:eastAsia="Amiri" w:cs="Amiri"/>
          <w:color w:val="111111"/>
          <w:sz w:val="28"/>
          <w:sz w:val="28"/>
          <w:szCs w:val="28"/>
          <w:rtl w:val="true"/>
          <w:lang w:bidi="ar-SA"/>
        </w:rPr>
        <w:t>حاصلة له مع قطع النظر عن النزول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عَلَيْكُمْ مِنَ السَّماءِ ماءً لِيُطَهِّرَكُمْ بِهِ وَيُذْهِبَ عَنْكُمْ رِجْزَ الشَّيْطانِ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والمشهور على ما حكي أنّها نزلت في بدر لمّا استبق الكفّار إلى الماء ، فاضطرّ </w:t>
      </w:r>
      <w:r>
        <w:rPr>
          <w:rStyle w:val="FootnoteAnchor"/>
          <w:rtl w:val="true"/>
        </w:rPr>
        <w:footnoteReference w:id="261"/>
      </w:r>
      <w:r>
        <w:rPr>
          <w:rFonts w:ascii="IRNazanin" w:hAnsi="IRNazanin" w:eastAsia="IRNazanin"/>
          <w:color w:val="111111"/>
          <w:sz w:val="28"/>
          <w:sz w:val="28"/>
          <w:szCs w:val="28"/>
          <w:rtl w:val="true"/>
          <w:lang w:bidi="fa-IR"/>
        </w:rPr>
        <w:t xml:space="preserve">المسلمون ونزلوا على تلّ من رمل وباتوا </w:t>
      </w:r>
      <w:r>
        <w:rPr>
          <w:rStyle w:val="FootnoteAnchor"/>
          <w:rtl w:val="true"/>
        </w:rPr>
        <w:footnoteReference w:id="262"/>
      </w:r>
      <w:r>
        <w:rPr>
          <w:rFonts w:ascii="Amiri" w:hAnsi="Amiri" w:eastAsia="Amiri" w:cs="Amiri"/>
          <w:color w:val="111111"/>
          <w:sz w:val="28"/>
          <w:sz w:val="28"/>
          <w:szCs w:val="28"/>
          <w:rtl w:val="true"/>
          <w:lang w:bidi="ar-SA"/>
        </w:rPr>
        <w:t xml:space="preserve">ليلتهم تلك من غير ماء ، فاحتلم أكثرهم فتمثّل لهم إبليس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أنكم على الحق وتصلّون بالجنابة ومن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اشتدّ عطشكم ، وإذا أضعفكم </w:t>
      </w:r>
      <w:r>
        <w:rPr>
          <w:rStyle w:val="FootnoteAnchor"/>
          <w:rtl w:val="true"/>
        </w:rPr>
        <w:footnoteReference w:id="263"/>
      </w:r>
      <w:r>
        <w:rPr>
          <w:rFonts w:ascii="Amiri" w:hAnsi="Amiri" w:eastAsia="Amiri" w:cs="Amiri"/>
          <w:color w:val="111111"/>
          <w:sz w:val="28"/>
          <w:sz w:val="28"/>
          <w:szCs w:val="28"/>
          <w:rtl w:val="true"/>
          <w:lang w:bidi="ar-SA"/>
        </w:rPr>
        <w:t>العطش قتلوكم كيف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عليهم المطر وزالت تلك العلل وقويت قلوبهم ونزّل اللّه الآية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بملاحظة ذلك دلالتها على الطهارة والطهوريّة من الحدث والخبث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تعميم الحكم أيضا بعدم القول بالفصل على ما ذكرنا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سورتي النساء والمائدة بعد ذكر الوضوء واغتسال الجنب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فقد دلّ صدر الآيتين على طهوريّة الماء من الحدث الأصغر والأكبر ، ودلّ عجزها على شمول الحكم لجميع المياه حيث علّق جواز العدول إلى التيمّم على فقدان الماء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فقد ورد في المستفيضة المشتملة على الصحيح أنّها نزلت في الاستنجاء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في الدعاء الوارد لمحلّ </w:t>
      </w:r>
      <w:r>
        <w:rPr>
          <w:rStyle w:val="FootnoteAnchor"/>
          <w:rtl w:val="true"/>
        </w:rPr>
        <w:footnoteReference w:id="268"/>
      </w:r>
      <w:r>
        <w:rPr>
          <w:rFonts w:ascii="Amiri" w:hAnsi="Amiri" w:eastAsia="Amiri" w:cs="Amiri"/>
          <w:color w:val="111111"/>
          <w:sz w:val="28"/>
          <w:sz w:val="28"/>
          <w:szCs w:val="28"/>
          <w:rtl w:val="true"/>
          <w:lang w:bidi="ar-SA"/>
        </w:rPr>
        <w:t xml:space="preserve">الاستنجاء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اجعلني من التّوّابين ، واجعلنى من المتطهّرين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مثل ذلك في الوضوء والغسل فكأنّ فيه إيماء إلى عموم الآية لحكم الحدث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الآية والآيتين السابقتين يثبت طهورية الماء من الحدث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Style w:val="FootnoteAnchor"/>
          <w:rtl w:val="true"/>
        </w:rPr>
        <w:footnoteReference w:id="270"/>
      </w:r>
      <w:r>
        <w:rPr>
          <w:rFonts w:ascii="Amiri" w:hAnsi="Amiri" w:eastAsia="Amiri" w:cs="Amiri"/>
          <w:color w:val="111111"/>
          <w:sz w:val="28"/>
          <w:sz w:val="28"/>
          <w:szCs w:val="28"/>
          <w:rtl w:val="true"/>
          <w:lang w:bidi="ar-SA"/>
        </w:rPr>
        <w:t>والروايات الواردة في ذلك فهي مستفيضة بل متواترة ، وقد وردت فيه أخبار لا تحصى في مقامات شتّى ؛ إذ جميع الأوامر الواردة في الوضوء والغسل والغسل من النجاسة أدلّة على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بنو إسرائيل إذا أصاب أحدهم قطرة من </w:t>
      </w:r>
      <w:r>
        <w:rPr>
          <w:rStyle w:val="FootnoteAnchor"/>
          <w:rtl w:val="true"/>
        </w:rPr>
        <w:footnoteReference w:id="271"/>
      </w:r>
      <w:r>
        <w:rPr>
          <w:rFonts w:ascii="Amiri" w:hAnsi="Amiri" w:eastAsia="Amiri" w:cs="Amiri"/>
          <w:color w:val="111111"/>
          <w:sz w:val="28"/>
          <w:sz w:val="28"/>
          <w:szCs w:val="28"/>
          <w:rtl w:val="true"/>
          <w:lang w:bidi="ar-SA"/>
        </w:rPr>
        <w:t xml:space="preserve">بول قرضوا لحومهم بالمقاريض ، وقد وسّع اللّه عليكم بأوسع ما بين السماء والأرض وجعل لكم الماء طهورا فانظروا كيف تكونون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المرويّ في إرشاد الديلمي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الأمم السالفة إذا أصابهم نجس قرضوه من أجسادهم ، وقد جعلت الماء طهورا لأمّتك من جميع أنجاس والصعيد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آخره تعميم الأنجاس للأخباث والأحداث</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مصباح الشريعة </w:t>
      </w:r>
      <w:r>
        <w:rPr>
          <w:rStyle w:val="FootnoteAnchor"/>
          <w:rtl w:val="true"/>
        </w:rPr>
        <w:footnoteReference w:id="274"/>
      </w:r>
      <w:r>
        <w:rPr>
          <w:rFonts w:ascii="Amiri" w:hAnsi="Amiri" w:eastAsia="Amiri" w:cs="Amiri"/>
          <w:color w:val="111111"/>
          <w:sz w:val="28"/>
          <w:sz w:val="28"/>
          <w:szCs w:val="28"/>
          <w:rtl w:val="true"/>
          <w:lang w:bidi="ar-SA"/>
        </w:rPr>
        <w:t xml:space="preserve">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أن رحمته تطهّر ذنوب العباد كذلك النجاسات الظاهرة تطهّر بالماء لا غير </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91" w:name="pg15827_173606"/>
    </w:p>
    <w:p>
      <w:pPr>
        <w:pStyle w:val="Heading5"/>
        <w:numPr>
          <w:ilvl w:val="4"/>
          <w:numId w:val="1"/>
        </w:numPr>
        <w:rPr/>
      </w:pPr>
      <w:bookmarkStart w:id="92" w:name="__RefHeading___Toc14099653_2142443653"/>
      <w:bookmarkStart w:id="93" w:name="_Toc33"/>
      <w:bookmarkEnd w:id="91"/>
      <w:bookmarkEnd w:id="92"/>
      <w:r>
        <w:rPr>
          <w:rtl w:val="true"/>
        </w:rPr>
        <w:t>تبصرة</w:t>
      </w:r>
      <w:r>
        <w:rPr>
          <w:rtl w:val="true"/>
        </w:rPr>
        <w:t xml:space="preserve">: [ </w:t>
      </w:r>
      <w:r>
        <w:rPr>
          <w:rtl w:val="true"/>
        </w:rPr>
        <w:t xml:space="preserve">في كيفيّة تنجّس الماء </w:t>
      </w:r>
      <w:r>
        <w:rPr>
          <w:rtl w:val="true"/>
        </w:rPr>
        <w:t>]</w:t>
      </w:r>
      <w:bookmarkEnd w:id="93"/>
    </w:p>
    <w:p>
      <w:pPr>
        <w:pStyle w:val="Heading6"/>
        <w:numPr>
          <w:ilvl w:val="5"/>
          <w:numId w:val="1"/>
        </w:numPr>
        <w:rPr/>
      </w:pPr>
      <w:bookmarkStart w:id="94" w:name="__RefHeading___Toc14099655_2142443653"/>
      <w:bookmarkStart w:id="95" w:name="_Toc34"/>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ينجس الماء بجميع أقسامه بتغييره </w:t>
      </w:r>
      <w:r>
        <w:rPr>
          <w:rStyle w:val="FootnoteAnchor"/>
          <w:rtl w:val="true"/>
        </w:rPr>
        <w:footnoteReference w:id="276"/>
      </w:r>
      <w:r>
        <w:rPr>
          <w:rFonts w:ascii="Amiri" w:hAnsi="Amiri" w:eastAsia="Amiri" w:cs="Amiri"/>
          <w:color w:val="111111"/>
          <w:sz w:val="28"/>
          <w:sz w:val="28"/>
          <w:szCs w:val="28"/>
          <w:rtl w:val="true"/>
          <w:lang w:bidi="ar-SA"/>
        </w:rPr>
        <w:t xml:space="preserve">بالنجاسة في اللون أو الطعم أو الرائحة باجماع الاماميّة بل وإجماع الأمّة وحكاية الإجماع عليه مطلق أو إجماعنا خاصّة مستفيضة في كلامهم مطلق </w:t>
      </w:r>
      <w:r>
        <w:rPr>
          <w:rStyle w:val="FootnoteAnchor"/>
          <w:rtl w:val="true"/>
        </w:rPr>
        <w:footnoteReference w:id="277"/>
      </w:r>
      <w:r>
        <w:rPr>
          <w:rFonts w:ascii="Amiri" w:hAnsi="Amiri" w:eastAsia="Amiri" w:cs="Amiri"/>
          <w:color w:val="111111"/>
          <w:sz w:val="28"/>
          <w:sz w:val="28"/>
          <w:szCs w:val="28"/>
          <w:rtl w:val="true"/>
          <w:lang w:bidi="ar-SA"/>
        </w:rPr>
        <w:t>، وفي خصوص بعض أفراده كالجاري والبئر والغسالة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الروايات المستفيضة ؛ منها النبوي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لا ينجّسه شي‌ء إلّا ما غيّر لونه أو طعمه أو ريحه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الذكرى </w:t>
      </w:r>
      <w:r>
        <w:rPr>
          <w:rStyle w:val="FootnoteAnchor"/>
          <w:rtl w:val="true"/>
        </w:rPr>
        <w:footnoteReference w:id="279"/>
      </w:r>
      <w:r>
        <w:rPr>
          <w:rFonts w:ascii="Amiri" w:hAnsi="Amiri" w:eastAsia="Amiri" w:cs="Amiri"/>
          <w:color w:val="111111"/>
          <w:sz w:val="28"/>
          <w:sz w:val="28"/>
          <w:szCs w:val="28"/>
          <w:rtl w:val="true"/>
          <w:lang w:bidi="ar-SA"/>
        </w:rPr>
        <w:t xml:space="preserve">بدون ذكر اللون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لونه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الحلي الاتّفاق على رواية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العلّامة في المدنيّات من الصحاح ، وخصّه بالكثير وما في حكمه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وادّعى بعض أفاضل المتأخرين استفاضته وأنّه مرويّ من الطرفين بطرق عدة ، ولم يرمها بالضعف في المعتبر والمنتهى والذكرى عند الاستدلال </w:t>
      </w:r>
      <w:r>
        <w:rPr>
          <w:rStyle w:val="FootnoteAnchor"/>
          <w:rtl w:val="true"/>
        </w:rPr>
        <w:footnoteReference w:id="281"/>
      </w:r>
      <w:r>
        <w:rPr>
          <w:rFonts w:ascii="Amiri" w:hAnsi="Amiri" w:eastAsia="Amiri" w:cs="Amiri"/>
          <w:color w:val="111111"/>
          <w:sz w:val="28"/>
          <w:sz w:val="28"/>
          <w:szCs w:val="28"/>
          <w:rtl w:val="true"/>
          <w:lang w:bidi="ar-SA"/>
        </w:rPr>
        <w:t xml:space="preserve">لابن أبي عقيل وإنّما راموا </w:t>
      </w:r>
      <w:r>
        <w:rPr>
          <w:rStyle w:val="FootnoteAnchor"/>
          <w:rtl w:val="true"/>
        </w:rPr>
        <w:footnoteReference w:id="282"/>
      </w:r>
      <w:r>
        <w:rPr>
          <w:rFonts w:ascii="Amiri" w:hAnsi="Amiri" w:eastAsia="Amiri" w:cs="Amiri"/>
          <w:color w:val="111111"/>
          <w:sz w:val="28"/>
          <w:sz w:val="28"/>
          <w:szCs w:val="28"/>
          <w:rtl w:val="true"/>
          <w:lang w:bidi="ar-SA"/>
        </w:rPr>
        <w:t>الجمع بينها وبين غيرها مع رمي غيرها من الأخبار الّتي استدلّ له بالضّعف في الأوّلين ، لكن الدائر على ألسنة جماعة من المتأخّرين ضعفها وأنها من الأخبار العاميّة</w:t>
      </w:r>
      <w:r>
        <w:rPr>
          <w:rFonts w:eastAsia="Amiri" w:cs="Amiri" w:ascii="Amiri" w:hAnsi="Amiri"/>
          <w:color w:val="111111"/>
          <w:sz w:val="28"/>
          <w:szCs w:val="28"/>
          <w:rtl w:val="true"/>
          <w:lang w:bidi="ar-SA"/>
        </w:rPr>
        <w:t xml:space="preserve">. </w:t>
      </w:r>
      <w:bookmarkStart w:id="96" w:name="pg15827_173607"/>
    </w:p>
    <w:p>
      <w:pPr>
        <w:pStyle w:val="BookText"/>
        <w:rPr/>
      </w:pPr>
      <w:bookmarkEnd w:id="96"/>
      <w:r>
        <w:rPr>
          <w:rFonts w:ascii="Amiri" w:hAnsi="Amiri" w:eastAsia="Amiri" w:cs="Amiri"/>
          <w:color w:val="111111"/>
          <w:sz w:val="28"/>
          <w:sz w:val="28"/>
          <w:szCs w:val="28"/>
          <w:rtl w:val="true"/>
          <w:lang w:bidi="ar-SA"/>
        </w:rPr>
        <w:t xml:space="preserve">قال المحقّق في المسائل المصريّة </w:t>
      </w:r>
      <w:r>
        <w:rPr>
          <w:rStyle w:val="FootnoteAnchor"/>
          <w:rtl w:val="true"/>
        </w:rPr>
        <w:footnoteReference w:id="283"/>
      </w:r>
      <w:r>
        <w:rPr>
          <w:rFonts w:ascii="Amiri" w:hAnsi="Amiri" w:eastAsia="Amiri" w:cs="Amiri"/>
          <w:color w:val="111111"/>
          <w:sz w:val="28"/>
          <w:sz w:val="28"/>
          <w:szCs w:val="28"/>
          <w:rtl w:val="true"/>
          <w:lang w:bidi="ar-SA"/>
        </w:rPr>
        <w:t xml:space="preserve">في الردّ على العماني حيث أصحّ </w:t>
      </w:r>
      <w:r>
        <w:rPr>
          <w:rStyle w:val="FootnoteAnchor"/>
          <w:rtl w:val="true"/>
        </w:rPr>
        <w:footnoteReference w:id="284"/>
      </w:r>
      <w:r>
        <w:rPr>
          <w:rFonts w:ascii="Amiri" w:hAnsi="Amiri" w:eastAsia="Amiri" w:cs="Amiri"/>
          <w:color w:val="111111"/>
          <w:sz w:val="28"/>
          <w:sz w:val="28"/>
          <w:szCs w:val="28"/>
          <w:rtl w:val="true"/>
          <w:lang w:bidi="ar-SA"/>
        </w:rPr>
        <w:t xml:space="preserve">له بالرواية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ممنوعة وإنّها مرويّة من طرق العامّة وأكثرهم طعن في سندها ، وهو ادّعى تواترها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ما رأينا لها سندا في كتب الأصحاب آحادا فكيف 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ضعف ما ذكره الفاضل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فانجبارها بعمل الأصحاب كاف في حجّيتها في المقام ، مضافا إلى اشتهارها ومطابقة مضمونها للأخبار الخاصّة ، فما يظهر من بعض المتأخّرين من التأمل في تنجّسه بالتغيير </w:t>
      </w:r>
      <w:r>
        <w:rPr>
          <w:rStyle w:val="FootnoteAnchor"/>
          <w:rtl w:val="true"/>
        </w:rPr>
        <w:footnoteReference w:id="285"/>
      </w:r>
      <w:r>
        <w:rPr>
          <w:rFonts w:ascii="Amiri" w:hAnsi="Amiri" w:eastAsia="Amiri" w:cs="Amiri"/>
          <w:color w:val="111111"/>
          <w:sz w:val="28"/>
          <w:sz w:val="28"/>
          <w:szCs w:val="28"/>
          <w:rtl w:val="true"/>
          <w:lang w:bidi="ar-SA"/>
        </w:rPr>
        <w:t xml:space="preserve">اللوني بضعف </w:t>
      </w:r>
      <w:r>
        <w:rPr>
          <w:rStyle w:val="FootnoteAnchor"/>
          <w:rtl w:val="true"/>
        </w:rPr>
        <w:footnoteReference w:id="286"/>
      </w:r>
      <w:r>
        <w:rPr>
          <w:rFonts w:ascii="Amiri" w:hAnsi="Amiri" w:eastAsia="Amiri" w:cs="Amiri"/>
          <w:color w:val="111111"/>
          <w:sz w:val="28"/>
          <w:sz w:val="28"/>
          <w:szCs w:val="28"/>
          <w:rtl w:val="true"/>
          <w:lang w:bidi="ar-SA"/>
        </w:rPr>
        <w:t xml:space="preserve">الرواية المذكورة وخلوّ الأخبار الخاصّة عنه ليس في محلّه ؛ لما عرف </w:t>
      </w:r>
      <w:r>
        <w:rPr>
          <w:rStyle w:val="FootnoteAnchor"/>
          <w:rtl w:val="true"/>
        </w:rPr>
        <w:footnoteReference w:id="287"/>
      </w:r>
      <w:r>
        <w:rPr>
          <w:rFonts w:ascii="Amiri" w:hAnsi="Amiri" w:eastAsia="Amiri" w:cs="Amiri"/>
          <w:color w:val="111111"/>
          <w:sz w:val="28"/>
          <w:sz w:val="28"/>
          <w:szCs w:val="28"/>
          <w:rtl w:val="true"/>
          <w:lang w:bidi="ar-SA"/>
        </w:rPr>
        <w:t xml:space="preserve">من الإجماع المعلوم والمنقول عن جماعة واعتضادها </w:t>
      </w:r>
      <w:r>
        <w:rPr>
          <w:rStyle w:val="FootnoteAnchor"/>
          <w:rtl w:val="true"/>
        </w:rPr>
        <w:footnoteReference w:id="288"/>
      </w:r>
      <w:r>
        <w:rPr>
          <w:rFonts w:ascii="Amiri" w:hAnsi="Amiri" w:eastAsia="Amiri" w:cs="Amiri"/>
          <w:color w:val="111111"/>
          <w:sz w:val="28"/>
          <w:sz w:val="28"/>
          <w:szCs w:val="28"/>
          <w:rtl w:val="true"/>
          <w:lang w:bidi="ar-SA"/>
        </w:rPr>
        <w:t>بالخبر المذكور بعمل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الأخبار المستفيضة الخاصّة الدالّة عليه بالإطلاق من الروايات الدالّة على تنجّسه بغلبة النجاسة عليه أو تغيّره بها ونحو ذلك ، أو بالخصوص كصحيحة شهاب بن عبد ربّه ، ورواية فضيل </w:t>
      </w:r>
      <w:r>
        <w:rPr>
          <w:rStyle w:val="FootnoteAnchor"/>
          <w:rtl w:val="true"/>
        </w:rPr>
        <w:footnoteReference w:id="289"/>
      </w:r>
      <w:r>
        <w:rPr>
          <w:rFonts w:ascii="Amiri" w:hAnsi="Amiri" w:eastAsia="Amiri" w:cs="Amiri"/>
          <w:color w:val="111111"/>
          <w:sz w:val="28"/>
          <w:sz w:val="28"/>
          <w:szCs w:val="28"/>
          <w:rtl w:val="true"/>
          <w:lang w:bidi="ar-SA"/>
        </w:rPr>
        <w:t>، والمحكيّة عن قرب الإسناد وفقه 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ولنتم </w:t>
      </w:r>
      <w:r>
        <w:rPr>
          <w:rStyle w:val="FootnoteAnchor"/>
          <w:rtl w:val="true"/>
        </w:rPr>
        <w:footnoteReference w:id="290"/>
      </w:r>
      <w:r>
        <w:rPr>
          <w:rFonts w:ascii="Amiri" w:hAnsi="Amiri" w:eastAsia="Amiri" w:cs="Amiri"/>
          <w:color w:val="111111"/>
          <w:sz w:val="28"/>
          <w:sz w:val="28"/>
          <w:szCs w:val="28"/>
          <w:rtl w:val="true"/>
          <w:lang w:bidi="ar-SA"/>
        </w:rPr>
        <w:t xml:space="preserve">الكلام في هذا المرام برسم أمور </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14099657_2142443653"/>
      <w:bookmarkStart w:id="98" w:name="_Toc35"/>
      <w:bookmarkEnd w:id="97"/>
      <w:r>
        <w:rPr>
          <w:rtl w:val="true"/>
        </w:rPr>
        <w:t xml:space="preserve">[ </w:t>
      </w:r>
      <w:r>
        <w:rPr>
          <w:rtl w:val="true"/>
        </w:rPr>
        <w:t xml:space="preserve">المدار في صفات النجاسة </w:t>
      </w:r>
      <w:r>
        <w:rPr>
          <w:rtl w:val="true"/>
        </w:rPr>
        <w:t>]</w:t>
      </w:r>
      <w:bookmarkEnd w:id="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صفات النجاسة على الصفات الحاصلة لها بنفسها فالصفة الحاصلة فيها </w:t>
      </w:r>
      <w:bookmarkStart w:id="99" w:name="pg15827_173608"/>
    </w:p>
    <w:p>
      <w:pPr>
        <w:pStyle w:val="BookText"/>
        <w:rPr/>
      </w:pPr>
      <w:bookmarkEnd w:id="99"/>
      <w:r>
        <w:rPr>
          <w:rFonts w:ascii="Amiri" w:hAnsi="Amiri" w:eastAsia="Amiri" w:cs="Amiri"/>
          <w:color w:val="111111"/>
          <w:sz w:val="28"/>
          <w:sz w:val="28"/>
          <w:szCs w:val="28"/>
          <w:rtl w:val="true"/>
          <w:lang w:bidi="ar-SA"/>
        </w:rPr>
        <w:t xml:space="preserve">بممازجة ذي </w:t>
      </w:r>
      <w:r>
        <w:rPr>
          <w:rStyle w:val="FootnoteAnchor"/>
          <w:rtl w:val="true"/>
        </w:rPr>
        <w:footnoteReference w:id="291"/>
      </w:r>
      <w:r>
        <w:rPr>
          <w:rFonts w:ascii="Amiri" w:hAnsi="Amiri" w:eastAsia="Amiri" w:cs="Amiri"/>
          <w:color w:val="111111"/>
          <w:sz w:val="28"/>
          <w:sz w:val="28"/>
          <w:szCs w:val="28"/>
          <w:rtl w:val="true"/>
          <w:lang w:bidi="ar-SA"/>
        </w:rPr>
        <w:t xml:space="preserve">صفة أو مجاورتها سواء كانت منعه </w:t>
      </w:r>
      <w:r>
        <w:rPr>
          <w:rStyle w:val="FootnoteAnchor"/>
          <w:rtl w:val="true"/>
        </w:rPr>
        <w:footnoteReference w:id="292"/>
      </w:r>
      <w:r>
        <w:rPr>
          <w:rFonts w:ascii="Amiri" w:hAnsi="Amiri" w:eastAsia="Amiri" w:cs="Amiri"/>
          <w:color w:val="111111"/>
          <w:sz w:val="28"/>
          <w:sz w:val="28"/>
          <w:szCs w:val="28"/>
          <w:rtl w:val="true"/>
          <w:lang w:bidi="ar-SA"/>
        </w:rPr>
        <w:t xml:space="preserve">لطاهر أو نجس لا عبرة بها لعدم إثبات </w:t>
      </w:r>
      <w:r>
        <w:rPr>
          <w:rStyle w:val="FootnoteAnchor"/>
          <w:rtl w:val="true"/>
        </w:rPr>
        <w:footnoteReference w:id="293"/>
      </w:r>
      <w:r>
        <w:rPr>
          <w:rFonts w:ascii="Amiri" w:hAnsi="Amiri" w:eastAsia="Amiri" w:cs="Amiri"/>
          <w:color w:val="111111"/>
          <w:sz w:val="28"/>
          <w:sz w:val="28"/>
          <w:szCs w:val="28"/>
          <w:rtl w:val="true"/>
          <w:lang w:bidi="ar-SA"/>
        </w:rPr>
        <w:t>الصفة عرفا إلى تلك النجاسة والظاهر من الأدلّة اعتبار التغيير بصفاتها لا صفات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وقعت النجاسة في بعض النجاسات المائعة وغيّرتها فغيّرت الماء بتلك الصفة المكتسبة احتمل التنجيس ، ويجي‌ء </w:t>
      </w:r>
      <w:r>
        <w:rPr>
          <w:rStyle w:val="FootnoteAnchor"/>
          <w:rtl w:val="true"/>
        </w:rPr>
        <w:footnoteReference w:id="294"/>
      </w:r>
      <w:r>
        <w:rPr>
          <w:rFonts w:ascii="Amiri" w:hAnsi="Amiri" w:eastAsia="Amiri" w:cs="Amiri"/>
          <w:color w:val="111111"/>
          <w:sz w:val="28"/>
          <w:sz w:val="28"/>
          <w:szCs w:val="28"/>
          <w:rtl w:val="true"/>
          <w:lang w:bidi="ar-SA"/>
        </w:rPr>
        <w:t>الإشارة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295"/>
      </w:r>
      <w:r>
        <w:rPr>
          <w:rFonts w:ascii="Amiri" w:hAnsi="Amiri" w:eastAsia="Amiri" w:cs="Amiri"/>
          <w:color w:val="111111"/>
          <w:sz w:val="28"/>
          <w:sz w:val="28"/>
          <w:szCs w:val="28"/>
          <w:rtl w:val="true"/>
          <w:lang w:bidi="ar-SA"/>
        </w:rPr>
        <w:t xml:space="preserve">كان العارض سببا لحصول صفة في </w:t>
      </w:r>
      <w:r>
        <w:rPr>
          <w:rStyle w:val="FootnoteAnchor"/>
          <w:rtl w:val="true"/>
        </w:rPr>
        <w:footnoteReference w:id="296"/>
      </w:r>
      <w:r>
        <w:rPr>
          <w:rFonts w:ascii="Amiri" w:hAnsi="Amiri" w:eastAsia="Amiri" w:cs="Amiri"/>
          <w:color w:val="111111"/>
          <w:sz w:val="28"/>
          <w:sz w:val="28"/>
          <w:szCs w:val="28"/>
          <w:rtl w:val="true"/>
          <w:lang w:bidi="ar-SA"/>
        </w:rPr>
        <w:t>النجاسة في نفسها كالنتن العارض للميتة بسبب الحرّ أو في البول بسبب الشمس أو طول المكث ألحقت بالصّفات الأصليّة ، وهو ظاهر</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14099659_2142443653"/>
      <w:bookmarkStart w:id="101" w:name="_Toc36"/>
      <w:bookmarkEnd w:id="100"/>
      <w:r>
        <w:rPr>
          <w:rtl w:val="true"/>
        </w:rPr>
        <w:t xml:space="preserve">[ </w:t>
      </w:r>
      <w:r>
        <w:rPr>
          <w:rtl w:val="true"/>
        </w:rPr>
        <w:t xml:space="preserve">الكلام في الصفات الطبيعية </w:t>
      </w:r>
      <w:r>
        <w:rPr>
          <w:rtl w:val="true"/>
        </w:rPr>
        <w:t>]</w:t>
      </w:r>
      <w:bookmarkEnd w:id="101"/>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في صفات الماء على الصفات الطبيعيّة سواء قلنا بأنّها وجودية أو عدمية أو الخلقيّة أو الموجودية </w:t>
      </w:r>
      <w:r>
        <w:rPr>
          <w:rStyle w:val="FootnoteAnchor"/>
          <w:rtl w:val="true"/>
        </w:rPr>
        <w:footnoteReference w:id="297"/>
      </w:r>
      <w:r>
        <w:rPr>
          <w:rFonts w:ascii="Amiri" w:hAnsi="Amiri" w:eastAsia="Amiri" w:cs="Amiri"/>
          <w:color w:val="111111"/>
          <w:sz w:val="28"/>
          <w:sz w:val="28"/>
          <w:szCs w:val="28"/>
          <w:rtl w:val="true"/>
          <w:lang w:bidi="ar-SA"/>
        </w:rPr>
        <w:t xml:space="preserve">فيه ، ولو كانت عارضيّة ،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الأوّل ، وهو المصرّح به في كلام جماعة من المتأخّرين ؛ إذ هي المتبادر من صفات الماء عند الإطلاق ؛ إذ ليست العارضة </w:t>
      </w:r>
      <w:r>
        <w:rPr>
          <w:rStyle w:val="FootnoteAnchor"/>
          <w:rtl w:val="true"/>
        </w:rPr>
        <w:footnoteReference w:id="298"/>
      </w:r>
      <w:r>
        <w:rPr>
          <w:rFonts w:ascii="Amiri" w:hAnsi="Amiri" w:eastAsia="Amiri" w:cs="Amiri"/>
          <w:color w:val="111111"/>
          <w:sz w:val="28"/>
          <w:sz w:val="28"/>
          <w:szCs w:val="28"/>
          <w:rtl w:val="true"/>
          <w:lang w:bidi="ar-SA"/>
        </w:rPr>
        <w:t xml:space="preserve">معدودة عرفا من صفات الماء ولو كانت خلقيّة أو لم يجئها بممازجة الغير أو </w:t>
      </w:r>
      <w:r>
        <w:rPr>
          <w:rStyle w:val="FootnoteAnchor"/>
          <w:rtl w:val="true"/>
        </w:rPr>
        <w:footnoteReference w:id="299"/>
      </w:r>
      <w:r>
        <w:rPr>
          <w:rFonts w:ascii="Amiri" w:hAnsi="Amiri" w:eastAsia="Amiri" w:cs="Amiri"/>
          <w:color w:val="111111"/>
          <w:sz w:val="28"/>
          <w:sz w:val="28"/>
          <w:szCs w:val="28"/>
          <w:rtl w:val="true"/>
          <w:lang w:bidi="ar-SA"/>
        </w:rPr>
        <w:t>مجاورته كما إذا تغيّر لطول المكث كما لا يخفى على من تأمّل في العرف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يشهد بذلك أنّه لو أزيلت الصفة العارضة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خلقية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مسلوبة الصفة موافقة للماء في صفاته الأصليّة حتّى عاد بها إلى صفتها الطبيعيّة لزم على </w:t>
      </w:r>
      <w:r>
        <w:rPr>
          <w:rStyle w:val="FootnoteAnchor"/>
          <w:rtl w:val="true"/>
        </w:rPr>
        <w:footnoteReference w:id="300"/>
      </w:r>
      <w:bookmarkStart w:id="102" w:name="pg15827_173609"/>
    </w:p>
    <w:p>
      <w:pPr>
        <w:pStyle w:val="BookText"/>
        <w:rPr/>
      </w:pPr>
      <w:bookmarkEnd w:id="102"/>
      <w:r>
        <w:rPr>
          <w:rFonts w:ascii="Amiri" w:hAnsi="Amiri" w:eastAsia="Amiri" w:cs="Amiri"/>
          <w:color w:val="111111"/>
          <w:sz w:val="28"/>
          <w:sz w:val="28"/>
          <w:szCs w:val="28"/>
          <w:rtl w:val="true"/>
          <w:lang w:bidi="ar-SA"/>
        </w:rPr>
        <w:t>ذلك القول بتنجّسها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لا بدّ من التزام عدم قبوله الطهارة المتوقّفة على زوال التغيّر إلّا بالاستهلاك </w:t>
      </w:r>
      <w:r>
        <w:rPr>
          <w:rStyle w:val="FootnoteAnchor"/>
          <w:rtl w:val="true"/>
        </w:rPr>
        <w:footnoteReference w:id="301"/>
      </w:r>
      <w:r>
        <w:rPr>
          <w:rFonts w:ascii="Amiri" w:hAnsi="Amiri" w:eastAsia="Amiri" w:cs="Amiri"/>
          <w:color w:val="111111"/>
          <w:sz w:val="28"/>
          <w:sz w:val="28"/>
          <w:szCs w:val="28"/>
          <w:rtl w:val="true"/>
          <w:lang w:bidi="ar-SA"/>
        </w:rPr>
        <w:t>في الماء الطاهر إن سلّم استهلاك الشي‌ء في مثله أو بملاقاته للماء المتغيّر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فساد الالتزام به</w:t>
      </w:r>
      <w:r>
        <w:rPr>
          <w:rFonts w:eastAsia="IRNazanin" w:cs="IRNazanin"/>
          <w:color w:val="111111"/>
          <w:sz w:val="28"/>
          <w:szCs w:val="28"/>
          <w:rtl w:val="true"/>
          <w:lang w:bidi="fa-IR"/>
        </w:rPr>
        <w:t>.</w:t>
      </w:r>
    </w:p>
    <w:p>
      <w:pPr>
        <w:pStyle w:val="Heading6"/>
        <w:numPr>
          <w:ilvl w:val="5"/>
          <w:numId w:val="1"/>
        </w:numPr>
        <w:rPr/>
      </w:pPr>
      <w:bookmarkStart w:id="103" w:name="__RefHeading___Toc14099661_2142443653"/>
      <w:bookmarkStart w:id="104" w:name="_Toc37"/>
      <w:bookmarkEnd w:id="103"/>
      <w:r>
        <w:rPr>
          <w:rtl w:val="true"/>
        </w:rPr>
        <w:t xml:space="preserve">[ </w:t>
      </w:r>
      <w:r>
        <w:rPr>
          <w:rtl w:val="true"/>
        </w:rPr>
        <w:t xml:space="preserve">القول في الملوحة </w:t>
      </w:r>
      <w:r>
        <w:rPr>
          <w:rtl w:val="true"/>
        </w:rPr>
        <w:t>]</w:t>
      </w:r>
      <w:bookmarkEnd w:id="104"/>
    </w:p>
    <w:p>
      <w:pPr>
        <w:pStyle w:val="BookText"/>
        <w:rPr/>
      </w:pPr>
      <w:r>
        <w:rPr>
          <w:rFonts w:ascii="Amiri" w:hAnsi="Amiri" w:eastAsia="Amiri" w:cs="Amiri"/>
          <w:color w:val="111111"/>
          <w:sz w:val="28"/>
          <w:sz w:val="28"/>
          <w:szCs w:val="28"/>
          <w:rtl w:val="true"/>
          <w:lang w:bidi="ar-SA"/>
        </w:rPr>
        <w:t xml:space="preserve">ثمّ إنّه لا يبعد القول بكون الملوحة </w:t>
      </w:r>
      <w:r>
        <w:rPr>
          <w:rStyle w:val="FootnoteAnchor"/>
          <w:rtl w:val="true"/>
        </w:rPr>
        <w:footnoteReference w:id="302"/>
      </w:r>
      <w:r>
        <w:rPr>
          <w:rFonts w:ascii="Amiri" w:hAnsi="Amiri" w:eastAsia="Amiri" w:cs="Amiri"/>
          <w:color w:val="111111"/>
          <w:sz w:val="28"/>
          <w:sz w:val="28"/>
          <w:szCs w:val="28"/>
          <w:rtl w:val="true"/>
          <w:lang w:bidi="ar-SA"/>
        </w:rPr>
        <w:t xml:space="preserve">الحاصلة في بعض المياه </w:t>
      </w:r>
      <w:r>
        <w:rPr>
          <w:rStyle w:val="FootnoteAnchor"/>
          <w:rtl w:val="true"/>
        </w:rPr>
        <w:footnoteReference w:id="303"/>
      </w:r>
      <w:r>
        <w:rPr>
          <w:rFonts w:ascii="Amiri" w:hAnsi="Amiri" w:eastAsia="Amiri" w:cs="Amiri"/>
          <w:color w:val="111111"/>
          <w:sz w:val="28"/>
          <w:sz w:val="28"/>
          <w:szCs w:val="28"/>
          <w:rtl w:val="true"/>
          <w:lang w:bidi="ar-SA"/>
        </w:rPr>
        <w:t xml:space="preserve">كماء البحر من الصفات الطبيعيّة لظاهر العرف ، والقول بأنّ الأصل فيه العذوبة ، والملوحة إنّما طرأت عليه بالعارض </w:t>
      </w:r>
      <w:r>
        <w:rPr>
          <w:rStyle w:val="FootnoteAnchor"/>
          <w:rtl w:val="true"/>
        </w:rPr>
        <w:footnoteReference w:id="304"/>
      </w:r>
      <w:r>
        <w:rPr>
          <w:rFonts w:ascii="Amiri" w:hAnsi="Amiri" w:eastAsia="Amiri" w:cs="Amiri"/>
          <w:color w:val="111111"/>
          <w:sz w:val="28"/>
          <w:sz w:val="28"/>
          <w:szCs w:val="28"/>
          <w:rtl w:val="true"/>
          <w:lang w:bidi="ar-SA"/>
        </w:rPr>
        <w:t xml:space="preserve">غير معلوم ، والنظر إلى العرف يعطي أنّهما نوعان مستقلّان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عَذْبٌ فُراتٌ سائِغٌ شَرابُهُ وَهذا مِلْحٌ أُجاجٌ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وظاهر إطلاق صفات الماء يشملهما ، فلو فرض انقلاب المالح عذبا بالنجاسة توقف على الاستهلاك أو زوال تلك الصفة كما في عكسه على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الملوحة الحاصلة في الماء الخارجة من الأرض السبخة </w:t>
      </w:r>
      <w:r>
        <w:rPr>
          <w:rStyle w:val="FootnoteAnchor"/>
          <w:rtl w:val="true"/>
        </w:rPr>
        <w:footnoteReference w:id="306"/>
      </w:r>
      <w:r>
        <w:rPr>
          <w:rFonts w:ascii="Amiri" w:hAnsi="Amiri" w:eastAsia="Amiri" w:cs="Amiri"/>
          <w:color w:val="111111"/>
          <w:sz w:val="28"/>
          <w:sz w:val="28"/>
          <w:szCs w:val="28"/>
          <w:rtl w:val="true"/>
          <w:lang w:bidi="ar-SA"/>
        </w:rPr>
        <w:t xml:space="preserve">وجهان ، ولا يبعد إلحاقها بالأصليّة عملا بظاهر </w:t>
      </w:r>
      <w:r>
        <w:rPr>
          <w:rStyle w:val="FootnoteAnchor"/>
          <w:rtl w:val="true"/>
        </w:rPr>
        <w:footnoteReference w:id="307"/>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علم كونها عارضيّة امتنع </w:t>
      </w:r>
      <w:r>
        <w:rPr>
          <w:rStyle w:val="FootnoteAnchor"/>
          <w:rtl w:val="true"/>
        </w:rPr>
        <w:footnoteReference w:id="308"/>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ظهر بما قلنا أنّه لو زالت الصفات الأصليّة عنه بطاهر أو بطول </w:t>
      </w:r>
      <w:r>
        <w:rPr>
          <w:rStyle w:val="FootnoteAnchor"/>
          <w:rtl w:val="true"/>
        </w:rPr>
        <w:footnoteReference w:id="309"/>
      </w:r>
      <w:r>
        <w:rPr>
          <w:rFonts w:ascii="Amiri" w:hAnsi="Amiri" w:eastAsia="Amiri" w:cs="Amiri"/>
          <w:color w:val="111111"/>
          <w:sz w:val="28"/>
          <w:sz w:val="28"/>
          <w:szCs w:val="28"/>
          <w:rtl w:val="true"/>
          <w:lang w:bidi="ar-SA"/>
        </w:rPr>
        <w:t xml:space="preserve">المكث قدر بقائها على الصفة واعتبر تغييرها بتلك النجاسة ، وذلك وإن كان في الحقيقة نحوا من التقدير لعدم تغيير النجاسة لصفاته </w:t>
      </w:r>
      <w:r>
        <w:rPr>
          <w:rStyle w:val="FootnoteAnchor"/>
          <w:rtl w:val="true"/>
        </w:rPr>
        <w:footnoteReference w:id="310"/>
      </w:r>
      <w:r>
        <w:rPr>
          <w:rFonts w:ascii="Amiri" w:hAnsi="Amiri" w:eastAsia="Amiri" w:cs="Amiri"/>
          <w:color w:val="111111"/>
          <w:sz w:val="28"/>
          <w:sz w:val="28"/>
          <w:szCs w:val="28"/>
          <w:rtl w:val="true"/>
          <w:lang w:bidi="ar-SA"/>
        </w:rPr>
        <w:t xml:space="preserve">الأصليّة بالفعل إلّا أنّه لا يعدّ تقديرا في العرف بحكمهم </w:t>
      </w:r>
      <w:r>
        <w:rPr>
          <w:rStyle w:val="FootnoteAnchor"/>
          <w:rtl w:val="true"/>
        </w:rPr>
        <w:footnoteReference w:id="311"/>
      </w:r>
      <w:r>
        <w:rPr>
          <w:rFonts w:ascii="Amiri" w:hAnsi="Amiri" w:eastAsia="Amiri" w:cs="Amiri"/>
          <w:color w:val="111111"/>
          <w:sz w:val="28"/>
          <w:sz w:val="28"/>
          <w:szCs w:val="28"/>
          <w:rtl w:val="true"/>
          <w:lang w:bidi="ar-SA"/>
        </w:rPr>
        <w:t>إذن بحصول التغيير واقعا ، وجعلهم ذلك ساترا له على الحس مع عدم ظهوره ، ولذا تراهم لا يحكمون بزوال التغيير قطعا إذا تغيّر بالنجاسة ، ثمّ ورد عليه طاهر فصبغه بلونه وإن كان ذلك في ملاحظة العقل زوالا للصفة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والمناط في المسائل المذكورة على متفاهم العرف دون الحقائق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ويؤتى الحكم على مقتضى حكم الأصل </w:t>
      </w:r>
      <w:r>
        <w:rPr>
          <w:rStyle w:val="FootnoteAnchor"/>
          <w:rtl w:val="true"/>
        </w:rPr>
        <w:footnoteReference w:id="312"/>
      </w:r>
      <w:r>
        <w:rPr>
          <w:rFonts w:ascii="IRNazanin" w:hAnsi="IRNazanin" w:eastAsia="IRNazanin"/>
          <w:color w:val="111111"/>
          <w:sz w:val="28"/>
          <w:sz w:val="28"/>
          <w:szCs w:val="28"/>
          <w:rtl w:val="true"/>
          <w:lang w:bidi="fa-IR"/>
        </w:rPr>
        <w:t xml:space="preserve">للعقل </w:t>
      </w:r>
      <w:r>
        <w:rPr>
          <w:rStyle w:val="FootnoteAnchor"/>
          <w:rtl w:val="true"/>
        </w:rPr>
        <w:footnoteReference w:id="313"/>
      </w:r>
      <w:r>
        <w:rPr>
          <w:rFonts w:ascii="Amiri" w:hAnsi="Amiri" w:eastAsia="Amiri" w:cs="Amiri"/>
          <w:color w:val="111111"/>
          <w:sz w:val="28"/>
          <w:sz w:val="28"/>
          <w:szCs w:val="28"/>
          <w:rtl w:val="true"/>
          <w:lang w:bidi="ar-SA"/>
        </w:rPr>
        <w:t xml:space="preserve">لزم عدم تنجّس الماء في الظلمة الشديدة بما يغيّر لونه من النجاسة بناء </w:t>
      </w:r>
      <w:r>
        <w:rPr>
          <w:rStyle w:val="FootnoteAnchor"/>
          <w:rtl w:val="true"/>
        </w:rPr>
        <w:footnoteReference w:id="314"/>
      </w:r>
      <w:r>
        <w:rPr>
          <w:rFonts w:ascii="Amiri" w:hAnsi="Amiri" w:eastAsia="Amiri" w:cs="Amiri"/>
          <w:color w:val="111111"/>
          <w:sz w:val="28"/>
          <w:sz w:val="28"/>
          <w:szCs w:val="28"/>
          <w:rtl w:val="true"/>
          <w:lang w:bidi="ar-SA"/>
        </w:rPr>
        <w:t>على القول بتبعيّة الألوان للأضواء كما عليه جماعة من المحقّقين ، وهو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الحكم بالنجاسة إذن إلّا لحكم </w:t>
      </w:r>
      <w:r>
        <w:rPr>
          <w:rStyle w:val="FootnoteAnchor"/>
          <w:rtl w:val="true"/>
        </w:rPr>
        <w:footnoteReference w:id="315"/>
      </w:r>
      <w:r>
        <w:rPr>
          <w:rFonts w:ascii="Amiri" w:hAnsi="Amiri" w:eastAsia="Amiri" w:cs="Amiri"/>
          <w:color w:val="111111"/>
          <w:sz w:val="28"/>
          <w:sz w:val="28"/>
          <w:szCs w:val="28"/>
          <w:rtl w:val="true"/>
          <w:lang w:bidi="ar-SA"/>
        </w:rPr>
        <w:t>العرف بالتّغيير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قوّة القول بالنجاسة في الفرع المشهور ، وهو ما إذا وافق الماء صفة النجاسة فامتزجت به بحيث لو لا الموافقة لظهر التغيير كما قطع به جماعة من المتأخّرين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ذلك مراد من استدلّ له بحصول التغيير في الواقع وإن كان مستورا على الحس ؛ إذ حمله على ظاهره ظاهر الفساد ؛ لعدم انفعال الشي‌ء عن مماثله قطعا وإن كان أضعاف ضعفه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105" w:name="pg15827_173611"/>
    </w:p>
    <w:p>
      <w:pPr>
        <w:pStyle w:val="BookText"/>
        <w:rPr/>
      </w:pPr>
      <w:bookmarkEnd w:id="105"/>
      <w:r>
        <w:rPr>
          <w:rFonts w:ascii="Amiri" w:hAnsi="Amiri" w:eastAsia="Amiri" w:cs="Amiri"/>
          <w:color w:val="111111"/>
          <w:sz w:val="28"/>
          <w:sz w:val="28"/>
          <w:szCs w:val="28"/>
          <w:rtl w:val="true"/>
          <w:lang w:bidi="ar-SA"/>
        </w:rPr>
        <w:t>ولذلك اعترف في البيان بكونه من التقديري ، وجعله بعض المتأخّرين بحكم التقديري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هذا التقدير جار مجرى التحقيق بحكم العرف بخلاف ما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ما قلناه الحكم بطهارة الماء إذا كان متغيّرا بطاهر ومازجه بول مسلوب الصفة حتى أعاده إلى حالته الأصليّة لعدّه زوالا للتغيير</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4099663_2142443653"/>
      <w:bookmarkStart w:id="107" w:name="_Toc38"/>
      <w:bookmarkEnd w:id="106"/>
      <w:r>
        <w:rPr>
          <w:rtl w:val="true"/>
        </w:rPr>
        <w:t xml:space="preserve">[ </w:t>
      </w:r>
      <w:r>
        <w:rPr>
          <w:rtl w:val="true"/>
        </w:rPr>
        <w:t xml:space="preserve">التغيير في غير الأوصاف الثلاثة </w:t>
      </w:r>
      <w:r>
        <w:rPr>
          <w:rtl w:val="true"/>
        </w:rPr>
        <w:t>]</w:t>
      </w:r>
      <w:bookmarkEnd w:id="107"/>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بالتغيير في غير الأوصاف الثلاثة كالثقل والخفّة والحرارة والبرودة بلا خلاف يعرف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317"/>
      </w:r>
      <w:r>
        <w:rPr>
          <w:rFonts w:ascii="Amiri" w:hAnsi="Amiri" w:eastAsia="Amiri" w:cs="Amiri"/>
          <w:color w:val="111111"/>
          <w:sz w:val="28"/>
          <w:sz w:val="28"/>
          <w:szCs w:val="28"/>
          <w:rtl w:val="true"/>
          <w:lang w:bidi="ar-SA"/>
        </w:rPr>
        <w:t>والدلائل وغيرهما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خلاف فيه للأصل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النبوي المذكور وغيره من الأخبار الكثيرة وما ورد في بعض الروايات من إطلاق التغيير أو الغلبة ونحوهما محمول على الغالب من حصول الغلبة في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 فالأخبار المذكورة من جهة اختصاصها واعتضادها بالعمل حاكمة عليها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الجعفي وابن بابويه </w:t>
      </w:r>
      <w:r>
        <w:rPr>
          <w:rStyle w:val="FootnoteAnchor"/>
          <w:rtl w:val="true"/>
        </w:rPr>
        <w:footnoteReference w:id="319"/>
      </w:r>
      <w:r>
        <w:rPr>
          <w:rFonts w:ascii="Amiri" w:hAnsi="Amiri" w:eastAsia="Amiri" w:cs="Amiri"/>
          <w:color w:val="111111"/>
          <w:sz w:val="28"/>
          <w:sz w:val="28"/>
          <w:szCs w:val="28"/>
          <w:rtl w:val="true"/>
          <w:lang w:bidi="ar-SA"/>
        </w:rPr>
        <w:t xml:space="preserve">اعتبار غلبة </w:t>
      </w:r>
      <w:r>
        <w:rPr>
          <w:rStyle w:val="FootnoteAnchor"/>
          <w:rtl w:val="true"/>
        </w:rPr>
        <w:footnoteReference w:id="320"/>
      </w:r>
      <w:r>
        <w:rPr>
          <w:rFonts w:ascii="Amiri" w:hAnsi="Amiri" w:eastAsia="Amiri" w:cs="Amiri"/>
          <w:color w:val="111111"/>
          <w:sz w:val="28"/>
          <w:sz w:val="28"/>
          <w:szCs w:val="28"/>
          <w:rtl w:val="true"/>
          <w:lang w:bidi="ar-SA"/>
        </w:rPr>
        <w:t>النجاسة ، فقد يوهم إطلاقهم الغلبة على غير الأوصاف الثلاثة إلّا أنّه كالروايات المذكورة محمول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Style w:val="FootnoteAnchor"/>
          <w:rtl w:val="true"/>
        </w:rPr>
        <w:footnoteReference w:id="321"/>
      </w:r>
      <w:r>
        <w:rPr>
          <w:rFonts w:ascii="Amiri" w:hAnsi="Amiri" w:eastAsia="Amiri" w:cs="Amiri"/>
          <w:color w:val="111111"/>
          <w:sz w:val="28"/>
          <w:sz w:val="28"/>
          <w:szCs w:val="28"/>
          <w:rtl w:val="true"/>
          <w:lang w:bidi="ar-SA"/>
        </w:rPr>
        <w:t xml:space="preserve">بعد حكاية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موافقة في المعنى</w:t>
      </w:r>
      <w:r>
        <w:rPr>
          <w:rFonts w:eastAsia="Amiri" w:cs="Amiri" w:ascii="Amiri" w:hAnsi="Amiri"/>
          <w:color w:val="111111"/>
          <w:sz w:val="28"/>
          <w:szCs w:val="28"/>
          <w:rtl w:val="true"/>
          <w:lang w:bidi="ar-SA"/>
        </w:rPr>
        <w:t xml:space="preserve">. </w:t>
      </w:r>
      <w:bookmarkStart w:id="108" w:name="pg15827_173612"/>
    </w:p>
    <w:p>
      <w:pPr>
        <w:pStyle w:val="Heading6"/>
        <w:numPr>
          <w:ilvl w:val="5"/>
          <w:numId w:val="1"/>
        </w:numPr>
        <w:rPr/>
      </w:pPr>
      <w:bookmarkStart w:id="109" w:name="__RefHeading___Toc14099665_2142443653"/>
      <w:bookmarkStart w:id="110" w:name="_Toc39"/>
      <w:bookmarkEnd w:id="108"/>
      <w:bookmarkEnd w:id="109"/>
      <w:r>
        <w:rPr>
          <w:rtl w:val="true"/>
        </w:rPr>
        <w:t xml:space="preserve">[ </w:t>
      </w:r>
      <w:r>
        <w:rPr>
          <w:rtl w:val="true"/>
        </w:rPr>
        <w:t xml:space="preserve">مجاورة النجاسة </w:t>
      </w:r>
      <w:r>
        <w:rPr>
          <w:rtl w:val="true"/>
        </w:rPr>
        <w:t>]</w:t>
      </w:r>
      <w:bookmarkEnd w:id="110"/>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ينجس الماء بالتغيير الحاصل بمجاورة النجاسة بلا خلاف فيه ، ويدلّ عليه بعد الإجماع محصّلا ومنقولا على لسان جماعة ، الأصل مع اختصاص معظم ما دلّ على نجاسة المتغيّر بالملاقي للنجاسة ، وعدم انصراف إطلاق البعض في العرف إلى ذلك </w:t>
      </w:r>
      <w:r>
        <w:rPr>
          <w:rStyle w:val="FootnoteAnchor"/>
          <w:rtl w:val="true"/>
        </w:rPr>
        <w:footnoteReference w:id="322"/>
      </w:r>
      <w:r>
        <w:rPr>
          <w:rFonts w:ascii="Amiri" w:hAnsi="Amiri" w:eastAsia="Amiri" w:cs="Amiri"/>
          <w:color w:val="111111"/>
          <w:sz w:val="28"/>
          <w:sz w:val="28"/>
          <w:szCs w:val="28"/>
          <w:rtl w:val="true"/>
          <w:lang w:bidi="ar-SA"/>
        </w:rPr>
        <w:t>، وأنّه مع عدم الملاقاة لا موجب للتنجيس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الصفة أو الريح الحاصل </w:t>
      </w:r>
      <w:r>
        <w:rPr>
          <w:rStyle w:val="FootnoteAnchor"/>
          <w:rtl w:val="true"/>
        </w:rPr>
        <w:footnoteReference w:id="323"/>
      </w:r>
      <w:r>
        <w:rPr>
          <w:rFonts w:ascii="Amiri" w:hAnsi="Amiri" w:eastAsia="Amiri" w:cs="Amiri"/>
          <w:color w:val="111111"/>
          <w:sz w:val="28"/>
          <w:sz w:val="28"/>
          <w:szCs w:val="28"/>
          <w:rtl w:val="true"/>
          <w:lang w:bidi="ar-SA"/>
        </w:rPr>
        <w:t>لها ليس نجسا حتّى ينجّس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إطلاق ما دلّ على جواز استعمال الأجن تأييد لذلك أيضا ، ولا بدّ من العلم باستناده إلى الملاقاة فلو وجد الماء متغيّرا بالجيفة ، و </w:t>
      </w:r>
      <w:r>
        <w:rPr>
          <w:rStyle w:val="FootnoteAnchor"/>
          <w:rtl w:val="true"/>
        </w:rPr>
        <w:footnoteReference w:id="324"/>
      </w:r>
      <w:r>
        <w:rPr>
          <w:rFonts w:ascii="Amiri" w:hAnsi="Amiri" w:eastAsia="Amiri" w:cs="Amiri"/>
          <w:color w:val="111111"/>
          <w:sz w:val="28"/>
          <w:sz w:val="28"/>
          <w:szCs w:val="28"/>
          <w:rtl w:val="true"/>
          <w:lang w:bidi="ar-SA"/>
        </w:rPr>
        <w:t xml:space="preserve">احتمل وقوعها فيه بعد تغييره بالمجاورة من دون أن يستند التغيير إلى الملاقاة لم يحكم بالنجاسة ، فلا عبرة بالظّهور </w:t>
      </w:r>
      <w:r>
        <w:rPr>
          <w:rStyle w:val="FootnoteAnchor"/>
          <w:rtl w:val="true"/>
        </w:rPr>
        <w:footnoteReference w:id="325"/>
      </w:r>
      <w:r>
        <w:rPr>
          <w:rFonts w:ascii="Amiri" w:hAnsi="Amiri" w:eastAsia="Amiri" w:cs="Amiri"/>
          <w:color w:val="111111"/>
          <w:sz w:val="28"/>
          <w:sz w:val="28"/>
          <w:szCs w:val="28"/>
          <w:rtl w:val="true"/>
          <w:lang w:bidi="ar-SA"/>
        </w:rPr>
        <w:t>، وإن استفيد من إطلاق بعض الأخبار الاكتفاء به إلّا أنّ الظاهر حمله على الغالب من حصول العلم ، ولا بدّ من استقلال الملاقاة في حصول التغيير ، فلو حصل من مجموع المجاورة والملاقية لم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التغيير حاصلا عن بعضها الملاقية وبعضها الخارجة كما إذا وقعت جيفة في الماء المنبسط على الأرض وكان أكثر أجزائها خارجا فاستند التغيير إلى مجموع الأجزاء الداخلة والخارجة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الشك يبنى على الأصل في وجه قويّ إلّا أنّ قضيّة جملة من الإطلاقات هنا البناء على النجاسة ويتقوّى حملها على الغالب</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وقعت جيفة في المضاف المتّصل بالماء فسرى التغيير منه إليه من دون امتزاج المضاف به ، ففي نجاسة الماء وجهان مبنيّان على أصالة الطهارة وكونه من قبيل التغيير </w:t>
      </w:r>
      <w:bookmarkStart w:id="111" w:name="pg15827_173613"/>
    </w:p>
    <w:p>
      <w:pPr>
        <w:pStyle w:val="BookText"/>
        <w:rPr/>
      </w:pPr>
      <w:bookmarkEnd w:id="111"/>
      <w:r>
        <w:rPr>
          <w:rFonts w:ascii="Amiri" w:hAnsi="Amiri" w:eastAsia="Amiri" w:cs="Amiri"/>
          <w:color w:val="111111"/>
          <w:sz w:val="28"/>
          <w:sz w:val="28"/>
          <w:szCs w:val="28"/>
          <w:rtl w:val="true"/>
          <w:lang w:bidi="ar-SA"/>
        </w:rPr>
        <w:t xml:space="preserve">بالمجاورة ، وعلى صدق التغيير </w:t>
      </w:r>
      <w:r>
        <w:rPr>
          <w:rStyle w:val="FootnoteAnchor"/>
          <w:rtl w:val="true"/>
        </w:rPr>
        <w:footnoteReference w:id="326"/>
      </w:r>
      <w:r>
        <w:rPr>
          <w:rFonts w:ascii="Amiri" w:hAnsi="Amiri" w:eastAsia="Amiri" w:cs="Amiri"/>
          <w:color w:val="111111"/>
          <w:sz w:val="28"/>
          <w:sz w:val="28"/>
          <w:szCs w:val="28"/>
          <w:rtl w:val="true"/>
          <w:lang w:bidi="ar-SA"/>
        </w:rPr>
        <w:t>بالنجاسة في العرف فيشمله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وكونه من قبيل التغيير بالمجاورة الذي قطعوا بعدم اعتبارها </w:t>
      </w:r>
      <w:r>
        <w:rPr>
          <w:rStyle w:val="FootnoteAnchor"/>
          <w:rtl w:val="true"/>
        </w:rPr>
        <w:footnoteReference w:id="327"/>
      </w:r>
      <w:r>
        <w:rPr>
          <w:rFonts w:ascii="Amiri" w:hAnsi="Amiri" w:eastAsia="Amiri" w:cs="Amiri"/>
          <w:color w:val="111111"/>
          <w:sz w:val="28"/>
          <w:sz w:val="28"/>
          <w:szCs w:val="28"/>
          <w:rtl w:val="true"/>
          <w:lang w:bidi="ar-SA"/>
        </w:rPr>
        <w:t>غير معلوم ، فيلزم البناء على حكم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الوجهان في غير المضاف من سائر المائعات إلّا أنّ البناء على الطهارة هنا أقوى</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14099667_2142443653"/>
      <w:bookmarkStart w:id="113" w:name="_Toc40"/>
      <w:bookmarkEnd w:id="112"/>
      <w:r>
        <w:rPr>
          <w:rtl w:val="true"/>
        </w:rPr>
        <w:t xml:space="preserve">[ </w:t>
      </w:r>
      <w:r>
        <w:rPr>
          <w:rtl w:val="true"/>
        </w:rPr>
        <w:t xml:space="preserve">اعتبار التغيير حال الملاقاة </w:t>
      </w:r>
      <w:r>
        <w:rPr>
          <w:rtl w:val="true"/>
        </w:rPr>
        <w:t>]</w:t>
      </w:r>
      <w:bookmarkEnd w:id="113"/>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نجاسة الماء حصول التغيير حال ملاقاة النجاسات </w:t>
      </w:r>
      <w:r>
        <w:rPr>
          <w:rStyle w:val="FootnoteAnchor"/>
          <w:rtl w:val="true"/>
        </w:rPr>
        <w:footnoteReference w:id="328"/>
      </w:r>
      <w:r>
        <w:rPr>
          <w:rFonts w:ascii="Amiri" w:hAnsi="Amiri" w:eastAsia="Amiri" w:cs="Amiri"/>
          <w:color w:val="111111"/>
          <w:sz w:val="28"/>
          <w:sz w:val="28"/>
          <w:szCs w:val="28"/>
          <w:rtl w:val="true"/>
          <w:lang w:bidi="ar-SA"/>
        </w:rPr>
        <w:t xml:space="preserve">، فلو لم يتغيّر بها حال الملاقاة لحصول مانع في الماء من قبوله ثمّ ارتفع المانع بعد ارتفاع الملاقاة فيحصل التغيير ، لم </w:t>
      </w:r>
      <w:r>
        <w:rPr>
          <w:rStyle w:val="FootnoteAnchor"/>
          <w:rtl w:val="true"/>
        </w:rPr>
        <w:footnoteReference w:id="329"/>
      </w:r>
      <w:r>
        <w:rPr>
          <w:rFonts w:ascii="Amiri" w:hAnsi="Amiri" w:eastAsia="Amiri" w:cs="Amiri"/>
          <w:color w:val="111111"/>
          <w:sz w:val="28"/>
          <w:sz w:val="28"/>
          <w:szCs w:val="28"/>
          <w:rtl w:val="true"/>
          <w:lang w:bidi="ar-SA"/>
        </w:rPr>
        <w:t>يحكم بالنجاسة إن كانت النجاسة غير 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ممازجة واستهلكت فيه من دون حصول التغيير ثمّ حصل بعده بعد ارتفاع المانع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ويتقوّى فيه الحكم بالطّهارة أيضا لتطهّر </w:t>
      </w:r>
      <w:r>
        <w:rPr>
          <w:rStyle w:val="FootnoteAnchor"/>
          <w:rtl w:val="true"/>
        </w:rPr>
        <w:footnoteReference w:id="330"/>
      </w:r>
      <w:r>
        <w:rPr>
          <w:rFonts w:ascii="Amiri" w:hAnsi="Amiri" w:eastAsia="Amiri" w:cs="Amiri"/>
          <w:color w:val="111111"/>
          <w:sz w:val="28"/>
          <w:sz w:val="28"/>
          <w:szCs w:val="28"/>
          <w:rtl w:val="true"/>
          <w:lang w:bidi="ar-SA"/>
        </w:rPr>
        <w:t xml:space="preserve">الممازج حينئذ ، ولا منجّس </w:t>
      </w:r>
      <w:r>
        <w:rPr>
          <w:rStyle w:val="FootnoteAnchor"/>
          <w:rtl w:val="true"/>
        </w:rPr>
        <w:footnoteReference w:id="331"/>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المانع موجبا لعدم التأثير من النجاسة ، وأمّا إذا منع الظهور على الحسّ كالحرارة والبرودة الشديدتين المانعتين من إدراك الطعم الخفيّ فلا شبهة في حصول النجاسة من أوّل الأمر مع اليقين بحصوله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المدار في التغيير على تبدّل صفة الماء بالنجاسة سواء كان بتحويله إلى صفة النجاسة أو صفة ثالثة مغايرة لهما ، ولا فرق بين كون الصفة سارية من النجاسة إليه أو حاصلة بسببها وإن لم تكن من صفتها ، كما قد يجي‌ء اختلاف اللون أو الطعم في الماء بسبب الجيف </w:t>
      </w:r>
      <w:bookmarkStart w:id="114" w:name="pg15827_173614"/>
    </w:p>
    <w:p>
      <w:pPr>
        <w:pStyle w:val="BookText"/>
        <w:rPr/>
      </w:pPr>
      <w:bookmarkEnd w:id="114"/>
      <w:r>
        <w:rPr>
          <w:rFonts w:ascii="Amiri" w:hAnsi="Amiri" w:eastAsia="Amiri" w:cs="Amiri"/>
          <w:color w:val="111111"/>
          <w:sz w:val="28"/>
          <w:sz w:val="28"/>
          <w:szCs w:val="28"/>
          <w:rtl w:val="true"/>
          <w:lang w:bidi="ar-SA"/>
        </w:rPr>
        <w:t xml:space="preserve">الواقعة فيه من جهة فساد طبيعة الماء بها من دون أن يكون طعم الجيفة أو لونها حاصلا فيه ، ولا بد من كون الصفة الحاصلة مستندة إلى النجاسة ، فلا يكتفى بمجرّد ظهورها بسبب النجاسة إن كان الظاهر مجموع صفة النجاسة وغيرها ، فلو وضع طاهر أحمر في الماء بحيث لم يتغيّر به ثمّ أكمل بشي‌ء من الدم فغيّره لم ينجس به إذا لم يستقل بالتغيير ، ولو فرض إعداد الأمر الخارج بسرعة </w:t>
      </w:r>
      <w:r>
        <w:rPr>
          <w:rStyle w:val="FootnoteAnchor"/>
          <w:rtl w:val="true"/>
        </w:rPr>
        <w:footnoteReference w:id="332"/>
      </w:r>
      <w:r>
        <w:rPr>
          <w:rFonts w:ascii="Amiri" w:hAnsi="Amiri" w:eastAsia="Amiri" w:cs="Amiri"/>
          <w:color w:val="111111"/>
          <w:sz w:val="28"/>
          <w:sz w:val="28"/>
          <w:szCs w:val="28"/>
          <w:rtl w:val="true"/>
          <w:lang w:bidi="ar-SA"/>
        </w:rPr>
        <w:t>الانفعال من النجاسة قوي تنجّس الماء بها وإن لم تغيّره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المعتبر من التغيير ما يحسّ </w:t>
      </w:r>
      <w:r>
        <w:rPr>
          <w:rStyle w:val="FootnoteAnchor"/>
          <w:rtl w:val="true"/>
        </w:rPr>
        <w:footnoteReference w:id="333"/>
      </w:r>
      <w:r>
        <w:rPr>
          <w:rFonts w:ascii="Amiri" w:hAnsi="Amiri" w:eastAsia="Amiri" w:cs="Amiri"/>
          <w:color w:val="111111"/>
          <w:sz w:val="28"/>
          <w:sz w:val="28"/>
          <w:szCs w:val="28"/>
          <w:rtl w:val="true"/>
          <w:lang w:bidi="ar-SA"/>
        </w:rPr>
        <w:t xml:space="preserve">به غالب الناس ، فلا عبرة بما يحسّ به الأوحدي منهم ممّن له إحساس خارج عن العادة </w:t>
      </w:r>
      <w:r>
        <w:rPr>
          <w:rStyle w:val="FootnoteAnchor"/>
          <w:rtl w:val="true"/>
        </w:rPr>
        <w:footnoteReference w:id="334"/>
      </w:r>
      <w:r>
        <w:rPr>
          <w:rFonts w:ascii="IRNazanin" w:hAnsi="IRNazanin" w:eastAsia="IRNazanin"/>
          <w:color w:val="111111"/>
          <w:sz w:val="28"/>
          <w:sz w:val="28"/>
          <w:szCs w:val="28"/>
          <w:rtl w:val="true"/>
          <w:lang w:bidi="fa-IR"/>
        </w:rPr>
        <w:t xml:space="preserve">، فهو إذن طاهر </w:t>
      </w:r>
      <w:r>
        <w:rPr>
          <w:rStyle w:val="FootnoteAnchor"/>
          <w:rtl w:val="true"/>
        </w:rPr>
        <w:footnoteReference w:id="335"/>
      </w:r>
      <w:r>
        <w:rPr>
          <w:rFonts w:ascii="Amiri" w:hAnsi="Amiri" w:eastAsia="Amiri" w:cs="Amiri"/>
          <w:color w:val="111111"/>
          <w:sz w:val="28"/>
          <w:sz w:val="28"/>
          <w:szCs w:val="28"/>
          <w:rtl w:val="true"/>
          <w:lang w:bidi="ar-SA"/>
        </w:rPr>
        <w:t>عند من أحسّ به أيضا إذا علم عدم إحساس الغالب به أو شكّ فيه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بنجاسته بالنسبة إلى من أحسّ به لصدق التغيير عنده على سبيل الحقيقة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14099669_2142443653"/>
      <w:bookmarkStart w:id="116" w:name="_Toc41"/>
      <w:bookmarkEnd w:id="115"/>
      <w:r>
        <w:rPr>
          <w:rtl w:val="true"/>
        </w:rPr>
        <w:t xml:space="preserve">[ </w:t>
      </w:r>
      <w:r>
        <w:rPr>
          <w:rtl w:val="true"/>
        </w:rPr>
        <w:t xml:space="preserve">مدار التنجّس </w:t>
      </w:r>
      <w:r>
        <w:rPr>
          <w:rtl w:val="true"/>
        </w:rPr>
        <w:t xml:space="preserve">: </w:t>
      </w:r>
      <w:r>
        <w:rPr>
          <w:rtl w:val="true"/>
        </w:rPr>
        <w:t xml:space="preserve">التغيّر بالنجاسة </w:t>
      </w:r>
      <w:r>
        <w:rPr>
          <w:rtl w:val="true"/>
        </w:rPr>
        <w:t>]</w:t>
      </w:r>
      <w:bookmarkEnd w:id="116"/>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المدار في تنجيس </w:t>
      </w:r>
      <w:r>
        <w:rPr>
          <w:rStyle w:val="FootnoteAnchor"/>
          <w:rtl w:val="true"/>
        </w:rPr>
        <w:footnoteReference w:id="336"/>
      </w:r>
      <w:r>
        <w:rPr>
          <w:rFonts w:ascii="Amiri" w:hAnsi="Amiri" w:eastAsia="Amiri" w:cs="Amiri"/>
          <w:color w:val="111111"/>
          <w:sz w:val="28"/>
          <w:sz w:val="28"/>
          <w:szCs w:val="28"/>
          <w:rtl w:val="true"/>
          <w:lang w:bidi="ar-SA"/>
        </w:rPr>
        <w:t xml:space="preserve">الماء على التغيير بالنجاسة ، فلا عبرة بتغييره </w:t>
      </w:r>
      <w:r>
        <w:rPr>
          <w:rStyle w:val="FootnoteAnchor"/>
          <w:rtl w:val="true"/>
        </w:rPr>
        <w:footnoteReference w:id="337"/>
      </w:r>
      <w:r>
        <w:rPr>
          <w:rFonts w:ascii="Amiri" w:hAnsi="Amiri" w:eastAsia="Amiri" w:cs="Amiri"/>
          <w:color w:val="111111"/>
          <w:sz w:val="28"/>
          <w:sz w:val="28"/>
          <w:szCs w:val="28"/>
          <w:rtl w:val="true"/>
          <w:lang w:bidi="ar-SA"/>
        </w:rPr>
        <w:t xml:space="preserve">بالمتنجّس في ظاهر المذهب ؛ للأصل ، وظواهر جملة من الأخبار ، وإطلاق بعضها وإن عمّ ذلك أيضا إلّا أنّه بظاهره ينصرف </w:t>
      </w:r>
      <w:r>
        <w:rPr>
          <w:rStyle w:val="FootnoteAnchor"/>
          <w:rtl w:val="true"/>
        </w:rPr>
        <w:footnoteReference w:id="338"/>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فهم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وذهب الشيخ رحمه‌اللّه في المبسوط </w:t>
      </w:r>
      <w:r>
        <w:rPr>
          <w:rStyle w:val="FootnoteAnchor"/>
          <w:rtl w:val="true"/>
        </w:rPr>
        <w:footnoteReference w:id="339"/>
      </w:r>
      <w:r>
        <w:rPr>
          <w:rFonts w:ascii="Amiri" w:hAnsi="Amiri" w:eastAsia="Amiri" w:cs="Amiri"/>
          <w:color w:val="111111"/>
          <w:sz w:val="28"/>
          <w:sz w:val="28"/>
          <w:szCs w:val="28"/>
          <w:rtl w:val="true"/>
          <w:lang w:bidi="ar-SA"/>
        </w:rPr>
        <w:t xml:space="preserve">إلى تنجّس الماء به ؛ لحكمه بتنجيس </w:t>
      </w:r>
      <w:r>
        <w:rPr>
          <w:rStyle w:val="FootnoteAnchor"/>
          <w:rtl w:val="true"/>
        </w:rPr>
        <w:footnoteReference w:id="340"/>
      </w:r>
      <w:r>
        <w:rPr>
          <w:rFonts w:ascii="IRNazanin" w:hAnsi="IRNazanin" w:eastAsia="IRNazanin"/>
          <w:color w:val="111111"/>
          <w:sz w:val="28"/>
          <w:sz w:val="28"/>
          <w:szCs w:val="28"/>
          <w:rtl w:val="true"/>
          <w:lang w:bidi="fa-IR"/>
        </w:rPr>
        <w:t xml:space="preserve">المطلق بالمضاف المتنجّس الممتزج </w:t>
      </w:r>
      <w:r>
        <w:rPr>
          <w:rStyle w:val="FootnoteAnchor"/>
          <w:rtl w:val="true"/>
        </w:rPr>
        <w:footnoteReference w:id="341"/>
      </w:r>
      <w:r>
        <w:rPr>
          <w:rFonts w:ascii="Amiri" w:hAnsi="Amiri" w:eastAsia="Amiri" w:cs="Amiri"/>
          <w:color w:val="111111"/>
          <w:sz w:val="28"/>
          <w:sz w:val="28"/>
          <w:szCs w:val="28"/>
          <w:rtl w:val="true"/>
          <w:lang w:bidi="ar-SA"/>
        </w:rPr>
        <w:t>به إذا غيّر أحد أوصافه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شاذّ لم نقف له على مستند سوى بعض الإطلاقات ، وقد عرفت 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يرجع كلامه إلى المشهور ، وسيجي‌ء القول فيه عند بيان تطهير المضاف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 غيّر </w:t>
      </w:r>
      <w:r>
        <w:rPr>
          <w:rStyle w:val="FootnoteAnchor"/>
          <w:rtl w:val="true"/>
        </w:rPr>
        <w:footnoteReference w:id="342"/>
      </w:r>
      <w:r>
        <w:rPr>
          <w:rFonts w:ascii="Amiri" w:hAnsi="Amiri" w:eastAsia="Amiri" w:cs="Amiri"/>
          <w:color w:val="111111"/>
          <w:sz w:val="28"/>
          <w:sz w:val="28"/>
          <w:szCs w:val="28"/>
          <w:rtl w:val="true"/>
          <w:lang w:bidi="ar-SA"/>
        </w:rPr>
        <w:t>بصفته ، وأمّا إن غيّره بصفة النجاسة فإن كان المتنجّس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شبهة في تنجّس الماء به مع تنجّس الأوّل به ، سواء كان تغيّره بامتزاج النجاسة أو بغيره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كلامهم هنا وإن أوهم القول بالطهارة إلّا أنّ ظاهر كلامهم في اعتبار زوال التغير في طهر المتغير القطع بتنجّس </w:t>
      </w:r>
      <w:r>
        <w:rPr>
          <w:rStyle w:val="FootnoteAnchor"/>
          <w:rtl w:val="true"/>
        </w:rPr>
        <w:footnoteReference w:id="344"/>
      </w:r>
      <w:r>
        <w:rPr>
          <w:rFonts w:ascii="Amiri" w:hAnsi="Amiri" w:eastAsia="Amiri" w:cs="Amiri"/>
          <w:color w:val="111111"/>
          <w:sz w:val="28"/>
          <w:sz w:val="28"/>
          <w:szCs w:val="28"/>
          <w:rtl w:val="true"/>
          <w:lang w:bidi="ar-SA"/>
        </w:rPr>
        <w:t xml:space="preserve">ما يمازجه من الماء مع تغيّره به ، بل عباراتهم هنا </w:t>
      </w:r>
      <w:r>
        <w:rPr>
          <w:rStyle w:val="FootnoteAnchor"/>
          <w:rtl w:val="true"/>
        </w:rPr>
        <w:footnoteReference w:id="345"/>
      </w:r>
      <w:r>
        <w:rPr>
          <w:rFonts w:ascii="Amiri" w:hAnsi="Amiri" w:eastAsia="Amiri" w:cs="Amiri"/>
          <w:color w:val="111111"/>
          <w:sz w:val="28"/>
          <w:sz w:val="28"/>
          <w:szCs w:val="28"/>
          <w:rtl w:val="true"/>
          <w:lang w:bidi="ar-SA"/>
        </w:rPr>
        <w:t>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ينادي به اعتبارهم إلقاء كرّ ثانية وثالثة مع تغيّر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أنّه لا يتحقّق التغيير في الأجزاء البعيدة عن النجاسة إلا بذلك ، فيندرج في مدلول الأخبار والإجماعات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بين وجود عين النجاسة وعدمه ممّا يقطع بفساده ، بل لإبقاء العين في النجاسة الممازجة لاستهلاكه فيما يلاقيه أولا ثمّ يسري التغيير من المتغير بها إلى بقية الماء</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الإجماع على عدم طهره من دون زوال التغير ، فبدونه ينجس ما يمازجه من </w:t>
      </w:r>
    </w:p>
    <w:p>
      <w:pPr>
        <w:pStyle w:val="BookText"/>
        <w:rPr/>
      </w:pPr>
      <w:r>
        <w:rPr>
          <w:rFonts w:ascii="Amiri" w:hAnsi="Amiri" w:eastAsia="Amiri" w:cs="Amiri"/>
          <w:color w:val="111111"/>
          <w:sz w:val="28"/>
          <w:sz w:val="28"/>
          <w:szCs w:val="28"/>
          <w:rtl w:val="true"/>
          <w:lang w:bidi="ar-SA"/>
        </w:rPr>
        <w:t xml:space="preserve">الماء الطاهر ؛ لاتحاد حكم الماء الواحد </w:t>
      </w:r>
      <w:r>
        <w:rPr>
          <w:rStyle w:val="FootnoteAnchor"/>
          <w:rtl w:val="true"/>
        </w:rPr>
        <w:footnoteReference w:id="346"/>
      </w:r>
      <w:r>
        <w:rPr>
          <w:rFonts w:ascii="Amiri" w:hAnsi="Amiri" w:eastAsia="Amiri" w:cs="Amiri"/>
          <w:color w:val="111111"/>
          <w:sz w:val="28"/>
          <w:sz w:val="28"/>
          <w:szCs w:val="28"/>
          <w:rtl w:val="true"/>
          <w:lang w:bidi="ar-SA"/>
        </w:rPr>
        <w:t xml:space="preserve">في السطح الواحد </w:t>
      </w:r>
      <w:r>
        <w:rPr>
          <w:rStyle w:val="FootnoteAnchor"/>
          <w:rtl w:val="true"/>
        </w:rPr>
        <w:footnoteReference w:id="347"/>
      </w:r>
      <w:r>
        <w:rPr>
          <w:rFonts w:ascii="IRNazanin" w:hAnsi="IRNazanin" w:eastAsia="IRNazanin"/>
          <w:color w:val="111111"/>
          <w:sz w:val="28"/>
          <w:sz w:val="28"/>
          <w:szCs w:val="28"/>
          <w:rtl w:val="true"/>
          <w:lang w:bidi="fa-IR"/>
        </w:rPr>
        <w:t>مع الامتزاج وعدم المائز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عليه فيما إذا كان متغيّرا بالامتزاج بصدق التغيّر بعين النجاسة ، فوجودها </w:t>
      </w:r>
      <w:r>
        <w:rPr>
          <w:rStyle w:val="FootnoteAnchor"/>
          <w:rtl w:val="true"/>
        </w:rPr>
        <w:footnoteReference w:id="348"/>
      </w:r>
      <w:r>
        <w:rPr>
          <w:rFonts w:ascii="Amiri" w:hAnsi="Amiri" w:eastAsia="Amiri" w:cs="Amiri"/>
          <w:color w:val="111111"/>
          <w:sz w:val="28"/>
          <w:sz w:val="28"/>
          <w:szCs w:val="28"/>
          <w:rtl w:val="true"/>
          <w:lang w:bidi="ar-SA"/>
        </w:rPr>
        <w:t>فيه وإن لم يتميّز في الحس لكن الاستناد إلى ذلك في الماء مشكل ؛ لما عرفت من إجراء حكم الماء عليه بعد الاستهلاك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يتّجه </w:t>
      </w:r>
      <w:r>
        <w:rPr>
          <w:rStyle w:val="FootnoteAnchor"/>
          <w:rtl w:val="true"/>
        </w:rPr>
        <w:footnoteReference w:id="349"/>
      </w:r>
      <w:r>
        <w:rPr>
          <w:rFonts w:ascii="Amiri" w:hAnsi="Amiri" w:eastAsia="Amiri" w:cs="Amiri"/>
          <w:color w:val="111111"/>
          <w:sz w:val="28"/>
          <w:sz w:val="28"/>
          <w:szCs w:val="28"/>
          <w:rtl w:val="true"/>
          <w:lang w:bidi="ar-SA"/>
        </w:rPr>
        <w:t xml:space="preserve">ذلك في غير الماء ، فلو مزج الدم بطاهر أحمر </w:t>
      </w:r>
      <w:r>
        <w:rPr>
          <w:rStyle w:val="FootnoteAnchor"/>
          <w:rtl w:val="true"/>
        </w:rPr>
        <w:footnoteReference w:id="350"/>
      </w:r>
      <w:r>
        <w:rPr>
          <w:rFonts w:ascii="Amiri" w:hAnsi="Amiri" w:eastAsia="Amiri" w:cs="Amiri"/>
          <w:color w:val="111111"/>
          <w:sz w:val="28"/>
          <w:sz w:val="28"/>
          <w:szCs w:val="28"/>
          <w:rtl w:val="true"/>
          <w:lang w:bidi="ar-SA"/>
        </w:rPr>
        <w:t>فامتزج بالماء تنجّس به إذا كان الدم في نفسه صالحا لمسمّى التغيير ، وبذلك يتقوّى القول بالتنجيس في المضاف المتغير كذلك إذا غيّر الماء بصفة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تغيّر بوقوع النجاسة فيه من دون مزج ، ففي تنجّس الماء به إذن إشكال ، من لزوم انقلابه مطلقا في قبوله الطهارة فيجري فيه حكمه بعد الانقلاب ، ومن عدم تأثير التغيير في نجاسته ولا أقل من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بالأولويّة في تنجسه به منقوض بالجوامد ، فهو كالمضاف المتنجّس المتغيّر بمجاورة النجاسة ، ولا ريب في عدم اعتبار زوال التغيير في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غاية ما يثبت </w:t>
      </w:r>
      <w:r>
        <w:rPr>
          <w:rStyle w:val="FootnoteAnchor"/>
          <w:rtl w:val="true"/>
        </w:rPr>
        <w:footnoteReference w:id="351"/>
      </w:r>
      <w:r>
        <w:rPr>
          <w:rFonts w:ascii="Amiri" w:hAnsi="Amiri" w:eastAsia="Amiri" w:cs="Amiri"/>
          <w:color w:val="111111"/>
          <w:sz w:val="28"/>
          <w:sz w:val="28"/>
          <w:szCs w:val="28"/>
          <w:rtl w:val="true"/>
          <w:lang w:bidi="ar-SA"/>
        </w:rPr>
        <w:t>من الأدلّة اعتبار زوال التغيير في الماء المتغير والمفروض في المقام صيرورة المتغير ماء ، وفرق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يقال إذن باستصحاب النجاسة ، فيعارضه </w:t>
      </w:r>
      <w:r>
        <w:rPr>
          <w:rStyle w:val="FootnoteAnchor"/>
          <w:rtl w:val="true"/>
        </w:rPr>
        <w:footnoteReference w:id="352"/>
      </w:r>
      <w:r>
        <w:rPr>
          <w:rFonts w:ascii="Amiri" w:hAnsi="Amiri" w:eastAsia="Amiri" w:cs="Amiri"/>
          <w:color w:val="111111"/>
          <w:sz w:val="28"/>
          <w:sz w:val="28"/>
          <w:szCs w:val="28"/>
          <w:rtl w:val="true"/>
          <w:lang w:bidi="ar-SA"/>
        </w:rPr>
        <w:t>استصحاب طهارة الآخر والأصل الطهارة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الاشكال فيما سوى المضاف من المائعات إلّا أنّ احتمال الطهارة فيها أقرب</w:t>
      </w:r>
      <w:r>
        <w:rPr>
          <w:rFonts w:eastAsia="Amiri" w:cs="Amiri" w:ascii="Amiri" w:hAnsi="Amiri"/>
          <w:color w:val="111111"/>
          <w:sz w:val="28"/>
          <w:szCs w:val="28"/>
          <w:rtl w:val="true"/>
          <w:lang w:bidi="ar-SA"/>
        </w:rPr>
        <w:t xml:space="preserve">. </w:t>
      </w:r>
      <w:bookmarkStart w:id="117" w:name="pg15827_173617"/>
    </w:p>
    <w:p>
      <w:pPr>
        <w:pStyle w:val="BookText"/>
        <w:rPr/>
      </w:pPr>
      <w:bookmarkEnd w:id="117"/>
      <w:r>
        <w:rPr>
          <w:rFonts w:ascii="Amiri" w:hAnsi="Amiri" w:eastAsia="Amiri" w:cs="Amiri"/>
          <w:color w:val="111111"/>
          <w:sz w:val="28"/>
          <w:sz w:val="28"/>
          <w:szCs w:val="28"/>
          <w:rtl w:val="true"/>
          <w:lang w:bidi="ar-SA"/>
        </w:rPr>
        <w:t xml:space="preserve">وأمّا الجوامد فلا شكّ في عدم انفعال الماء بها مع التغيير </w:t>
      </w:r>
      <w:r>
        <w:rPr>
          <w:rStyle w:val="FootnoteAnchor"/>
          <w:rtl w:val="true"/>
        </w:rPr>
        <w:footnoteReference w:id="353"/>
      </w:r>
      <w:r>
        <w:rPr>
          <w:rFonts w:ascii="Amiri" w:hAnsi="Amiri" w:eastAsia="Amiri" w:cs="Amiri"/>
          <w:color w:val="111111"/>
          <w:sz w:val="28"/>
          <w:sz w:val="28"/>
          <w:szCs w:val="28"/>
          <w:rtl w:val="true"/>
          <w:lang w:bidi="ar-SA"/>
        </w:rPr>
        <w:t>، بل هي تطهّر بمجرّد ملاقاة الماء</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4099671_2142443653"/>
      <w:bookmarkStart w:id="119" w:name="_Toc42"/>
      <w:bookmarkEnd w:id="118"/>
      <w:r>
        <w:rPr>
          <w:rtl w:val="true"/>
        </w:rPr>
        <w:t xml:space="preserve">[ </w:t>
      </w:r>
      <w:r>
        <w:rPr>
          <w:rtl w:val="true"/>
        </w:rPr>
        <w:t xml:space="preserve">مدار التنجّس فعليّته </w:t>
      </w:r>
      <w:r>
        <w:rPr>
          <w:rtl w:val="true"/>
        </w:rPr>
        <w:t>]</w:t>
      </w:r>
      <w:bookmarkEnd w:id="119"/>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الأخبار وفتاوى قدماء الأصحاب دوران الحكم على حصول التغيّر وفعليّته ، فلو كانت النجاسة مسلوبة الصفة لم تقدّر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غير النجاسة المغيّرة بالامتزاج موضع وفاق ، وأمّا فيها فعند معظم المتأخّرين أنّها كذلك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354"/>
      </w:r>
      <w:r>
        <w:rPr>
          <w:rFonts w:ascii="IRNazanin" w:hAnsi="IRNazanin" w:eastAsia="IRNazanin"/>
          <w:color w:val="111111"/>
          <w:sz w:val="28"/>
          <w:sz w:val="28"/>
          <w:szCs w:val="28"/>
          <w:rtl w:val="true"/>
          <w:lang w:bidi="fa-IR"/>
        </w:rPr>
        <w:t>أنّه ظاهر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العلّامة رحمه‌اللّه </w:t>
      </w:r>
      <w:r>
        <w:rPr>
          <w:rStyle w:val="FootnoteAnchor"/>
          <w:rtl w:val="true"/>
        </w:rPr>
        <w:footnoteReference w:id="355"/>
      </w:r>
      <w:r>
        <w:rPr>
          <w:rFonts w:ascii="Amiri" w:hAnsi="Amiri" w:eastAsia="Amiri" w:cs="Amiri"/>
          <w:color w:val="111111"/>
          <w:sz w:val="28"/>
          <w:sz w:val="28"/>
          <w:szCs w:val="28"/>
          <w:rtl w:val="true"/>
          <w:lang w:bidi="ar-SA"/>
        </w:rPr>
        <w:t xml:space="preserve">في جملة من كتبه وجماعة ممّن تأخّر عنه كولده قدس سرّه والمحقّق الكركي </w:t>
      </w:r>
      <w:r>
        <w:rPr>
          <w:rStyle w:val="FootnoteAnchor"/>
          <w:rtl w:val="true"/>
        </w:rPr>
        <w:footnoteReference w:id="356"/>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357"/>
      </w:r>
      <w:r>
        <w:rPr>
          <w:rFonts w:ascii="Amiri" w:hAnsi="Amiri" w:eastAsia="Amiri" w:cs="Amiri"/>
          <w:color w:val="111111"/>
          <w:sz w:val="28"/>
          <w:sz w:val="28"/>
          <w:szCs w:val="28"/>
          <w:rtl w:val="true"/>
          <w:lang w:bidi="ar-SA"/>
        </w:rPr>
        <w:t>إلى تقدير الأوصاف والحكم بالنجاسة مع حصول التغيير على تقدير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الأوّل ؛ للأصل والعمومات ، وظاهر إطلاق الروايات والإجماعات المنقولة المعلّقة للحكم بالنجاسة على حصول التغيير والغلبة لصفة النجاسة الظاهرة في التحقيق دون التقدير ، وأن المدار في التنجيس إن كان على حصول التغيير فالمفروض عدمه ، وإن كان على غلبة ذات النجاسة والأوصاف كاشفة عنها لزم القول بالطهارة مع حصول التغيير فيما إذا كانت الصفة في النجاسة شديدة خارجة عن المعتاد ؛ لعدم كشفها إذن عن غلبة الذات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المدار فيها على أحد الأمرين خروج عن مقتضى الأخبار وكلام الأصحاب </w:t>
      </w:r>
    </w:p>
    <w:p>
      <w:pPr>
        <w:pStyle w:val="BookText"/>
        <w:rPr/>
      </w:pPr>
      <w:r>
        <w:rPr>
          <w:rFonts w:ascii="Amiri" w:hAnsi="Amiri" w:eastAsia="Amiri" w:cs="Amiri"/>
          <w:color w:val="111111"/>
          <w:sz w:val="28"/>
          <w:sz w:val="28"/>
          <w:szCs w:val="28"/>
          <w:rtl w:val="true"/>
          <w:lang w:bidi="ar-SA"/>
        </w:rPr>
        <w:t>لإناطة الحكم فيها بأمر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الأخبار واردة في النجاسة المغيّرة بالامتزاج وغيره على نهج واحد ، فالتفصيل بينهما خروج عن مقتضاها ؛ مضافا إلى أنّ قضيّة ما ذكر تقدير الصفة المتوسطة في حقيقة الأوصاف ، وهو خلاف ظاهر القائل بالتقدير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مخالفة ظاهرة لظواهر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58"/>
      </w:r>
      <w:r>
        <w:rPr>
          <w:rFonts w:ascii="Amiri" w:hAnsi="Amiri" w:eastAsia="Amiri" w:cs="Amiri"/>
          <w:color w:val="111111"/>
          <w:sz w:val="28"/>
          <w:sz w:val="28"/>
          <w:szCs w:val="28"/>
          <w:rtl w:val="true"/>
          <w:lang w:bidi="ar-SA"/>
        </w:rPr>
        <w:t xml:space="preserve">احتجّ العلّامة رحمه‌اللّه </w:t>
      </w:r>
      <w:r>
        <w:rPr>
          <w:rStyle w:val="FootnoteAnchor"/>
          <w:rtl w:val="true"/>
        </w:rPr>
        <w:footnoteReference w:id="359"/>
      </w:r>
      <w:r>
        <w:rPr>
          <w:rFonts w:ascii="Amiri" w:hAnsi="Amiri" w:eastAsia="Amiri" w:cs="Amiri"/>
          <w:color w:val="111111"/>
          <w:sz w:val="28"/>
          <w:sz w:val="28"/>
          <w:szCs w:val="28"/>
          <w:rtl w:val="true"/>
          <w:lang w:bidi="ar-SA"/>
        </w:rPr>
        <w:t>بأنّ التغيير الذي هو مناط النجاسة دائر مع الأوصاف ، فإذا فقدت وجب تقديرها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360"/>
      </w:r>
      <w:r>
        <w:rPr>
          <w:rFonts w:ascii="Amiri" w:hAnsi="Amiri" w:eastAsia="Amiri" w:cs="Amiri"/>
          <w:color w:val="111111"/>
          <w:sz w:val="28"/>
          <w:sz w:val="28"/>
          <w:szCs w:val="28"/>
          <w:rtl w:val="true"/>
          <w:lang w:bidi="ar-SA"/>
        </w:rPr>
        <w:t xml:space="preserve">والمعالم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إعادة للمدّعى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ظاهره </w:t>
      </w:r>
      <w:r>
        <w:rPr>
          <w:rStyle w:val="FootnoteAnchor"/>
          <w:rtl w:val="true"/>
        </w:rPr>
        <w:footnoteReference w:id="361"/>
      </w:r>
      <w:r>
        <w:rPr>
          <w:rFonts w:ascii="Amiri" w:hAnsi="Amiri" w:eastAsia="Amiri" w:cs="Amiri"/>
          <w:color w:val="111111"/>
          <w:sz w:val="28"/>
          <w:sz w:val="28"/>
          <w:szCs w:val="28"/>
          <w:rtl w:val="true"/>
          <w:lang w:bidi="ar-SA"/>
        </w:rPr>
        <w:t xml:space="preserve">متدافع ؛ إذ مع تسليم دوران التغيير </w:t>
      </w:r>
      <w:r>
        <w:rPr>
          <w:rStyle w:val="FootnoteAnchor"/>
          <w:rtl w:val="true"/>
        </w:rPr>
        <w:footnoteReference w:id="362"/>
      </w:r>
      <w:r>
        <w:rPr>
          <w:rFonts w:ascii="Amiri" w:hAnsi="Amiri" w:eastAsia="Amiri" w:cs="Amiri"/>
          <w:color w:val="111111"/>
          <w:sz w:val="28"/>
          <w:sz w:val="28"/>
          <w:szCs w:val="28"/>
          <w:rtl w:val="true"/>
          <w:lang w:bidi="ar-SA"/>
        </w:rPr>
        <w:t xml:space="preserve">الذي هو المناط في النجاسة مع الأوصاف يلزم انتفاؤه مع عدمها الموجب لانتفاء النجاسة ، فلا وجه لتقدير الأوصاف ، فمقتضى الدليل المذكور ردّ القول بالتقدير </w:t>
      </w:r>
      <w:r>
        <w:rPr>
          <w:rStyle w:val="FootnoteAnchor"/>
          <w:rtl w:val="true"/>
        </w:rPr>
        <w:footnoteReference w:id="363"/>
      </w:r>
      <w:r>
        <w:rPr>
          <w:rFonts w:ascii="IRNazanin" w:hAnsi="IRNazanin" w:eastAsia="IRNazanin"/>
          <w:color w:val="111111"/>
          <w:sz w:val="28"/>
          <w:sz w:val="28"/>
          <w:szCs w:val="28"/>
          <w:rtl w:val="true"/>
          <w:lang w:bidi="fa-IR"/>
        </w:rPr>
        <w:t>لا ثبوته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بأنّ مقصوده من التغيير هو مغلوبيّة </w:t>
      </w:r>
      <w:r>
        <w:rPr>
          <w:rStyle w:val="FootnoteAnchor"/>
          <w:rtl w:val="true"/>
        </w:rPr>
        <w:footnoteReference w:id="364"/>
      </w:r>
      <w:r>
        <w:rPr>
          <w:rFonts w:ascii="Amiri" w:hAnsi="Amiri" w:eastAsia="Amiri" w:cs="Amiri"/>
          <w:color w:val="111111"/>
          <w:sz w:val="28"/>
          <w:sz w:val="28"/>
          <w:szCs w:val="28"/>
          <w:rtl w:val="true"/>
          <w:lang w:bidi="ar-SA"/>
        </w:rPr>
        <w:t xml:space="preserve">ذات الماء بالنجاسة </w:t>
      </w:r>
      <w:r>
        <w:rPr>
          <w:rStyle w:val="FootnoteAnchor"/>
          <w:rtl w:val="true"/>
        </w:rPr>
        <w:footnoteReference w:id="365"/>
      </w:r>
      <w:r>
        <w:rPr>
          <w:rFonts w:ascii="Amiri" w:hAnsi="Amiri" w:eastAsia="Amiri" w:cs="Amiri"/>
          <w:color w:val="111111"/>
          <w:sz w:val="28"/>
          <w:sz w:val="28"/>
          <w:szCs w:val="28"/>
          <w:rtl w:val="true"/>
          <w:lang w:bidi="ar-SA"/>
        </w:rPr>
        <w:t xml:space="preserve">، وتغيّره في ذاته بسبب امتزاجه بها ، فربّما يكون ذلك التغيير </w:t>
      </w:r>
      <w:r>
        <w:rPr>
          <w:rStyle w:val="FootnoteAnchor"/>
          <w:rtl w:val="true"/>
        </w:rPr>
        <w:footnoteReference w:id="366"/>
      </w:r>
      <w:r>
        <w:rPr>
          <w:rFonts w:ascii="Amiri" w:hAnsi="Amiri" w:eastAsia="Amiri" w:cs="Amiri"/>
          <w:color w:val="111111"/>
          <w:sz w:val="28"/>
          <w:sz w:val="28"/>
          <w:szCs w:val="28"/>
          <w:rtl w:val="true"/>
          <w:lang w:bidi="ar-SA"/>
        </w:rPr>
        <w:t>مخرجا له عن الحقيقة الاسميّة ، وقد يكون سببا لزوال الأوصاف ، وقد لا يوجب شيئا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والأخير </w:t>
      </w:r>
      <w:r>
        <w:rPr>
          <w:rStyle w:val="FootnoteAnchor"/>
          <w:rtl w:val="true"/>
        </w:rPr>
        <w:footnoteReference w:id="367"/>
      </w:r>
      <w:r>
        <w:rPr>
          <w:rFonts w:ascii="Amiri" w:hAnsi="Amiri" w:eastAsia="Amiri" w:cs="Amiri"/>
          <w:color w:val="111111"/>
          <w:sz w:val="28"/>
          <w:sz w:val="28"/>
          <w:szCs w:val="28"/>
          <w:rtl w:val="true"/>
          <w:lang w:bidi="ar-SA"/>
        </w:rPr>
        <w:t xml:space="preserve">معتبر في الشرع والأوّل خارج عن محلّ البحث ، والثاني إنّما يتعيّن بملاحظة الأوصاف ، فإن وجدت وإلّا وجب تقديرها ، فيرجع محصّل الدليل إلى بيان مقدّمتين يتفرّع عليهما وجوب التقدير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التغيير بالمعنى المذكور مناطا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أنّ المتنجّس في الحقيقة هو عين النجاسة ، فالمؤثّر ذات النجاسة الغالبة لا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ذلك مع الأوصاف ، وهو واضح ، وترتّب </w:t>
      </w:r>
      <w:r>
        <w:rPr>
          <w:rStyle w:val="FootnoteAnchor"/>
          <w:rtl w:val="true"/>
        </w:rPr>
        <w:footnoteReference w:id="368"/>
      </w:r>
      <w:r>
        <w:rPr>
          <w:rFonts w:ascii="Amiri" w:hAnsi="Amiri" w:eastAsia="Amiri" w:cs="Amiri"/>
          <w:color w:val="111111"/>
          <w:sz w:val="28"/>
          <w:sz w:val="28"/>
          <w:szCs w:val="28"/>
          <w:rtl w:val="true"/>
          <w:lang w:bidi="ar-SA"/>
        </w:rPr>
        <w:t>وجوب التقدير عليهما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المنجّس هو ذات النجاسة لكن بشرط غلبة صفتها على صفة الماء لإناطة الحكم بالوصف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اعتبار غلبة الوصف في التنجيس ، وأن إناطة الحكم بها في الأخبار </w:t>
      </w:r>
      <w:r>
        <w:rPr>
          <w:rStyle w:val="FootnoteAnchor"/>
          <w:rtl w:val="true"/>
        </w:rPr>
        <w:footnoteReference w:id="369"/>
      </w:r>
      <w:r>
        <w:rPr>
          <w:rFonts w:ascii="Amiri" w:hAnsi="Amiri" w:eastAsia="Amiri" w:cs="Amiri"/>
          <w:color w:val="111111"/>
          <w:sz w:val="28"/>
          <w:sz w:val="28"/>
          <w:szCs w:val="28"/>
          <w:rtl w:val="true"/>
          <w:lang w:bidi="ar-SA"/>
        </w:rPr>
        <w:t>لمجرّد الكشف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في الإيضاح </w:t>
      </w:r>
      <w:r>
        <w:rPr>
          <w:rStyle w:val="FootnoteAnchor"/>
          <w:rtl w:val="true"/>
        </w:rPr>
        <w:footnoteReference w:id="370"/>
      </w:r>
      <w:r>
        <w:rPr>
          <w:rFonts w:ascii="Amiri" w:hAnsi="Amiri" w:eastAsia="Amiri" w:cs="Amiri"/>
          <w:color w:val="111111"/>
          <w:sz w:val="28"/>
          <w:sz w:val="28"/>
          <w:szCs w:val="28"/>
          <w:rtl w:val="true"/>
          <w:lang w:bidi="ar-SA"/>
        </w:rPr>
        <w:t xml:space="preserve">بأنّ المقتضي للانفعال نهي النجاسة ، وهو حاصل في المقام إذ كلّما لم يصيّر </w:t>
      </w:r>
      <w:r>
        <w:rPr>
          <w:rStyle w:val="FootnoteAnchor"/>
          <w:rtl w:val="true"/>
        </w:rPr>
        <w:footnoteReference w:id="371"/>
      </w:r>
      <w:r>
        <w:rPr>
          <w:rFonts w:ascii="Amiri" w:hAnsi="Amiri" w:eastAsia="Amiri" w:cs="Amiri"/>
          <w:color w:val="111111"/>
          <w:sz w:val="28"/>
          <w:sz w:val="28"/>
          <w:szCs w:val="28"/>
          <w:rtl w:val="true"/>
          <w:lang w:bidi="ar-SA"/>
        </w:rPr>
        <w:t xml:space="preserve">الماء مقهورا لم يتغيّر بها على تقدير المخالفة ، وينعكس بعكس النقيض إلى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تغير على تقدير المخالفة كان مقهورا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إلى 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بما مر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بقهر النجاسة غلبتها على الماء بإزالة وصفه </w:t>
      </w:r>
      <w:r>
        <w:rPr>
          <w:rStyle w:val="FootnoteAnchor"/>
          <w:rtl w:val="true"/>
        </w:rPr>
        <w:footnoteReference w:id="372"/>
      </w:r>
      <w:r>
        <w:rPr>
          <w:rFonts w:ascii="Amiri" w:hAnsi="Amiri" w:eastAsia="Amiri" w:cs="Amiri"/>
          <w:color w:val="111111"/>
          <w:sz w:val="28"/>
          <w:sz w:val="28"/>
          <w:szCs w:val="28"/>
          <w:rtl w:val="true"/>
          <w:lang w:bidi="ar-SA"/>
        </w:rPr>
        <w:t xml:space="preserve">أعني الطهارة فكلّية </w:t>
      </w:r>
    </w:p>
    <w:p>
      <w:pPr>
        <w:pStyle w:val="BookText"/>
        <w:rPr/>
      </w:pPr>
      <w:r>
        <w:rPr>
          <w:rFonts w:ascii="Amiri" w:hAnsi="Amiri" w:eastAsia="Amiri" w:cs="Amiri"/>
          <w:color w:val="111111"/>
          <w:sz w:val="28"/>
          <w:sz w:val="28"/>
          <w:szCs w:val="28"/>
          <w:rtl w:val="true"/>
          <w:lang w:bidi="ar-SA"/>
        </w:rPr>
        <w:t xml:space="preserve">الأصل ممنوعة ؛ إذ </w:t>
      </w:r>
      <w:r>
        <w:rPr>
          <w:rStyle w:val="FootnoteAnchor"/>
          <w:rtl w:val="true"/>
        </w:rPr>
        <w:footnoteReference w:id="373"/>
      </w:r>
      <w:r>
        <w:rPr>
          <w:rFonts w:ascii="Amiri" w:hAnsi="Amiri" w:eastAsia="Amiri" w:cs="Amiri"/>
          <w:color w:val="111111"/>
          <w:sz w:val="28"/>
          <w:sz w:val="28"/>
          <w:szCs w:val="28"/>
          <w:rtl w:val="true"/>
          <w:lang w:bidi="ar-SA"/>
        </w:rPr>
        <w:t>حصول القهر مع تقدير الصفة في النجاسة أوّل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مجرد الغلبة فكليّة العكس غير نافعة ؛ إذ كون مجرّد المقهوريّة المعروضة موجبا للنجاسة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يحتجّ لذلك بجملة من الأخبار كالصحيح المشتمل على اشتراط قهر الماء للنجاسة في اعتصامه ، والصحيحة الاخرى الدالّة على اعتبار غلبة كثرة الماء على النجاسة والصحيحتين المعلّلتين لطهارة ماء الاستنجاء والمطر المخالط للنجاسة المفروضة بأكثريّته من القذر ، ونحو ذلك ممّا يقف عليه المتتبّع ؛ فإنّ المستفاد </w:t>
      </w:r>
      <w:r>
        <w:rPr>
          <w:rStyle w:val="FootnoteAnchor"/>
          <w:rtl w:val="true"/>
        </w:rPr>
        <w:footnoteReference w:id="374"/>
      </w:r>
      <w:r>
        <w:rPr>
          <w:rFonts w:ascii="Amiri" w:hAnsi="Amiri" w:eastAsia="Amiri" w:cs="Amiri"/>
          <w:color w:val="111111"/>
          <w:sz w:val="28"/>
          <w:sz w:val="28"/>
          <w:szCs w:val="28"/>
          <w:rtl w:val="true"/>
          <w:lang w:bidi="ar-SA"/>
        </w:rPr>
        <w:t>من إطلاقها دوران الأمر على مجرّد القهر والاستيلاء والتقدير المفروض كاشف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استصحاب بقاء نجاسة الممازج ؛ إذ غاية ما يثبت </w:t>
      </w:r>
      <w:r>
        <w:rPr>
          <w:rStyle w:val="FootnoteAnchor"/>
          <w:rtl w:val="true"/>
        </w:rPr>
        <w:footnoteReference w:id="375"/>
      </w:r>
      <w:r>
        <w:rPr>
          <w:rFonts w:ascii="Amiri" w:hAnsi="Amiri" w:eastAsia="Amiri" w:cs="Amiri"/>
          <w:color w:val="111111"/>
          <w:sz w:val="28"/>
          <w:sz w:val="28"/>
          <w:szCs w:val="28"/>
          <w:rtl w:val="true"/>
          <w:lang w:bidi="ar-SA"/>
        </w:rPr>
        <w:t>ارتفاع حكمها بالاستهلاك مع عدم التغيير ولو بالتقدير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تبدّل الموضوع ممنوع يكشف عنه عدم البناء عليه في غير الماء ، ولا أقلّ من الشكّ ، فالأصل بقاؤه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حصول القهر والاستيلاء إما بحسب الوصف أو الذات ، والأوّل يتفرّع على اختلافهما في الصفات والثاني يعتبر لغلبة اسم الماء على النجاسة باستهلاكها فيه وعدّها ماء في العرف وعدمه ، فهو دائر مدار التسمية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باعتبار الوجهين كما يتبيّن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فاعتبار التغيير </w:t>
      </w:r>
      <w:r>
        <w:rPr>
          <w:rStyle w:val="FootnoteAnchor"/>
          <w:rtl w:val="true"/>
        </w:rPr>
        <w:footnoteReference w:id="377"/>
      </w:r>
      <w:r>
        <w:rPr>
          <w:rFonts w:ascii="Amiri" w:hAnsi="Amiri" w:eastAsia="Amiri" w:cs="Amiri"/>
          <w:color w:val="111111"/>
          <w:sz w:val="28"/>
          <w:sz w:val="28"/>
          <w:szCs w:val="28"/>
          <w:rtl w:val="true"/>
          <w:lang w:bidi="ar-SA"/>
        </w:rPr>
        <w:t>بعد التقدير لا يوجب القهر للذّات ولا للصّفات ، ولو سلّم فهو خارج عن ظاهر الإطلاقات بل مجرّد الشكّ كاف فيه ؛ لما تقرّر من أصالة الطهارة</w:t>
      </w:r>
      <w:r>
        <w:rPr>
          <w:rFonts w:eastAsia="Amiri" w:cs="Amiri" w:ascii="Amiri" w:hAnsi="Amiri"/>
          <w:color w:val="111111"/>
          <w:sz w:val="28"/>
          <w:szCs w:val="28"/>
          <w:rtl w:val="true"/>
          <w:lang w:bidi="ar-SA"/>
        </w:rPr>
        <w:t xml:space="preserve">. </w:t>
      </w:r>
      <w:bookmarkStart w:id="120" w:name="pg15827_173621"/>
    </w:p>
    <w:p>
      <w:pPr>
        <w:pStyle w:val="BookText"/>
        <w:rPr/>
      </w:pPr>
      <w:bookmarkEnd w:id="120"/>
      <w:r>
        <w:rPr>
          <w:rFonts w:ascii="Amiri" w:hAnsi="Amiri" w:eastAsia="Amiri" w:cs="Amiri"/>
          <w:color w:val="111111"/>
          <w:sz w:val="28"/>
          <w:sz w:val="28"/>
          <w:szCs w:val="28"/>
          <w:rtl w:val="true"/>
          <w:lang w:bidi="ar-SA"/>
        </w:rPr>
        <w:t>والرجوع إلى الاستصحاب في ذلك بيّن الوهن لمعارضته باستصحاب طهارة الماء ، والأصل الطهارة ؛ مضافا إلى تبدّل الموضوع ، لدورانه مدار الأسماء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المحقّق الكركي </w:t>
      </w:r>
      <w:r>
        <w:rPr>
          <w:rStyle w:val="FootnoteAnchor"/>
          <w:rtl w:val="true"/>
        </w:rPr>
        <w:footnoteReference w:id="378"/>
      </w:r>
      <w:r>
        <w:rPr>
          <w:rFonts w:ascii="Amiri" w:hAnsi="Amiri" w:eastAsia="Amiri" w:cs="Amiri"/>
          <w:color w:val="111111"/>
          <w:sz w:val="28"/>
          <w:sz w:val="28"/>
          <w:szCs w:val="28"/>
          <w:rtl w:val="true"/>
          <w:lang w:bidi="ar-SA"/>
        </w:rPr>
        <w:t xml:space="preserve">بعد تضعيف الوجهين المذكورين بأنّ المضاف المسلوب الأوصاف لو </w:t>
      </w:r>
      <w:r>
        <w:rPr>
          <w:rStyle w:val="FootnoteAnchor"/>
          <w:rtl w:val="true"/>
        </w:rPr>
        <w:footnoteReference w:id="379"/>
      </w:r>
      <w:r>
        <w:rPr>
          <w:rFonts w:ascii="Amiri" w:hAnsi="Amiri" w:eastAsia="Amiri" w:cs="Amiri"/>
          <w:color w:val="111111"/>
          <w:sz w:val="28"/>
          <w:sz w:val="28"/>
          <w:szCs w:val="28"/>
          <w:rtl w:val="true"/>
          <w:lang w:bidi="ar-SA"/>
        </w:rPr>
        <w:t>امتزج بالماء وجب اعتباره إمّا بقلّة الأجزاء وكثرتها أو بتقديره مخالفا في الأوصاف على اختلاف الرأيين ، وإذا وجب الاعتبار في الجملة للمضاف فللنجاسة أولى ، وحيث لا قائل بالأوّل هنا يتعيّن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لو لم يعتبر التقدير لزم الحكم بالطّهارة ، وإن كانت النجاسة أضعافه ، وهو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الأوّل بعدم ثبوت الحكم في الأصل ، وإنّما يدور الحكم هناك مدار التسمية ، ونقول بمثله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ضعف الثاني لاعتباره إذن ببقاء </w:t>
      </w:r>
      <w:r>
        <w:rPr>
          <w:rStyle w:val="FootnoteAnchor"/>
          <w:rtl w:val="true"/>
        </w:rPr>
        <w:footnoteReference w:id="380"/>
      </w:r>
      <w:r>
        <w:rPr>
          <w:rFonts w:ascii="Amiri" w:hAnsi="Amiri" w:eastAsia="Amiri" w:cs="Amiri"/>
          <w:color w:val="111111"/>
          <w:sz w:val="28"/>
          <w:sz w:val="28"/>
          <w:szCs w:val="28"/>
          <w:rtl w:val="true"/>
          <w:lang w:bidi="ar-SA"/>
        </w:rPr>
        <w:t>التسمية وعدمه ، ومن الظاهر انتفاء التسمية مع كون النجاسة مثله ، فكيف بضعفه وأضعافه</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14099673_2142443653"/>
      <w:bookmarkStart w:id="122" w:name="_Toc43"/>
      <w:bookmarkEnd w:id="121"/>
      <w:r>
        <w:rPr>
          <w:rtl w:val="true"/>
        </w:rPr>
        <w:t xml:space="preserve">[ </w:t>
      </w:r>
      <w:r>
        <w:rPr>
          <w:rtl w:val="true"/>
        </w:rPr>
        <w:t xml:space="preserve">الاستهلاك في النجاسة والممازجة </w:t>
      </w:r>
      <w:r>
        <w:rPr>
          <w:rtl w:val="true"/>
        </w:rPr>
        <w:t>]</w:t>
      </w:r>
      <w:bookmarkEnd w:id="122"/>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استهلك الماء في النجاسة نجس قطعا وكذا لو خرج بممازجتها عن اسمه وإن لم يتغيّر أحد أوصافه على ظاهر المذهب بل الظاهر عدم الخلاف فيه ، وكذا الحال لو مازج المائعات المتنجّسة مع خروجها </w:t>
      </w:r>
      <w:r>
        <w:rPr>
          <w:rStyle w:val="FootnoteAnchor"/>
          <w:rtl w:val="true"/>
        </w:rPr>
        <w:footnoteReference w:id="381"/>
      </w:r>
      <w:r>
        <w:rPr>
          <w:rFonts w:ascii="IRNazanin" w:hAnsi="IRNazanin" w:eastAsia="IRNazanin"/>
          <w:color w:val="111111"/>
          <w:sz w:val="28"/>
          <w:sz w:val="28"/>
          <w:szCs w:val="28"/>
          <w:rtl w:val="true"/>
          <w:lang w:bidi="fa-IR"/>
        </w:rPr>
        <w:t>عن الاسم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يقال من تعارض الاستصحابين حينئذ ، وقضية الأصل الطهارة ؛ مدفوع بأنّ </w:t>
      </w:r>
    </w:p>
    <w:p>
      <w:pPr>
        <w:pStyle w:val="BookText"/>
        <w:rPr/>
      </w:pPr>
      <w:r>
        <w:rPr>
          <w:rFonts w:ascii="Amiri" w:hAnsi="Amiri" w:eastAsia="Amiri" w:cs="Amiri"/>
          <w:color w:val="111111"/>
          <w:sz w:val="28"/>
          <w:sz w:val="28"/>
          <w:szCs w:val="28"/>
          <w:rtl w:val="true"/>
          <w:lang w:bidi="ar-SA"/>
        </w:rPr>
        <w:t xml:space="preserve">النجاسة والمتنجّس المفروض </w:t>
      </w:r>
      <w:r>
        <w:rPr>
          <w:rStyle w:val="FootnoteAnchor"/>
          <w:rtl w:val="true"/>
        </w:rPr>
        <w:footnoteReference w:id="382"/>
      </w:r>
      <w:r>
        <w:rPr>
          <w:rFonts w:ascii="Amiri" w:hAnsi="Amiri" w:eastAsia="Amiri" w:cs="Amiri"/>
          <w:color w:val="111111"/>
          <w:sz w:val="28"/>
          <w:sz w:val="28"/>
          <w:szCs w:val="28"/>
          <w:rtl w:val="true"/>
          <w:lang w:bidi="ar-SA"/>
        </w:rPr>
        <w:t>لم يعرض لهما بسبب الممازجة ما يزيل حكمهما لبقاء حقيقتهما من غير استحالة كما لو امتزجا بغير الماء من سائر الأعيان وإن زال الاسم عن المجموع مع قطعهم بانتفاء الاستحالة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الماء لعدم دوران الحكم فيه على حقيقة المائية بل على التسمية العرفيّة كما عرفت فبعد خروجه عن اسمه ينجس </w:t>
      </w:r>
      <w:r>
        <w:rPr>
          <w:rStyle w:val="FootnoteAnchor"/>
          <w:rtl w:val="true"/>
        </w:rPr>
        <w:footnoteReference w:id="383"/>
      </w:r>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إطلاق القهر والغلبة وما شابههما في الأخبار المذكورة ؛ إذ ذاك أعظم أفراد الغلبة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نصّ جمهور الأصحاب بعدم طهر المضاف وسائر المائعات المتنجّسة </w:t>
      </w:r>
      <w:r>
        <w:rPr>
          <w:rStyle w:val="FootnoteAnchor"/>
          <w:rtl w:val="true"/>
        </w:rPr>
        <w:footnoteReference w:id="384"/>
      </w:r>
      <w:r>
        <w:rPr>
          <w:rFonts w:ascii="Amiri" w:hAnsi="Amiri" w:eastAsia="Amiri" w:cs="Amiri"/>
          <w:color w:val="111111"/>
          <w:sz w:val="28"/>
          <w:sz w:val="28"/>
          <w:szCs w:val="28"/>
          <w:rtl w:val="true"/>
          <w:lang w:bidi="ar-SA"/>
        </w:rPr>
        <w:t xml:space="preserve">إلّا بصيرورتها مطلقا ، مع أنّ الحال فيها أخفّ من نجس العين ، بل ظاهر كلامهم هناك يعطي اتّفاقهم على </w:t>
      </w:r>
      <w:r>
        <w:rPr>
          <w:rStyle w:val="FootnoteAnchor"/>
          <w:rtl w:val="true"/>
        </w:rPr>
        <w:footnoteReference w:id="385"/>
      </w:r>
      <w:r>
        <w:rPr>
          <w:rFonts w:ascii="Amiri" w:hAnsi="Amiri" w:eastAsia="Amiri" w:cs="Amiri"/>
          <w:color w:val="111111"/>
          <w:sz w:val="28"/>
          <w:sz w:val="28"/>
          <w:szCs w:val="28"/>
          <w:rtl w:val="true"/>
          <w:lang w:bidi="ar-SA"/>
        </w:rPr>
        <w:t>الحكم في النجس كما أشرنا إليه</w:t>
      </w:r>
      <w:r>
        <w:rPr>
          <w:rFonts w:eastAsia="Amiri" w:cs="Amiri" w:ascii="Amiri" w:hAnsi="Amiri"/>
          <w:color w:val="111111"/>
          <w:sz w:val="28"/>
          <w:szCs w:val="28"/>
          <w:rtl w:val="true"/>
          <w:lang w:bidi="ar-SA"/>
        </w:rPr>
        <w:t xml:space="preserve">. </w:t>
      </w:r>
      <w:bookmarkStart w:id="123" w:name="pg15827_173623"/>
    </w:p>
    <w:p>
      <w:pPr>
        <w:pStyle w:val="Heading4"/>
        <w:numPr>
          <w:ilvl w:val="3"/>
          <w:numId w:val="1"/>
        </w:numPr>
        <w:rPr/>
      </w:pPr>
      <w:bookmarkStart w:id="124" w:name="__RefHeading___Toc14099675_2142443653"/>
      <w:bookmarkStart w:id="125" w:name="_Toc44"/>
      <w:bookmarkEnd w:id="123"/>
      <w:bookmarkEnd w:id="124"/>
      <w:r>
        <w:rPr>
          <w:rtl w:val="true"/>
        </w:rPr>
        <w:t>البحث الثاني</w:t>
      </w:r>
      <w:r>
        <w:rPr>
          <w:rtl w:val="true"/>
        </w:rPr>
        <w:t xml:space="preserve">: </w:t>
      </w:r>
      <w:r>
        <w:rPr>
          <w:rtl w:val="true"/>
        </w:rPr>
        <w:t>في بيان أقسام المياه وأحكام كلّ منها وكيفيّة تطهيرها بعد تنجّسها</w:t>
      </w:r>
      <w:bookmarkEnd w:id="125"/>
    </w:p>
    <w:p>
      <w:pPr>
        <w:pStyle w:val="Heading5"/>
        <w:numPr>
          <w:ilvl w:val="4"/>
          <w:numId w:val="1"/>
        </w:numPr>
        <w:rPr/>
      </w:pPr>
      <w:bookmarkStart w:id="126" w:name="__RefHeading___Toc14099677_2142443653"/>
      <w:bookmarkStart w:id="127" w:name="_Toc45"/>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 xml:space="preserve">البحث </w:t>
      </w:r>
      <w:r>
        <w:rPr>
          <w:rStyle w:val="FootnoteAnchor"/>
          <w:rtl w:val="true"/>
        </w:rPr>
        <w:footnoteReference w:id="386"/>
      </w: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في بيان أقسام المياه وأحكام كلّ منها</w:t>
      </w:r>
    </w:p>
    <w:p>
      <w:pPr>
        <w:pStyle w:val="BookText"/>
        <w:rPr/>
      </w:pPr>
      <w:r>
        <w:rPr>
          <w:rFonts w:ascii="Amiri" w:hAnsi="Amiri" w:eastAsia="Amiri" w:cs="Amiri"/>
          <w:color w:val="111111"/>
          <w:sz w:val="28"/>
          <w:sz w:val="28"/>
          <w:szCs w:val="28"/>
          <w:rtl w:val="true"/>
          <w:lang w:bidi="ar-SA"/>
        </w:rPr>
        <w:t xml:space="preserve">وكيفيّة تطهيرها بعد تنجّسها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4099679_2142443653"/>
      <w:bookmarkStart w:id="129" w:name="_Toc46"/>
      <w:bookmarkEnd w:id="128"/>
      <w:r>
        <w:rPr>
          <w:rtl w:val="true"/>
        </w:rPr>
        <w:t>تبصرة</w:t>
      </w:r>
      <w:r>
        <w:rPr>
          <w:rtl w:val="true"/>
        </w:rPr>
        <w:t xml:space="preserve">: [ </w:t>
      </w:r>
      <w:r>
        <w:rPr>
          <w:rtl w:val="true"/>
        </w:rPr>
        <w:t xml:space="preserve">في أقسام المياه </w:t>
      </w:r>
      <w:r>
        <w:rPr>
          <w:rtl w:val="true"/>
        </w:rPr>
        <w:t>]</w:t>
      </w:r>
      <w:bookmarkEnd w:id="129"/>
    </w:p>
    <w:p>
      <w:pPr>
        <w:pStyle w:val="BookText"/>
        <w:rPr/>
      </w:pPr>
      <w:r>
        <w:rPr>
          <w:rFonts w:ascii="Amiri" w:hAnsi="Amiri" w:eastAsia="Amiri" w:cs="Amiri"/>
          <w:color w:val="111111"/>
          <w:sz w:val="28"/>
          <w:sz w:val="28"/>
          <w:szCs w:val="28"/>
          <w:rtl w:val="true"/>
          <w:lang w:bidi="ar-SA"/>
        </w:rPr>
        <w:t xml:space="preserve">تبصرة </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المياه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اختلفت أحكام المياه بحسب أنواعها من جهة قبولها وعدمها بل وغير ذلك أيضا وقع البحث عندهم عن عدّة من أقسام المياه فقسّموا الماء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فينقسم </w:t>
      </w:r>
      <w:r>
        <w:rPr>
          <w:rStyle w:val="FootnoteAnchor"/>
          <w:rtl w:val="true"/>
        </w:rPr>
        <w:footnoteReference w:id="390"/>
      </w:r>
      <w:r>
        <w:rPr>
          <w:rFonts w:ascii="Amiri" w:hAnsi="Amiri" w:eastAsia="Amiri" w:cs="Amiri"/>
          <w:color w:val="111111"/>
          <w:sz w:val="28"/>
          <w:sz w:val="28"/>
          <w:szCs w:val="28"/>
          <w:rtl w:val="true"/>
          <w:lang w:bidi="ar-SA"/>
        </w:rPr>
        <w:t xml:space="preserve">الماء باعتبار ورود النجاسة عليه </w:t>
      </w:r>
      <w:r>
        <w:rPr>
          <w:rStyle w:val="FootnoteAnchor"/>
          <w:rtl w:val="true"/>
        </w:rPr>
        <w:footnoteReference w:id="391"/>
      </w:r>
      <w:r>
        <w:rPr>
          <w:rFonts w:ascii="Amiri" w:hAnsi="Amiri" w:eastAsia="Amiri" w:cs="Amiri"/>
          <w:color w:val="111111"/>
          <w:sz w:val="28"/>
          <w:sz w:val="28"/>
          <w:szCs w:val="28"/>
          <w:rtl w:val="true"/>
          <w:lang w:bidi="ar-SA"/>
        </w:rPr>
        <w:t>إلى الجاري وماء الغيث وماء الحمام والمحقون وماء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صدق الجاري خروجه عن المادّة سواء جرى على وجه الأرض أو تحتها مع عدم بروزه على الأرض كما في بعض القنوات أو بروزه كما في أكثرها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عبرة بالجريان عن غير المادّة ، ولذا اعتبر جماعة فيه المنع </w:t>
      </w:r>
      <w:r>
        <w:rPr>
          <w:rStyle w:val="FootnoteAnchor"/>
          <w:rtl w:val="true"/>
        </w:rPr>
        <w:footnoteReference w:id="392"/>
      </w:r>
      <w:r>
        <w:rPr>
          <w:rFonts w:ascii="Amiri" w:hAnsi="Amiri" w:eastAsia="Amiri" w:cs="Amiri"/>
          <w:color w:val="111111"/>
          <w:sz w:val="28"/>
          <w:sz w:val="28"/>
          <w:szCs w:val="28"/>
          <w:rtl w:val="true"/>
          <w:lang w:bidi="ar-SA"/>
        </w:rPr>
        <w:t>قاطعين به من غير ظهور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جامع المقاصد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 لا عن عين من أقسام الراكد يعتبر فيه الكرّيّة اتفاقا ممّن عدا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ذلك خروج الجاري عن الموادّ الظاهرة كبعض البحيرات أو الغدران الواسعة التي يجتمع فيها السيول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الأظهر ؛ إذ لا يزيد حكمه على حكم أصله ، وإطلاق الجاري عليه مع عدم المعرفة بأصله لا يدلّ على صدقه عليه ، ولذا يصحّ سلبه عنه بعد المعرفة بحالة ، لكنّ الظاهر عدم فائدة يعتدّ </w:t>
      </w:r>
      <w:r>
        <w:rPr>
          <w:rStyle w:val="FootnoteAnchor"/>
          <w:rtl w:val="true"/>
        </w:rPr>
        <w:footnoteReference w:id="394"/>
      </w:r>
      <w:r>
        <w:rPr>
          <w:rFonts w:ascii="Amiri" w:hAnsi="Amiri" w:eastAsia="Amiri" w:cs="Amiri"/>
          <w:color w:val="111111"/>
          <w:sz w:val="28"/>
          <w:sz w:val="28"/>
          <w:szCs w:val="28"/>
          <w:rtl w:val="true"/>
          <w:lang w:bidi="ar-SA"/>
        </w:rPr>
        <w:t>بها في ذلك ؛ لما سنبيّن من اتحاد الماء المفروض والجاري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ذلك ما </w:t>
      </w:r>
      <w:r>
        <w:rPr>
          <w:rStyle w:val="FootnoteAnchor"/>
          <w:rtl w:val="true"/>
        </w:rPr>
        <w:footnoteReference w:id="395"/>
      </w:r>
      <w:r>
        <w:rPr>
          <w:rFonts w:ascii="Amiri" w:hAnsi="Amiri" w:eastAsia="Amiri" w:cs="Amiri"/>
          <w:color w:val="111111"/>
          <w:sz w:val="28"/>
          <w:sz w:val="28"/>
          <w:szCs w:val="28"/>
          <w:rtl w:val="true"/>
          <w:lang w:bidi="ar-SA"/>
        </w:rPr>
        <w:t>يجري من الثلوج ولا تأمّل هنا في اعتبار الكرّية فيه ، فيجري عليه أحكام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شذوذ من المتأخّرين إلى صدق الجاري على غير الجاري من العيون ، وظاهره صدقه بمطلق الجريان إلّا أنّه اعتبر في حكمه وجود المادّة ، واكتفى فيها بوقوع جزء من الماء فوق موضع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بمكان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فيه كون مادّته تحت الأرض ، بل لو نبع من فوق كما في بعض العيون النابعة من صفحات الجبال كان جاريا قطعا ، فاعتبار بعض الأصحاب </w:t>
      </w:r>
      <w:r>
        <w:rPr>
          <w:rStyle w:val="FootnoteAnchor"/>
          <w:rtl w:val="true"/>
        </w:rPr>
        <w:footnoteReference w:id="396"/>
      </w:r>
      <w:r>
        <w:rPr>
          <w:rFonts w:ascii="Amiri" w:hAnsi="Amiri" w:eastAsia="Amiri" w:cs="Amiri"/>
          <w:color w:val="111111"/>
          <w:sz w:val="28"/>
          <w:sz w:val="28"/>
          <w:szCs w:val="28"/>
          <w:rtl w:val="true"/>
          <w:lang w:bidi="ar-SA"/>
        </w:rPr>
        <w:t>نبعها من تحت الأرض محمول على ما يشمل ذلك أو على الغالب</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w:t>
      </w:r>
      <w:r>
        <w:rPr>
          <w:rStyle w:val="FootnoteAnchor"/>
          <w:rtl w:val="true"/>
        </w:rPr>
        <w:footnoteReference w:id="397"/>
      </w:r>
      <w:r>
        <w:rPr>
          <w:rFonts w:ascii="Amiri" w:hAnsi="Amiri" w:eastAsia="Amiri" w:cs="Amiri"/>
          <w:color w:val="111111"/>
          <w:sz w:val="28"/>
          <w:sz w:val="28"/>
          <w:szCs w:val="28"/>
          <w:rtl w:val="true"/>
          <w:lang w:bidi="ar-SA"/>
        </w:rPr>
        <w:t>يعتبر فيه حصول الجريان أو يكتفى في صدقه بمطلق النبع أو مع كونه غير البئر؟ وجوه ؛ أقواها الأوّل لظاهر العرف ، وهو الظاهر من جماعة من الأصحاب وصريح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مختار بعض المتأخرين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مختار الشهيد الثاني وجماعة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أنّهم لم يذكروا عنوانا مستقلّا للنابع الواقف ، فهو داخل عندهم في الجاري ؛ لعدم دخوله في الراكد ، ولا </w:t>
      </w:r>
      <w:r>
        <w:rPr>
          <w:rStyle w:val="FootnoteAnchor"/>
          <w:rtl w:val="true"/>
        </w:rPr>
        <w:footnoteReference w:id="399"/>
      </w:r>
      <w:r>
        <w:rPr>
          <w:rFonts w:ascii="Amiri" w:hAnsi="Amiri" w:eastAsia="Amiri" w:cs="Amiri"/>
          <w:color w:val="111111"/>
          <w:sz w:val="28"/>
          <w:sz w:val="28"/>
          <w:szCs w:val="28"/>
          <w:rtl w:val="true"/>
          <w:lang w:bidi="ar-SA"/>
        </w:rPr>
        <w:t xml:space="preserve">البئر وإن حكي عن المقنعة والتهذيب إلحاقه بالبئر ، وربّما استحسنه </w:t>
      </w:r>
      <w:r>
        <w:rPr>
          <w:rStyle w:val="FootnoteAnchor"/>
          <w:rtl w:val="true"/>
        </w:rPr>
        <w:footnoteReference w:id="400"/>
      </w:r>
      <w:r>
        <w:rPr>
          <w:rFonts w:ascii="Amiri" w:hAnsi="Amiri" w:eastAsia="Amiri" w:cs="Amiri"/>
          <w:color w:val="111111"/>
          <w:sz w:val="28"/>
          <w:sz w:val="28"/>
          <w:szCs w:val="28"/>
          <w:rtl w:val="true"/>
          <w:lang w:bidi="ar-SA"/>
        </w:rPr>
        <w:t xml:space="preserve">بعض المتأخّرين </w:t>
      </w:r>
      <w:r>
        <w:rPr>
          <w:rStyle w:val="FootnoteAnchor"/>
          <w:rtl w:val="true"/>
        </w:rPr>
        <w:footnoteReference w:id="401"/>
      </w:r>
      <w:r>
        <w:rPr>
          <w:rFonts w:ascii="Amiri" w:hAnsi="Amiri" w:eastAsia="Amiri" w:cs="Amiri"/>
          <w:color w:val="111111"/>
          <w:sz w:val="28"/>
          <w:sz w:val="28"/>
          <w:szCs w:val="28"/>
          <w:rtl w:val="true"/>
          <w:lang w:bidi="ar-SA"/>
        </w:rPr>
        <w:t>؛ إذ هو في غاية البعد ، لوضوح عدم شمول اسم البئر له مع ما لها من الأحكام المخالفة للأصل ، خصوصا على القول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يقصدوا حصر الأقسام ، وبعد فرضه فغاية الأمر إطلاقهم الجاري عليه ، وهو لا يقتضي كونه حقيقة في عرفهم فضلا عن اللغة أو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أريد بتعميم </w:t>
      </w:r>
      <w:r>
        <w:rPr>
          <w:rStyle w:val="FootnoteAnchor"/>
          <w:rtl w:val="true"/>
        </w:rPr>
        <w:footnoteReference w:id="402"/>
      </w:r>
      <w:r>
        <w:rPr>
          <w:rFonts w:ascii="Amiri" w:hAnsi="Amiri" w:eastAsia="Amiri" w:cs="Amiri"/>
          <w:color w:val="111111"/>
          <w:sz w:val="28"/>
          <w:sz w:val="28"/>
          <w:szCs w:val="28"/>
          <w:rtl w:val="true"/>
          <w:lang w:bidi="ar-SA"/>
        </w:rPr>
        <w:t>الجاري للنابع غير البئر أو مطلقا حمل ما ورد في الأخبار على الأعم فهو في غاية الضعف ، وإن أريد بيان مصطلح الفقهاء فيه حتّى يحمل عليه إطلاقاتهم فهو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حمل كلام من رام حصر أقسام المياه مع عدم ذكره له تخصيصه </w:t>
      </w:r>
      <w:r>
        <w:rPr>
          <w:rStyle w:val="FootnoteAnchor"/>
          <w:rtl w:val="true"/>
        </w:rPr>
        <w:footnoteReference w:id="403"/>
      </w:r>
      <w:r>
        <w:rPr>
          <w:rFonts w:ascii="Amiri" w:hAnsi="Amiri" w:eastAsia="Amiri" w:cs="Amiri"/>
          <w:color w:val="111111"/>
          <w:sz w:val="28"/>
          <w:sz w:val="28"/>
          <w:szCs w:val="28"/>
          <w:rtl w:val="true"/>
          <w:lang w:bidi="ar-SA"/>
        </w:rPr>
        <w:t>على النابع غير البئر ممكن ، بل حمل عبائر كثير منهم عند بيان أقسام الماء عليه ليس بذلك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تعميمه للنابع مطلقا فلا يطابق اللغة </w:t>
      </w:r>
      <w:r>
        <w:rPr>
          <w:rStyle w:val="FootnoteAnchor"/>
          <w:rtl w:val="true"/>
        </w:rPr>
        <w:footnoteReference w:id="404"/>
      </w:r>
      <w:r>
        <w:rPr>
          <w:rFonts w:ascii="Amiri" w:hAnsi="Amiri" w:eastAsia="Amiri" w:cs="Amiri"/>
          <w:color w:val="111111"/>
          <w:sz w:val="28"/>
          <w:sz w:val="28"/>
          <w:szCs w:val="28"/>
          <w:rtl w:val="true"/>
          <w:lang w:bidi="ar-SA"/>
        </w:rPr>
        <w:t>والإطلاقات العرفيّة قطعا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ثمرة مهمّة يترتّب </w:t>
      </w:r>
      <w:r>
        <w:rPr>
          <w:rStyle w:val="FootnoteAnchor"/>
          <w:rtl w:val="true"/>
        </w:rPr>
        <w:footnoteReference w:id="405"/>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bookmarkStart w:id="130" w:name="pg15827_173626"/>
    </w:p>
    <w:p>
      <w:pPr>
        <w:pStyle w:val="Heading5"/>
        <w:numPr>
          <w:ilvl w:val="4"/>
          <w:numId w:val="1"/>
        </w:numPr>
        <w:rPr/>
      </w:pPr>
      <w:bookmarkStart w:id="131" w:name="__RefHeading___Toc14099681_2142443653"/>
      <w:bookmarkStart w:id="132" w:name="_Toc47"/>
      <w:bookmarkEnd w:id="130"/>
      <w:bookmarkEnd w:id="131"/>
      <w:r>
        <w:rPr>
          <w:rtl w:val="true"/>
        </w:rPr>
        <w:t>تبصرة</w:t>
      </w:r>
      <w:r>
        <w:rPr>
          <w:rtl w:val="true"/>
        </w:rPr>
        <w:t xml:space="preserve">: [ </w:t>
      </w:r>
      <w:r>
        <w:rPr>
          <w:rtl w:val="true"/>
        </w:rPr>
        <w:t xml:space="preserve">في كيفيّة تنجّس الجاري </w:t>
      </w:r>
      <w:r>
        <w:rPr>
          <w:rtl w:val="true"/>
        </w:rPr>
        <w:t>]</w:t>
      </w:r>
      <w:bookmarkEnd w:id="132"/>
    </w:p>
    <w:p>
      <w:pPr>
        <w:pStyle w:val="BookText"/>
        <w:rPr/>
      </w:pPr>
      <w:r>
        <w:rPr>
          <w:rFonts w:ascii="Amiri" w:hAnsi="Amiri" w:eastAsia="Amiri" w:cs="Amiri"/>
          <w:color w:val="111111"/>
          <w:sz w:val="28"/>
          <w:sz w:val="28"/>
          <w:szCs w:val="28"/>
          <w:rtl w:val="true"/>
          <w:lang w:bidi="ar-SA"/>
        </w:rPr>
        <w:t xml:space="preserve">لا ينجس الجاري بمجرّد ملاقاة النجاسة قليلا كان أو كثيرا على المشهور بين الأصحاب ، فأطلق </w:t>
      </w:r>
      <w:r>
        <w:rPr>
          <w:rStyle w:val="FootnoteAnchor"/>
          <w:rtl w:val="true"/>
        </w:rPr>
        <w:footnoteReference w:id="406"/>
      </w:r>
      <w:r>
        <w:rPr>
          <w:rFonts w:ascii="Amiri" w:hAnsi="Amiri" w:eastAsia="Amiri" w:cs="Amiri"/>
          <w:color w:val="111111"/>
          <w:sz w:val="28"/>
          <w:sz w:val="28"/>
          <w:szCs w:val="28"/>
          <w:rtl w:val="true"/>
          <w:lang w:bidi="ar-SA"/>
        </w:rPr>
        <w:t>في الخلاف والغنية والمعتبر والمنتهى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القاضي في شرح الجمل الإجماع على عدم تنجّس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رحمه‌اللّه في جملة من كتبه إلى اعتبار الكريّة في اعتصامه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الشهيد الثاني في المسالك والروضة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الروض إلى جماعة ، وظاهر ذلك اعتبار الكريّة في خصوص الخارج منه ، لا مع انضمامه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الأوّل ؛ للأصل والعمومات الدالّة على طهارة الماء ، وظاهر الإجماعات المحكيّة المطلقة ، وصريح الخاص منها ، وقول علي عليه‌السلام فيما رواه الراوندي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الجاري لا ينجّسه شي‌ء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الدعائم عنه عليه‌السلام في الماء الجاري يمرّ بالجيف والعذرة والدم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منه ويشرب وليس ينجّسه شي‌ء </w:t>
      </w:r>
      <w:r>
        <w:rPr>
          <w:rStyle w:val="FootnoteAnchor"/>
          <w:rtl w:val="true"/>
        </w:rPr>
        <w:footnoteReference w:id="408"/>
      </w:r>
      <w:r>
        <w:rPr>
          <w:rFonts w:ascii="Amiri" w:hAnsi="Amiri" w:eastAsia="Amiri" w:cs="Amiri"/>
          <w:color w:val="111111"/>
          <w:sz w:val="28"/>
          <w:sz w:val="28"/>
          <w:szCs w:val="28"/>
          <w:rtl w:val="true"/>
          <w:lang w:bidi="ar-SA"/>
        </w:rPr>
        <w:t xml:space="preserve">ما لم يتغيّر أوصافه وطعمه ولونه وريحه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مع اعتضادها بالشهرة العظيمة القريبة من الإجماع ، بل لا يعرف خلاف فيه ممّن سبق العلّامة كما في </w:t>
      </w:r>
    </w:p>
    <w:p>
      <w:pPr>
        <w:pStyle w:val="BookText"/>
        <w:rPr/>
      </w:pPr>
      <w:r>
        <w:rPr>
          <w:rFonts w:ascii="Amiri" w:hAnsi="Amiri" w:eastAsia="Amiri" w:cs="Amiri"/>
          <w:color w:val="111111"/>
          <w:sz w:val="28"/>
          <w:sz w:val="28"/>
          <w:szCs w:val="28"/>
          <w:rtl w:val="true"/>
          <w:lang w:bidi="ar-SA"/>
        </w:rPr>
        <w:t xml:space="preserve">الذكرى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ما ورد في ماء الحمام في الصحيح وغيره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كماء النهر يطهّر بعضه بعضا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وأنّه بمنزلة الجاري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المستفاد منها ظهور حكم الجاري حيث شبّه به ماء الحمّام ونزّل منزلته مع وضوح عدم اعتبار الكريّة فيه كما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اعتصام الماء بالمادّة كصحيحة </w:t>
      </w:r>
      <w:r>
        <w:rPr>
          <w:rStyle w:val="FootnoteAnchor"/>
          <w:rtl w:val="true"/>
        </w:rPr>
        <w:footnoteReference w:id="413"/>
      </w:r>
      <w:r>
        <w:rPr>
          <w:rFonts w:ascii="Amiri" w:hAnsi="Amiri" w:eastAsia="Amiri" w:cs="Amiri"/>
          <w:color w:val="111111"/>
          <w:sz w:val="28"/>
          <w:sz w:val="28"/>
          <w:szCs w:val="28"/>
          <w:rtl w:val="true"/>
          <w:lang w:bidi="ar-SA"/>
        </w:rPr>
        <w:t xml:space="preserve">ابن بزيع الواردة في البئر ، ولأنه لو تغير ما يقارب المنبع منه بالنجاسة وقطع التغيير </w:t>
      </w:r>
      <w:r>
        <w:rPr>
          <w:rStyle w:val="FootnoteAnchor"/>
          <w:rtl w:val="true"/>
        </w:rPr>
        <w:footnoteReference w:id="414"/>
      </w:r>
      <w:r>
        <w:rPr>
          <w:rFonts w:ascii="Amiri" w:hAnsi="Amiri" w:eastAsia="Amiri" w:cs="Amiri"/>
          <w:color w:val="111111"/>
          <w:sz w:val="28"/>
          <w:sz w:val="28"/>
          <w:szCs w:val="28"/>
          <w:rtl w:val="true"/>
          <w:lang w:bidi="ar-SA"/>
        </w:rPr>
        <w:t xml:space="preserve">عمود الماء بحيث يكون الباقي عند المنبع </w:t>
      </w:r>
      <w:r>
        <w:rPr>
          <w:rStyle w:val="FootnoteAnchor"/>
          <w:rtl w:val="true"/>
        </w:rPr>
        <w:footnoteReference w:id="415"/>
      </w:r>
      <w:r>
        <w:rPr>
          <w:rFonts w:ascii="Amiri" w:hAnsi="Amiri" w:eastAsia="Amiri" w:cs="Amiri"/>
          <w:color w:val="111111"/>
          <w:sz w:val="28"/>
          <w:sz w:val="28"/>
          <w:szCs w:val="28"/>
          <w:rtl w:val="true"/>
          <w:lang w:bidi="ar-SA"/>
        </w:rPr>
        <w:t>أقلّ من الكر لزم تنجّسه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ويتوقّف طهره حينئذ على ورود المطهّر عليه من خارج وإن جرى عليه من المنبع </w:t>
      </w:r>
      <w:r>
        <w:rPr>
          <w:rStyle w:val="FootnoteAnchor"/>
          <w:rtl w:val="true"/>
        </w:rPr>
        <w:footnoteReference w:id="416"/>
      </w:r>
      <w:r>
        <w:rPr>
          <w:rStyle w:val="FootnoteAnchor"/>
          <w:rtl w:val="true"/>
        </w:rPr>
        <w:footnoteReference w:id="417"/>
      </w:r>
      <w:r>
        <w:rPr>
          <w:rFonts w:ascii="Amiri" w:hAnsi="Amiri" w:eastAsia="Amiri" w:cs="Amiri"/>
          <w:color w:val="111111"/>
          <w:sz w:val="28"/>
          <w:sz w:val="28"/>
          <w:szCs w:val="28"/>
          <w:rtl w:val="true"/>
          <w:lang w:bidi="ar-SA"/>
        </w:rPr>
        <w:t>ما جرى ؛ لنقصان الخارج عن الكر وانفعاله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مع وضوح فساده يدفعه نصّ </w:t>
      </w:r>
      <w:r>
        <w:rPr>
          <w:rStyle w:val="FootnoteAnchor"/>
          <w:rtl w:val="true"/>
        </w:rPr>
        <w:footnoteReference w:id="418"/>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يطهّر بعضه بعضا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إطلاق ما دلّ على نفي البأس عن البول في الماء الجاري </w:t>
      </w:r>
      <w:r>
        <w:rPr>
          <w:rStyle w:val="FootnoteAnchor"/>
          <w:rtl w:val="true"/>
        </w:rPr>
        <w:footnoteReference w:id="420"/>
      </w:r>
      <w:r>
        <w:rPr>
          <w:rFonts w:ascii="IRNazanin" w:hAnsi="IRNazanin" w:eastAsia="IRNazanin"/>
          <w:color w:val="111111"/>
          <w:sz w:val="28"/>
          <w:sz w:val="28"/>
          <w:szCs w:val="28"/>
          <w:rtl w:val="true"/>
          <w:lang w:bidi="fa-IR"/>
        </w:rPr>
        <w:t xml:space="preserve">، ووقوع السؤال </w:t>
      </w:r>
    </w:p>
    <w:p>
      <w:pPr>
        <w:pStyle w:val="BookText"/>
        <w:rPr/>
      </w:pPr>
      <w:r>
        <w:rPr>
          <w:rFonts w:ascii="Amiri" w:hAnsi="Amiri" w:eastAsia="Amiri" w:cs="Amiri"/>
          <w:color w:val="111111"/>
          <w:sz w:val="28"/>
          <w:sz w:val="28"/>
          <w:szCs w:val="28"/>
          <w:rtl w:val="true"/>
          <w:lang w:bidi="ar-SA"/>
        </w:rPr>
        <w:t xml:space="preserve">في جميع تلك الأخبار عن </w:t>
      </w:r>
      <w:r>
        <w:rPr>
          <w:rStyle w:val="FootnoteAnchor"/>
          <w:rtl w:val="true"/>
        </w:rPr>
        <w:footnoteReference w:id="421"/>
      </w:r>
      <w:r>
        <w:rPr>
          <w:rFonts w:ascii="Amiri" w:hAnsi="Amiri" w:eastAsia="Amiri" w:cs="Amiri"/>
          <w:color w:val="111111"/>
          <w:sz w:val="28"/>
          <w:sz w:val="28"/>
          <w:szCs w:val="28"/>
          <w:rtl w:val="true"/>
          <w:lang w:bidi="ar-SA"/>
        </w:rPr>
        <w:t xml:space="preserve">حال الفعل إن سلّم 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Style w:val="FootnoteAnchor"/>
          <w:rtl w:val="true"/>
        </w:rPr>
        <w:footnoteReference w:id="422"/>
      </w:r>
      <w:r>
        <w:rPr>
          <w:rFonts w:ascii="Amiri" w:hAnsi="Amiri" w:eastAsia="Amiri" w:cs="Amiri"/>
          <w:color w:val="111111"/>
          <w:sz w:val="28"/>
          <w:sz w:val="28"/>
          <w:szCs w:val="28"/>
          <w:rtl w:val="true"/>
          <w:lang w:bidi="ar-SA"/>
        </w:rPr>
        <w:t xml:space="preserve">ما ذكره الشيخ محمّد والفاضل الجزائري دام ظلّه العالي </w:t>
      </w:r>
      <w:r>
        <w:rPr>
          <w:rStyle w:val="FootnoteAnchor"/>
          <w:rtl w:val="true"/>
        </w:rPr>
        <w:footnoteReference w:id="423"/>
      </w:r>
      <w:r>
        <w:rPr>
          <w:rFonts w:ascii="Amiri" w:hAnsi="Amiri" w:eastAsia="Amiri" w:cs="Amiri"/>
          <w:color w:val="111111"/>
          <w:sz w:val="28"/>
          <w:sz w:val="28"/>
          <w:szCs w:val="28"/>
          <w:rtl w:val="true"/>
          <w:lang w:bidi="ar-SA"/>
        </w:rPr>
        <w:t>؛ إذ ذلك أيضا من الآثار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بإطلاق الصحاح الدالّة على اشتراط الكرّية في عدم الانفعال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المناقشة في عمومها بحيث يشمل الجاري ؛ إذ المفهوم منها بملاحظة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ندرة الجاري في محلّ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الراكد ، مضافا إلى فهم الأصحاب منها ذلك ؛ أنها معارضة بروايات الجاري المعتضدة بالعمل والإجماعات المحكيّة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إذن في ترجيح جانب الطهارة لوجوه شتّى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عرفت من سائر الأدلّة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يضعّف القول المذكور أنّ القائل به هنا لا يقول به في البئر بل لا يعرف هناك قائل بالتّفصيل إلّا شاذ من الأصحاب ، فالقول بطهارة ما دون الكر منها دون سائر المياه النابعة في غاية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يقرّب هذا القول من المشهور بحمله على اعتبار الكريّة في مجموع الخارج والباقي في المادّة ؛ إذ في كثير من المياه الجارية يحصل القطع ببقاء الكرّ فيها ، وهو حينئذ وإن كان أقرب إلى ظاهر الدليل إلّا أنّه مخالف لظاهر كلامهم ، مردود بإطلاق الأدلّة المذكورة ، مع أنّ العلم به غير حاصل أيضا في كثير من المواضع خصوصا إذا كان نبعه ضعيفا وتعرضه الانقطاع في بعض الأحيان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فيه عدم العلم بالقلّة؟ وجهان ؛ من الأصل ، وإطلاق الأدلّة والشك في شمولها لمثله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بدّ من بقاء النبع حين ملاقاة النجاسة أو </w:t>
      </w:r>
      <w:r>
        <w:rPr>
          <w:rStyle w:val="FootnoteAnchor"/>
          <w:rtl w:val="true"/>
        </w:rPr>
        <w:footnoteReference w:id="425"/>
      </w:r>
      <w:r>
        <w:rPr>
          <w:rFonts w:ascii="Amiri" w:hAnsi="Amiri" w:eastAsia="Amiri" w:cs="Amiri"/>
          <w:color w:val="111111"/>
          <w:sz w:val="28"/>
          <w:sz w:val="28"/>
          <w:szCs w:val="28"/>
          <w:rtl w:val="true"/>
          <w:lang w:bidi="ar-SA"/>
        </w:rPr>
        <w:t>اتّصال الماء بالمنبع بحيث لو أخرج منه نبع مكانه ؛ لخروجه عن اسمه بعد انقطاعه ، ولأنّه السبب في الاعتصام كما دلّ عليه العلّة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مقصود الشهيد رحمه‌اللّه </w:t>
      </w:r>
      <w:r>
        <w:rPr>
          <w:rStyle w:val="FootnoteAnchor"/>
          <w:rtl w:val="true"/>
        </w:rPr>
        <w:footnoteReference w:id="426"/>
      </w:r>
      <w:r>
        <w:rPr>
          <w:rFonts w:ascii="Amiri" w:hAnsi="Amiri" w:eastAsia="Amiri" w:cs="Amiri"/>
          <w:color w:val="111111"/>
          <w:sz w:val="28"/>
          <w:sz w:val="28"/>
          <w:szCs w:val="28"/>
          <w:rtl w:val="true"/>
          <w:lang w:bidi="ar-SA"/>
        </w:rPr>
        <w:t>وغيره من اعتبار دوام النبع فيه كما اختاره جماعة في توجيه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إليه أنّ ظاهره في الذكرى </w:t>
      </w:r>
      <w:r>
        <w:rPr>
          <w:rStyle w:val="FootnoteAnchor"/>
          <w:rtl w:val="true"/>
        </w:rPr>
        <w:footnoteReference w:id="427"/>
      </w:r>
      <w:r>
        <w:rPr>
          <w:rFonts w:ascii="Amiri" w:hAnsi="Amiri" w:eastAsia="Amiri" w:cs="Amiri"/>
          <w:color w:val="111111"/>
          <w:sz w:val="28"/>
          <w:sz w:val="28"/>
          <w:szCs w:val="28"/>
          <w:rtl w:val="true"/>
          <w:lang w:bidi="ar-SA"/>
        </w:rPr>
        <w:t xml:space="preserve">الإجماع على عدم اعتبار ما عدا الكرية فيه ، ولو فسّر بمعنى عدم </w:t>
      </w:r>
      <w:r>
        <w:rPr>
          <w:rStyle w:val="FootnoteAnchor"/>
          <w:rtl w:val="true"/>
        </w:rPr>
        <w:footnoteReference w:id="428"/>
      </w:r>
      <w:r>
        <w:rPr>
          <w:rFonts w:ascii="Amiri" w:hAnsi="Amiri" w:eastAsia="Amiri" w:cs="Amiri"/>
          <w:color w:val="111111"/>
          <w:sz w:val="28"/>
          <w:sz w:val="28"/>
          <w:szCs w:val="28"/>
          <w:rtl w:val="true"/>
          <w:lang w:bidi="ar-SA"/>
        </w:rPr>
        <w:t>انقطاعه في بعض الأوقات كما يوهمه ظاهر العبارة ، فلا دليل عليه بل يدفعه ظاهر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خروجه عن المادة على نحو التقاطر من دون اتّصال بعض الأجزاء ببعض كان في حكم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قطع التغيير عمود الماء بالنّسبة إلى ما دون المتغير لانقطاعه عن المادة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تخيّله بعض أفاضل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الإطلاق لمثله وجواز اعتصامه بالمادّة وإن توسّطه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أطبقوا على إجراء حكم العليّة </w:t>
      </w:r>
      <w:r>
        <w:rPr>
          <w:rStyle w:val="FootnoteAnchor"/>
          <w:rtl w:val="true"/>
        </w:rPr>
        <w:footnoteReference w:id="429"/>
      </w:r>
      <w:r>
        <w:rPr>
          <w:rFonts w:ascii="IRNazanin" w:hAnsi="IRNazanin" w:eastAsia="IRNazanin"/>
          <w:color w:val="111111"/>
          <w:sz w:val="28"/>
          <w:sz w:val="28"/>
          <w:szCs w:val="28"/>
          <w:rtl w:val="true"/>
          <w:lang w:bidi="fa-IR"/>
        </w:rPr>
        <w:t xml:space="preserve">على </w:t>
      </w:r>
      <w:r>
        <w:rPr>
          <w:rStyle w:val="FootnoteAnchor"/>
          <w:rtl w:val="true"/>
        </w:rPr>
        <w:footnoteReference w:id="430"/>
      </w:r>
      <w:r>
        <w:rPr>
          <w:rFonts w:ascii="Amiri" w:hAnsi="Amiri" w:eastAsia="Amiri" w:cs="Amiri"/>
          <w:color w:val="111111"/>
          <w:sz w:val="28"/>
          <w:sz w:val="28"/>
          <w:szCs w:val="28"/>
          <w:rtl w:val="true"/>
          <w:lang w:bidi="ar-SA"/>
        </w:rPr>
        <w:t>دون المتغيّر مع قلّته وإن كان كثيرا فقد أطلقوا الحكم باعتصامه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التفصيل فيه على القول باعتبار تساوي السطوح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إلحاقه في ذلك بالجاري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عدم الفرق في المادّة بين ما يكون خروج الماء منها بطريق النبع والفوران أو </w:t>
      </w:r>
    </w:p>
    <w:p>
      <w:pPr>
        <w:pStyle w:val="BookText"/>
        <w:rPr/>
      </w:pPr>
      <w:r>
        <w:rPr>
          <w:rFonts w:ascii="Amiri" w:hAnsi="Amiri" w:eastAsia="Amiri" w:cs="Amiri"/>
          <w:color w:val="111111"/>
          <w:sz w:val="28"/>
          <w:sz w:val="28"/>
          <w:szCs w:val="28"/>
          <w:rtl w:val="true"/>
          <w:lang w:bidi="ar-SA"/>
        </w:rPr>
        <w:t>بنحو النز والرشح كما في بعض العيون والقنوات ؛ لظاهر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جريان الحكم في السماد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الماء المجتمع في الرمال بحيث إن كشف </w:t>
      </w:r>
      <w:r>
        <w:rPr>
          <w:rStyle w:val="FootnoteAnchor"/>
          <w:rtl w:val="true"/>
        </w:rPr>
        <w:footnoteReference w:id="432"/>
      </w:r>
      <w:r>
        <w:rPr>
          <w:rFonts w:ascii="Amiri" w:hAnsi="Amiri" w:eastAsia="Amiri" w:cs="Amiri"/>
          <w:color w:val="111111"/>
          <w:sz w:val="28"/>
          <w:sz w:val="28"/>
          <w:szCs w:val="28"/>
          <w:rtl w:val="true"/>
          <w:lang w:bidi="ar-SA"/>
        </w:rPr>
        <w:t xml:space="preserve">عنه ظهر من دون 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 أوجههما العدم ، فيلحقه أحكام الواقف ، إلّا أنّ الظاهر </w:t>
      </w:r>
      <w:r>
        <w:rPr>
          <w:rStyle w:val="FootnoteAnchor"/>
          <w:rtl w:val="true"/>
        </w:rPr>
        <w:footnoteReference w:id="433"/>
      </w:r>
      <w:r>
        <w:rPr>
          <w:rFonts w:ascii="IRNazanin" w:hAnsi="IRNazanin" w:eastAsia="IRNazanin"/>
          <w:color w:val="111111"/>
          <w:sz w:val="28"/>
          <w:sz w:val="28"/>
          <w:szCs w:val="28"/>
          <w:rtl w:val="true"/>
          <w:lang w:bidi="fa-IR"/>
        </w:rPr>
        <w:t xml:space="preserve">عدم </w:t>
      </w:r>
      <w:r>
        <w:rPr>
          <w:rStyle w:val="FootnoteAnchor"/>
          <w:rtl w:val="true"/>
        </w:rPr>
        <w:footnoteReference w:id="434"/>
      </w:r>
      <w:r>
        <w:rPr>
          <w:rFonts w:ascii="IRNazanin" w:hAnsi="IRNazanin" w:eastAsia="IRNazanin"/>
          <w:color w:val="111111"/>
          <w:sz w:val="28"/>
          <w:sz w:val="28"/>
          <w:szCs w:val="28"/>
          <w:rtl w:val="true"/>
          <w:lang w:bidi="fa-IR"/>
        </w:rPr>
        <w:t xml:space="preserve">اعتصام الظاهر </w:t>
      </w:r>
      <w:r>
        <w:rPr>
          <w:rStyle w:val="FootnoteAnchor"/>
          <w:rtl w:val="true"/>
        </w:rPr>
        <w:footnoteReference w:id="435"/>
      </w:r>
      <w:r>
        <w:rPr>
          <w:rFonts w:ascii="Amiri" w:hAnsi="Amiri" w:eastAsia="Amiri" w:cs="Amiri"/>
          <w:color w:val="111111"/>
          <w:sz w:val="28"/>
          <w:sz w:val="28"/>
          <w:szCs w:val="28"/>
          <w:rtl w:val="true"/>
          <w:lang w:bidi="ar-SA"/>
        </w:rPr>
        <w:t xml:space="preserve">بما خفي منه </w:t>
      </w:r>
      <w:r>
        <w:rPr>
          <w:rStyle w:val="FootnoteAnchor"/>
          <w:rtl w:val="true"/>
        </w:rPr>
        <w:footnoteReference w:id="436"/>
      </w:r>
      <w:r>
        <w:rPr>
          <w:rFonts w:ascii="Amiri" w:hAnsi="Amiri" w:eastAsia="Amiri" w:cs="Amiri"/>
          <w:color w:val="111111"/>
          <w:sz w:val="28"/>
          <w:sz w:val="28"/>
          <w:szCs w:val="28"/>
          <w:rtl w:val="true"/>
          <w:lang w:bidi="ar-SA"/>
        </w:rPr>
        <w:t>مع كثرة المجموع والاتّصال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ذاب الثلج ففار من موضع وخرج من آخر مع عدم مداخلته لمادّة العين ولا حصول اجتماع له هناك يصح </w:t>
      </w:r>
      <w:r>
        <w:rPr>
          <w:rStyle w:val="FootnoteAnchor"/>
          <w:rtl w:val="true"/>
        </w:rPr>
        <w:footnoteReference w:id="437"/>
      </w:r>
      <w:r>
        <w:rPr>
          <w:rFonts w:ascii="Amiri" w:hAnsi="Amiri" w:eastAsia="Amiri" w:cs="Amiri"/>
          <w:color w:val="111111"/>
          <w:sz w:val="28"/>
          <w:sz w:val="28"/>
          <w:szCs w:val="28"/>
          <w:rtl w:val="true"/>
          <w:lang w:bidi="ar-SA"/>
        </w:rPr>
        <w:t xml:space="preserve">صدق المادّة عليه كما يتّفق كثيرا في الجبال عند ذوبان الثلوج ونزول الأمطار ، ففي اندراجه في النابع إشكال ؛ إذ اعتصامه بمجرد الفار تحت الأرض غير ظاهر من الأدلّة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يعتبر في المادّة كونها تحت الأرض ، بل لو جرى من فوق كما في بعض العيون السائلة من صفحات الجبال كان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فاعتبار بعض الأصحاب نبعه من تحت الأرض محمول على الغالب أو على ما يشمل المذكور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في كون الماء جاريا عن المادّة و </w:t>
      </w:r>
      <w:r>
        <w:rPr>
          <w:rStyle w:val="FootnoteAnchor"/>
          <w:rtl w:val="true"/>
        </w:rPr>
        <w:footnoteReference w:id="440"/>
      </w:r>
      <w:r>
        <w:rPr>
          <w:rFonts w:ascii="Amiri" w:hAnsi="Amiri" w:eastAsia="Amiri" w:cs="Amiri"/>
          <w:color w:val="111111"/>
          <w:sz w:val="28"/>
          <w:sz w:val="28"/>
          <w:szCs w:val="28"/>
          <w:rtl w:val="true"/>
          <w:lang w:bidi="ar-SA"/>
        </w:rPr>
        <w:t xml:space="preserve">الثلج أو غيره بني </w:t>
      </w:r>
      <w:r>
        <w:rPr>
          <w:rStyle w:val="FootnoteAnchor"/>
          <w:rtl w:val="true"/>
        </w:rPr>
        <w:footnoteReference w:id="441"/>
      </w:r>
      <w:r>
        <w:rPr>
          <w:rFonts w:ascii="Amiri" w:hAnsi="Amiri" w:eastAsia="Amiri" w:cs="Amiri"/>
          <w:color w:val="111111"/>
          <w:sz w:val="28"/>
          <w:sz w:val="28"/>
          <w:szCs w:val="28"/>
          <w:rtl w:val="true"/>
          <w:lang w:bidi="ar-SA"/>
        </w:rPr>
        <w:t>على عدم الاعتصام في وجه 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شكّ في انفصاله فيها بعد الاتصال بني على أصالة البقاء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في انقطاع المادة من أصلها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w:t>
      </w:r>
      <w:r>
        <w:rPr>
          <w:rStyle w:val="FootnoteAnchor"/>
          <w:rtl w:val="true"/>
        </w:rPr>
        <w:footnoteReference w:id="442"/>
      </w:r>
      <w:r>
        <w:rPr>
          <w:rFonts w:ascii="Amiri" w:hAnsi="Amiri" w:eastAsia="Amiri" w:cs="Amiri"/>
          <w:color w:val="111111"/>
          <w:sz w:val="28"/>
          <w:sz w:val="28"/>
          <w:szCs w:val="28"/>
          <w:rtl w:val="true"/>
          <w:lang w:bidi="ar-SA"/>
        </w:rPr>
        <w:t>توارد عليه الحالان بني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التطهير </w:t>
      </w:r>
      <w:r>
        <w:rPr>
          <w:rStyle w:val="FootnoteAnchor"/>
          <w:rtl w:val="true"/>
        </w:rPr>
        <w:footnoteReference w:id="443"/>
      </w:r>
      <w:r>
        <w:rPr>
          <w:rFonts w:ascii="Amiri" w:hAnsi="Amiri" w:eastAsia="Amiri" w:cs="Amiri"/>
          <w:color w:val="111111"/>
          <w:sz w:val="28"/>
          <w:sz w:val="28"/>
          <w:szCs w:val="28"/>
          <w:rtl w:val="true"/>
          <w:lang w:bidi="ar-SA"/>
        </w:rPr>
        <w:t xml:space="preserve">على نحو المعتصمة </w:t>
      </w:r>
      <w:r>
        <w:rPr>
          <w:rStyle w:val="FootnoteAnchor"/>
          <w:rtl w:val="true"/>
        </w:rPr>
        <w:footnoteReference w:id="444"/>
      </w:r>
      <w:r>
        <w:rPr>
          <w:rFonts w:ascii="Amiri" w:hAnsi="Amiri" w:eastAsia="Amiri" w:cs="Amiri"/>
          <w:color w:val="111111"/>
          <w:sz w:val="28"/>
          <w:sz w:val="28"/>
          <w:szCs w:val="28"/>
          <w:rtl w:val="true"/>
          <w:lang w:bidi="ar-SA"/>
        </w:rPr>
        <w:t xml:space="preserve">إشكال ، و </w:t>
      </w:r>
      <w:r>
        <w:rPr>
          <w:rStyle w:val="FootnoteAnchor"/>
          <w:rtl w:val="true"/>
        </w:rPr>
        <w:footnoteReference w:id="445"/>
      </w:r>
      <w:r>
        <w:rPr>
          <w:rFonts w:ascii="IRNazanin" w:hAnsi="IRNazanin" w:eastAsia="IRNazanin"/>
          <w:color w:val="111111"/>
          <w:sz w:val="28"/>
          <w:sz w:val="28"/>
          <w:szCs w:val="28"/>
          <w:rtl w:val="true"/>
          <w:lang w:bidi="fa-IR"/>
        </w:rPr>
        <w:t>الأظهر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فيه تساوي السطوح بلا خلاف فيه يعرف حتّى ممّن اعتبره في الواقف للأصل وعموم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فيه على ما هو المختار لاعتصامه بالمادّة ، وأمّا عند القائل باشتراط الكريّة فلعلّه باستظهار حصول الوحدة العرفيّة هنا بمجرد الاتصال أو لما ذكره بعض </w:t>
      </w:r>
      <w:r>
        <w:rPr>
          <w:rStyle w:val="FootnoteAnchor"/>
          <w:rtl w:val="true"/>
        </w:rPr>
        <w:footnoteReference w:id="446"/>
      </w:r>
      <w:r>
        <w:rPr>
          <w:rFonts w:ascii="IRNazanin" w:hAnsi="IRNazanin" w:eastAsia="IRNazanin"/>
          <w:color w:val="111111"/>
          <w:sz w:val="28"/>
          <w:sz w:val="28"/>
          <w:szCs w:val="28"/>
          <w:rtl w:val="true"/>
          <w:lang w:bidi="fa-IR"/>
        </w:rPr>
        <w:t xml:space="preserve">الأفاضل </w:t>
      </w:r>
      <w:r>
        <w:rPr>
          <w:rStyle w:val="FootnoteAnchor"/>
          <w:rtl w:val="true"/>
        </w:rPr>
        <w:footnoteReference w:id="447"/>
      </w:r>
      <w:r>
        <w:rPr>
          <w:rFonts w:ascii="Amiri" w:hAnsi="Amiri" w:eastAsia="Amiri" w:cs="Amiri"/>
          <w:color w:val="111111"/>
          <w:sz w:val="28"/>
          <w:sz w:val="28"/>
          <w:szCs w:val="28"/>
          <w:rtl w:val="true"/>
          <w:lang w:bidi="ar-SA"/>
        </w:rPr>
        <w:t xml:space="preserve">من أنّه يرى في الجاري </w:t>
      </w:r>
      <w:r>
        <w:rPr>
          <w:rStyle w:val="FootnoteAnchor"/>
          <w:rtl w:val="true"/>
        </w:rPr>
        <w:footnoteReference w:id="448"/>
      </w:r>
      <w:r>
        <w:rPr>
          <w:rFonts w:ascii="Amiri" w:hAnsi="Amiri" w:eastAsia="Amiri" w:cs="Amiri"/>
          <w:color w:val="111111"/>
          <w:sz w:val="28"/>
          <w:sz w:val="28"/>
          <w:szCs w:val="28"/>
          <w:rtl w:val="true"/>
          <w:lang w:bidi="ar-SA"/>
        </w:rPr>
        <w:t xml:space="preserve">خصوصيّة لا يراها في غيره ؛ إذ الغالب عدم الاستواء </w:t>
      </w:r>
      <w:r>
        <w:rPr>
          <w:rStyle w:val="FootnoteAnchor"/>
          <w:rtl w:val="true"/>
        </w:rPr>
        <w:footnoteReference w:id="449"/>
      </w:r>
      <w:r>
        <w:rPr>
          <w:rFonts w:ascii="Amiri" w:hAnsi="Amiri" w:eastAsia="Amiri" w:cs="Amiri"/>
          <w:color w:val="111111"/>
          <w:sz w:val="28"/>
          <w:sz w:val="28"/>
          <w:szCs w:val="28"/>
          <w:rtl w:val="true"/>
          <w:lang w:bidi="ar-SA"/>
        </w:rPr>
        <w:t>، فلو اعتبر فيه ذلك لزم تنجّس الأنهار العظيمة بمجرّد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الجريان على نحو المعتاد ، وأمّا لو أجري الماء ببعض الأعمال إلى فوق مع جريانه إذن بنفسه أو بجذب أو وقوفه كذلك ففي اعتصام العالي بالسافل إشكال يتقوّى في بعض 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الإشكال في الأمواج المرتفعة من </w:t>
      </w:r>
      <w:r>
        <w:rPr>
          <w:rStyle w:val="FootnoteAnchor"/>
          <w:rtl w:val="true"/>
        </w:rPr>
        <w:footnoteReference w:id="450"/>
      </w:r>
      <w:r>
        <w:rPr>
          <w:rFonts w:ascii="Amiri" w:hAnsi="Amiri" w:eastAsia="Amiri" w:cs="Amiri"/>
          <w:color w:val="111111"/>
          <w:sz w:val="28"/>
          <w:sz w:val="28"/>
          <w:szCs w:val="28"/>
          <w:rtl w:val="true"/>
          <w:lang w:bidi="ar-SA"/>
        </w:rPr>
        <w:t>سطح الماء بهبوب الرياح</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في جميع ذلك الاعتصام لما سيجي‌ء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قطع جماعة من الأصحاب منهم </w:t>
      </w:r>
      <w:r>
        <w:rPr>
          <w:rStyle w:val="FootnoteAnchor"/>
          <w:rtl w:val="true"/>
        </w:rPr>
        <w:footnoteReference w:id="451"/>
      </w:r>
      <w:r>
        <w:rPr>
          <w:rFonts w:ascii="Amiri" w:hAnsi="Amiri" w:eastAsia="Amiri" w:cs="Amiri"/>
          <w:color w:val="111111"/>
          <w:sz w:val="28"/>
          <w:sz w:val="28"/>
          <w:szCs w:val="28"/>
          <w:rtl w:val="true"/>
          <w:lang w:bidi="ar-SA"/>
        </w:rPr>
        <w:t xml:space="preserve">الشهيد في الدروس </w:t>
      </w:r>
      <w:r>
        <w:rPr>
          <w:rStyle w:val="FootnoteAnchor"/>
          <w:rtl w:val="true"/>
        </w:rPr>
        <w:footnoteReference w:id="452"/>
      </w:r>
      <w:r>
        <w:rPr>
          <w:rFonts w:ascii="Amiri" w:hAnsi="Amiri" w:eastAsia="Amiri" w:cs="Amiri"/>
          <w:color w:val="111111"/>
          <w:sz w:val="28"/>
          <w:sz w:val="28"/>
          <w:szCs w:val="28"/>
          <w:rtl w:val="true"/>
          <w:lang w:bidi="ar-SA"/>
        </w:rPr>
        <w:t>بعدم اعتصام الواقف المتّصل بالجاري إذا كان أعلى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الدروس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علوّ الجاري فورانه من تحت الواقف ، فتأمّل</w:t>
      </w:r>
      <w:r>
        <w:rPr>
          <w:rFonts w:eastAsia="Amiri" w:cs="Amiri" w:ascii="Amiri" w:hAnsi="Amiri"/>
          <w:color w:val="111111"/>
          <w:sz w:val="28"/>
          <w:szCs w:val="28"/>
          <w:rtl w:val="true"/>
          <w:lang w:bidi="ar-SA"/>
        </w:rPr>
        <w:t xml:space="preserve">. </w:t>
      </w:r>
      <w:bookmarkStart w:id="133" w:name="pg15827_173633"/>
    </w:p>
    <w:p>
      <w:pPr>
        <w:pStyle w:val="Heading5"/>
        <w:numPr>
          <w:ilvl w:val="4"/>
          <w:numId w:val="1"/>
        </w:numPr>
        <w:rPr/>
      </w:pPr>
      <w:bookmarkStart w:id="134" w:name="__RefHeading___Toc14099683_2142443653"/>
      <w:bookmarkStart w:id="135" w:name="_Toc48"/>
      <w:bookmarkEnd w:id="133"/>
      <w:bookmarkEnd w:id="134"/>
      <w:r>
        <w:rPr>
          <w:rtl w:val="true"/>
        </w:rPr>
        <w:t>تبصرة</w:t>
      </w:r>
      <w:r>
        <w:rPr>
          <w:rtl w:val="true"/>
        </w:rPr>
        <w:t xml:space="preserve">: [ </w:t>
      </w:r>
      <w:r>
        <w:rPr>
          <w:rtl w:val="true"/>
        </w:rPr>
        <w:t xml:space="preserve">في اعتبار كرّية المادة وعدمه </w:t>
      </w:r>
      <w:r>
        <w:rPr>
          <w:rtl w:val="true"/>
        </w:rPr>
        <w:t>]</w:t>
      </w:r>
      <w:bookmarkEnd w:id="135"/>
    </w:p>
    <w:p>
      <w:pPr>
        <w:pStyle w:val="Heading6"/>
        <w:numPr>
          <w:ilvl w:val="5"/>
          <w:numId w:val="1"/>
        </w:numPr>
        <w:rPr/>
      </w:pPr>
      <w:bookmarkStart w:id="136" w:name="__RefHeading___Toc14099685_2142443653"/>
      <w:bookmarkStart w:id="137" w:name="_Toc49"/>
      <w:bookmarkEnd w:id="136"/>
      <w:r>
        <w:rPr>
          <w:rtl w:val="true"/>
        </w:rPr>
        <w:t>اشارة</w:t>
      </w:r>
      <w:bookmarkEnd w:id="137"/>
    </w:p>
    <w:p>
      <w:pPr>
        <w:pStyle w:val="BookText"/>
        <w:rPr/>
      </w:pPr>
      <w:r>
        <w:rPr>
          <w:rFonts w:ascii="Amiri" w:hAnsi="Amiri" w:eastAsia="Amiri" w:cs="Amiri"/>
          <w:color w:val="111111"/>
          <w:sz w:val="28"/>
          <w:sz w:val="28"/>
          <w:szCs w:val="28"/>
          <w:rtl w:val="true"/>
          <w:lang w:bidi="ar-SA"/>
        </w:rPr>
        <w:t xml:space="preserve">لا خلاف بين الأصحاب </w:t>
      </w:r>
      <w:r>
        <w:rPr>
          <w:rStyle w:val="FootnoteAnchor"/>
          <w:rtl w:val="true"/>
        </w:rPr>
        <w:footnoteReference w:id="454"/>
      </w:r>
      <w:r>
        <w:rPr>
          <w:rFonts w:ascii="Amiri" w:hAnsi="Amiri" w:eastAsia="Amiri" w:cs="Amiri"/>
          <w:color w:val="111111"/>
          <w:sz w:val="28"/>
          <w:sz w:val="28"/>
          <w:szCs w:val="28"/>
          <w:rtl w:val="true"/>
          <w:lang w:bidi="ar-SA"/>
        </w:rPr>
        <w:t>في عدم انفعال ماء الحمّام في الجملة بمجرّد ملاقاة النجاسة مع اتّصاله بالمادّة ، بل الظاهر أنّه ممّا لا خلاف فيه بين المسلمين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 على ما نصّ عليه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حياضة الصغار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بعضهم بها ما يشابهها ، والأصل في الحكم بعد الأصل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المستفيضة كصحيحة داود بن سرحان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ماء الحمّام؟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بمنزلة الجاري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إسماعيل بن جابر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لا ينجّسه شي‌ء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ابن أبي يعفور الماضية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 الحكم فيها مقيّد بالاتّصال بالمادّة للإطباق عليه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الصحيحة والمرفوعة إشارة إليه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خصوص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لا بأس به إذا كانت له مادّة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ما في الفقه الرضوي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 بحكم العرف الاتصال بالمادّة لا وجودها من دونه ، وهو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w:t>
      </w:r>
      <w:r>
        <w:rPr>
          <w:rStyle w:val="FootnoteAnchor"/>
          <w:rtl w:val="true"/>
        </w:rPr>
        <w:footnoteReference w:id="460"/>
      </w:r>
      <w:r>
        <w:rPr>
          <w:rFonts w:ascii="Amiri" w:hAnsi="Amiri" w:eastAsia="Amiri" w:cs="Amiri"/>
          <w:color w:val="111111"/>
          <w:sz w:val="28"/>
          <w:sz w:val="28"/>
          <w:szCs w:val="28"/>
          <w:rtl w:val="true"/>
          <w:lang w:bidi="ar-SA"/>
        </w:rPr>
        <w:t>وقع الكلام في المقام في اعتبار الكريّة في المادّة ، وفي طريق تطهيره ، وفي إلحاق غيره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w:t>
      </w:r>
      <w:r>
        <w:rPr>
          <w:rStyle w:val="FootnoteAnchor"/>
          <w:rtl w:val="true"/>
        </w:rPr>
        <w:footnoteReference w:id="461"/>
      </w:r>
      <w:r>
        <w:rPr>
          <w:rFonts w:ascii="Amiri" w:hAnsi="Amiri" w:eastAsia="Amiri" w:cs="Amiri"/>
          <w:color w:val="111111"/>
          <w:sz w:val="28"/>
          <w:sz w:val="28"/>
          <w:szCs w:val="28"/>
          <w:rtl w:val="true"/>
          <w:lang w:bidi="ar-SA"/>
        </w:rPr>
        <w:t xml:space="preserve">عليه يحمل ما في الصحيح عن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مع المسلم في الحمّام؟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 أنّه نصرانيّ اغتسل بغير ماء الحمّام إلّا أن يغتسل وحده على الحوض فيغسله ثمّ يغتسل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النهي أوّلا </w:t>
      </w:r>
      <w:r>
        <w:rPr>
          <w:rStyle w:val="FootnoteAnchor"/>
          <w:rtl w:val="true"/>
        </w:rPr>
        <w:footnoteReference w:id="463"/>
      </w:r>
      <w:r>
        <w:rPr>
          <w:rFonts w:ascii="IRNazanin" w:hAnsi="IRNazanin" w:eastAsia="IRNazanin"/>
          <w:color w:val="111111"/>
          <w:sz w:val="28"/>
          <w:sz w:val="28"/>
          <w:szCs w:val="28"/>
          <w:rtl w:val="true"/>
          <w:lang w:bidi="fa-IR"/>
        </w:rPr>
        <w:t xml:space="preserve">على ما إذا اشتدّت </w:t>
      </w:r>
      <w:r>
        <w:rPr>
          <w:rStyle w:val="FootnoteAnchor"/>
          <w:rtl w:val="true"/>
        </w:rPr>
        <w:footnoteReference w:id="464"/>
      </w:r>
      <w:r>
        <w:rPr>
          <w:rFonts w:ascii="Amiri" w:hAnsi="Amiri" w:eastAsia="Amiri" w:cs="Amiri"/>
          <w:color w:val="111111"/>
          <w:sz w:val="28"/>
          <w:sz w:val="28"/>
          <w:szCs w:val="28"/>
          <w:rtl w:val="true"/>
          <w:lang w:bidi="ar-SA"/>
        </w:rPr>
        <w:t xml:space="preserve">المادّة حال الغسل ، وتجويزه الغسل بعد غسله </w:t>
      </w:r>
      <w:r>
        <w:rPr>
          <w:rStyle w:val="FootnoteAnchor"/>
          <w:rtl w:val="true"/>
        </w:rPr>
        <w:footnoteReference w:id="465"/>
      </w:r>
      <w:r>
        <w:rPr>
          <w:rFonts w:ascii="Amiri" w:hAnsi="Amiri" w:eastAsia="Amiri" w:cs="Amiri"/>
          <w:color w:val="111111"/>
          <w:sz w:val="28"/>
          <w:sz w:val="28"/>
          <w:szCs w:val="28"/>
          <w:rtl w:val="true"/>
          <w:lang w:bidi="ar-SA"/>
        </w:rPr>
        <w:t>وإجراء المادّة وتطهيره للحوض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w:t>
      </w:r>
      <w:r>
        <w:rPr>
          <w:rStyle w:val="FootnoteAnchor"/>
          <w:rtl w:val="true"/>
        </w:rPr>
        <w:footnoteReference w:id="466"/>
      </w:r>
      <w:r>
        <w:rPr>
          <w:rFonts w:ascii="Amiri" w:hAnsi="Amiri" w:eastAsia="Amiri" w:cs="Amiri"/>
          <w:color w:val="111111"/>
          <w:sz w:val="28"/>
          <w:sz w:val="28"/>
          <w:szCs w:val="28"/>
          <w:rtl w:val="true"/>
          <w:lang w:bidi="ar-SA"/>
        </w:rPr>
        <w:t xml:space="preserve">وقع الكلام في المقام في اعتبار الكريّة في المادّة ، و </w:t>
      </w:r>
      <w:r>
        <w:rPr>
          <w:rStyle w:val="FootnoteAnchor"/>
          <w:rtl w:val="true"/>
        </w:rPr>
        <w:footnoteReference w:id="467"/>
      </w:r>
      <w:r>
        <w:rPr>
          <w:rFonts w:ascii="Amiri" w:hAnsi="Amiri" w:eastAsia="Amiri" w:cs="Amiri"/>
          <w:color w:val="111111"/>
          <w:sz w:val="28"/>
          <w:sz w:val="28"/>
          <w:szCs w:val="28"/>
          <w:rtl w:val="true"/>
          <w:lang w:bidi="ar-SA"/>
        </w:rPr>
        <w:t xml:space="preserve">في طريق تطهيره ، وفي إلحاق غيره به ، فالبحث هنا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الكرية في المادّة أو في المجموع ، ولهم 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الكريّة في خصوص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العلامة رحمه‌اللّه في جملة </w:t>
      </w:r>
      <w:r>
        <w:rPr>
          <w:rStyle w:val="FootnoteAnchor"/>
          <w:rtl w:val="true"/>
        </w:rPr>
        <w:footnoteReference w:id="468"/>
      </w:r>
      <w:r>
        <w:rPr>
          <w:rFonts w:ascii="Amiri" w:hAnsi="Amiri" w:eastAsia="Amiri" w:cs="Amiri"/>
          <w:color w:val="111111"/>
          <w:sz w:val="28"/>
          <w:sz w:val="28"/>
          <w:szCs w:val="28"/>
          <w:rtl w:val="true"/>
          <w:lang w:bidi="ar-SA"/>
        </w:rPr>
        <w:t>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المدارك </w:t>
      </w:r>
      <w:r>
        <w:rPr>
          <w:rStyle w:val="FootnoteAnchor"/>
          <w:rtl w:val="true"/>
        </w:rPr>
        <w:footnoteReference w:id="470"/>
      </w:r>
      <w:r>
        <w:rPr>
          <w:rFonts w:ascii="Amiri" w:hAnsi="Amiri" w:eastAsia="Amiri" w:cs="Amiri"/>
          <w:color w:val="111111"/>
          <w:sz w:val="28"/>
          <w:sz w:val="28"/>
          <w:szCs w:val="28"/>
          <w:rtl w:val="true"/>
          <w:lang w:bidi="ar-SA"/>
        </w:rPr>
        <w:t>إلى أكثر المتأخرين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471"/>
      </w:r>
      <w:r>
        <w:rPr>
          <w:rFonts w:ascii="Amiri" w:hAnsi="Amiri" w:eastAsia="Amiri" w:cs="Amiri"/>
          <w:color w:val="111111"/>
          <w:sz w:val="28"/>
          <w:sz w:val="28"/>
          <w:szCs w:val="28"/>
          <w:rtl w:val="true"/>
          <w:lang w:bidi="ar-SA"/>
        </w:rPr>
        <w:t>أنّه ظاهر أكثر المتأخرين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الذخيرة </w:t>
      </w:r>
      <w:r>
        <w:rPr>
          <w:rStyle w:val="FootnoteAnchor"/>
          <w:rtl w:val="true"/>
        </w:rPr>
        <w:footnoteReference w:id="472"/>
      </w:r>
      <w:r>
        <w:rPr>
          <w:rFonts w:ascii="IRNazanin" w:hAnsi="IRNazanin" w:eastAsia="IRNazanin"/>
          <w:color w:val="111111"/>
          <w:sz w:val="28"/>
          <w:sz w:val="28"/>
          <w:szCs w:val="28"/>
          <w:rtl w:val="true"/>
          <w:lang w:bidi="fa-IR"/>
        </w:rPr>
        <w:t xml:space="preserve">والحدائق </w:t>
      </w:r>
      <w:r>
        <w:rPr>
          <w:rStyle w:val="FootnoteAnchor"/>
          <w:rtl w:val="true"/>
        </w:rPr>
        <w:footnoteReference w:id="473"/>
      </w:r>
      <w:r>
        <w:rPr>
          <w:rFonts w:ascii="Amiri" w:hAnsi="Amiri" w:eastAsia="Amiri" w:cs="Amiri"/>
          <w:color w:val="111111"/>
          <w:sz w:val="28"/>
          <w:sz w:val="28"/>
          <w:szCs w:val="28"/>
          <w:rtl w:val="true"/>
          <w:lang w:bidi="ar-SA"/>
        </w:rPr>
        <w:t xml:space="preserve">أيضا أنّه المشهور ، وكأنّ المراد به اعتبار الكريّة في الجملة </w:t>
      </w:r>
      <w:r>
        <w:rPr>
          <w:rStyle w:val="FootnoteAnchor"/>
          <w:rtl w:val="true"/>
        </w:rPr>
        <w:footnoteReference w:id="474"/>
      </w:r>
      <w:r>
        <w:rPr>
          <w:rFonts w:ascii="Amiri" w:hAnsi="Amiri" w:eastAsia="Amiri" w:cs="Amiri"/>
          <w:color w:val="111111"/>
          <w:sz w:val="28"/>
          <w:sz w:val="28"/>
          <w:szCs w:val="28"/>
          <w:rtl w:val="true"/>
          <w:lang w:bidi="ar-SA"/>
        </w:rPr>
        <w:t>لا في خصوص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يرجع ما في التحرير من اعتبار </w:t>
      </w:r>
      <w:r>
        <w:rPr>
          <w:rStyle w:val="FootnoteAnchor"/>
          <w:rtl w:val="true"/>
        </w:rPr>
        <w:footnoteReference w:id="475"/>
      </w:r>
      <w:r>
        <w:rPr>
          <w:rFonts w:ascii="Amiri" w:hAnsi="Amiri" w:eastAsia="Amiri" w:cs="Amiri"/>
          <w:color w:val="111111"/>
          <w:sz w:val="28"/>
          <w:sz w:val="28"/>
          <w:szCs w:val="28"/>
          <w:rtl w:val="true"/>
          <w:lang w:bidi="ar-SA"/>
        </w:rPr>
        <w:t xml:space="preserve">الزيادة على الكر فيها بحمله على اعتبارها لأجل </w:t>
      </w:r>
      <w:r>
        <w:rPr>
          <w:rStyle w:val="FootnoteAnchor"/>
          <w:rtl w:val="true"/>
        </w:rPr>
        <w:footnoteReference w:id="476"/>
      </w:r>
      <w:r>
        <w:rPr>
          <w:rFonts w:ascii="Amiri" w:hAnsi="Amiri" w:eastAsia="Amiri" w:cs="Amiri"/>
          <w:color w:val="111111"/>
          <w:sz w:val="28"/>
          <w:sz w:val="28"/>
          <w:szCs w:val="28"/>
          <w:rtl w:val="true"/>
          <w:lang w:bidi="ar-SA"/>
        </w:rPr>
        <w:t>حصول النقص عنه لولاها لما يجري منها إلى الحوض ، فليس اعتبارها لنفسها بل لإحراز الكريّة المعتبرة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نبّه في جامع المقاصد </w:t>
      </w:r>
      <w:r>
        <w:rPr>
          <w:rStyle w:val="FootnoteAnchor"/>
          <w:rtl w:val="true"/>
        </w:rPr>
        <w:footnoteReference w:id="477"/>
      </w:r>
      <w:r>
        <w:rPr>
          <w:rFonts w:ascii="Amiri" w:hAnsi="Amiri" w:eastAsia="Amiri" w:cs="Amiri"/>
          <w:color w:val="111111"/>
          <w:sz w:val="28"/>
          <w:sz w:val="28"/>
          <w:szCs w:val="28"/>
          <w:rtl w:val="true"/>
          <w:lang w:bidi="ar-SA"/>
        </w:rPr>
        <w:t>على اعتبار الزيادة معلّلا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للأصحاب </w:t>
      </w:r>
      <w:r>
        <w:rPr>
          <w:rStyle w:val="FootnoteAnchor"/>
          <w:rtl w:val="true"/>
        </w:rPr>
        <w:footnoteReference w:id="478"/>
      </w:r>
      <w:r>
        <w:rPr>
          <w:rFonts w:ascii="Amiri" w:hAnsi="Amiri" w:eastAsia="Amiri" w:cs="Amiri"/>
          <w:color w:val="111111"/>
          <w:sz w:val="28"/>
          <w:sz w:val="28"/>
          <w:szCs w:val="28"/>
          <w:rtl w:val="true"/>
          <w:lang w:bidi="ar-SA"/>
        </w:rPr>
        <w:t>مخالفا في عدم انفعاله بالملاقاة مع بلوغ المادة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الكريّة في خصوص المادّة مع علوّها ومع تساويها ، فالمعتبر كريّة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نصّ المحقّق الكركي </w:t>
      </w:r>
      <w:r>
        <w:rPr>
          <w:rStyle w:val="FootnoteAnchor"/>
          <w:rtl w:val="true"/>
        </w:rPr>
        <w:footnoteReference w:id="479"/>
      </w:r>
      <w:r>
        <w:rPr>
          <w:rFonts w:ascii="Amiri" w:hAnsi="Amiri" w:eastAsia="Amiri" w:cs="Amiri"/>
          <w:color w:val="111111"/>
          <w:sz w:val="28"/>
          <w:sz w:val="28"/>
          <w:szCs w:val="28"/>
          <w:rtl w:val="true"/>
          <w:lang w:bidi="ar-SA"/>
        </w:rPr>
        <w:t>وغيره ، وقد يرجع القول الأوّل إليه حملا لإطلاق كلامهم على الغالب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نبّه عليه في الذخيرة </w:t>
      </w:r>
      <w:r>
        <w:rPr>
          <w:rStyle w:val="FootnoteAnchor"/>
          <w:rtl w:val="true"/>
        </w:rPr>
        <w:footnoteReference w:id="4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المتّجه كما حكموا به في مسألة الغديرين </w:t>
      </w:r>
      <w:r>
        <w:rPr>
          <w:rStyle w:val="FootnoteAnchor"/>
          <w:rtl w:val="true"/>
        </w:rPr>
        <w:footnoteReference w:id="481"/>
      </w:r>
      <w:r>
        <w:rPr>
          <w:rFonts w:ascii="IRNazanin" w:hAnsi="IRNazanin" w:eastAsia="IRNazanin"/>
          <w:color w:val="111111"/>
          <w:sz w:val="28"/>
          <w:sz w:val="28"/>
          <w:szCs w:val="28"/>
          <w:rtl w:val="true"/>
          <w:lang w:bidi="fa-IR"/>
        </w:rPr>
        <w:t xml:space="preserve">، وهو </w:t>
      </w:r>
    </w:p>
    <w:p>
      <w:pPr>
        <w:pStyle w:val="BookText"/>
        <w:rPr/>
      </w:pPr>
      <w:r>
        <w:rPr>
          <w:rFonts w:ascii="Amiri" w:hAnsi="Amiri" w:eastAsia="Amiri" w:cs="Amiri"/>
          <w:color w:val="111111"/>
          <w:sz w:val="28"/>
          <w:sz w:val="28"/>
          <w:szCs w:val="28"/>
          <w:rtl w:val="true"/>
          <w:lang w:bidi="ar-SA"/>
        </w:rPr>
        <w:t xml:space="preserve">الظاهر في حقّ من صرّح به في مسألة الغديرين كالعلّامة رحمه‌اللّه </w:t>
      </w:r>
      <w:r>
        <w:rPr>
          <w:rStyle w:val="FootnoteAnchor"/>
          <w:rtl w:val="true"/>
        </w:rPr>
        <w:footnoteReference w:id="482"/>
      </w:r>
      <w:r>
        <w:rPr>
          <w:rFonts w:ascii="Amiri" w:hAnsi="Amiri" w:eastAsia="Amiri" w:cs="Amiri"/>
          <w:color w:val="111111"/>
          <w:sz w:val="28"/>
          <w:sz w:val="28"/>
          <w:szCs w:val="28"/>
          <w:rtl w:val="true"/>
          <w:lang w:bidi="ar-SA"/>
        </w:rPr>
        <w:t xml:space="preserve">لوضوح أنّ الحكم في الحمّام إن لم يكن أضعف </w:t>
      </w:r>
      <w:r>
        <w:rPr>
          <w:rStyle w:val="FootnoteAnchor"/>
          <w:rtl w:val="true"/>
        </w:rPr>
        <w:footnoteReference w:id="483"/>
      </w:r>
      <w:r>
        <w:rPr>
          <w:rFonts w:ascii="Amiri" w:hAnsi="Amiri" w:eastAsia="Amiri" w:cs="Amiri"/>
          <w:color w:val="111111"/>
          <w:sz w:val="28"/>
          <w:sz w:val="28"/>
          <w:szCs w:val="28"/>
          <w:rtl w:val="true"/>
          <w:lang w:bidi="ar-SA"/>
        </w:rPr>
        <w:t>فليس بأشدّ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الكريّة في المجموع من المادّة وما في المجرى والحوض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في الدروس والروض </w:t>
      </w:r>
      <w:r>
        <w:rPr>
          <w:rStyle w:val="FootnoteAnchor"/>
          <w:rtl w:val="true"/>
        </w:rPr>
        <w:footnoteReference w:id="484"/>
      </w:r>
      <w:r>
        <w:rPr>
          <w:rFonts w:ascii="Amiri" w:hAnsi="Amiri" w:eastAsia="Amiri" w:cs="Amiri"/>
          <w:color w:val="111111"/>
          <w:sz w:val="28"/>
          <w:sz w:val="28"/>
          <w:szCs w:val="28"/>
          <w:rtl w:val="true"/>
          <w:lang w:bidi="ar-SA"/>
        </w:rPr>
        <w:t>وجماعة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يرجع القولان الأوّلان إلى ذلك بحملها </w:t>
      </w:r>
      <w:r>
        <w:rPr>
          <w:rStyle w:val="FootnoteAnchor"/>
          <w:rtl w:val="true"/>
        </w:rPr>
        <w:footnoteReference w:id="485"/>
      </w:r>
      <w:r>
        <w:rPr>
          <w:rFonts w:ascii="Amiri" w:hAnsi="Amiri" w:eastAsia="Amiri" w:cs="Amiri"/>
          <w:color w:val="111111"/>
          <w:sz w:val="28"/>
          <w:sz w:val="28"/>
          <w:szCs w:val="28"/>
          <w:rtl w:val="true"/>
          <w:lang w:bidi="ar-SA"/>
        </w:rPr>
        <w:t>على اعتبار الكريّة فيها قبل إجرائها في الحوض ، وأمّا بعده فالمعتبر كريّة المجموع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المختار يكتفى في اعتصام ما في الحياض بكريّة المجموع ، ولا يكتفى به في اعتصام ما في المجرى ، فينجس ما فيه وما في الحوض إذا لاقاه النجاسة مع تسميته </w:t>
      </w:r>
      <w:r>
        <w:rPr>
          <w:rStyle w:val="FootnoteAnchor"/>
          <w:rtl w:val="true"/>
        </w:rPr>
        <w:footnoteReference w:id="486"/>
      </w:r>
      <w:r>
        <w:rPr>
          <w:rFonts w:ascii="Amiri" w:hAnsi="Amiri" w:eastAsia="Amiri" w:cs="Amiri"/>
          <w:color w:val="111111"/>
          <w:sz w:val="28"/>
          <w:sz w:val="28"/>
          <w:szCs w:val="28"/>
          <w:rtl w:val="true"/>
          <w:lang w:bidi="ar-SA"/>
        </w:rPr>
        <w:t>على الحوض كما هو الشائع ، وكذا الحال في المادّة ، فينجس الجميع لما سيجي‌ء بيانه من عدم تقوّي الأعلى بالأسفل كذلك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الاعتبار بالكريّة مطلقا وقد يعزى ذلك إلى ظاهر جماعة من الأصحاب كالصدوقين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والطوسي </w:t>
      </w:r>
      <w:r>
        <w:rPr>
          <w:rStyle w:val="FootnoteAnchor"/>
          <w:rtl w:val="true"/>
        </w:rPr>
        <w:footnoteReference w:id="488"/>
      </w:r>
      <w:r>
        <w:rPr>
          <w:rFonts w:ascii="Amiri" w:hAnsi="Amiri" w:eastAsia="Amiri" w:cs="Amiri"/>
          <w:color w:val="111111"/>
          <w:sz w:val="28"/>
          <w:sz w:val="28"/>
          <w:szCs w:val="28"/>
          <w:rtl w:val="true"/>
          <w:lang w:bidi="ar-SA"/>
        </w:rPr>
        <w:t xml:space="preserve">والحلّي </w:t>
      </w:r>
      <w:r>
        <w:rPr>
          <w:rStyle w:val="FootnoteAnchor"/>
          <w:rtl w:val="true"/>
        </w:rPr>
        <w:footnoteReference w:id="489"/>
      </w:r>
      <w:r>
        <w:rPr>
          <w:rFonts w:ascii="Amiri" w:hAnsi="Amiri" w:eastAsia="Amiri" w:cs="Amiri"/>
          <w:color w:val="111111"/>
          <w:sz w:val="28"/>
          <w:sz w:val="28"/>
          <w:szCs w:val="28"/>
          <w:rtl w:val="true"/>
          <w:lang w:bidi="ar-SA"/>
        </w:rPr>
        <w:t xml:space="preserve">والعلّامة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w:t>
      </w:r>
      <w:r>
        <w:rPr>
          <w:rStyle w:val="FootnoteAnchor"/>
          <w:rtl w:val="true"/>
        </w:rPr>
        <w:footnoteReference w:id="491"/>
      </w:r>
      <w:r>
        <w:rPr>
          <w:rFonts w:ascii="Amiri" w:hAnsi="Amiri" w:eastAsia="Amiri" w:cs="Amiri"/>
          <w:color w:val="111111"/>
          <w:sz w:val="28"/>
          <w:sz w:val="28"/>
          <w:szCs w:val="28"/>
          <w:rtl w:val="true"/>
          <w:lang w:bidi="ar-SA"/>
        </w:rPr>
        <w:t xml:space="preserve">وابن فهد في المحرّر حيث أطلقوا القول ولم يشترطوا الكريّة في المادّة إلّا </w:t>
      </w:r>
      <w:r>
        <w:rPr>
          <w:rStyle w:val="FootnoteAnchor"/>
          <w:rtl w:val="true"/>
        </w:rPr>
        <w:footnoteReference w:id="492"/>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 xml:space="preserve">المجمع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المحقّق </w:t>
      </w:r>
      <w:r>
        <w:rPr>
          <w:rStyle w:val="FootnoteAnchor"/>
          <w:rtl w:val="true"/>
        </w:rPr>
        <w:footnoteReference w:id="494"/>
      </w:r>
      <w:r>
        <w:rPr>
          <w:rFonts w:ascii="Amiri" w:hAnsi="Amiri" w:eastAsia="Amiri" w:cs="Amiri"/>
          <w:color w:val="111111"/>
          <w:sz w:val="28"/>
          <w:sz w:val="28"/>
          <w:szCs w:val="28"/>
          <w:rtl w:val="true"/>
          <w:lang w:bidi="ar-SA"/>
        </w:rPr>
        <w:t xml:space="preserve">بعدم اعتبار الكريّة في المادّة مع عدم ذكره لاعتباره الكرّيّة في المجمع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يرجع كلامه إلى السابق بحمله على عدم اعتبار الكريّة في خصوص المادّة ؛ إذ لو بني على ظاهره لزمه القول بتطهير ما في الحياض بمجرّد اتّصاله بالقليل الّذي في المادّة ، وهو خلاف ما اتّفقوا عليه من عدم تطهير الماء النجس إلّا بالكرّ أو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قيل ،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بعض متأخري المتأخرين على اختيار هذا القول ، وحكي الميل إليه من جماعة من المتأخرين ومتأخريهم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أصالة الطهارة ، وعدم اعتبار استواء السطوح في الكر على ما سيجي‌ء ، فلا أقلّ من إجراء حكم الكرّ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الروايات ، وعدم شاهد على التقييد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بذلك ضعف ما يحتجّ به للقول باعتبار الكريّة في نفس المادّة من أنّها مع عدم كرّيتها لا يكون </w:t>
      </w:r>
      <w:r>
        <w:rPr>
          <w:rStyle w:val="FootnoteAnchor"/>
          <w:rtl w:val="true"/>
        </w:rPr>
        <w:footnoteReference w:id="496"/>
      </w:r>
      <w:r>
        <w:rPr>
          <w:rFonts w:ascii="Amiri" w:hAnsi="Amiri" w:eastAsia="Amiri" w:cs="Amiri"/>
          <w:color w:val="111111"/>
          <w:sz w:val="28"/>
          <w:sz w:val="28"/>
          <w:szCs w:val="28"/>
          <w:rtl w:val="true"/>
          <w:lang w:bidi="ar-SA"/>
        </w:rPr>
        <w:t>عاصمة لنفسها فكيف تعصم غيرها؟</w:t>
      </w:r>
    </w:p>
    <w:p>
      <w:pPr>
        <w:pStyle w:val="BookText"/>
        <w:rPr/>
      </w:pPr>
      <w:r>
        <w:rPr>
          <w:rFonts w:ascii="Amiri" w:hAnsi="Amiri" w:eastAsia="Amiri" w:cs="Amiri"/>
          <w:color w:val="111111"/>
          <w:sz w:val="28"/>
          <w:sz w:val="28"/>
          <w:szCs w:val="28"/>
          <w:rtl w:val="true"/>
          <w:lang w:bidi="ar-SA"/>
        </w:rPr>
        <w:t xml:space="preserve">لما عرفت من أنّ الاعتصام إذن لا تكون بها وحدها بل لمجموع </w:t>
      </w:r>
      <w:r>
        <w:rPr>
          <w:rStyle w:val="FootnoteAnchor"/>
          <w:rtl w:val="true"/>
        </w:rPr>
        <w:footnoteReference w:id="497"/>
      </w:r>
      <w:r>
        <w:rPr>
          <w:rFonts w:ascii="Amiri" w:hAnsi="Amiri" w:eastAsia="Amiri" w:cs="Amiri"/>
          <w:color w:val="111111"/>
          <w:sz w:val="28"/>
          <w:sz w:val="28"/>
          <w:szCs w:val="28"/>
          <w:rtl w:val="true"/>
          <w:lang w:bidi="ar-SA"/>
        </w:rPr>
        <w:t>ما فيها وما في الحوض والمجرى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أيضا وجه القول بالتّفصيل وضعفه ؛ لابتنائه على مراعاة استواء السطوح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المحقّق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الروايات الدالّة على عدم انفعال ماء الحمّام لشمولها ما إذا كانت </w:t>
      </w:r>
    </w:p>
    <w:p>
      <w:pPr>
        <w:pStyle w:val="BookText"/>
        <w:rPr/>
      </w:pPr>
      <w:r>
        <w:rPr>
          <w:rFonts w:ascii="Amiri" w:hAnsi="Amiri" w:eastAsia="Amiri" w:cs="Amiri"/>
          <w:color w:val="111111"/>
          <w:sz w:val="28"/>
          <w:sz w:val="28"/>
          <w:szCs w:val="28"/>
          <w:rtl w:val="true"/>
          <w:lang w:bidi="ar-SA"/>
        </w:rPr>
        <w:t>بمقدار الكرّ أو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معارضتها بما دلّ على انفعال القليل مطلقا ؛ مدفوع بأنّ التعارض بينهما من قبيل العموم من وجه ، فيرجع إلى أصالة الطهارة ؛ مضافا إلى أنّ أخبار المسألة من المنطوق وما دلّ بعمومه على نجاسة القليل من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إطلاقات ماء الحمّام منصرف إلى الغالب الشائع ، ولا ريب أنّ المتعارف فيها كثرة المادّة وكونها أضعاف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عدم كون المادّة في الصدر الأوّل على هذا النحو مع كونه خلاف الظاهر من وضع الحمّامات لعامّة الناس المنافي لقلّة الماء لا ينفع في المقام ؛ إذ مجرّد الاحتمال لا </w:t>
      </w:r>
      <w:r>
        <w:rPr>
          <w:rStyle w:val="FootnoteAnchor"/>
          <w:rtl w:val="true"/>
        </w:rPr>
        <w:footnoteReference w:id="499"/>
      </w:r>
      <w:r>
        <w:rPr>
          <w:rFonts w:ascii="Amiri" w:hAnsi="Amiri" w:eastAsia="Amiri" w:cs="Amiri"/>
          <w:color w:val="111111"/>
          <w:sz w:val="28"/>
          <w:sz w:val="28"/>
          <w:szCs w:val="28"/>
          <w:rtl w:val="true"/>
          <w:lang w:bidi="ar-SA"/>
        </w:rPr>
        <w:t>يكفي في صحّة الاستدلال ، فالظاهر أنّ أخبار الحمّام في المقام لا يفيد حكما خاصّا للحمّام ولا يوجد ذلك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واستفادة الاعتصام من مجرّد تلك الأخبار فيما إذا كانت المادّة بمقدار الكرّ أو ما يقاربه </w:t>
      </w:r>
      <w:r>
        <w:rPr>
          <w:rStyle w:val="FootnoteAnchor"/>
          <w:rtl w:val="true"/>
        </w:rPr>
        <w:footnoteReference w:id="500"/>
      </w:r>
      <w:r>
        <w:rPr>
          <w:rFonts w:ascii="Amiri" w:hAnsi="Amiri" w:eastAsia="Amiri" w:cs="Amiri"/>
          <w:color w:val="111111"/>
          <w:sz w:val="28"/>
          <w:sz w:val="28"/>
          <w:szCs w:val="28"/>
          <w:rtl w:val="true"/>
          <w:lang w:bidi="ar-SA"/>
        </w:rPr>
        <w:t xml:space="preserve">مع قطع النظر عمّا دلّ على اعتصام الكرّ لا يخلو من </w:t>
      </w:r>
      <w:r>
        <w:rPr>
          <w:rStyle w:val="FootnoteAnchor"/>
          <w:rtl w:val="true"/>
        </w:rPr>
        <w:footnoteReference w:id="501"/>
      </w:r>
      <w:r>
        <w:rPr>
          <w:rFonts w:ascii="Amiri" w:hAnsi="Amiri" w:eastAsia="Amiri" w:cs="Amiri"/>
          <w:color w:val="111111"/>
          <w:sz w:val="28"/>
          <w:sz w:val="28"/>
          <w:szCs w:val="28"/>
          <w:rtl w:val="true"/>
          <w:lang w:bidi="ar-SA"/>
        </w:rPr>
        <w:t xml:space="preserve">إشكال </w:t>
      </w:r>
      <w:r>
        <w:rPr>
          <w:rStyle w:val="FootnoteAnchor"/>
          <w:rtl w:val="true"/>
        </w:rPr>
        <w:footnoteReference w:id="502"/>
      </w:r>
      <w:r>
        <w:rPr>
          <w:rFonts w:ascii="Amiri" w:hAnsi="Amiri" w:eastAsia="Amiri" w:cs="Amiri"/>
          <w:color w:val="111111"/>
          <w:sz w:val="28"/>
          <w:sz w:val="28"/>
          <w:szCs w:val="28"/>
          <w:rtl w:val="true"/>
          <w:lang w:bidi="ar-SA"/>
        </w:rPr>
        <w:t xml:space="preserve">؛ لما عرفت من انصرافها حينئذ إلى الغالب من كون </w:t>
      </w:r>
      <w:r>
        <w:rPr>
          <w:rStyle w:val="FootnoteAnchor"/>
          <w:rtl w:val="true"/>
        </w:rPr>
        <w:footnoteReference w:id="503"/>
      </w:r>
      <w:r>
        <w:rPr>
          <w:rFonts w:ascii="Amiri" w:hAnsi="Amiri" w:eastAsia="Amiri" w:cs="Amiri"/>
          <w:color w:val="111111"/>
          <w:sz w:val="28"/>
          <w:sz w:val="28"/>
          <w:szCs w:val="28"/>
          <w:rtl w:val="true"/>
          <w:lang w:bidi="ar-SA"/>
        </w:rPr>
        <w:t>زيادتها على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وعن بعض المتأخرين تفريع الحكم في المقام على مسألة الفرق بين الورودين ، وجعله السرّ في عدم تنجّسه بمجرّد الملاقاة وكذا في ماء الاستنجاء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يتخيّل من صدق ورود النجاسة إذن بالنسبة إلى ماء الحوض ؛ مدفوع بأنّ المفروض ورود الماء من المادّة على ما في الحوض وتسلّطه عليه وعلى ما يصيبه من القذر ، فلم تكن </w:t>
      </w:r>
      <w:r>
        <w:rPr>
          <w:rStyle w:val="FootnoteAnchor"/>
          <w:rtl w:val="true"/>
        </w:rPr>
        <w:footnoteReference w:id="504"/>
      </w:r>
      <w:r>
        <w:rPr>
          <w:rFonts w:ascii="Amiri" w:hAnsi="Amiri" w:eastAsia="Amiri" w:cs="Amiri"/>
          <w:color w:val="111111"/>
          <w:sz w:val="28"/>
          <w:sz w:val="28"/>
          <w:szCs w:val="28"/>
          <w:rtl w:val="true"/>
          <w:lang w:bidi="ar-SA"/>
        </w:rPr>
        <w:t>النجاسة واردة على ما هو ضابط لطهارة ماء الحوض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الفرق بين الورودين عدم تنجّس </w:t>
      </w:r>
      <w:r>
        <w:rPr>
          <w:rStyle w:val="FootnoteAnchor"/>
          <w:rtl w:val="true"/>
        </w:rPr>
        <w:footnoteReference w:id="505"/>
      </w:r>
      <w:r>
        <w:rPr>
          <w:rFonts w:ascii="Amiri" w:hAnsi="Amiri" w:eastAsia="Amiri" w:cs="Amiri"/>
          <w:color w:val="111111"/>
          <w:sz w:val="28"/>
          <w:sz w:val="28"/>
          <w:szCs w:val="28"/>
          <w:rtl w:val="true"/>
          <w:lang w:bidi="ar-SA"/>
        </w:rPr>
        <w:t>خصوص الماء الوارد ، وذلك لا يقتضي اعتصام ما وردت النجاسة عليه به ، فمقتضى ذلك إذن تنجّس الحوض بورود النجاسة عليه ، وإن كان الماء الوارد عليه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بعد الامتزاج بالماء النجس يكون موردا </w:t>
      </w:r>
      <w:r>
        <w:rPr>
          <w:rStyle w:val="FootnoteAnchor"/>
          <w:rtl w:val="true"/>
        </w:rPr>
        <w:footnoteReference w:id="506"/>
      </w:r>
      <w:r>
        <w:rPr>
          <w:rFonts w:ascii="Amiri" w:hAnsi="Amiri" w:eastAsia="Amiri" w:cs="Amiri"/>
          <w:color w:val="111111"/>
          <w:sz w:val="28"/>
          <w:sz w:val="28"/>
          <w:szCs w:val="28"/>
          <w:rtl w:val="true"/>
          <w:lang w:bidi="ar-SA"/>
        </w:rPr>
        <w:t>عليه فينجّس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وروده من أوّل الأمر عاصم له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بيّن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حين الورود مطهّرا لما يلاقيه من الماء ، فيكون الماء الوارد باقيا على طهارته ومطهّرا لما </w:t>
      </w:r>
      <w:r>
        <w:rPr>
          <w:rStyle w:val="FootnoteAnchor"/>
          <w:rtl w:val="true"/>
        </w:rPr>
        <w:footnoteReference w:id="507"/>
      </w:r>
      <w:r>
        <w:rPr>
          <w:rFonts w:ascii="Amiri" w:hAnsi="Amiri" w:eastAsia="Amiri" w:cs="Amiri"/>
          <w:color w:val="111111"/>
          <w:sz w:val="28"/>
          <w:sz w:val="28"/>
          <w:szCs w:val="28"/>
          <w:rtl w:val="true"/>
          <w:lang w:bidi="ar-SA"/>
        </w:rPr>
        <w:t>في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أيضا في غاية من </w:t>
      </w:r>
      <w:r>
        <w:rPr>
          <w:rStyle w:val="FootnoteAnchor"/>
          <w:rtl w:val="true"/>
        </w:rPr>
        <w:footnoteReference w:id="508"/>
      </w:r>
      <w:r>
        <w:rPr>
          <w:rFonts w:ascii="Amiri" w:hAnsi="Amiri" w:eastAsia="Amiri" w:cs="Amiri"/>
          <w:color w:val="111111"/>
          <w:sz w:val="28"/>
          <w:sz w:val="28"/>
          <w:szCs w:val="28"/>
          <w:rtl w:val="true"/>
          <w:lang w:bidi="ar-SA"/>
        </w:rPr>
        <w:t xml:space="preserve">البعد ، بل ظاهر الفساد ؛ للزوم تطهير الكرّ من الماء إذن بعد زوال التغيير عنه بكفّ من الماء </w:t>
      </w:r>
      <w:r>
        <w:rPr>
          <w:rStyle w:val="FootnoteAnchor"/>
          <w:rtl w:val="true"/>
        </w:rPr>
        <w:footnoteReference w:id="509"/>
      </w:r>
      <w:r>
        <w:rPr>
          <w:rFonts w:ascii="Amiri" w:hAnsi="Amiri" w:eastAsia="Amiri" w:cs="Amiri"/>
          <w:color w:val="111111"/>
          <w:sz w:val="28"/>
          <w:sz w:val="28"/>
          <w:szCs w:val="28"/>
          <w:rtl w:val="true"/>
          <w:lang w:bidi="ar-SA"/>
        </w:rPr>
        <w:t xml:space="preserve">مثلا إذا يلقى فيه ؛ إذ لم تعتبر </w:t>
      </w:r>
      <w:r>
        <w:rPr>
          <w:rStyle w:val="FootnoteAnchor"/>
          <w:rtl w:val="true"/>
        </w:rPr>
        <w:footnoteReference w:id="510"/>
      </w:r>
      <w:r>
        <w:rPr>
          <w:rFonts w:ascii="Amiri" w:hAnsi="Amiri" w:eastAsia="Amiri" w:cs="Amiri"/>
          <w:color w:val="111111"/>
          <w:sz w:val="28"/>
          <w:sz w:val="28"/>
          <w:szCs w:val="28"/>
          <w:rtl w:val="true"/>
          <w:lang w:bidi="ar-SA"/>
        </w:rPr>
        <w:t>الاستيلاء فيه ، ومعه فلا أقلّ من تطهيره لمثله ، فيلزم تطهير ما دون الكرّ بما لا يبلغ معه حدّ الكرّ من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الخلاف في فساده ، كيف ولو بني على ذلك للزم إجراؤه في غير الحمام فيلزم عدم تنجّس الماء القليل في الآنية عند صبّ الماء فيها من مثلها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باطل باتفاق القائلين بنجاسة القليل ؛ مضافا إلى أن ظاهر الفتاوى والأخبار في المقام عدم الفرق بين </w:t>
      </w:r>
      <w:r>
        <w:rPr>
          <w:rStyle w:val="FootnoteAnchor"/>
          <w:rtl w:val="true"/>
        </w:rPr>
        <w:footnoteReference w:id="512"/>
      </w:r>
      <w:r>
        <w:rPr>
          <w:rFonts w:ascii="Amiri" w:hAnsi="Amiri" w:eastAsia="Amiri" w:cs="Amiri"/>
          <w:color w:val="111111"/>
          <w:sz w:val="28"/>
          <w:sz w:val="28"/>
          <w:szCs w:val="28"/>
          <w:rtl w:val="true"/>
          <w:lang w:bidi="ar-SA"/>
        </w:rPr>
        <w:t>الورودين في ذلك ، فكيف يمضي الحكم بورود النجاسة ، بل قد يدّعى إطلاقها بالنسبة إلى المادّة المتّصلة على نحو الاستعلاء وغيرها كما إذا كان اتصال الحوض بها من تحت على نحو الفوران مع عدم وروده على النجاسة حينئذ</w:t>
      </w:r>
      <w:r>
        <w:rPr>
          <w:rFonts w:eastAsia="Amiri" w:cs="Amiri" w:ascii="Amiri" w:hAnsi="Amiri"/>
          <w:color w:val="111111"/>
          <w:sz w:val="28"/>
          <w:szCs w:val="28"/>
          <w:rtl w:val="true"/>
          <w:lang w:bidi="ar-SA"/>
        </w:rPr>
        <w:t xml:space="preserve">. </w:t>
      </w:r>
      <w:bookmarkStart w:id="138" w:name="pg15827_173640"/>
    </w:p>
    <w:p>
      <w:pPr>
        <w:pStyle w:val="BookText"/>
        <w:rPr/>
      </w:pPr>
      <w:bookmarkEnd w:id="138"/>
      <w:r>
        <w:rPr>
          <w:rFonts w:ascii="IRNazanin" w:hAnsi="IRNazanin" w:eastAsia="IRNazanin"/>
          <w:color w:val="111111"/>
          <w:sz w:val="28"/>
          <w:sz w:val="28"/>
          <w:szCs w:val="28"/>
          <w:rtl w:val="true"/>
          <w:lang w:bidi="fa-IR"/>
        </w:rPr>
        <w:t xml:space="preserve">ثم على ما اخترناه </w:t>
      </w:r>
      <w:r>
        <w:rPr>
          <w:rStyle w:val="FootnoteAnchor"/>
          <w:rtl w:val="true"/>
        </w:rPr>
        <w:footnoteReference w:id="513"/>
      </w:r>
      <w:r>
        <w:rPr>
          <w:rFonts w:ascii="Amiri" w:hAnsi="Amiri" w:eastAsia="Amiri" w:cs="Amiri"/>
          <w:color w:val="111111"/>
          <w:sz w:val="28"/>
          <w:sz w:val="28"/>
          <w:szCs w:val="28"/>
          <w:rtl w:val="true"/>
          <w:lang w:bidi="ar-SA"/>
        </w:rPr>
        <w:t>من اعتبار الكرّية في المجموع لو شكّ فيها بني على أصالة عدمها كما هو الحال في سائر المياه المحقونة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بعض المتأخرين </w:t>
      </w:r>
      <w:r>
        <w:rPr>
          <w:rStyle w:val="FootnoteAnchor"/>
          <w:rtl w:val="true"/>
        </w:rPr>
        <w:footnoteReference w:id="514"/>
      </w:r>
      <w:r>
        <w:rPr>
          <w:rFonts w:ascii="Amiri" w:hAnsi="Amiri" w:eastAsia="Amiri" w:cs="Amiri"/>
          <w:color w:val="111111"/>
          <w:sz w:val="28"/>
          <w:sz w:val="28"/>
          <w:szCs w:val="28"/>
          <w:rtl w:val="true"/>
          <w:lang w:bidi="ar-SA"/>
        </w:rPr>
        <w:t>إعمال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سيأتي الكلام فيه</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14099687_2142443653"/>
      <w:bookmarkStart w:id="140" w:name="_Toc50"/>
      <w:bookmarkEnd w:id="139"/>
      <w:r>
        <w:rPr>
          <w:rtl w:val="true"/>
        </w:rPr>
        <w:t xml:space="preserve">[ </w:t>
      </w:r>
      <w:r>
        <w:rPr>
          <w:rtl w:val="true"/>
        </w:rPr>
        <w:t xml:space="preserve">تطهير ماء الحمام </w:t>
      </w:r>
      <w:r>
        <w:rPr>
          <w:rtl w:val="true"/>
        </w:rPr>
        <w:t>]</w:t>
      </w:r>
      <w:bookmarkEnd w:id="140"/>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تطهير ماء الحمّام ، والأقوى الاكتفاء فيه بعد زوال التغيير بمجرّد الاتصال بالمادّة الكثيرة في نفسها أو بضميمة ما في المجرى أو </w:t>
      </w:r>
      <w:r>
        <w:rPr>
          <w:rStyle w:val="FootnoteAnchor"/>
          <w:rtl w:val="true"/>
        </w:rPr>
        <w:footnoteReference w:id="515"/>
      </w:r>
      <w:r>
        <w:rPr>
          <w:rFonts w:ascii="Amiri" w:hAnsi="Amiri" w:eastAsia="Amiri" w:cs="Amiri"/>
          <w:color w:val="111111"/>
          <w:sz w:val="28"/>
          <w:sz w:val="28"/>
          <w:szCs w:val="28"/>
          <w:rtl w:val="true"/>
          <w:lang w:bidi="ar-SA"/>
        </w:rPr>
        <w:t>الحوض من الماء الطاهر المتّصل بالمادّة من غير فرق بين ما إذا كان اتصال المادّة به على نحو العلوّ أو المساواة أو غيرهما كالفوران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الكلام فيه عند بيان تطهير المياه ، ويأتي على قول الشهيد الثاني </w:t>
      </w:r>
      <w:r>
        <w:rPr>
          <w:rStyle w:val="FootnoteAnchor"/>
          <w:rtl w:val="true"/>
        </w:rPr>
        <w:footnoteReference w:id="516"/>
      </w:r>
      <w:r>
        <w:rPr>
          <w:rFonts w:ascii="Amiri" w:hAnsi="Amiri" w:eastAsia="Amiri" w:cs="Amiri"/>
          <w:color w:val="111111"/>
          <w:sz w:val="28"/>
          <w:sz w:val="28"/>
          <w:szCs w:val="28"/>
          <w:rtl w:val="true"/>
          <w:lang w:bidi="ar-SA"/>
        </w:rPr>
        <w:t xml:space="preserve">من اعتباره العلوّ في المطهّر عدم حصول التطهير بأحد الوجهين الأخيرين إلّا بعد الامتزاج ليحصل </w:t>
      </w:r>
      <w:r>
        <w:rPr>
          <w:rStyle w:val="FootnoteAnchor"/>
          <w:rtl w:val="true"/>
        </w:rPr>
        <w:footnoteReference w:id="517"/>
      </w:r>
      <w:r>
        <w:rPr>
          <w:rFonts w:ascii="IRNazanin" w:hAnsi="IRNazanin" w:eastAsia="IRNazanin"/>
          <w:color w:val="111111"/>
          <w:sz w:val="28"/>
          <w:sz w:val="28"/>
          <w:szCs w:val="28"/>
          <w:rtl w:val="true"/>
          <w:lang w:bidi="fa-IR"/>
        </w:rPr>
        <w:t>العلوّ المعتبر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قول معتبري الامتزاج يجب اعتباره هنا أيضا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والعلّامة رحمه‌اللّه مع اكتفائه في جملة من كتبه كالنهاية </w:t>
      </w:r>
      <w:r>
        <w:rPr>
          <w:rStyle w:val="FootnoteAnchor"/>
          <w:rtl w:val="true"/>
        </w:rPr>
        <w:footnoteReference w:id="518"/>
      </w:r>
      <w:r>
        <w:rPr>
          <w:rFonts w:ascii="IRNazanin" w:hAnsi="IRNazanin" w:eastAsia="IRNazanin"/>
          <w:color w:val="111111"/>
          <w:sz w:val="28"/>
          <w:sz w:val="28"/>
          <w:szCs w:val="28"/>
          <w:rtl w:val="true"/>
          <w:lang w:bidi="fa-IR"/>
        </w:rPr>
        <w:t xml:space="preserve">والمنتهى </w:t>
      </w:r>
      <w:r>
        <w:rPr>
          <w:rStyle w:val="FootnoteAnchor"/>
          <w:rtl w:val="true"/>
        </w:rPr>
        <w:footnoteReference w:id="519"/>
      </w:r>
      <w:r>
        <w:rPr>
          <w:rFonts w:ascii="Amiri" w:hAnsi="Amiri" w:eastAsia="Amiri" w:cs="Amiri"/>
          <w:color w:val="111111"/>
          <w:sz w:val="28"/>
          <w:sz w:val="28"/>
          <w:szCs w:val="28"/>
          <w:rtl w:val="true"/>
          <w:lang w:bidi="ar-SA"/>
        </w:rPr>
        <w:t xml:space="preserve">في مسألة الغديرين بطهارة أحدهما عند تنجّسه بمجرّد اتّصاله بالبالغ منهما حد الكرّ صرّح هنا في المنتهى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والنهاية </w:t>
      </w:r>
      <w:r>
        <w:rPr>
          <w:rStyle w:val="FootnoteAnchor"/>
          <w:rtl w:val="true"/>
        </w:rPr>
        <w:footnoteReference w:id="521"/>
      </w:r>
      <w:r>
        <w:rPr>
          <w:rFonts w:ascii="IRNazanin" w:hAnsi="IRNazanin" w:eastAsia="IRNazanin"/>
          <w:color w:val="111111"/>
          <w:sz w:val="28"/>
          <w:sz w:val="28"/>
          <w:szCs w:val="28"/>
          <w:rtl w:val="true"/>
          <w:lang w:bidi="fa-IR"/>
        </w:rPr>
        <w:t>باعتبار الامتزاج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يتراءى التدافع بين حكميه أو تغليظ حكم الحمّام بالنسبة إلى غيره ، وقد يجمع بينهما باكتفائه بالاتصال مع تساوي السطوح واعتباره الامتزاج مع العلوّ المطهّر ، فيجري التفصيل عنده إذن في ماء الحمّام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قطع بالتفصيل المذكور في 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قول معتبري الكرّية في نفس المادّة يأتي هنا اعتبار زيادته على الكرّ بمقدار ما يحصل به الامتزاج إن قيل باعتباره أو بمقدار ما يحصل به الاتصال عند المكتفي به ؛ لبقاء المادّة على الكرّية حال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نصّ على اعتبارها المحقّق الكركي </w:t>
      </w:r>
      <w:r>
        <w:rPr>
          <w:rStyle w:val="FootnoteAnchor"/>
          <w:rtl w:val="true"/>
        </w:rPr>
        <w:footnoteReference w:id="522"/>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ظاهر قول المحقّق من عدم اعتبار الكرّية في المادّة حصول التطهير بها مع قلّتها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ما استند إليه من إطلاق الأخبار ، وما </w:t>
      </w:r>
      <w:r>
        <w:rPr>
          <w:rStyle w:val="FootnoteAnchor"/>
          <w:rtl w:val="true"/>
        </w:rPr>
        <w:footnoteReference w:id="524"/>
      </w:r>
      <w:r>
        <w:rPr>
          <w:rFonts w:ascii="Amiri" w:hAnsi="Amiri" w:eastAsia="Amiri" w:cs="Amiri"/>
          <w:color w:val="111111"/>
          <w:sz w:val="28"/>
          <w:sz w:val="28"/>
          <w:szCs w:val="28"/>
          <w:rtl w:val="true"/>
          <w:lang w:bidi="ar-SA"/>
        </w:rPr>
        <w:t>يشهد بذلك أنّه يحكم بطهوريته لما يلاقيه من المتنجّسات ، فيلزمه الحكم بتطهيره لما يمازجه من الماء النجس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ويسري الحكم إذن إلى تطهيره لما يتنجّس منه بالتغيير بعد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ولو لا ذلك لزمه القول إمّا بتنجّس ماء الحمّام أو باختلاف حكم الماء الواحد في السطح الواحد ولا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عنه في الحدائق </w:t>
      </w:r>
      <w:r>
        <w:rPr>
          <w:rStyle w:val="FootnoteAnchor"/>
          <w:rtl w:val="true"/>
        </w:rPr>
        <w:footnoteReference w:id="525"/>
      </w:r>
      <w:r>
        <w:rPr>
          <w:rFonts w:ascii="Amiri" w:hAnsi="Amiri" w:eastAsia="Amiri" w:cs="Amiri"/>
          <w:color w:val="111111"/>
          <w:sz w:val="28"/>
          <w:sz w:val="28"/>
          <w:szCs w:val="28"/>
          <w:rtl w:val="true"/>
          <w:lang w:bidi="ar-SA"/>
        </w:rPr>
        <w:t>عدم تطهيره ما في الحياض بمجرّد جريان المادّة إليه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وعبارته في المعتبر </w:t>
      </w:r>
      <w:r>
        <w:rPr>
          <w:rStyle w:val="FootnoteAnchor"/>
          <w:rtl w:val="true"/>
        </w:rPr>
        <w:footnoteReference w:id="526"/>
      </w:r>
      <w:r>
        <w:rPr>
          <w:rFonts w:ascii="Amiri" w:hAnsi="Amiri" w:eastAsia="Amiri" w:cs="Amiri"/>
          <w:color w:val="111111"/>
          <w:sz w:val="28"/>
          <w:sz w:val="28"/>
          <w:szCs w:val="28"/>
          <w:rtl w:val="true"/>
          <w:lang w:bidi="ar-SA"/>
        </w:rPr>
        <w:t>غير دالّة عليه</w:t>
      </w:r>
      <w:r>
        <w:rPr>
          <w:rFonts w:eastAsia="Amiri" w:cs="Amiri" w:ascii="Amiri" w:hAnsi="Amiri"/>
          <w:color w:val="111111"/>
          <w:sz w:val="28"/>
          <w:szCs w:val="28"/>
          <w:rtl w:val="true"/>
          <w:lang w:bidi="ar-SA"/>
        </w:rPr>
        <w:t xml:space="preserve">. </w:t>
      </w:r>
      <w:bookmarkStart w:id="141" w:name="pg15827_173642"/>
    </w:p>
    <w:p>
      <w:pPr>
        <w:pStyle w:val="BookText"/>
        <w:rPr/>
      </w:pPr>
      <w:bookmarkEnd w:id="141"/>
      <w:r>
        <w:rPr>
          <w:rFonts w:ascii="Amiri" w:hAnsi="Amiri" w:eastAsia="Amiri" w:cs="Amiri"/>
          <w:color w:val="111111"/>
          <w:sz w:val="28"/>
          <w:sz w:val="28"/>
          <w:szCs w:val="28"/>
          <w:rtl w:val="true"/>
          <w:lang w:bidi="ar-SA"/>
        </w:rPr>
        <w:t xml:space="preserve">وكأنّه أخذه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اعتبار بكثرة المادّة وقلّتها لكن لو </w:t>
      </w:r>
      <w:r>
        <w:rPr>
          <w:rStyle w:val="FootnoteAnchor"/>
          <w:rtl w:val="true"/>
        </w:rPr>
        <w:footnoteReference w:id="527"/>
      </w:r>
      <w:r>
        <w:rPr>
          <w:rFonts w:ascii="Amiri" w:hAnsi="Amiri" w:eastAsia="Amiri" w:cs="Amiri"/>
          <w:color w:val="111111"/>
          <w:sz w:val="28"/>
          <w:sz w:val="28"/>
          <w:szCs w:val="28"/>
          <w:rtl w:val="true"/>
          <w:lang w:bidi="ar-SA"/>
        </w:rPr>
        <w:t xml:space="preserve">تحقّق </w:t>
      </w:r>
      <w:r>
        <w:rPr>
          <w:rStyle w:val="FootnoteAnchor"/>
          <w:rtl w:val="true"/>
        </w:rPr>
        <w:footnoteReference w:id="528"/>
      </w:r>
      <w:r>
        <w:rPr>
          <w:rFonts w:ascii="Amiri" w:hAnsi="Amiri" w:eastAsia="Amiri" w:cs="Amiri"/>
          <w:color w:val="111111"/>
          <w:sz w:val="28"/>
          <w:sz w:val="28"/>
          <w:szCs w:val="28"/>
          <w:rtl w:val="true"/>
          <w:lang w:bidi="ar-SA"/>
        </w:rPr>
        <w:t xml:space="preserve">نجاستها لم يطهر بالجريان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يدلّ على عدم طهارة المادّة بعد تنجّسها إلّا </w:t>
      </w:r>
      <w:r>
        <w:rPr>
          <w:rStyle w:val="FootnoteAnchor"/>
          <w:rtl w:val="true"/>
        </w:rPr>
        <w:footnoteReference w:id="529"/>
      </w:r>
      <w:r>
        <w:rPr>
          <w:rFonts w:ascii="Amiri" w:hAnsi="Amiri" w:eastAsia="Amiri" w:cs="Amiri"/>
          <w:color w:val="111111"/>
          <w:sz w:val="28"/>
          <w:sz w:val="28"/>
          <w:szCs w:val="28"/>
          <w:rtl w:val="true"/>
          <w:lang w:bidi="ar-SA"/>
        </w:rPr>
        <w:t xml:space="preserve">ما في الحياض بعد </w:t>
      </w:r>
      <w:r>
        <w:rPr>
          <w:rStyle w:val="FootnoteAnchor"/>
          <w:rtl w:val="true"/>
        </w:rPr>
        <w:footnoteReference w:id="530"/>
      </w:r>
      <w:r>
        <w:rPr>
          <w:rFonts w:ascii="IRNazanin" w:hAnsi="IRNazanin" w:eastAsia="IRNazanin"/>
          <w:color w:val="111111"/>
          <w:sz w:val="28"/>
          <w:sz w:val="28"/>
          <w:szCs w:val="28"/>
          <w:rtl w:val="true"/>
          <w:lang w:bidi="fa-IR"/>
        </w:rPr>
        <w:t>طهارتها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نصّ من المتأخرين المحدّث الأسترآبادى على الاكتفاء بجريان المادّة بقوّة بحيث يستهلك الماء فيه من دون اعتبار الكرّية في المادّة ؛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الحال في ذلك ممّا مضى</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4099689_2142443653"/>
      <w:bookmarkStart w:id="143" w:name="_Toc51"/>
      <w:bookmarkEnd w:id="142"/>
      <w:r>
        <w:rPr>
          <w:rtl w:val="true"/>
        </w:rPr>
        <w:t xml:space="preserve">[ </w:t>
      </w:r>
      <w:r>
        <w:rPr>
          <w:rtl w:val="true"/>
        </w:rPr>
        <w:t xml:space="preserve">تسرية حكم الحمام إلى غيره </w:t>
      </w:r>
      <w:r>
        <w:rPr>
          <w:rtl w:val="true"/>
        </w:rPr>
        <w:t>]</w:t>
      </w:r>
      <w:bookmarkEnd w:id="143"/>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تسرية حكم الحمّام إلى غيره ، والحكم فيه على ما قويناه ظاهر ؛ لما عرفت من بناء الحكم فيه على مقتضى الأصل من غير التزام شي‌ء يوجب الخروج عن القواعد ، فيجري الأحكام المذكورة فيما ضاهاه من سائر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قول المحقّق رحمه‌اللّه ومن يقول بمقالته ، فالذي يقتضيه الأصل الاقتصار عليه ؛ لاختصاص الدليل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تميّزه </w:t>
      </w:r>
      <w:r>
        <w:rPr>
          <w:rStyle w:val="FootnoteAnchor"/>
          <w:rtl w:val="true"/>
        </w:rPr>
        <w:footnoteReference w:id="531"/>
      </w:r>
      <w:r>
        <w:rPr>
          <w:rFonts w:ascii="Amiri" w:hAnsi="Amiri" w:eastAsia="Amiri" w:cs="Amiri"/>
          <w:color w:val="111111"/>
          <w:sz w:val="28"/>
          <w:sz w:val="28"/>
          <w:szCs w:val="28"/>
          <w:rtl w:val="true"/>
          <w:lang w:bidi="ar-SA"/>
        </w:rPr>
        <w:t>من سائر المياه بعموم البلوى به وعسر الاحتراز عنه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اختصاص الحكم إذن ببلية الجاري </w:t>
      </w:r>
      <w:r>
        <w:rPr>
          <w:rStyle w:val="FootnoteAnchor"/>
          <w:rtl w:val="true"/>
        </w:rPr>
        <w:footnoteReference w:id="532"/>
      </w:r>
      <w:r>
        <w:rPr>
          <w:rFonts w:ascii="Amiri" w:hAnsi="Amiri" w:eastAsia="Amiri" w:cs="Amiri"/>
          <w:color w:val="111111"/>
          <w:sz w:val="28"/>
          <w:sz w:val="28"/>
          <w:szCs w:val="28"/>
          <w:rtl w:val="true"/>
          <w:lang w:bidi="ar-SA"/>
        </w:rPr>
        <w:t>وجهان ؛ أقواهما ذلك لانصراف الاطلاق إليه ، ولأنّه محلّ الحاجة في استعمال الماء من جهة التطهير من الحدث والخبث ، على أنّه يكفي الشكّ في شمول الاطلاق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في تسرية الحكم إلى غير الحياض كالآنية الموضوعة تحت المجرى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على قول من يعتبر الدفعة في تطهير القليل عدم تسرية الحكم إلى غير الحمّام في تطهير ما في الحياض ؛ لعدم حصول الدفعة هنالك غالبا بمعناها المعروف</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533"/>
      </w:r>
      <w:r>
        <w:rPr>
          <w:rFonts w:ascii="Amiri" w:hAnsi="Amiri" w:eastAsia="Amiri" w:cs="Amiri"/>
          <w:color w:val="111111"/>
          <w:sz w:val="28"/>
          <w:sz w:val="28"/>
          <w:szCs w:val="28"/>
          <w:rtl w:val="true"/>
          <w:lang w:bidi="ar-SA"/>
        </w:rPr>
        <w:t>، لو كانت المادّة زائدة على الكرّ بحيث يبقى فيها بمقدار الكرّ بعد نزول ما يعتبر التطهير إلى ما في الحوض فالظاهر الاكتفاء به في غير الحمّام أيضا بناء على ما هو الأظهر من اختصاص الحكم للدفعة على القول بما إذا كان الماء بمقدار الكرّ لا زائد عليه كذلك نظرا إلى الاتّفاق في اعتصام الماء المتصل بالكرّ كذلك في تطهير ما يلاقيه أو امتزج به</w:t>
      </w:r>
      <w:r>
        <w:rPr>
          <w:rFonts w:eastAsia="Amiri" w:cs="Amiri" w:ascii="Amiri" w:hAnsi="Amiri"/>
          <w:color w:val="111111"/>
          <w:sz w:val="28"/>
          <w:szCs w:val="28"/>
          <w:rtl w:val="true"/>
          <w:lang w:bidi="ar-SA"/>
        </w:rPr>
        <w:t xml:space="preserve">. </w:t>
      </w:r>
      <w:bookmarkStart w:id="144" w:name="pg15827_173644"/>
    </w:p>
    <w:p>
      <w:pPr>
        <w:pStyle w:val="Heading5"/>
        <w:numPr>
          <w:ilvl w:val="4"/>
          <w:numId w:val="1"/>
        </w:numPr>
        <w:rPr/>
      </w:pPr>
      <w:bookmarkStart w:id="145" w:name="__RefHeading___Toc14099691_2142443653"/>
      <w:bookmarkStart w:id="146" w:name="_Toc52"/>
      <w:bookmarkEnd w:id="144"/>
      <w:bookmarkEnd w:id="145"/>
      <w:r>
        <w:rPr>
          <w:rtl w:val="true"/>
        </w:rPr>
        <w:t>تبصرة</w:t>
      </w:r>
      <w:r>
        <w:rPr>
          <w:rtl w:val="true"/>
        </w:rPr>
        <w:t xml:space="preserve">: [ </w:t>
      </w:r>
      <w:r>
        <w:rPr>
          <w:rtl w:val="true"/>
        </w:rPr>
        <w:t xml:space="preserve">في ماء المطر </w:t>
      </w:r>
      <w:r>
        <w:rPr>
          <w:rtl w:val="true"/>
        </w:rPr>
        <w:t>]</w:t>
      </w:r>
      <w:bookmarkEnd w:id="146"/>
    </w:p>
    <w:p>
      <w:pPr>
        <w:pStyle w:val="Heading6"/>
        <w:numPr>
          <w:ilvl w:val="5"/>
          <w:numId w:val="1"/>
        </w:numPr>
        <w:rPr/>
      </w:pPr>
      <w:bookmarkStart w:id="147" w:name="__RefHeading___Toc14099693_2142443653"/>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لا خلاف بين الأصحاب في عدم انفعال ماء الغيث في الجملة بمجرّد ملاقاة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انعقاد إجماع الامّة عليه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ذلك الأصل ، والنصوص المستفيضة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خلاف في ثبوت حكم الراكد فيه بعد وقوف التقاطر وانقطاعه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في المقام في بيان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المطر ، وفي دوران الحكم مدار التسمية من دون اعتبار شي‌ء زائد معها أو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فههنا مقامان </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14099695_2142443653"/>
      <w:bookmarkStart w:id="150" w:name="_Toc54"/>
      <w:bookmarkEnd w:id="149"/>
      <w:r>
        <w:rPr>
          <w:rtl w:val="true"/>
        </w:rPr>
        <w:t xml:space="preserve">[ </w:t>
      </w:r>
      <w:r>
        <w:rPr>
          <w:rtl w:val="true"/>
        </w:rPr>
        <w:t xml:space="preserve">المقام </w:t>
      </w:r>
      <w:r>
        <w:rPr>
          <w:rtl w:val="true"/>
        </w:rPr>
        <w:t xml:space="preserve">] </w:t>
      </w:r>
      <w:r>
        <w:rPr>
          <w:rtl w:val="true"/>
        </w:rPr>
        <w:t xml:space="preserve">الأوّل </w:t>
      </w:r>
      <w:r>
        <w:rPr>
          <w:rtl w:val="true"/>
        </w:rPr>
        <w:t xml:space="preserve">: </w:t>
      </w:r>
      <w:r>
        <w:rPr>
          <w:rtl w:val="true"/>
        </w:rPr>
        <w:t>في بيان مسمّى المطر</w:t>
      </w:r>
      <w:r>
        <w:rPr>
          <w:rtl w:val="true"/>
        </w:rPr>
        <w:t>.</w:t>
      </w:r>
      <w:bookmarkEnd w:id="150"/>
    </w:p>
    <w:p>
      <w:pPr>
        <w:pStyle w:val="BookText"/>
        <w:rPr/>
      </w:pPr>
      <w:r>
        <w:rPr>
          <w:rFonts w:ascii="Amiri" w:hAnsi="Amiri" w:eastAsia="Amiri" w:cs="Amiri"/>
          <w:color w:val="111111"/>
          <w:sz w:val="28"/>
          <w:sz w:val="28"/>
          <w:szCs w:val="28"/>
          <w:rtl w:val="true"/>
          <w:lang w:bidi="ar-SA"/>
        </w:rPr>
        <w:t xml:space="preserve">والظاهر من العرف اعتبار قوّة </w:t>
      </w:r>
      <w:r>
        <w:rPr>
          <w:rStyle w:val="FootnoteAnchor"/>
          <w:rtl w:val="true"/>
        </w:rPr>
        <w:footnoteReference w:id="535"/>
      </w:r>
      <w:r>
        <w:rPr>
          <w:rFonts w:ascii="Amiri" w:hAnsi="Amiri" w:eastAsia="Amiri" w:cs="Amiri"/>
          <w:color w:val="111111"/>
          <w:sz w:val="28"/>
          <w:sz w:val="28"/>
          <w:szCs w:val="28"/>
          <w:rtl w:val="true"/>
          <w:lang w:bidi="ar-SA"/>
        </w:rPr>
        <w:t xml:space="preserve">في مفهومه ، فالقطرات اليسيرة لا يعدّ </w:t>
      </w:r>
      <w:r>
        <w:rPr>
          <w:rStyle w:val="FootnoteAnchor"/>
          <w:rtl w:val="true"/>
        </w:rPr>
        <w:footnoteReference w:id="536"/>
      </w:r>
      <w:r>
        <w:rPr>
          <w:rFonts w:ascii="Amiri" w:hAnsi="Amiri" w:eastAsia="Amiri" w:cs="Amiri"/>
          <w:color w:val="111111"/>
          <w:sz w:val="28"/>
          <w:sz w:val="28"/>
          <w:szCs w:val="28"/>
          <w:rtl w:val="true"/>
          <w:lang w:bidi="ar-SA"/>
        </w:rPr>
        <w:t>منه ، وكذا الطل وما ينزل من السماء على سبيل الرشح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بحيث يشكّ في تسميته مطرا ، ففي إجراء حكم القليل عليه نظرا إلى عموم المفهوم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w:t>
      </w:r>
      <w:r>
        <w:rPr>
          <w:rFonts w:eastAsia="Amiri" w:cs="Amiri" w:ascii="Amiri" w:hAnsi="Amiri"/>
          <w:color w:val="111111"/>
          <w:sz w:val="28"/>
          <w:szCs w:val="28"/>
          <w:rtl w:val="true"/>
          <w:lang w:bidi="ar-SA"/>
        </w:rPr>
        <w:t xml:space="preserve">.. » </w:t>
      </w:r>
      <w:r>
        <w:rPr>
          <w:rStyle w:val="FootnoteAnchor"/>
          <w:rtl w:val="true"/>
        </w:rPr>
        <w:footnoteReference w:id="537"/>
      </w:r>
      <w:r>
        <w:rPr>
          <w:rFonts w:ascii="Amiri" w:hAnsi="Amiri" w:eastAsia="Amiri" w:cs="Amiri"/>
          <w:color w:val="111111"/>
          <w:sz w:val="28"/>
          <w:sz w:val="28"/>
          <w:szCs w:val="28"/>
          <w:rtl w:val="true"/>
          <w:lang w:bidi="ar-SA"/>
        </w:rPr>
        <w:t>انتهى ، أو إجراء حكم الغيث لأصالة طهارته والشكّ في دخوله في حكم القليل وجهان ؛ أحوطهما في الغالب الأوّل ، وإن كان الثاني لا يخلو عن قوّة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حصول التطهير به على نحو الغيث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في الروض </w:t>
      </w:r>
      <w:r>
        <w:rPr>
          <w:rStyle w:val="FootnoteAnchor"/>
          <w:rtl w:val="true"/>
        </w:rPr>
        <w:footnoteReference w:id="538"/>
      </w:r>
      <w:r>
        <w:rPr>
          <w:rFonts w:ascii="Amiri" w:hAnsi="Amiri" w:eastAsia="Amiri" w:cs="Amiri"/>
          <w:color w:val="111111"/>
          <w:sz w:val="28"/>
          <w:sz w:val="28"/>
          <w:szCs w:val="28"/>
          <w:rtl w:val="true"/>
          <w:lang w:bidi="ar-SA"/>
        </w:rPr>
        <w:t xml:space="preserve">عن بعض الأفاضل من معاصريه الاكتفاء في تطهير الماء النجس بوقوع قطرة واحدة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وإن كان العمل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وغلط بعض الأفاضل نظرا إلى أن ثبوت الحكم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جهة عموم الآية </w:t>
      </w:r>
      <w:r>
        <w:rPr>
          <w:rStyle w:val="FootnoteAnchor"/>
          <w:rtl w:val="true"/>
        </w:rPr>
        <w:footnoteReference w:id="539"/>
      </w:r>
      <w:r>
        <w:rPr>
          <w:rFonts w:ascii="Amiri" w:hAnsi="Amiri" w:eastAsia="Amiri" w:cs="Amiri"/>
          <w:color w:val="111111"/>
          <w:sz w:val="28"/>
          <w:sz w:val="28"/>
          <w:szCs w:val="28"/>
          <w:rtl w:val="true"/>
          <w:lang w:bidi="ar-SA"/>
        </w:rPr>
        <w:t>الشريفة الدالّة على طهوريّة الماء ، ولا وجه له ؛ إذ لا عموم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جهة تنزيلها منزلة الجاري ، وهو أيضا فاسد ؛ إذ ليس الجاري مطهّرا إلّا لمّا يلاقيه لكن الجزء الغير الملاقي لما كان متّصلا بالملاقي مع طهارته واعتصامه بالجاري كان طاهرا أيضا ، وهو لا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التزام تطهيره لما يلاقيه فيعود بعد ذلك نجسا لانقطاعه وعدم تقوّيه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تسليم طهوريّة القطرة يلزم طهارة جميع الماء في آن واحد بالتّقريب المذكور ، فكيف يتنجّس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الكلام المنقول على ظاهره من الاكتفاء بوقوع قطرة من السماء عليه ولو لم يكن هناك قوّة في القطرات النازلة ، فهو في غاية البعد ؛ لخروجه من </w:t>
      </w:r>
      <w:r>
        <w:rPr>
          <w:rStyle w:val="FootnoteAnchor"/>
          <w:rtl w:val="true"/>
        </w:rPr>
        <w:footnoteReference w:id="540"/>
      </w:r>
      <w:r>
        <w:rPr>
          <w:rFonts w:ascii="Amiri" w:hAnsi="Amiri" w:eastAsia="Amiri" w:cs="Amiri"/>
          <w:color w:val="111111"/>
          <w:sz w:val="28"/>
          <w:sz w:val="28"/>
          <w:szCs w:val="28"/>
          <w:rtl w:val="true"/>
          <w:lang w:bidi="ar-SA"/>
        </w:rPr>
        <w:t>اسم المطر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به وقوع قطرة من قطرات المطر عليه فليس بذلك البعيد ، بل هو قويّ في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ويعتبر في صدقه عدم انقطاع نزوله من السماء قبل ذلك ، فلو وقع على أوراق الشجر ثمّ تقاطر منه على الأرض لم يثبت فيه الحكم ، وكذا لو نزل على السطح فوكف على الأرض</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يقع منه على ظاهر الأرض أو غيره ثمّ يسري في أعماقه فهو في حكم المطر مع اتّصاله بالنّازل كالسائل منه على الأرض أو غيره من المياه المتّصلة به</w:t>
      </w:r>
      <w:r>
        <w:rPr>
          <w:rFonts w:eastAsia="Amiri" w:cs="Amiri" w:ascii="Amiri" w:hAnsi="Amiri"/>
          <w:color w:val="111111"/>
          <w:sz w:val="28"/>
          <w:szCs w:val="28"/>
          <w:rtl w:val="true"/>
          <w:lang w:bidi="ar-SA"/>
        </w:rPr>
        <w:t xml:space="preserve">. </w:t>
      </w:r>
      <w:bookmarkStart w:id="151" w:name="pg15827_173646"/>
    </w:p>
    <w:p>
      <w:pPr>
        <w:pStyle w:val="Heading6"/>
        <w:numPr>
          <w:ilvl w:val="5"/>
          <w:numId w:val="1"/>
        </w:numPr>
        <w:rPr/>
      </w:pPr>
      <w:bookmarkStart w:id="152" w:name="__RefHeading___Toc14099697_2142443653"/>
      <w:bookmarkStart w:id="153" w:name="_Toc55"/>
      <w:bookmarkEnd w:id="151"/>
      <w:bookmarkEnd w:id="152"/>
      <w:r>
        <w:rPr>
          <w:rtl w:val="true"/>
        </w:rPr>
        <w:t>المقام الثاني</w:t>
      </w:r>
      <w:r>
        <w:rPr>
          <w:rtl w:val="true"/>
        </w:rPr>
        <w:t xml:space="preserve">: </w:t>
      </w:r>
      <w:r>
        <w:rPr>
          <w:rtl w:val="true"/>
        </w:rPr>
        <w:t xml:space="preserve">في بيان </w:t>
      </w:r>
      <w:r>
        <w:rPr>
          <w:rtl w:val="true"/>
        </w:rPr>
        <w:t xml:space="preserve">( </w:t>
      </w:r>
      <w:r>
        <w:rPr>
          <w:rtl w:val="true"/>
        </w:rPr>
        <w:t xml:space="preserve">الحكم </w:t>
      </w:r>
      <w:r>
        <w:rPr>
          <w:rtl w:val="true"/>
        </w:rPr>
        <w:t>)</w:t>
      </w:r>
      <w:bookmarkEnd w:id="153"/>
    </w:p>
    <w:p>
      <w:pPr>
        <w:pStyle w:val="BookText"/>
        <w:rPr/>
      </w:pPr>
      <w:r>
        <w:rPr>
          <w:rFonts w:ascii="Amiri" w:hAnsi="Amiri" w:eastAsia="Amiri" w:cs="Amiri"/>
          <w:color w:val="111111"/>
          <w:sz w:val="28"/>
          <w:sz w:val="28"/>
          <w:szCs w:val="28"/>
          <w:rtl w:val="true"/>
          <w:lang w:bidi="ar-SA"/>
        </w:rPr>
        <w:t xml:space="preserve">والظاهر دوران الحكم المذكور مدار المطر ؛ لصدق </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الاكتفاء في ثبوت الحكم المذكور بحصول مسمّى المطر من غير حاجة إلى ضمّ قيد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المعروف من مذهب الأصحاب ، وحكاية الشهرة عليه مستفيضة في كلام جماعة من المتأخرين كالمشارق </w:t>
      </w:r>
      <w:r>
        <w:rPr>
          <w:rStyle w:val="FootnoteAnchor"/>
          <w:rtl w:val="true"/>
        </w:rPr>
        <w:footnoteReference w:id="542"/>
      </w:r>
      <w:r>
        <w:rPr>
          <w:rFonts w:ascii="Amiri" w:hAnsi="Amiri" w:eastAsia="Amiri" w:cs="Amiri"/>
          <w:color w:val="111111"/>
          <w:sz w:val="28"/>
          <w:sz w:val="28"/>
          <w:szCs w:val="28"/>
          <w:rtl w:val="true"/>
          <w:lang w:bidi="ar-SA"/>
        </w:rPr>
        <w:t xml:space="preserve">والذخيرة </w:t>
      </w:r>
      <w:r>
        <w:rPr>
          <w:rStyle w:val="FootnoteAnchor"/>
          <w:rtl w:val="true"/>
        </w:rPr>
        <w:footnoteReference w:id="543"/>
      </w:r>
      <w:r>
        <w:rPr>
          <w:rFonts w:ascii="IRNazanin" w:hAnsi="IRNazanin" w:eastAsia="IRNazanin"/>
          <w:color w:val="111111"/>
          <w:sz w:val="28"/>
          <w:sz w:val="28"/>
          <w:szCs w:val="28"/>
          <w:rtl w:val="true"/>
          <w:lang w:bidi="fa-IR"/>
        </w:rPr>
        <w:t xml:space="preserve">والحدائق </w:t>
      </w:r>
      <w:r>
        <w:rPr>
          <w:rStyle w:val="FootnoteAnchor"/>
          <w:rtl w:val="true"/>
        </w:rPr>
        <w:footnoteReference w:id="544"/>
      </w:r>
      <w:r>
        <w:rPr>
          <w:rFonts w:ascii="Amiri" w:hAnsi="Amiri" w:eastAsia="Amiri" w:cs="Amiri"/>
          <w:color w:val="111111"/>
          <w:sz w:val="28"/>
          <w:sz w:val="28"/>
          <w:szCs w:val="28"/>
          <w:rtl w:val="true"/>
          <w:lang w:bidi="ar-SA"/>
        </w:rPr>
        <w:t xml:space="preserve">وغيرها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في الروض </w:t>
      </w:r>
      <w:r>
        <w:rPr>
          <w:rStyle w:val="FootnoteAnchor"/>
          <w:rtl w:val="true"/>
        </w:rPr>
        <w:footnoteReference w:id="546"/>
      </w:r>
      <w:r>
        <w:rPr>
          <w:rFonts w:ascii="Amiri" w:hAnsi="Amiri" w:eastAsia="Amiri" w:cs="Amiri"/>
          <w:color w:val="111111"/>
          <w:sz w:val="28"/>
          <w:sz w:val="28"/>
          <w:szCs w:val="28"/>
          <w:rtl w:val="true"/>
          <w:lang w:bidi="ar-SA"/>
        </w:rPr>
        <w:t>بعد ذكر خلاف الشيخ رحمه‌اللّه إلى باقي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الشيخ الطوسي رحمه‌اللّه </w:t>
      </w:r>
      <w:r>
        <w:rPr>
          <w:rStyle w:val="FootnoteAnchor"/>
          <w:rtl w:val="true"/>
        </w:rPr>
        <w:footnoteReference w:id="547"/>
      </w:r>
      <w:r>
        <w:rPr>
          <w:rFonts w:ascii="Amiri" w:hAnsi="Amiri" w:eastAsia="Amiri" w:cs="Amiri"/>
          <w:color w:val="111111"/>
          <w:sz w:val="28"/>
          <w:sz w:val="28"/>
          <w:szCs w:val="28"/>
          <w:rtl w:val="true"/>
          <w:lang w:bidi="ar-SA"/>
        </w:rPr>
        <w:t xml:space="preserve">وابن سعيد </w:t>
      </w:r>
      <w:r>
        <w:rPr>
          <w:rStyle w:val="FootnoteAnchor"/>
          <w:rtl w:val="true"/>
        </w:rPr>
        <w:footnoteReference w:id="548"/>
      </w:r>
      <w:r>
        <w:rPr>
          <w:rFonts w:ascii="Amiri" w:hAnsi="Amiri" w:eastAsia="Amiri" w:cs="Amiri"/>
          <w:color w:val="111111"/>
          <w:sz w:val="28"/>
          <w:sz w:val="28"/>
          <w:szCs w:val="28"/>
          <w:rtl w:val="true"/>
          <w:lang w:bidi="ar-SA"/>
        </w:rPr>
        <w:t xml:space="preserve">اعتبار جريانه من الميزاب والمنقول من كلامهم محتوى </w:t>
      </w:r>
      <w:r>
        <w:rPr>
          <w:rStyle w:val="FootnoteAnchor"/>
          <w:rtl w:val="true"/>
        </w:rPr>
        <w:footnoteReference w:id="549"/>
      </w:r>
      <w:r>
        <w:rPr>
          <w:rFonts w:ascii="IRNazanin" w:hAnsi="IRNazanin" w:eastAsia="IRNazanin"/>
          <w:color w:val="111111"/>
          <w:sz w:val="28"/>
          <w:sz w:val="28"/>
          <w:szCs w:val="28"/>
          <w:rtl w:val="true"/>
          <w:lang w:bidi="fa-IR"/>
        </w:rPr>
        <w:t xml:space="preserve">لأمور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المدار عندهم على خصوص الجاري من الميزاب دون فراغ </w:t>
      </w:r>
      <w:r>
        <w:rPr>
          <w:rStyle w:val="FootnoteAnchor"/>
          <w:rtl w:val="true"/>
        </w:rPr>
        <w:footnoteReference w:id="550"/>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المدار في عدم الانفعال على الجريان من الميزاب ، فيحكم معه بذلك ولو في غير الجاري منه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ذلك قوّة المطر بحيث يكون قابلا للجريان من الميزاب ، وكأنّ هذا هو الأظهر في مذهبهم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حصول مسمّى الجريان ولو نحو جريان الماء على أعضاء الوضوء ، فيكون ذكره للجريان من الميزاب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بعض المتأخرين في حمل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أيضا بناء على فهمه من بعض الروايات ومعناه ما في الكفاية حيث نفى البعد عن اعتبار الجريان في الجملة وإن لم يصل إلى حدّ الجريان من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ذلك مختار المحقّق الأردبيلي </w:t>
      </w:r>
      <w:r>
        <w:rPr>
          <w:rStyle w:val="FootnoteAnchor"/>
          <w:rtl w:val="true"/>
        </w:rPr>
        <w:footnoteReference w:id="551"/>
      </w:r>
      <w:r>
        <w:rPr>
          <w:rFonts w:ascii="Amiri" w:hAnsi="Amiri" w:eastAsia="Amiri" w:cs="Amiri"/>
          <w:color w:val="111111"/>
          <w:sz w:val="28"/>
          <w:sz w:val="28"/>
          <w:szCs w:val="28"/>
          <w:rtl w:val="true"/>
          <w:lang w:bidi="ar-SA"/>
        </w:rPr>
        <w:t xml:space="preserve">حيث استجود قول الشيخ رحمه‌اللّه ، إن حمل الميزاب فيه على التمثيل واريد به الجريان مطلقا حقيقة </w:t>
      </w:r>
      <w:r>
        <w:rPr>
          <w:rStyle w:val="FootnoteAnchor"/>
          <w:rtl w:val="true"/>
        </w:rPr>
        <w:footnoteReference w:id="552"/>
      </w:r>
      <w:r>
        <w:rPr>
          <w:rFonts w:ascii="Amiri" w:hAnsi="Amiri" w:eastAsia="Amiri" w:cs="Amiri"/>
          <w:color w:val="111111"/>
          <w:sz w:val="28"/>
          <w:sz w:val="28"/>
          <w:szCs w:val="28"/>
          <w:rtl w:val="true"/>
          <w:lang w:bidi="ar-SA"/>
        </w:rPr>
        <w:t>كان أو حكما ، وادّعى أيضا استفادته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صاحب الحدائق </w:t>
      </w:r>
      <w:r>
        <w:rPr>
          <w:rStyle w:val="FootnoteAnchor"/>
          <w:rtl w:val="true"/>
        </w:rPr>
        <w:footnoteReference w:id="553"/>
      </w:r>
      <w:r>
        <w:rPr>
          <w:rFonts w:ascii="Amiri" w:hAnsi="Amiri" w:eastAsia="Amiri" w:cs="Amiri"/>
          <w:color w:val="111111"/>
          <w:sz w:val="28"/>
          <w:sz w:val="28"/>
          <w:szCs w:val="28"/>
          <w:rtl w:val="true"/>
          <w:lang w:bidi="ar-SA"/>
        </w:rPr>
        <w:t>إلى أنّه كالجاري بشرط الجريان أو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اعتبار الكثرة أو الجريان على هذين القولين ، فهل يعرف </w:t>
      </w:r>
      <w:r>
        <w:rPr>
          <w:rStyle w:val="FootnoteAnchor"/>
          <w:rtl w:val="true"/>
        </w:rPr>
        <w:footnoteReference w:id="554"/>
      </w:r>
      <w:r>
        <w:rPr>
          <w:rFonts w:ascii="Amiri" w:hAnsi="Amiri" w:eastAsia="Amiri" w:cs="Amiri"/>
          <w:color w:val="111111"/>
          <w:sz w:val="28"/>
          <w:sz w:val="28"/>
          <w:szCs w:val="28"/>
          <w:rtl w:val="true"/>
          <w:lang w:bidi="ar-SA"/>
        </w:rPr>
        <w:t xml:space="preserve">أنّ المعتبر حصول الجريان فيما يرد عليه المطر أو يعتبر كون ذلك المطر كذلك في الخارج وإن يجر عليه ولم يكثر نزوله </w:t>
      </w:r>
      <w:r>
        <w:rPr>
          <w:rStyle w:val="FootnoteAnchor"/>
          <w:rtl w:val="true"/>
        </w:rPr>
        <w:footnoteReference w:id="555"/>
      </w:r>
      <w:r>
        <w:rPr>
          <w:rFonts w:ascii="Amiri" w:hAnsi="Amiri" w:eastAsia="Amiri" w:cs="Amiri"/>
          <w:color w:val="111111"/>
          <w:sz w:val="28"/>
          <w:sz w:val="28"/>
          <w:szCs w:val="28"/>
          <w:rtl w:val="true"/>
          <w:lang w:bidi="ar-SA"/>
        </w:rPr>
        <w:t>عليه ، وكأنّ الأظهر بناءهم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فالأقوى ما هو المشهور ؛ للأصل ، وعدم ظهور شمول أدلّة القليل لمثله ، وخصوص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ورواية أبي بصير ، عن الكنيف يكون خارجا فتمطر السماء فتقطر على القطرة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به بأس </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محمد بن اسماعيل في طين المطر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أن يصيب الثوب ثلاثة أيّام إلّا أن يعلم أنّه نجّسه شي‌ء بعد المطر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 فظاهرها يعمّ ما إذا كان المطر بحيث يجري من الميزاب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وقريب منها مرسلة الصدوق ، عن طين المطر يصيب الثوب فيه البول والعذرة والدم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طين المطر لا ينجس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محمولة على حال نزول المطر مع عدم وجود عين النجاسة في محلّ الإصابة أو على ما إذا زالت النجاسة بإصابة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ففي إطلاقها شهادة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عن الرجل يمرّ في ماء المطر وقد صبّ فيه خمر فأصاب ثوبه ، هل يصلّي فيه قبل أن يغسله؟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ثوبه ولا رجله ويصلّي فيه ولا بأس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العبارة محمول على ما إذا كان حال نزول المطر ، فيعمّ ما إذا بقي المطر على قوّته بحيث يصلح للجريان أو لا ، فبناء على تخصيص الشيخ لتطهيره بحال صلوحه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يستظهر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الرواية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المشهور بأنّه لو اعتبر الجريان في اعتصام المطر لزم انفعاله قبل حصول الجريان ، فيكون مجرّد الجريان اللّاحق أو القطرات اليسيرة الّتي بها يحصل الجريان مطهرا للسابقة وللمحلّ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اعتصامه بالجريان من السحاب لكن يشترط </w:t>
      </w:r>
      <w:r>
        <w:rPr>
          <w:rStyle w:val="FootnoteAnchor"/>
          <w:rtl w:val="true"/>
        </w:rPr>
        <w:footnoteReference w:id="561"/>
      </w:r>
      <w:r>
        <w:rPr>
          <w:rFonts w:ascii="Amiri" w:hAnsi="Amiri" w:eastAsia="Amiri" w:cs="Amiri"/>
          <w:color w:val="111111"/>
          <w:sz w:val="28"/>
          <w:sz w:val="28"/>
          <w:szCs w:val="28"/>
          <w:rtl w:val="true"/>
          <w:lang w:bidi="ar-SA"/>
        </w:rPr>
        <w:t xml:space="preserve">الجريان على الأرض ، فليس مجرّد الجريان ولا نفس القطرات الموجبة لها </w:t>
      </w:r>
      <w:r>
        <w:rPr>
          <w:rStyle w:val="FootnoteAnchor"/>
          <w:rtl w:val="true"/>
        </w:rPr>
        <w:footnoteReference w:id="562"/>
      </w:r>
      <w:r>
        <w:rPr>
          <w:rFonts w:ascii="IRNazanin" w:hAnsi="IRNazanin" w:eastAsia="IRNazanin"/>
          <w:color w:val="111111"/>
          <w:sz w:val="28"/>
          <w:sz w:val="28"/>
          <w:szCs w:val="28"/>
          <w:rtl w:val="true"/>
          <w:lang w:bidi="fa-IR"/>
        </w:rPr>
        <w:t xml:space="preserve">عاصما للماء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بلوغ المنازل </w:t>
      </w:r>
      <w:r>
        <w:rPr>
          <w:rStyle w:val="FootnoteAnchor"/>
          <w:rtl w:val="true"/>
        </w:rPr>
        <w:footnoteReference w:id="564"/>
      </w:r>
      <w:r>
        <w:rPr>
          <w:rFonts w:ascii="Amiri" w:hAnsi="Amiri" w:eastAsia="Amiri" w:cs="Amiri"/>
          <w:color w:val="111111"/>
          <w:sz w:val="28"/>
          <w:sz w:val="28"/>
          <w:szCs w:val="28"/>
          <w:rtl w:val="true"/>
          <w:lang w:bidi="ar-SA"/>
        </w:rPr>
        <w:t xml:space="preserve">تدريجا إلى الحدّ المعتبر كاشف عن اعتصامه من أوّل الأمر ، </w:t>
      </w:r>
    </w:p>
    <w:p>
      <w:pPr>
        <w:pStyle w:val="BookText"/>
        <w:rPr/>
      </w:pPr>
      <w:r>
        <w:rPr>
          <w:rFonts w:ascii="Amiri" w:hAnsi="Amiri" w:eastAsia="Amiri" w:cs="Amiri"/>
          <w:color w:val="111111"/>
          <w:sz w:val="28"/>
          <w:sz w:val="28"/>
          <w:szCs w:val="28"/>
          <w:rtl w:val="true"/>
          <w:lang w:bidi="ar-SA"/>
        </w:rPr>
        <w:t xml:space="preserve">وإنّما يلزم المحذور لو قيل بنجاسته بالملاقاة ، وطهارته </w:t>
      </w:r>
      <w:r>
        <w:rPr>
          <w:rStyle w:val="FootnoteAnchor"/>
          <w:rtl w:val="true"/>
        </w:rPr>
        <w:footnoteReference w:id="565"/>
      </w:r>
      <w:r>
        <w:rPr>
          <w:rFonts w:ascii="Amiri" w:hAnsi="Amiri" w:eastAsia="Amiri" w:cs="Amiri"/>
          <w:color w:val="111111"/>
          <w:sz w:val="28"/>
          <w:sz w:val="28"/>
          <w:szCs w:val="28"/>
          <w:rtl w:val="true"/>
          <w:lang w:bidi="ar-SA"/>
        </w:rPr>
        <w:t>بلوغ الحدّ المذكور ، ولم يقل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الشيخ رحمه‌اللّه ومن تبعه صحيحة هشام بن الحكم </w:t>
      </w:r>
      <w:r>
        <w:rPr>
          <w:rStyle w:val="FootnoteAnchor"/>
          <w:rtl w:val="true"/>
        </w:rPr>
        <w:footnoteReference w:id="566"/>
      </w:r>
      <w:r>
        <w:rPr>
          <w:rFonts w:ascii="Amiri" w:hAnsi="Amiri" w:eastAsia="Amiri" w:cs="Amiri"/>
          <w:color w:val="111111"/>
          <w:sz w:val="28"/>
          <w:sz w:val="28"/>
          <w:szCs w:val="28"/>
          <w:rtl w:val="true"/>
          <w:lang w:bidi="ar-SA"/>
        </w:rPr>
        <w:t xml:space="preserve">، ورواية محمّد بن مروان الواردتان في ميزابين سالا أحدهما ببول والآخر بماء فامتزجا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بأس به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جعفر في البيت يبال على ظهره ويغتسل فيه عن الجنابة ثمّ يصيبه المطر أيؤخذ </w:t>
      </w:r>
      <w:r>
        <w:rPr>
          <w:rStyle w:val="FootnoteAnchor"/>
          <w:rtl w:val="true"/>
        </w:rPr>
        <w:footnoteReference w:id="568"/>
      </w:r>
      <w:r>
        <w:rPr>
          <w:rFonts w:ascii="Amiri" w:hAnsi="Amiri" w:eastAsia="Amiri" w:cs="Amiri"/>
          <w:color w:val="111111"/>
          <w:sz w:val="28"/>
          <w:sz w:val="28"/>
          <w:szCs w:val="28"/>
          <w:rtl w:val="true"/>
          <w:lang w:bidi="ar-SA"/>
        </w:rPr>
        <w:t>من مائه فيتوضّأ به للصلاة؟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جرى فلا بأس به </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بحمله </w:t>
      </w:r>
      <w:r>
        <w:rPr>
          <w:rStyle w:val="FootnoteAnchor"/>
          <w:rtl w:val="true"/>
        </w:rPr>
        <w:footnoteReference w:id="570"/>
      </w:r>
      <w:r>
        <w:rPr>
          <w:rFonts w:ascii="Amiri" w:hAnsi="Amiri" w:eastAsia="Amiri" w:cs="Amiri"/>
          <w:color w:val="111111"/>
          <w:sz w:val="28"/>
          <w:sz w:val="28"/>
          <w:szCs w:val="28"/>
          <w:rtl w:val="true"/>
          <w:lang w:bidi="ar-SA"/>
        </w:rPr>
        <w:t>على الجريان من الميزاب بناء على حمل كلامهم على تخصيص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الظاهر عدم دلالة الخبرين الأوّلين على التخصيص ، وإنّما المستفاد منهما ثبوت الحكم على التقدير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الأعمّ من المطلوب ، ولا شاهد لحمله على المعنى المذكور وبإطلاقه يستدلّ على اعتبار مطلق الجريان كما هو مختار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روايته الأخرى عن الكنيف يكون فوق البيت ، فيصيبه المطر فيكفّ فيصيب الثياب ، أيصلّي فيها قبل أن تغسل؟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جرى من ماء المطر فلا بأس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أخرى له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المطر يجري في المكان فيه العذرة فيصيب الثوب أيصلّي فيه قبل أن تغسل </w:t>
      </w:r>
      <w:r>
        <w:rPr>
          <w:rStyle w:val="FootnoteAnchor"/>
          <w:rtl w:val="true"/>
        </w:rPr>
        <w:footnoteReference w:id="57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جرى من ماء المطر </w:t>
      </w:r>
      <w:r>
        <w:rPr>
          <w:rStyle w:val="FootnoteAnchor"/>
          <w:rtl w:val="true"/>
        </w:rPr>
        <w:footnoteReference w:id="574"/>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 الجميع في الدلالة على ثبوت البأس على تقدير عدم الجريان الذي هو أعمّ من ثبوت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المقصود من الجريان فيه غير معلوم ، فكأنّ المراد من الجريان جريان المطر الوارد على المحلّ النجس ليزال </w:t>
      </w:r>
      <w:r>
        <w:rPr>
          <w:rStyle w:val="FootnoteAnchor"/>
          <w:rtl w:val="true"/>
        </w:rPr>
        <w:footnoteReference w:id="576"/>
      </w:r>
      <w:r>
        <w:rPr>
          <w:rFonts w:ascii="Amiri" w:hAnsi="Amiri" w:eastAsia="Amiri" w:cs="Amiri"/>
          <w:color w:val="111111"/>
          <w:sz w:val="28"/>
          <w:sz w:val="28"/>
          <w:szCs w:val="28"/>
          <w:rtl w:val="true"/>
          <w:lang w:bidi="ar-SA"/>
        </w:rPr>
        <w:t>به ما فيه من القذر ، فيبقى الباقي سليما عن مخالطة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ما يفهم منه من المنع عن استعماله قبل ذلك من أجل حصول التغيير بالنجاسة أو أنّه محمول على الكراهة لارتضاء الخصم به ؛ إذ لا فرق عنده بين أوّل الجاري وآخر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w:t>
      </w:r>
      <w:r>
        <w:rPr>
          <w:rStyle w:val="FootnoteAnchor"/>
          <w:rtl w:val="true"/>
        </w:rPr>
        <w:footnoteReference w:id="577"/>
      </w:r>
      <w:r>
        <w:rPr>
          <w:rFonts w:ascii="Amiri" w:hAnsi="Amiri" w:eastAsia="Amiri" w:cs="Amiri"/>
          <w:color w:val="111111"/>
          <w:sz w:val="28"/>
          <w:sz w:val="28"/>
          <w:szCs w:val="28"/>
          <w:rtl w:val="true"/>
          <w:lang w:bidi="ar-SA"/>
        </w:rPr>
        <w:t>المراد به أخذه الماء حين جريان المطر من السماء فيكون متصلا بمادّته السماوية ، ويكون اشتراطه حينئذ بمكان</w:t>
      </w:r>
    </w:p>
    <w:p>
      <w:pPr>
        <w:pStyle w:val="BookText"/>
        <w:rPr/>
      </w:pPr>
      <w:r>
        <w:rPr>
          <w:rFonts w:ascii="Amiri" w:hAnsi="Amiri" w:eastAsia="Amiri" w:cs="Amiri"/>
          <w:color w:val="111111"/>
          <w:sz w:val="28"/>
          <w:sz w:val="28"/>
          <w:szCs w:val="28"/>
          <w:rtl w:val="true"/>
          <w:lang w:bidi="ar-SA"/>
        </w:rPr>
        <w:t>اتّصاله بعين النجاسة كما قد يستفاد من السؤال ، فينجّس لقلّته بعد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بلوغ النازل تدريجا إلى الحدّ المعتبر كاشف عن اقتضائه </w:t>
      </w:r>
      <w:r>
        <w:rPr>
          <w:rStyle w:val="FootnoteAnchor"/>
          <w:rtl w:val="true"/>
        </w:rPr>
        <w:footnoteReference w:id="578"/>
      </w:r>
      <w:r>
        <w:rPr>
          <w:rFonts w:ascii="Amiri" w:hAnsi="Amiri" w:eastAsia="Amiri" w:cs="Amiri"/>
          <w:color w:val="111111"/>
          <w:sz w:val="28"/>
          <w:sz w:val="28"/>
          <w:szCs w:val="28"/>
          <w:rtl w:val="true"/>
          <w:lang w:bidi="ar-SA"/>
        </w:rPr>
        <w:t>من أوّل الأمر ، وإنّما يلزم المحذور لو قيل بنجاسته بالملاقاة وطهارته عند بلوغ الحدّ المذكور ، ولم يقل بذلك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احتمل </w:t>
      </w:r>
      <w:r>
        <w:rPr>
          <w:rStyle w:val="FootnoteAnchor"/>
          <w:rtl w:val="true"/>
        </w:rPr>
        <w:footnoteReference w:id="579"/>
      </w:r>
      <w:r>
        <w:rPr>
          <w:rFonts w:ascii="Amiri" w:hAnsi="Amiri" w:eastAsia="Amiri" w:cs="Amiri"/>
          <w:color w:val="111111"/>
          <w:sz w:val="28"/>
          <w:sz w:val="28"/>
          <w:szCs w:val="28"/>
          <w:rtl w:val="true"/>
          <w:lang w:bidi="ar-SA"/>
        </w:rPr>
        <w:t xml:space="preserve">الجريان على ذلك في المنتهى </w:t>
      </w:r>
      <w:r>
        <w:rPr>
          <w:rStyle w:val="FootnoteAnchor"/>
          <w:rtl w:val="true"/>
        </w:rPr>
        <w:footnoteReference w:id="58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والخبر الثاني بعد الغضّ عن سنده يحتمل أن يراد به كون الماء النازل من المطر لا من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 على المعنى السابق أيضا ، بل الحمل المذكور إليه أقرب من السابق ؛ لفرض اشتراط عين النجاسة في السؤال ظاهرا ، ويجري ذلك في الخبر الثالث ، ويحتمل أن يراد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المطر لعين النجاسة </w:t>
      </w:r>
      <w:r>
        <w:rPr>
          <w:rStyle w:val="FootnoteAnchor"/>
          <w:rtl w:val="true"/>
        </w:rPr>
        <w:footnoteReference w:id="581"/>
      </w:r>
      <w:r>
        <w:rPr>
          <w:rFonts w:ascii="Amiri" w:hAnsi="Amiri" w:eastAsia="Amiri" w:cs="Amiri"/>
          <w:color w:val="111111"/>
          <w:sz w:val="28"/>
          <w:sz w:val="28"/>
          <w:szCs w:val="28"/>
          <w:rtl w:val="true"/>
          <w:lang w:bidi="ar-SA"/>
        </w:rPr>
        <w:t xml:space="preserve">وتذكر </w:t>
      </w:r>
      <w:r>
        <w:rPr>
          <w:rStyle w:val="FootnoteAnchor"/>
          <w:rtl w:val="true"/>
        </w:rPr>
        <w:footnoteReference w:id="582"/>
      </w:r>
      <w:r>
        <w:rPr>
          <w:rFonts w:ascii="Amiri" w:hAnsi="Amiri" w:eastAsia="Amiri" w:cs="Amiri"/>
          <w:color w:val="111111"/>
          <w:sz w:val="28"/>
          <w:sz w:val="28"/>
          <w:szCs w:val="28"/>
          <w:rtl w:val="true"/>
          <w:lang w:bidi="ar-SA"/>
        </w:rPr>
        <w:t>الضمير لا مانع منه مع إمكان التأويل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الحدائق </w:t>
      </w:r>
      <w:r>
        <w:rPr>
          <w:rStyle w:val="FootnoteAnchor"/>
          <w:rtl w:val="true"/>
        </w:rPr>
        <w:footnoteReference w:id="583"/>
      </w:r>
      <w:r>
        <w:rPr>
          <w:rFonts w:ascii="Amiri" w:hAnsi="Amiri" w:eastAsia="Amiri" w:cs="Amiri"/>
          <w:color w:val="111111"/>
          <w:sz w:val="28"/>
          <w:sz w:val="28"/>
          <w:szCs w:val="28"/>
          <w:rtl w:val="true"/>
          <w:lang w:bidi="ar-SA"/>
        </w:rPr>
        <w:t xml:space="preserve">على اعتبار أحد الأمرين المذكورين بالأخبار المذكورة ، وما دلّ على اعتبار الأكثرية ، فروى هشام في الصحيح </w:t>
      </w:r>
      <w:r>
        <w:rPr>
          <w:rStyle w:val="FootnoteAnchor"/>
          <w:rtl w:val="true"/>
        </w:rPr>
        <w:footnoteReference w:id="584"/>
      </w:r>
      <w:r>
        <w:rPr>
          <w:rFonts w:ascii="Amiri" w:hAnsi="Amiri" w:eastAsia="Amiri" w:cs="Amiri"/>
          <w:color w:val="111111"/>
          <w:sz w:val="28"/>
          <w:sz w:val="28"/>
          <w:szCs w:val="28"/>
          <w:rtl w:val="true"/>
          <w:lang w:bidi="ar-SA"/>
        </w:rPr>
        <w:t xml:space="preserve">، عن الصادق عليه‌السلام ، عن السطح يبال عليه فيصيبه السماء ، فكيف فيصيب الثوب؟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ما أصابه من الماء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لجعله الجريان في تلك الأخبار والكثرة في الخبر المذكور علّة لحصول الطهارة ، وخصوص مورد السؤال لا يصلح لتخصيص الجواب إلّا إذا كان لخصوصه مدخل </w:t>
      </w:r>
      <w:r>
        <w:rPr>
          <w:rStyle w:val="FootnoteAnchor"/>
          <w:rtl w:val="true"/>
        </w:rPr>
        <w:footnoteReference w:id="586"/>
      </w:r>
      <w:r>
        <w:rPr>
          <w:rFonts w:ascii="Amiri" w:hAnsi="Amiri" w:eastAsia="Amiri" w:cs="Amiri"/>
          <w:color w:val="111111"/>
          <w:sz w:val="28"/>
          <w:sz w:val="28"/>
          <w:szCs w:val="28"/>
          <w:rtl w:val="true"/>
          <w:lang w:bidi="ar-SA"/>
        </w:rPr>
        <w:t>في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الحال في المقام دالّ على عدمها ، فيجب التعدية إلى كلّ ما يقصد </w:t>
      </w:r>
      <w:r>
        <w:rPr>
          <w:rStyle w:val="FootnoteAnchor"/>
          <w:rtl w:val="true"/>
        </w:rPr>
        <w:footnoteReference w:id="587"/>
      </w:r>
      <w:r>
        <w:rPr>
          <w:rFonts w:ascii="Amiri" w:hAnsi="Amiri" w:eastAsia="Amiri" w:cs="Amiri"/>
          <w:color w:val="111111"/>
          <w:sz w:val="28"/>
          <w:sz w:val="28"/>
          <w:szCs w:val="28"/>
          <w:rtl w:val="true"/>
          <w:lang w:bidi="ar-SA"/>
        </w:rPr>
        <w:t xml:space="preserve">فيه العلّة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دلّ على اعتبار الجريان فقد عرفت الحال فيه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الصحيحة المذكورة فقد تحمل </w:t>
      </w:r>
      <w:r>
        <w:rPr>
          <w:rStyle w:val="FootnoteAnchor"/>
          <w:rtl w:val="true"/>
        </w:rPr>
        <w:footnoteReference w:id="589"/>
      </w:r>
      <w:r>
        <w:rPr>
          <w:rFonts w:ascii="Amiri" w:hAnsi="Amiri" w:eastAsia="Amiri" w:cs="Amiri"/>
          <w:color w:val="111111"/>
          <w:sz w:val="28"/>
          <w:sz w:val="28"/>
          <w:szCs w:val="28"/>
          <w:rtl w:val="true"/>
          <w:lang w:bidi="ar-SA"/>
        </w:rPr>
        <w:t xml:space="preserve">على أكثرية الماء بالنّسبة إلى ما في السطح من عين البول ، فإن كان مقصوده من اعتبار الأكثريّة </w:t>
      </w:r>
      <w:r>
        <w:rPr>
          <w:rStyle w:val="FootnoteAnchor"/>
          <w:rtl w:val="true"/>
        </w:rPr>
        <w:footnoteReference w:id="590"/>
      </w:r>
      <w:r>
        <w:rPr>
          <w:rFonts w:ascii="Amiri" w:hAnsi="Amiri" w:eastAsia="Amiri" w:cs="Amiri"/>
          <w:color w:val="111111"/>
          <w:sz w:val="28"/>
          <w:sz w:val="28"/>
          <w:szCs w:val="28"/>
          <w:rtl w:val="true"/>
          <w:lang w:bidi="ar-SA"/>
        </w:rPr>
        <w:t xml:space="preserve">ذلك أيضا فلا مانع منه لحصول الاستيلاء على </w:t>
      </w:r>
      <w:bookmarkStart w:id="154" w:name="pg15827_173652"/>
    </w:p>
    <w:p>
      <w:pPr>
        <w:pStyle w:val="BookText"/>
        <w:rPr/>
      </w:pPr>
      <w:bookmarkEnd w:id="154"/>
      <w:r>
        <w:rPr>
          <w:rFonts w:ascii="Amiri" w:hAnsi="Amiri" w:eastAsia="Amiri" w:cs="Amiri"/>
          <w:color w:val="111111"/>
          <w:sz w:val="28"/>
          <w:sz w:val="28"/>
          <w:szCs w:val="28"/>
          <w:rtl w:val="true"/>
          <w:lang w:bidi="ar-SA"/>
        </w:rPr>
        <w:t>النجاسة ، وإن أراد به كثرة المطر وشموله للأرض فلا دلالة في الخبر عليه ؛ إذ ليس فيه إلّا حكاية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اريد به الأكثريّة بالنّظر إلى ما لاقاه من عين البول ولو مع جفافه وذهاب عينه ، دلّ على حصول الكثرة المطلوبة إلّا أنّ ذلك ممّا لا وجه له ولا يلتزمه أحد</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14099699_2142443653"/>
      <w:bookmarkStart w:id="156" w:name="_Toc56"/>
      <w:bookmarkEnd w:id="155"/>
      <w:r>
        <w:rPr>
          <w:rtl w:val="true"/>
        </w:rPr>
        <w:t xml:space="preserve">[ </w:t>
      </w:r>
      <w:r>
        <w:rPr>
          <w:rtl w:val="true"/>
        </w:rPr>
        <w:t xml:space="preserve">تنبيهات </w:t>
      </w:r>
      <w:r>
        <w:rPr>
          <w:rtl w:val="true"/>
        </w:rPr>
        <w:t>]:</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وهاهنا أمور ينبغي التنبيه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الماء القليل المتصل بالمطر حكمه حكم ماء المطر ما دام المطر متقاطرا عليه أو محل ماء متصل به ، فلا ينفعل إذن بمجرد الملاقاة بلا خلاف أعرفه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الأصل ، اتصاله بالمادة العاصمة ، ولذا لا ينجس الماء الجاري من المطر ما دامت متصلة بالمادة السماوية وإن ما يقع عليه المطر معتصم غير منفعل بالملاقاة ؛ لما عرفت من اعتصامه ما دام المطر نازلا ، فإن انفعل الباقي كان بعض الماء الواحد في السطح الواحد طاهرا والبعض الآخر نجسا من غير ما مرّ ، وهو مع امتزاج المائين باطل بالإجماع مضافا إلى طهر الماء المفروض باتصاله بالمطر لو كان نجسا ، فاعتصامه به أولى لكون الدفع أهون من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إطلاق الآية الشريفة وخصوص نقله عليه‌السلام في مرسلة الكاهلي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يراه ماء المطر فقد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جميع المتنجسات القابلة للتطهير بمجرد إصابة المطر مع زوال العين من غير حاجة إلى التعدد ولا إلى العصر ، بل ولا التعفير فيما يجب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تفصيل الكلام فيه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يطهر المطر ساير المتنجسات كذا يطهر ماء المتنجس على نحو غيره من المياه المعتصمة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إطلاق الآية والرواية المعتضدتين بظاهر الفتوى حيث نزّلوا الغيث حال تقاطره منزلة الجاري ، فيجري فيه أحكامه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الصحيحة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الحكم بتنجس ماء المطر مع عدم تغيره بالنجاسة قبل انقطاع التقاطر ؛ إذ قد عرفت اعتصامه حينئذ بالمادة ، وحينئذ فإمّا أن يبقى الماء النجس الممازج به على نجاسته أو أنه يطهر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الأقل إذ ليس للماء الواحد في السطح الواحد مع عدم المائز حكمان مختلفان في الطهارة والنجاسة ، فيعيّن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عدة من الروايات دلالة عليه أيضا منها رواية الكاهلي المتقدمة ، فانّها تعمّ الماء وغيره ، والمناقشة فيها سندا بالإرسال ودلالته بأنّه ربما يكون في السؤال قرينة على أنّ المراد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شي‌ء سأل سائل عنه وشبهه فلا يعم الماء وانّها إنما اشتملت على الحكم بطهارة ما يراه ماء المطر دون غيره ، وهو إنّما يلاقي بعض أجزاء الماء ، ولو بعد الامتزاج ، فغاية الأمر طهره به دون باقي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شبهة في أنّه يعارضه لملاقاة الأجزاء النجسة فيعود نجسا لأنّه قليل لاقى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موهونة ؛ أمّا الأوّل فلاعتضاد الخبر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فبأنّ العبرة بعموم اللفظ لا خصوص المورد ، ومجرد الاحتمال المذكور لا يقضي بالتخصيص سيما مع كون العموم لغويا مع أنّ السؤال مذكور في الخبر وليس فيه ما يفيد ذلك ، بل انما يفيد العكس ، وأمّا الثالث فبأنّ طهر الأجزاء الملاقية كاف في تطهير الباقي ؛ لكونه ماء طاهرا ملاقيا لملاقيه وهكذا ، فيسري الطهارة إلى الجميع في آن واحد ، ولو بعد الامتزاج بناء على اعتباره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حينئذ لعود النجاسة إليه من تلك الأجزاء ، ومع الغضّ عن ذلك فلا وجه لعود النجاسة إلى الأجزاء الملاقية مع بقاء ملاقاتها للماء المعتصم ، فلا بد إذن من الحكم بطهر الجميع ؛ لما عرفت من اتحاد حكم الماء الواحد في السطح الواحد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هشام ورواية محمد بن مروان المقدّمتين الواردتين في الميزابين السائلين ، فإنّ بقاء طهارته مع الامتزاج بالبول وتطهيره له بالاستهلاك قاض ببقاء طهارته مع الامتزاج بالماء النجس وتطهير له بالأولى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والمناقشة فيه بأنّ أقصى ما يفيده الخبران تطهيره لكل ماء متنجس إذا جرى وحصل الامتزاج ، وأمّا تطهيره لكرّ من الماء أو أزيد مثلا بمجرد جريان المطر وإن قلّ فلا ؛ لاحتمال أن يكون التطهير في ذلك لكون ماء المطر أزيد من البول كما هو المعهود عادة أو مساويا له ؛ مدفوعة بأن تسليم تطهيره الماء النجس بالامتزاج على ما يستفاد من الخبرين قاض بتطهيره له كذلك مع القلّة والكثرة من غير فرق ؛ إذ لا فرق بين قليل المطر وكثرته نظرا إلى اعتصامه بالمادة المساوية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 مع اعتبار الامتزاج في التطهير لا بدّ من امتزاج القطرات النازلة المجموع عليه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بعد ذكر المناقشات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إجماع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تطهيره إذا تحقق الجريان قولا وفعلا ، فان تحقق فهو الحجة ، ويبقى التردّد بعد أنّ النازل من السماء من القطرات هل يطهر أو ليس المطهر إلّا ما يجري من الميزاب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الثاني نظرا إلى الانفصال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بعد ما عرفت ، فإنّ انفصال القطرات بعضها عن بعض في معنى الاتصال ؛ إذ لا يكون الاتصال بالمادة السماوية إلا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عليه الفاضل المذكور حيث نصّ بأنّ اعتصام الماء الجاري من الميزاب إنّما هو بالقطرات النازلة عليه من السماء ، وقد نصّ بعد ذلك أيضا بأنّ تطهير الغيث للبئر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العمدة في الحكم بتطهيره بالماء هو الإجماع كما عرفت ، ولا إجماع هنا ، وهو أيضا كما ترى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المسألة في غاية الظهور والتشكيكات المذكورة في غاية الوهن كما لا يخفى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157" w:name="pg15827_173655"/>
    </w:p>
    <w:p>
      <w:pPr>
        <w:pStyle w:val="Heading5"/>
        <w:numPr>
          <w:ilvl w:val="4"/>
          <w:numId w:val="1"/>
        </w:numPr>
        <w:rPr/>
      </w:pPr>
      <w:bookmarkStart w:id="158" w:name="__RefHeading___Toc14099701_2142443653"/>
      <w:bookmarkStart w:id="159" w:name="_Toc57"/>
      <w:bookmarkEnd w:id="157"/>
      <w:bookmarkEnd w:id="158"/>
      <w:r>
        <w:rPr>
          <w:rtl w:val="true"/>
        </w:rPr>
        <w:t>تبصرة</w:t>
      </w:r>
      <w:r>
        <w:rPr>
          <w:rtl w:val="true"/>
        </w:rPr>
        <w:t xml:space="preserve">: [ </w:t>
      </w:r>
      <w:r>
        <w:rPr>
          <w:rtl w:val="true"/>
        </w:rPr>
        <w:t xml:space="preserve">في تنجس ما دون الكر من الماء الراكد </w:t>
      </w:r>
      <w:r>
        <w:rPr>
          <w:rtl w:val="true"/>
        </w:rPr>
        <w:t>]</w:t>
      </w:r>
      <w:bookmarkEnd w:id="159"/>
    </w:p>
    <w:p>
      <w:pPr>
        <w:pStyle w:val="BookText"/>
        <w:rPr/>
      </w:pPr>
      <w:r>
        <w:rPr>
          <w:rFonts w:ascii="Amiri" w:hAnsi="Amiri" w:eastAsia="Amiri" w:cs="Amiri"/>
          <w:color w:val="111111"/>
          <w:sz w:val="28"/>
          <w:sz w:val="28"/>
          <w:szCs w:val="28"/>
          <w:rtl w:val="true"/>
          <w:lang w:bidi="ar-SA"/>
        </w:rPr>
        <w:t xml:space="preserve">ما دون الكرّ من الماء الراكد ينجّس بمجرّد ملاقاة النجاسة على المشهور بين علمائنا ، بل اتّفقت عليه كلمة الأصحاب من زمن المفيد إلى زمان صاحب المفاتيح ، فاختار </w:t>
      </w:r>
      <w:r>
        <w:rPr>
          <w:rStyle w:val="FootnoteAnchor"/>
          <w:rtl w:val="true"/>
        </w:rPr>
        <w:footnoteReference w:id="592"/>
      </w:r>
      <w:r>
        <w:rPr>
          <w:rFonts w:ascii="Amiri" w:hAnsi="Amiri" w:eastAsia="Amiri" w:cs="Amiri"/>
          <w:color w:val="111111"/>
          <w:sz w:val="28"/>
          <w:sz w:val="28"/>
          <w:szCs w:val="28"/>
          <w:rtl w:val="true"/>
          <w:lang w:bidi="ar-SA"/>
        </w:rPr>
        <w:t>القول بعدم انفعال القليل تبعا لابن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على ذلك جماعة من متأخري المتأخرين وفصّل السيد المرتضى </w:t>
      </w:r>
      <w:r>
        <w:rPr>
          <w:rStyle w:val="FootnoteAnchor"/>
          <w:rtl w:val="true"/>
        </w:rPr>
        <w:footnoteReference w:id="593"/>
      </w:r>
      <w:r>
        <w:rPr>
          <w:rFonts w:ascii="Amiri" w:hAnsi="Amiri" w:eastAsia="Amiri" w:cs="Amiri"/>
          <w:color w:val="111111"/>
          <w:sz w:val="28"/>
          <w:sz w:val="28"/>
          <w:szCs w:val="28"/>
          <w:rtl w:val="true"/>
          <w:lang w:bidi="ar-SA"/>
        </w:rPr>
        <w:t xml:space="preserve">بين ورود الماء على النجاسة وورودها عليه ، فحكم بالانفعال بالثاني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واستوجهه في المدارك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ونفى عنه البعد في التبصرة </w:t>
      </w:r>
      <w:r>
        <w:rPr>
          <w:rStyle w:val="FootnoteAnchor"/>
          <w:rtl w:val="true"/>
        </w:rPr>
        <w:footnoteReference w:id="596"/>
      </w:r>
      <w:r>
        <w:rPr>
          <w:rFonts w:ascii="IRNazanin" w:hAnsi="IRNazanin" w:eastAsia="IRNazanin"/>
          <w:color w:val="111111"/>
          <w:sz w:val="28"/>
          <w:sz w:val="28"/>
          <w:szCs w:val="28"/>
          <w:rtl w:val="true"/>
          <w:lang w:bidi="fa-IR"/>
        </w:rPr>
        <w:t>لما ستعلم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وإن طال الكلام فيها بين المتأخّرين من علمائنا الأعلام ووسّعوا المقال فيها إلّا أنّها بعد الرجوع إلى أقوال العلماء الأجلّة والنظر في الطريقة المعلومة والسيرة المألوفة بين الشيعة من قديم الدهر إلى يومنا هذا ، مضافا إلى الإجماعات المنقولة المعتضدة بعدم ظهور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ممّن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مع عموم البلوى فيها </w:t>
      </w:r>
      <w:r>
        <w:rPr>
          <w:rStyle w:val="FootnoteAnchor"/>
          <w:rtl w:val="true"/>
        </w:rPr>
        <w:footnoteReference w:id="597"/>
      </w:r>
      <w:r>
        <w:rPr>
          <w:rFonts w:ascii="Amiri" w:hAnsi="Amiri" w:eastAsia="Amiri" w:cs="Amiri"/>
          <w:color w:val="111111"/>
          <w:sz w:val="28"/>
          <w:sz w:val="28"/>
          <w:szCs w:val="28"/>
          <w:rtl w:val="true"/>
          <w:lang w:bidi="ar-SA"/>
        </w:rPr>
        <w:t xml:space="preserve">وشدّة الحاجة إليها ، ممّا لا ينبغي الشكّ فيها </w:t>
      </w:r>
      <w:bookmarkStart w:id="160" w:name="pg15827_173656"/>
    </w:p>
    <w:p>
      <w:pPr>
        <w:pStyle w:val="BookText"/>
        <w:rPr/>
      </w:pPr>
      <w:bookmarkEnd w:id="16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إطالة </w:t>
      </w:r>
      <w:r>
        <w:rPr>
          <w:rStyle w:val="FootnoteAnchor"/>
          <w:rtl w:val="true"/>
        </w:rPr>
        <w:footnoteReference w:id="598"/>
      </w:r>
      <w:r>
        <w:rPr>
          <w:rFonts w:ascii="Amiri" w:hAnsi="Amiri" w:eastAsia="Amiri" w:cs="Amiri"/>
          <w:color w:val="111111"/>
          <w:sz w:val="28"/>
          <w:sz w:val="28"/>
          <w:szCs w:val="28"/>
          <w:rtl w:val="true"/>
          <w:lang w:bidi="ar-SA"/>
        </w:rPr>
        <w:t xml:space="preserve">الكلام في طرقها </w:t>
      </w:r>
      <w:r>
        <w:rPr>
          <w:rStyle w:val="FootnoteAnchor"/>
          <w:rtl w:val="true"/>
        </w:rPr>
        <w:footnoteReference w:id="599"/>
      </w:r>
      <w:r>
        <w:rPr>
          <w:rFonts w:ascii="Amiri" w:hAnsi="Amiri" w:eastAsia="Amiri" w:cs="Amiri"/>
          <w:color w:val="111111"/>
          <w:sz w:val="28"/>
          <w:sz w:val="28"/>
          <w:szCs w:val="28"/>
          <w:rtl w:val="true"/>
          <w:lang w:bidi="ar-SA"/>
        </w:rPr>
        <w:t xml:space="preserve">وتكثير الأدلّة عليها ؛ لوضوح الحال فيها ممّا </w:t>
      </w:r>
      <w:r>
        <w:rPr>
          <w:rStyle w:val="FootnoteAnchor"/>
          <w:rtl w:val="true"/>
        </w:rPr>
        <w:footnoteReference w:id="600"/>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دلّ عليها من النصوص المستفيضة المتكثرة الّتي كادت أن تكون متواترة بالمعنى ، لكن لمّا </w:t>
      </w:r>
      <w:r>
        <w:rPr>
          <w:rStyle w:val="FootnoteAnchor"/>
          <w:rtl w:val="true"/>
        </w:rPr>
        <w:footnoteReference w:id="601"/>
      </w:r>
      <w:r>
        <w:rPr>
          <w:rFonts w:ascii="Amiri" w:hAnsi="Amiri" w:eastAsia="Amiri" w:cs="Amiri"/>
          <w:color w:val="111111"/>
          <w:sz w:val="28"/>
          <w:sz w:val="28"/>
          <w:szCs w:val="28"/>
          <w:rtl w:val="true"/>
          <w:lang w:bidi="ar-SA"/>
        </w:rPr>
        <w:t xml:space="preserve">جرت الطريقة على كتبهم عن أدلّتها وبيان الأخبار الواردة فيها ، فلا بأس لو اقتفينا أثرهم في ذلك بالإشارة إلى بعض ما هنالك ، فنقول </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14099703_2142443653"/>
      <w:bookmarkStart w:id="162" w:name="_Toc58"/>
      <w:bookmarkEnd w:id="161"/>
      <w:r>
        <w:rPr>
          <w:rtl w:val="true"/>
        </w:rPr>
        <w:t xml:space="preserve">[ </w:t>
      </w:r>
      <w:r>
        <w:rPr>
          <w:rtl w:val="true"/>
        </w:rPr>
        <w:t xml:space="preserve">انفعال القليل بملاقاة النجاسة </w:t>
      </w:r>
      <w:r>
        <w:rPr>
          <w:rtl w:val="true"/>
        </w:rPr>
        <w:t>]</w:t>
      </w:r>
      <w:bookmarkEnd w:id="162"/>
    </w:p>
    <w:p>
      <w:pPr>
        <w:pStyle w:val="BookText"/>
        <w:rPr/>
      </w:pPr>
      <w:r>
        <w:rPr>
          <w:rFonts w:ascii="Amiri" w:hAnsi="Amiri" w:eastAsia="Amiri" w:cs="Amiri"/>
          <w:color w:val="111111"/>
          <w:sz w:val="28"/>
          <w:sz w:val="28"/>
          <w:szCs w:val="28"/>
          <w:rtl w:val="true"/>
          <w:lang w:bidi="ar-SA"/>
        </w:rPr>
        <w:t xml:space="preserve">قد ادّعى الإجماع على انفعال القليل بالملاقاة في الناصريات </w:t>
      </w:r>
      <w:r>
        <w:rPr>
          <w:rStyle w:val="FootnoteAnchor"/>
          <w:rtl w:val="true"/>
        </w:rPr>
        <w:footnoteReference w:id="602"/>
      </w:r>
      <w:r>
        <w:rPr>
          <w:rFonts w:ascii="IRNazanin" w:hAnsi="IRNazanin" w:eastAsia="IRNazanin"/>
          <w:color w:val="111111"/>
          <w:sz w:val="28"/>
          <w:sz w:val="28"/>
          <w:szCs w:val="28"/>
          <w:rtl w:val="true"/>
          <w:lang w:bidi="fa-IR"/>
        </w:rPr>
        <w:t xml:space="preserve">والخلاف </w:t>
      </w:r>
      <w:r>
        <w:rPr>
          <w:rStyle w:val="FootnoteAnchor"/>
          <w:rtl w:val="true"/>
        </w:rPr>
        <w:footnoteReference w:id="603"/>
      </w:r>
      <w:r>
        <w:rPr>
          <w:rFonts w:ascii="Amiri" w:hAnsi="Amiri" w:eastAsia="Amiri" w:cs="Amiri"/>
          <w:color w:val="111111"/>
          <w:sz w:val="28"/>
          <w:sz w:val="28"/>
          <w:szCs w:val="28"/>
          <w:rtl w:val="true"/>
          <w:lang w:bidi="ar-SA"/>
        </w:rPr>
        <w:t xml:space="preserve">والتهذيب والاستبصار </w:t>
      </w:r>
      <w:r>
        <w:rPr>
          <w:rStyle w:val="FootnoteAnchor"/>
          <w:rtl w:val="true"/>
        </w:rPr>
        <w:footnoteReference w:id="604"/>
      </w:r>
      <w:r>
        <w:rPr>
          <w:rFonts w:ascii="IRNazanin" w:hAnsi="IRNazanin" w:eastAsia="IRNazanin"/>
          <w:color w:val="111111"/>
          <w:sz w:val="28"/>
          <w:sz w:val="28"/>
          <w:szCs w:val="28"/>
          <w:rtl w:val="true"/>
          <w:lang w:bidi="fa-IR"/>
        </w:rPr>
        <w:t xml:space="preserve">وشرح الجمل والجواهر </w:t>
      </w:r>
      <w:r>
        <w:rPr>
          <w:rStyle w:val="FootnoteAnchor"/>
          <w:rtl w:val="true"/>
        </w:rPr>
        <w:footnoteReference w:id="605"/>
      </w:r>
      <w:r>
        <w:rPr>
          <w:rFonts w:ascii="Amiri" w:hAnsi="Amiri" w:eastAsia="Amiri" w:cs="Amiri"/>
          <w:color w:val="111111"/>
          <w:sz w:val="28"/>
          <w:sz w:val="28"/>
          <w:szCs w:val="28"/>
          <w:rtl w:val="true"/>
          <w:lang w:bidi="ar-SA"/>
        </w:rPr>
        <w:t xml:space="preserve">والغنية </w:t>
      </w:r>
      <w:r>
        <w:rPr>
          <w:rStyle w:val="FootnoteAnchor"/>
          <w:rtl w:val="true"/>
        </w:rPr>
        <w:footnoteReference w:id="606"/>
      </w:r>
      <w:r>
        <w:rPr>
          <w:rFonts w:ascii="Amiri" w:hAnsi="Amiri" w:eastAsia="Amiri" w:cs="Amiri"/>
          <w:color w:val="111111"/>
          <w:sz w:val="28"/>
          <w:sz w:val="28"/>
          <w:szCs w:val="28"/>
          <w:rtl w:val="true"/>
          <w:lang w:bidi="ar-SA"/>
        </w:rPr>
        <w:t xml:space="preserve">والمختلف وحكى في المختلف </w:t>
      </w:r>
      <w:r>
        <w:rPr>
          <w:rStyle w:val="FootnoteAnchor"/>
          <w:rtl w:val="true"/>
        </w:rPr>
        <w:footnoteReference w:id="607"/>
      </w:r>
      <w:r>
        <w:rPr>
          <w:rFonts w:ascii="Amiri" w:hAnsi="Amiri" w:eastAsia="Amiri" w:cs="Amiri"/>
          <w:color w:val="111111"/>
          <w:sz w:val="28"/>
          <w:sz w:val="28"/>
          <w:szCs w:val="28"/>
          <w:rtl w:val="true"/>
          <w:lang w:bidi="ar-SA"/>
        </w:rPr>
        <w:t>أيضا اتّفاق علمائنا عدا ابن أبي عقيل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التنقيح والمهذّب البارع </w:t>
      </w:r>
      <w:r>
        <w:rPr>
          <w:rStyle w:val="FootnoteAnchor"/>
          <w:rtl w:val="true"/>
        </w:rPr>
        <w:footnoteReference w:id="608"/>
      </w:r>
      <w:r>
        <w:rPr>
          <w:rFonts w:ascii="Amiri" w:hAnsi="Amiri" w:eastAsia="Amiri" w:cs="Amiri"/>
          <w:color w:val="111111"/>
          <w:sz w:val="28"/>
          <w:sz w:val="28"/>
          <w:szCs w:val="28"/>
          <w:rtl w:val="true"/>
          <w:lang w:bidi="ar-SA"/>
        </w:rPr>
        <w:t>حكاية الإجماع عليه إلّا من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الإجماع على انفعاله في خصوص سؤر اليهود والنصارى وكلّ كافر في الانتصار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وفي الذكرى الإجماع على نجاسة ماء الولوغ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610"/>
      </w:r>
      <w:r>
        <w:rPr>
          <w:rFonts w:ascii="Amiri" w:hAnsi="Amiri" w:eastAsia="Amiri" w:cs="Amiri"/>
          <w:color w:val="111111"/>
          <w:sz w:val="28"/>
          <w:sz w:val="28"/>
          <w:szCs w:val="28"/>
          <w:rtl w:val="true"/>
          <w:lang w:bidi="ar-SA"/>
        </w:rPr>
        <w:t>نفي الخلاف عن المنع من استعمال أحد الإنائين إذا وقع فيه نجاسة ولم يعلمه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611"/>
      </w:r>
      <w:r>
        <w:rPr>
          <w:rFonts w:ascii="Amiri" w:hAnsi="Amiri" w:eastAsia="Amiri" w:cs="Amiri"/>
          <w:color w:val="111111"/>
          <w:sz w:val="28"/>
          <w:sz w:val="28"/>
          <w:szCs w:val="28"/>
          <w:rtl w:val="true"/>
          <w:lang w:bidi="ar-SA"/>
        </w:rPr>
        <w:t xml:space="preserve">حكاية الإجماع على نجاسة المستعمل للجنب والحائض وشبههما </w:t>
      </w:r>
      <w:r>
        <w:rPr>
          <w:rStyle w:val="FootnoteAnchor"/>
          <w:rtl w:val="true"/>
        </w:rPr>
        <w:footnoteReference w:id="612"/>
      </w:r>
      <w:r>
        <w:rPr>
          <w:rFonts w:ascii="Amiri" w:hAnsi="Amiri" w:eastAsia="Amiri" w:cs="Amiri"/>
          <w:color w:val="111111"/>
          <w:sz w:val="28"/>
          <w:sz w:val="28"/>
          <w:szCs w:val="28"/>
          <w:rtl w:val="true"/>
          <w:lang w:bidi="ar-SA"/>
        </w:rPr>
        <w:t xml:space="preserve">إذا كان على جسده نجاسة عينيّة وكان أقلّ من كرّ ، وعلى نجاسة سؤر الخنزير وعلى نجاسة سؤر الكلب عدا بعض من </w:t>
      </w:r>
      <w:r>
        <w:rPr>
          <w:rStyle w:val="FootnoteAnchor"/>
          <w:rtl w:val="true"/>
        </w:rPr>
        <w:footnoteReference w:id="613"/>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هذه الإجماعات المحكيّة مضافا إلى السيرة المستمرّة بين الفرقة الناجية قديما وحديثا يمكن القطع بالإجماع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الدالّة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أو في موارد مخصوصة ، فيستدلّ بها لذلك بانضمام عدم القول بالفصل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 بل لا يبعد بلوغها حدّ التواتر المعنوي كما ادّعي ، منها الأخبار الواردة في الكرّ ، وهي أيضا قريبة من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كادت أن تبلغ في الكثرة حدّ التواتر المعنوي ، فمن ذلك الصحاح المستفيضة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فإنّ قضيّة مفهومها نجاسة الماء الّذي دونه ببعض النجاسات الغير المغيّرة وإلّا تساوى </w:t>
      </w:r>
      <w:r>
        <w:rPr>
          <w:rStyle w:val="FootnoteAnchor"/>
          <w:rtl w:val="true"/>
        </w:rPr>
        <w:footnoteReference w:id="616"/>
      </w:r>
      <w:r>
        <w:rPr>
          <w:rFonts w:ascii="Amiri" w:hAnsi="Amiri" w:eastAsia="Amiri" w:cs="Amiri"/>
          <w:color w:val="111111"/>
          <w:sz w:val="28"/>
          <w:sz w:val="28"/>
          <w:szCs w:val="28"/>
          <w:rtl w:val="true"/>
          <w:lang w:bidi="ar-SA"/>
        </w:rPr>
        <w:t>الكرّ فتسقط فائدة الاشتراط</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وبانعقاد الإجماع على عدم الفرق بين النجاسات في ذلك ، يتمّ دلالتها على عموم الانفعال بالنّسبة إليها ، ودلالتها على العموم بالنّسبة إلى المياه وأحوالها من جهة عموم إرادة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 xml:space="preserve">الشرط و </w:t>
      </w:r>
      <w:r>
        <w:rPr>
          <w:rStyle w:val="FootnoteAnchor"/>
          <w:rtl w:val="true"/>
        </w:rPr>
        <w:footnoteReference w:id="618"/>
      </w:r>
      <w:r>
        <w:rPr>
          <w:rFonts w:ascii="Amiri" w:hAnsi="Amiri" w:eastAsia="Amiri" w:cs="Amiri"/>
          <w:color w:val="111111"/>
          <w:sz w:val="28"/>
          <w:sz w:val="28"/>
          <w:szCs w:val="28"/>
          <w:rtl w:val="true"/>
          <w:lang w:bidi="ar-SA"/>
        </w:rPr>
        <w:t>الموضوع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المنساق منه في العرف ، ولو سلّم فالحكمة قاضية به في المقام وإلّا لخرج الكلام عن الإفادة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فلدلالة تعليق الحكم على الطبيعة </w:t>
      </w:r>
      <w:r>
        <w:rPr>
          <w:rStyle w:val="FootnoteAnchor"/>
          <w:rtl w:val="true"/>
        </w:rPr>
        <w:footnoteReference w:id="619"/>
      </w:r>
      <w:r>
        <w:rPr>
          <w:rFonts w:ascii="Amiri" w:hAnsi="Amiri" w:eastAsia="Amiri" w:cs="Amiri"/>
          <w:color w:val="111111"/>
          <w:sz w:val="28"/>
          <w:sz w:val="28"/>
          <w:szCs w:val="28"/>
          <w:rtl w:val="true"/>
          <w:lang w:bidi="ar-SA"/>
        </w:rPr>
        <w:t>عليه كما قيل ، أو بمعونة الحكمة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جريان الحكمة في المفهوم أيضا مع قطع النظر عن عموم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قلنا استفادة عموم الحكم منها بالنسبة إلى أنحاء الملاقاة من الورود على النجاسة وورودها عليه واستعماله في التطهير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التعميم أيضا إطلاق التنجيس الظاهر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وادّعى بعض الأفاضل دلالتها على انفعال القليل بكلّ واحد من النجاسات نظرا إلى دلالة المنطوق على عدم تنجّس الكرّ بشي‌ء من النجاسات بالعموم الاستغراقي ، فيكون المفهوم تنجّس القليل بكلّ واحد من النجاسات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الكرّ شرطا لكلّ واحد بل للمجموع من حيث المجموع ، فلا يدلّ المنطوق حينئذ على عدم انفعاله بملاقاة بعض النجاسات ، وهو خلاف الفرض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النكرة في سياق النفي يدلّ على العموم الأفرادي لا المجموعيّ ، وبملاحظته يتمّ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الاشتباه بين العمومين يحصل الاشتباه في المقام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جدّا فإنّ المطلب دقيق في الغاية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الحكم في المنطوق هو عدم تنجّس الكرّ بشي‌ء من النجاسات ، فيكون قضيّة مفهومه ينجس ما دون الكرّ بشي‌ء منها ، فاشتراط الكرّية إنّما هو في </w:t>
      </w:r>
    </w:p>
    <w:p>
      <w:pPr>
        <w:pStyle w:val="BookText"/>
        <w:rPr/>
      </w:pPr>
      <w:r>
        <w:rPr>
          <w:rFonts w:ascii="Amiri" w:hAnsi="Amiri" w:eastAsia="Amiri" w:cs="Amiri"/>
          <w:color w:val="111111"/>
          <w:sz w:val="28"/>
          <w:sz w:val="28"/>
          <w:szCs w:val="28"/>
          <w:rtl w:val="true"/>
          <w:lang w:bidi="ar-SA"/>
        </w:rPr>
        <w:t xml:space="preserve">عدم الانفعال بشي‌ء منها المقهور </w:t>
      </w:r>
      <w:r>
        <w:rPr>
          <w:rStyle w:val="FootnoteAnchor"/>
          <w:rtl w:val="true"/>
        </w:rPr>
        <w:footnoteReference w:id="621"/>
      </w:r>
      <w:r>
        <w:rPr>
          <w:rFonts w:ascii="IRNazanin" w:hAnsi="IRNazanin" w:eastAsia="IRNazanin"/>
          <w:color w:val="111111"/>
          <w:sz w:val="28"/>
          <w:sz w:val="28"/>
          <w:szCs w:val="28"/>
          <w:rtl w:val="true"/>
          <w:lang w:bidi="fa-IR"/>
        </w:rPr>
        <w:t>عند عدم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الظاهر أنّ رفع عدم الانفعال بشي‌ء إنّما يكون بانفعاله بشي‌ء ، فلا وجه لحمل العبارة على حصول التعليق بالنسبة إلى كلّ واحد من النجاسات زعما منه رحمه‌اللّه أنّه لولاه لكان المعلّق عدم التنجّس بمجموع النجاسات ، فلا يدلّ على عدم تنجّسه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فاسد لما عرفت من حصول احتمال آخر غير المعنيين المذكورين ، بل ويعيّن الحمل عليه ، فيكون المعلّق على الشرط هو عدم تنجّس الماء بشي‌ء من النجاسات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22"/>
      </w:r>
      <w:r>
        <w:rPr>
          <w:rFonts w:ascii="Amiri" w:hAnsi="Amiri" w:eastAsia="Amiri" w:cs="Amiri"/>
          <w:color w:val="111111"/>
          <w:sz w:val="28"/>
          <w:sz w:val="28"/>
          <w:szCs w:val="28"/>
          <w:rtl w:val="true"/>
          <w:lang w:bidi="ar-SA"/>
        </w:rPr>
        <w:t xml:space="preserve">من الواضح أنّ ذلك لا يستلزم حصول التعليق بالنسبة إلى كلّ واحد واحد ليدلّ على حصول التنجّس بكلّ واحد مع انتفاء الشرط ، كيف ولو كان قضيّة المفهوم ما ذكره رحمه‌اللّه لكان </w:t>
      </w:r>
      <w:r>
        <w:rPr>
          <w:rStyle w:val="FootnoteAnchor"/>
          <w:rtl w:val="true"/>
        </w:rPr>
        <w:footnoteReference w:id="623"/>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جئتني لم اعطك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إعطائك جميع الأشياء مع عدم المجي‌ء ، وهو ظاهر البطلان ، لا إشعار في العبارة به بضرورة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صحيحة علي بن جعفر ، عن الدجاجة والحمامة وأشباههما </w:t>
      </w:r>
      <w:r>
        <w:rPr>
          <w:rStyle w:val="FootnoteAnchor"/>
          <w:rtl w:val="true"/>
        </w:rPr>
        <w:footnoteReference w:id="624"/>
      </w:r>
      <w:r>
        <w:rPr>
          <w:rFonts w:ascii="Amiri" w:hAnsi="Amiri" w:eastAsia="Amiri" w:cs="Amiri"/>
          <w:color w:val="111111"/>
          <w:sz w:val="28"/>
          <w:sz w:val="28"/>
          <w:szCs w:val="28"/>
          <w:rtl w:val="true"/>
          <w:lang w:bidi="ar-SA"/>
        </w:rPr>
        <w:t xml:space="preserve">تطأ العذرة ثمّ تدخل الماء يتوضّأ منه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يكون الماء قدر كرّ من ماء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والمنع من الوضوء ليس إلّا لأجل النجاسة ؛ إذ لا يشترط بما سوى الطهارة إجماعا ، و </w:t>
      </w:r>
      <w:r>
        <w:rPr>
          <w:rStyle w:val="FootnoteAnchor"/>
          <w:rtl w:val="true"/>
        </w:rPr>
        <w:footnoteReference w:id="626"/>
      </w:r>
      <w:r>
        <w:rPr>
          <w:rFonts w:ascii="Amiri" w:hAnsi="Amiri" w:eastAsia="Amiri" w:cs="Amiri"/>
          <w:color w:val="111111"/>
          <w:sz w:val="28"/>
          <w:sz w:val="28"/>
          <w:szCs w:val="28"/>
          <w:rtl w:val="true"/>
          <w:lang w:bidi="ar-SA"/>
        </w:rPr>
        <w:t>هو المفهوم من الكلام بمعونة المقام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إسماعيل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لا ينجّسه شي‌ء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ذراعان عمقه في ذراع وشبر سعته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التعريف مساواته للمعرّف ، فيدلّ على تنجّس ما دونه بالملاقاة في الجملة ، وبعدم القول بالفصل يعمّم الحكم بالنسبة إلى النجاسات ، وبظاهر الإطلاقات بالنسبة إلى أنحاء الملاقاة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الواردة في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أيضا على شهرة اعتبار الكرّية في الماء عند الشيعة في زمن الأئمّة عليهم‌السلام حتى كرّروا السؤال عنه ، وهم عليهم‌السلام أجابوا تارة بتعيّن المساحة واخرى بضبط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أنّه بناء على القول بعدم الانفعال يكون ذلك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عدم حصول التغيير معه عادة ممّا يقضي الضرورة بفساده ، ويتأدّى </w:t>
      </w:r>
      <w:r>
        <w:rPr>
          <w:rStyle w:val="FootnoteAnchor"/>
          <w:rtl w:val="true"/>
        </w:rPr>
        <w:footnoteReference w:id="628"/>
      </w:r>
      <w:r>
        <w:rPr>
          <w:rFonts w:ascii="Amiri" w:hAnsi="Amiri" w:eastAsia="Amiri" w:cs="Amiri"/>
          <w:color w:val="111111"/>
          <w:sz w:val="28"/>
          <w:sz w:val="28"/>
          <w:szCs w:val="28"/>
          <w:rtl w:val="true"/>
          <w:lang w:bidi="ar-SA"/>
        </w:rPr>
        <w:t xml:space="preserve">سياق تلك الأخبار ببطلانه ، وكذلك حمل التقدير به على مجرّد المحافظة على المندوب </w:t>
      </w:r>
      <w:r>
        <w:rPr>
          <w:rStyle w:val="FootnoteAnchor"/>
          <w:rtl w:val="true"/>
        </w:rPr>
        <w:footnoteReference w:id="629"/>
      </w:r>
      <w:r>
        <w:rPr>
          <w:rFonts w:ascii="Amiri" w:hAnsi="Amiri" w:eastAsia="Amiri" w:cs="Amiri"/>
          <w:color w:val="111111"/>
          <w:sz w:val="28"/>
          <w:sz w:val="28"/>
          <w:szCs w:val="28"/>
          <w:rtl w:val="true"/>
          <w:lang w:bidi="ar-SA"/>
        </w:rPr>
        <w:t>وطلب الراجح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إراقة الإنائين اللذين وقع في أحدهما نجاسة واشتبه بالآخر ووجوب التيمّم كموثقتي سماعة </w:t>
      </w:r>
      <w:r>
        <w:rPr>
          <w:rStyle w:val="FootnoteAnchor"/>
          <w:rtl w:val="true"/>
        </w:rPr>
        <w:footnoteReference w:id="630"/>
      </w:r>
      <w:r>
        <w:rPr>
          <w:rFonts w:ascii="Amiri" w:hAnsi="Amiri" w:eastAsia="Amiri" w:cs="Amiri"/>
          <w:color w:val="111111"/>
          <w:sz w:val="28"/>
          <w:sz w:val="28"/>
          <w:szCs w:val="28"/>
          <w:rtl w:val="true"/>
          <w:lang w:bidi="ar-SA"/>
        </w:rPr>
        <w:t xml:space="preserve">وعمّار الساباطي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دلالة الأمر بالإراقة في المقام على عدم جواز الانتفاع به فيما هو الغالب في الانتفاع بالماء من الشرب والاستعمال في التطهير من الأحدات والأخباث ونحوها ، وكذا العدول من </w:t>
      </w:r>
      <w:r>
        <w:rPr>
          <w:rStyle w:val="FootnoteAnchor"/>
          <w:rtl w:val="true"/>
        </w:rPr>
        <w:footnoteReference w:id="632"/>
      </w:r>
      <w:r>
        <w:rPr>
          <w:rFonts w:ascii="Amiri" w:hAnsi="Amiri" w:eastAsia="Amiri" w:cs="Amiri"/>
          <w:color w:val="111111"/>
          <w:sz w:val="28"/>
          <w:sz w:val="28"/>
          <w:szCs w:val="28"/>
          <w:rtl w:val="true"/>
          <w:lang w:bidi="ar-SA"/>
        </w:rPr>
        <w:t>الطهارة الاختياريّة إلى الاضطراريّة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نجاسة سؤر نجس العين ، وهي أخبار كثيرة مشتملة على الصحاح المستفيضة كصحيحة البقباق </w:t>
      </w:r>
      <w:r>
        <w:rPr>
          <w:rStyle w:val="FootnoteAnchor"/>
          <w:rtl w:val="true"/>
        </w:rPr>
        <w:footnoteReference w:id="633"/>
      </w:r>
      <w:r>
        <w:rPr>
          <w:rFonts w:ascii="Amiri" w:hAnsi="Amiri" w:eastAsia="Amiri" w:cs="Amiri"/>
          <w:color w:val="111111"/>
          <w:sz w:val="28"/>
          <w:sz w:val="28"/>
          <w:szCs w:val="28"/>
          <w:rtl w:val="true"/>
          <w:lang w:bidi="ar-SA"/>
        </w:rPr>
        <w:t xml:space="preserve">وصحيحة معاوية </w:t>
      </w:r>
      <w:r>
        <w:rPr>
          <w:rStyle w:val="FootnoteAnchor"/>
          <w:rtl w:val="true"/>
        </w:rPr>
        <w:footnoteReference w:id="634"/>
      </w:r>
      <w:r>
        <w:rPr>
          <w:rFonts w:ascii="Amiri" w:hAnsi="Amiri" w:eastAsia="Amiri" w:cs="Amiri"/>
          <w:color w:val="111111"/>
          <w:sz w:val="28"/>
          <w:sz w:val="28"/>
          <w:szCs w:val="28"/>
          <w:rtl w:val="true"/>
          <w:lang w:bidi="ar-SA"/>
        </w:rPr>
        <w:t xml:space="preserve">بن شريح الصريحتين في </w:t>
      </w:r>
    </w:p>
    <w:p>
      <w:pPr>
        <w:pStyle w:val="BookText"/>
        <w:rPr/>
      </w:pPr>
      <w:r>
        <w:rPr>
          <w:rFonts w:ascii="Amiri" w:hAnsi="Amiri" w:eastAsia="Amiri" w:cs="Amiri"/>
          <w:color w:val="111111"/>
          <w:sz w:val="28"/>
          <w:sz w:val="28"/>
          <w:szCs w:val="28"/>
          <w:rtl w:val="true"/>
          <w:lang w:bidi="ar-SA"/>
        </w:rPr>
        <w:t xml:space="preserve">نجاسة سؤر الكلب وموثقة </w:t>
      </w:r>
      <w:r>
        <w:rPr>
          <w:rStyle w:val="FootnoteAnchor"/>
          <w:rtl w:val="true"/>
        </w:rPr>
        <w:footnoteReference w:id="635"/>
      </w:r>
      <w:r>
        <w:rPr>
          <w:rFonts w:ascii="Amiri" w:hAnsi="Amiri" w:eastAsia="Amiri" w:cs="Amiri"/>
          <w:color w:val="111111"/>
          <w:sz w:val="28"/>
          <w:sz w:val="28"/>
          <w:szCs w:val="28"/>
          <w:rtl w:val="true"/>
          <w:lang w:bidi="ar-SA"/>
        </w:rPr>
        <w:t xml:space="preserve">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يشرب سؤر الكلب إلّا أن يكون حوضا كبيرا يستقى منه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سعيد الأعرج عن سؤر اليهودي والنصراني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إلى معلّى بن خنيس عن الصادق عليه‌السلام في الخنزير يخرج من الماء فيمرّ على الطريق فيسيل منه الماء ، فأمرّ عليه حافيا؟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وراءه شي‌ء جاف؟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 إن الأرض يطهّر بعضه بعضا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نجاسة آنية ولوغ الكلب </w:t>
      </w:r>
      <w:r>
        <w:rPr>
          <w:rStyle w:val="FootnoteAnchor"/>
          <w:rtl w:val="true"/>
        </w:rPr>
        <w:footnoteReference w:id="639"/>
      </w:r>
      <w:r>
        <w:rPr>
          <w:rFonts w:ascii="Amiri" w:hAnsi="Amiri" w:eastAsia="Amiri" w:cs="Amiri"/>
          <w:color w:val="111111"/>
          <w:sz w:val="28"/>
          <w:sz w:val="28"/>
          <w:szCs w:val="28"/>
          <w:rtl w:val="true"/>
          <w:lang w:bidi="ar-SA"/>
        </w:rPr>
        <w:t>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عدم استلزام الولوغ بملاقاة </w:t>
      </w:r>
      <w:r>
        <w:rPr>
          <w:rStyle w:val="FootnoteAnchor"/>
          <w:rtl w:val="true"/>
        </w:rPr>
        <w:footnoteReference w:id="640"/>
      </w:r>
      <w:r>
        <w:rPr>
          <w:rFonts w:ascii="Amiri" w:hAnsi="Amiri" w:eastAsia="Amiri" w:cs="Amiri"/>
          <w:color w:val="111111"/>
          <w:sz w:val="28"/>
          <w:sz w:val="28"/>
          <w:szCs w:val="28"/>
          <w:rtl w:val="true"/>
          <w:lang w:bidi="ar-SA"/>
        </w:rPr>
        <w:t>الآنية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وسراية النجاسة إليها من دون تنجّس ما فيها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تلك الأخبار كون ما في الآنية خصوص الماء كالصحيح عن خنزير شرب من إناء كيف يصنع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سبع مرّات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أيضا عن الكلب يشرب من الإناء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 الإناء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المنع من غسالة الحمّام ؛ ففي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تغسل من غسالة الحمّام ففيها يجتمع </w:t>
      </w:r>
      <w:r>
        <w:rPr>
          <w:rStyle w:val="FootnoteAnchor"/>
          <w:rtl w:val="true"/>
        </w:rPr>
        <w:footnoteReference w:id="643"/>
      </w:r>
      <w:r>
        <w:rPr>
          <w:rFonts w:ascii="Amiri" w:hAnsi="Amiri" w:eastAsia="Amiri" w:cs="Amiri"/>
          <w:color w:val="111111"/>
          <w:sz w:val="28"/>
          <w:sz w:val="28"/>
          <w:szCs w:val="28"/>
          <w:rtl w:val="true"/>
          <w:lang w:bidi="ar-SA"/>
        </w:rPr>
        <w:t xml:space="preserve">غسالة اليهودي والنصرانيّ والمجوسيّ والناصب لنا أهل البيت فهو شرّهم ، انّ اللّه تبارك وتعالى لم يخلق خلقا أنجس من الكلب وإنّ الناصب لنا أهل البيت </w:t>
      </w:r>
    </w:p>
    <w:p>
      <w:pPr>
        <w:pStyle w:val="BookText"/>
        <w:rPr/>
      </w:pPr>
      <w:r>
        <w:rPr>
          <w:rFonts w:ascii="IRNazanin" w:hAnsi="IRNazanin" w:eastAsia="IRNazanin"/>
          <w:color w:val="111111"/>
          <w:sz w:val="28"/>
          <w:sz w:val="28"/>
          <w:szCs w:val="28"/>
          <w:rtl w:val="true"/>
          <w:lang w:bidi="fa-IR"/>
        </w:rPr>
        <w:t xml:space="preserve">لأنجس منه </w:t>
      </w:r>
      <w:r>
        <w:rPr>
          <w:rFonts w:eastAsia="IRNazanin" w:cs="IRNazanin"/>
          <w:color w:val="111111"/>
          <w:sz w:val="28"/>
          <w:szCs w:val="28"/>
          <w:rtl w:val="true"/>
          <w:lang w:bidi="fa-IR"/>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المادّة في اعتصام ماء الحمّام الدالّ بمفهومه على عدمه مع عدمها وكان في تشبيه ماء الحمّام بالجاري إشارة أيضا إلى انفعال غيره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المتظافرة الدالّة منطوقا أو </w:t>
      </w:r>
      <w:r>
        <w:rPr>
          <w:rStyle w:val="FootnoteAnchor"/>
          <w:rtl w:val="true"/>
        </w:rPr>
        <w:footnoteReference w:id="645"/>
      </w:r>
      <w:r>
        <w:rPr>
          <w:rFonts w:ascii="Amiri" w:hAnsi="Amiri" w:eastAsia="Amiri" w:cs="Amiri"/>
          <w:color w:val="111111"/>
          <w:sz w:val="28"/>
          <w:sz w:val="28"/>
          <w:szCs w:val="28"/>
          <w:rtl w:val="true"/>
          <w:lang w:bidi="ar-SA"/>
        </w:rPr>
        <w:t xml:space="preserve">مفهوما على تنجّس القليل بملاقاة جملة من النجاسات المفروضة فيها كصحيحة عليّ بن جعفر عن رجل رعف وهو يتوضّأ فتقطر قطرة في إنائه ، هل يصلح </w:t>
      </w:r>
      <w:r>
        <w:rPr>
          <w:rStyle w:val="FootnoteAnchor"/>
          <w:rtl w:val="true"/>
        </w:rPr>
        <w:footnoteReference w:id="646"/>
      </w:r>
      <w:r>
        <w:rPr>
          <w:rFonts w:ascii="IRNazanin" w:hAnsi="IRNazanin" w:eastAsia="IRNazanin"/>
          <w:color w:val="111111"/>
          <w:sz w:val="28"/>
          <w:sz w:val="28"/>
          <w:szCs w:val="28"/>
          <w:rtl w:val="true"/>
          <w:lang w:bidi="fa-IR"/>
        </w:rPr>
        <w:t xml:space="preserve">الوضوء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البزنطي عن الرجل يدخل يده في الإناء وهي قذرة؟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الإناء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أدخلت يدك في الاناء قبل أن تغسلها فلا بأس إلّا أن يكون أصابها قذر بول أو جنابة فإن أدخلت يدك في الإناء وفيه شي‌ء من ذلك فأهرق ذلك الماء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أخبار مستفيضة غير ما ذكرنا واردة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يبل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ينجس حبا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 ثلاثا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ولا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قطرت في حبّ إلّا اهريق ذلك الحبّ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العيص بن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أصابته قطرة من طست </w:t>
      </w:r>
      <w:r>
        <w:rPr>
          <w:rStyle w:val="FootnoteAnchor"/>
          <w:rtl w:val="true"/>
        </w:rPr>
        <w:footnoteReference w:id="652"/>
      </w:r>
      <w:r>
        <w:rPr>
          <w:rFonts w:ascii="Amiri" w:hAnsi="Amiri" w:eastAsia="Amiri" w:cs="Amiri"/>
          <w:color w:val="111111"/>
          <w:sz w:val="28"/>
          <w:sz w:val="28"/>
          <w:szCs w:val="28"/>
          <w:rtl w:val="true"/>
          <w:lang w:bidi="ar-SA"/>
        </w:rPr>
        <w:t xml:space="preserve">فيه وضوء؟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بول أو قذر فليغسل ما أصابه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إطلاقه يدلّ على عدم الفرق بين الورودين وعلى نجاسة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المتكثّرة المذكورة في الأبواب المتفرقة ، من أرادها وقف عليها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بعدم الانفعال ، الأصل والعمومات الدالّة على طهارة الماء وطهوريّته ، وما دلّ على حصر تنجّسه بالتغيير كالحديث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اللّه الماء طهورا </w:t>
      </w:r>
      <w:r>
        <w:rPr>
          <w:rFonts w:eastAsia="Amiri" w:cs="Amiri" w:ascii="Amiri" w:hAnsi="Amiri"/>
          <w:color w:val="111111"/>
          <w:sz w:val="28"/>
          <w:szCs w:val="28"/>
          <w:rtl w:val="true"/>
          <w:lang w:bidi="ar-SA"/>
        </w:rPr>
        <w:t xml:space="preserve">.. » </w:t>
      </w:r>
      <w:r>
        <w:rPr>
          <w:rStyle w:val="FootnoteAnchor"/>
          <w:rtl w:val="true"/>
        </w:rPr>
        <w:footnoteReference w:id="654"/>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رواه العماني وادّعى تواتره عن الصادق عليه‌السلام عن آبائه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الماء طاهر لا ينجّسه </w:t>
      </w:r>
      <w:r>
        <w:rPr>
          <w:rStyle w:val="FootnoteAnchor"/>
          <w:rtl w:val="true"/>
        </w:rPr>
        <w:footnoteReference w:id="655"/>
      </w:r>
      <w:r>
        <w:rPr>
          <w:rFonts w:ascii="Amiri" w:hAnsi="Amiri" w:eastAsia="Amiri" w:cs="Amiri"/>
          <w:color w:val="111111"/>
          <w:sz w:val="28"/>
          <w:sz w:val="28"/>
          <w:szCs w:val="28"/>
          <w:rtl w:val="true"/>
          <w:lang w:bidi="ar-SA"/>
        </w:rPr>
        <w:t xml:space="preserve">شي‌ء إلّا ما غيّر لونه أو طعمه أو ريحه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والاطلاقات الحاكمة بطهارة الماء الملاقي للنّجاسة إذا خلا عن التغيير من غير تفصيل بين القليل والكثير كالصّحيح في الماء يمرّ به الرجل وهو يقع فيه الميتة والجيفة؟ فقال أبو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w:t>
      </w:r>
      <w:r>
        <w:rPr>
          <w:rStyle w:val="FootnoteAnchor"/>
          <w:rtl w:val="true"/>
        </w:rPr>
        <w:footnoteReference w:id="657"/>
      </w:r>
      <w:r>
        <w:rPr>
          <w:rFonts w:ascii="Amiri" w:hAnsi="Amiri" w:eastAsia="Amiri" w:cs="Amiri"/>
          <w:color w:val="111111"/>
          <w:sz w:val="28"/>
          <w:sz w:val="28"/>
          <w:szCs w:val="28"/>
          <w:rtl w:val="true"/>
          <w:lang w:bidi="ar-SA"/>
        </w:rPr>
        <w:t xml:space="preserve">كان الماء قد تغيّر ريحه أو طعمه فلا تشرب ولا تتوضّأ منه ، وإن لم يتغيّر ريحه وطعمه فاشرب وتوضّأ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عن غدير أتوه وفيه جيفة؟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قاهرا ولا يوجد فيه الريح فتوضّأ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 الّتي يضاهى ذلك ، وهي كثيرة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الحاكمة بعدم تنجّس الماء مع ظهورها في القليل كموثقة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هل يتوضّأ من كوز أو إناء غيره إذا شرب على أنّه يهودي؟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 xml:space="preserve">ذلك الماء الّذي شرب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الميسر عن الرجل الجنب ينتهي إلى الماء القليل في الطريق ويريد أن يغتسل وليس معه إناء يغرف به ويداه قذرتان؟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يضع يده ويتوضّأ ، ثمّ يغتسل هذا ممّا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عمران </w:t>
      </w:r>
      <w:r>
        <w:rPr>
          <w:rStyle w:val="FootnoteAnchor"/>
          <w:rtl w:val="true"/>
        </w:rPr>
        <w:footnoteReference w:id="663"/>
      </w:r>
      <w:r>
        <w:rPr>
          <w:rFonts w:ascii="Amiri" w:hAnsi="Amiri" w:eastAsia="Amiri" w:cs="Amiri"/>
          <w:color w:val="111111"/>
          <w:sz w:val="28"/>
          <w:sz w:val="28"/>
          <w:szCs w:val="28"/>
          <w:rtl w:val="true"/>
          <w:lang w:bidi="ar-SA"/>
        </w:rPr>
        <w:t xml:space="preserve">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في مغتسل يبال فيه ويغتسل من الجنابة فيقع في الإناء ما ينزو من الأرض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رعف فامتخط </w:t>
      </w:r>
      <w:r>
        <w:rPr>
          <w:rStyle w:val="FootnoteAnchor"/>
          <w:rtl w:val="true"/>
        </w:rPr>
        <w:footnoteReference w:id="665"/>
      </w:r>
      <w:r>
        <w:rPr>
          <w:rFonts w:ascii="IRNazanin" w:hAnsi="IRNazanin" w:eastAsia="IRNazanin"/>
          <w:color w:val="111111"/>
          <w:sz w:val="28"/>
          <w:sz w:val="28"/>
          <w:szCs w:val="28"/>
          <w:rtl w:val="true"/>
          <w:lang w:bidi="fa-IR"/>
        </w:rPr>
        <w:t xml:space="preserve">فصار </w:t>
      </w:r>
      <w:r>
        <w:rPr>
          <w:rStyle w:val="FootnoteAnchor"/>
          <w:rtl w:val="true"/>
        </w:rPr>
        <w:footnoteReference w:id="666"/>
      </w:r>
      <w:r>
        <w:rPr>
          <w:rFonts w:ascii="Amiri" w:hAnsi="Amiri" w:eastAsia="Amiri" w:cs="Amiri"/>
          <w:color w:val="111111"/>
          <w:sz w:val="28"/>
          <w:sz w:val="28"/>
          <w:szCs w:val="28"/>
          <w:rtl w:val="true"/>
          <w:lang w:bidi="ar-SA"/>
        </w:rPr>
        <w:t xml:space="preserve">ذلك الدم قطعا صغارا فأصاب إناءه ، هل يصلح الوضوء منه؟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شي‌ء يستبين في الماء فلا بأس ، وإن </w:t>
      </w:r>
      <w:r>
        <w:rPr>
          <w:rStyle w:val="FootnoteAnchor"/>
          <w:rtl w:val="true"/>
        </w:rPr>
        <w:footnoteReference w:id="667"/>
      </w:r>
      <w:r>
        <w:rPr>
          <w:rFonts w:ascii="Amiri" w:hAnsi="Amiri" w:eastAsia="Amiri" w:cs="Amiri"/>
          <w:color w:val="111111"/>
          <w:sz w:val="28"/>
          <w:sz w:val="28"/>
          <w:szCs w:val="28"/>
          <w:rtl w:val="true"/>
          <w:lang w:bidi="ar-SA"/>
        </w:rPr>
        <w:t xml:space="preserve">كان شيئا بيّنا فلا يتوضّأ </w:t>
      </w:r>
      <w:r>
        <w:rPr>
          <w:rStyle w:val="FootnoteAnchor"/>
          <w:rtl w:val="true"/>
        </w:rPr>
        <w:footnoteReference w:id="668"/>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بحملها في صورة الإبانة </w:t>
      </w:r>
      <w:r>
        <w:rPr>
          <w:rStyle w:val="FootnoteAnchor"/>
          <w:rtl w:val="true"/>
        </w:rPr>
        <w:footnoteReference w:id="669"/>
      </w:r>
      <w:r>
        <w:rPr>
          <w:rFonts w:ascii="Amiri" w:hAnsi="Amiri" w:eastAsia="Amiri" w:cs="Amiri"/>
          <w:color w:val="111111"/>
          <w:sz w:val="28"/>
          <w:sz w:val="28"/>
          <w:szCs w:val="28"/>
          <w:rtl w:val="true"/>
          <w:lang w:bidi="ar-SA"/>
        </w:rPr>
        <w:t>على حصول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عن الصادق عليه‌السلام في جلد الخنزير يجعل دلوا فتسقى به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الأخرى عن الباقر عليه‌السلام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 ماء سقطت فيها فارة أو جرذ </w:t>
      </w:r>
      <w:r>
        <w:rPr>
          <w:rStyle w:val="FootnoteAnchor"/>
          <w:rtl w:val="true"/>
        </w:rPr>
        <w:footnoteReference w:id="671"/>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صعوة ميتة؟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تفسّخ فيها فلا تشرب من مائها ولا تتوضّأ منها وصبّها ، وإن كان غير متفسّخ فاشرب منه وتوضّأ واطرح </w:t>
      </w:r>
      <w:r>
        <w:rPr>
          <w:rStyle w:val="FootnoteAnchor"/>
          <w:rtl w:val="true"/>
        </w:rPr>
        <w:footnoteReference w:id="672"/>
      </w:r>
      <w:r>
        <w:rPr>
          <w:rFonts w:ascii="Amiri" w:hAnsi="Amiri" w:eastAsia="Amiri" w:cs="Amiri"/>
          <w:color w:val="111111"/>
          <w:sz w:val="28"/>
          <w:sz w:val="28"/>
          <w:szCs w:val="28"/>
          <w:rtl w:val="true"/>
          <w:lang w:bidi="ar-SA"/>
        </w:rPr>
        <w:t xml:space="preserve">الميتة إذا أخرجتها طرية ، وكذلك الجرّة وحبّ الماء والقربة وأشباه ذلك من أوعية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أكثر من رواية لم ينجّسه شي‌ء تفسّخ أو لم يتفسّخ إلّا أن يجي‌ء له </w:t>
      </w:r>
      <w:r>
        <w:rPr>
          <w:rStyle w:val="FootnoteAnchor"/>
          <w:rtl w:val="true"/>
        </w:rPr>
        <w:footnoteReference w:id="673"/>
      </w:r>
      <w:r>
        <w:rPr>
          <w:rFonts w:ascii="Amiri" w:hAnsi="Amiri" w:eastAsia="Amiri" w:cs="Amiri"/>
          <w:color w:val="111111"/>
          <w:sz w:val="28"/>
          <w:sz w:val="28"/>
          <w:szCs w:val="28"/>
          <w:rtl w:val="true"/>
          <w:lang w:bidi="ar-SA"/>
        </w:rPr>
        <w:t xml:space="preserve">ريح يغلب على ريح الماء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مريم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عليه‌السلام في حائط له ، فحضرت الصلاة فنزح دلوا من ركي له فخرج عليه قطعة عذرة يابسة ، فأكفا رأسه وتوضّأ بالباقي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المنتهى مرسلا ، عن الباقر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الجرّة والقربة يسقط فيهما فارة أو جرو </w:t>
      </w:r>
      <w:r>
        <w:rPr>
          <w:rStyle w:val="FootnoteAnchor"/>
          <w:rtl w:val="true"/>
        </w:rPr>
        <w:footnoteReference w:id="676"/>
      </w:r>
      <w:r>
        <w:rPr>
          <w:rFonts w:ascii="Amiri" w:hAnsi="Amiri" w:eastAsia="Amiri" w:cs="Amiri"/>
          <w:color w:val="111111"/>
          <w:sz w:val="28"/>
          <w:sz w:val="28"/>
          <w:szCs w:val="28"/>
          <w:rtl w:val="true"/>
          <w:lang w:bidi="ar-SA"/>
        </w:rPr>
        <w:t>أو غيره فيموت فيها؟</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7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غلب رائحته على طعم الماء فأرقه وإن لم يغلب عليه فتوضّأ منه واشرب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بكار بن أبي بكر في الرجل يضع الكوز الذي يغرف به من الحبّ في مكان قذر ثمّ يدخله الحبّ؟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يصيب من الماء ثلاث أكف ثمّ يدلك الكوز </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ميزابين سالا ميزاب ببول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مضى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الحسين بن زرارة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Style w:val="FootnoteAnchor"/>
          <w:rtl w:val="true"/>
        </w:rPr>
        <w:footnoteReference w:id="682"/>
      </w:r>
      <w:r>
        <w:rPr>
          <w:rFonts w:ascii="Amiri" w:hAnsi="Amiri" w:eastAsia="Amiri" w:cs="Amiri"/>
          <w:color w:val="111111"/>
          <w:sz w:val="28"/>
          <w:sz w:val="28"/>
          <w:szCs w:val="28"/>
          <w:rtl w:val="true"/>
          <w:lang w:bidi="ar-SA"/>
        </w:rPr>
        <w:t xml:space="preserve">الخنزير يعمل به حبلا يستقى </w:t>
      </w:r>
      <w:r>
        <w:rPr>
          <w:rStyle w:val="FootnoteAnchor"/>
          <w:rtl w:val="true"/>
        </w:rPr>
        <w:footnoteReference w:id="683"/>
      </w:r>
      <w:r>
        <w:rPr>
          <w:rFonts w:ascii="Amiri" w:hAnsi="Amiri" w:eastAsia="Amiri" w:cs="Amiri"/>
          <w:color w:val="111111"/>
          <w:sz w:val="28"/>
          <w:sz w:val="28"/>
          <w:szCs w:val="28"/>
          <w:rtl w:val="true"/>
          <w:lang w:bidi="ar-SA"/>
        </w:rPr>
        <w:t xml:space="preserve">من البئر الّذي يشرب منها ويتوضّأ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أيضا ما دلّ </w:t>
      </w:r>
      <w:r>
        <w:rPr>
          <w:rStyle w:val="FootnoteAnchor"/>
          <w:rtl w:val="true"/>
        </w:rPr>
        <w:footnoteReference w:id="685"/>
      </w:r>
      <w:r>
        <w:rPr>
          <w:rFonts w:ascii="Amiri" w:hAnsi="Amiri" w:eastAsia="Amiri" w:cs="Amiri"/>
          <w:color w:val="111111"/>
          <w:sz w:val="28"/>
          <w:sz w:val="28"/>
          <w:szCs w:val="28"/>
          <w:rtl w:val="true"/>
          <w:lang w:bidi="ar-SA"/>
        </w:rPr>
        <w:t>على طهارة ماء الاستنجاء ؛ إذ هو من جملة القليل الملاقي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تلك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تدري لم صار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الماء أكثر من القذر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والتعليل يقضي جريان الحكم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ما دلّ على طهارة ماء الحمّام وأنّه لولاه لما أمكن التطهير بالقليل إذ كلّما لاقى المحلّ النجس ينجس به ولا يطهره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والتزام القول بطهوريّة النجس أو القول بتنجّسه بعد الانفصال لا حال الملاقاة الّتي هي السبب أو الفرق بين الورودين مع إطلاق الأخبار تعسّف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الأصل والعمومات فبالخروج عنهما بمقتضى الأدلّة الدالّة على النجاسة ، فيخصّص بها ما دلّ على حصر تنجّسه بالتغيير </w:t>
      </w:r>
      <w:r>
        <w:rPr>
          <w:rStyle w:val="FootnoteAnchor"/>
          <w:rtl w:val="true"/>
        </w:rPr>
        <w:footnoteReference w:id="687"/>
      </w:r>
      <w:r>
        <w:rPr>
          <w:rFonts w:ascii="Amiri" w:hAnsi="Amiri" w:eastAsia="Amiri" w:cs="Amiri"/>
          <w:color w:val="111111"/>
          <w:sz w:val="28"/>
          <w:sz w:val="28"/>
          <w:szCs w:val="28"/>
          <w:rtl w:val="true"/>
          <w:lang w:bidi="ar-SA"/>
        </w:rPr>
        <w:t>بعد الغضّ عن أسانيدها ؛ إذ قد عرفت الحال في الخبر المشهور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ادّعي تواتره عن الصادق عليه‌السلام لم نعثر له في كتب الأصحاب على سند واحد فضلا </w:t>
      </w:r>
    </w:p>
    <w:p>
      <w:pPr>
        <w:pStyle w:val="BookText"/>
        <w:rPr/>
      </w:pPr>
      <w:r>
        <w:rPr>
          <w:rFonts w:ascii="Amiri" w:hAnsi="Amiri" w:eastAsia="Amiri" w:cs="Amiri"/>
          <w:color w:val="111111"/>
          <w:sz w:val="28"/>
          <w:sz w:val="28"/>
          <w:szCs w:val="28"/>
          <w:rtl w:val="true"/>
          <w:lang w:bidi="ar-SA"/>
        </w:rPr>
        <w:t>عن تواتره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أخذه من مضمون الأخبار الكثيرة الواردة في الغدران ونحوها من المياه الواقفة </w:t>
      </w:r>
      <w:r>
        <w:rPr>
          <w:rStyle w:val="FootnoteAnchor"/>
          <w:rtl w:val="true"/>
        </w:rPr>
        <w:footnoteReference w:id="688"/>
      </w:r>
      <w:r>
        <w:rPr>
          <w:rFonts w:ascii="Amiri" w:hAnsi="Amiri" w:eastAsia="Amiri" w:cs="Amiri"/>
          <w:color w:val="111111"/>
          <w:sz w:val="28"/>
          <w:sz w:val="28"/>
          <w:szCs w:val="28"/>
          <w:rtl w:val="true"/>
          <w:lang w:bidi="ar-SA"/>
        </w:rPr>
        <w:t xml:space="preserve">في الطرقات والصحاري ونحوهما </w:t>
      </w:r>
      <w:r>
        <w:rPr>
          <w:rStyle w:val="FootnoteAnchor"/>
          <w:rtl w:val="true"/>
        </w:rPr>
        <w:footnoteReference w:id="689"/>
      </w:r>
      <w:r>
        <w:rPr>
          <w:rFonts w:ascii="Amiri" w:hAnsi="Amiri" w:eastAsia="Amiri" w:cs="Amiri"/>
          <w:color w:val="111111"/>
          <w:sz w:val="28"/>
          <w:sz w:val="28"/>
          <w:szCs w:val="28"/>
          <w:rtl w:val="true"/>
          <w:lang w:bidi="ar-SA"/>
        </w:rPr>
        <w:t>ممّا أشرنا إليها ، فلا يكون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والإطلاقات المذكورة كثير منها ظاهر في الكثير لفرض الحكم في بعضها في الغدير أو في حياض أهل البوادي ممّا يردّها السباع والكلاب والبهائم ، وفرض وقوع الجيفة والميتة فيه مع احتمال عروض التغيير وعدمه ، أو فرض وقوع الجيف والقذر وولوغ الكلب وشرب الدوابّ وبولها فيه ، أو وقوع الجيفة مع أمره عليه‌السلام بالوضوء من الجانب الآخر ، أو فرضه في الحياض مع تكرّر البول فيها مع جواب الإمام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يشهد بفرض الكثرة في الماء بل في </w:t>
      </w:r>
      <w:r>
        <w:rPr>
          <w:rStyle w:val="FootnoteAnchor"/>
          <w:rtl w:val="true"/>
        </w:rPr>
        <w:footnoteReference w:id="690"/>
      </w:r>
      <w:r>
        <w:rPr>
          <w:rFonts w:ascii="Amiri" w:hAnsi="Amiri" w:eastAsia="Amiri" w:cs="Amiri"/>
          <w:color w:val="111111"/>
          <w:sz w:val="28"/>
          <w:sz w:val="28"/>
          <w:szCs w:val="28"/>
          <w:rtl w:val="true"/>
          <w:lang w:bidi="ar-SA"/>
        </w:rPr>
        <w:t>كونها أضعاف الكرّ في كثير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فرض إطلاقها </w:t>
      </w:r>
      <w:r>
        <w:rPr>
          <w:rStyle w:val="FootnoteAnchor"/>
          <w:rtl w:val="true"/>
        </w:rPr>
        <w:footnoteReference w:id="691"/>
      </w:r>
      <w:r>
        <w:rPr>
          <w:rFonts w:ascii="Amiri" w:hAnsi="Amiri" w:eastAsia="Amiri" w:cs="Amiri"/>
          <w:color w:val="111111"/>
          <w:sz w:val="28"/>
          <w:sz w:val="28"/>
          <w:szCs w:val="28"/>
          <w:rtl w:val="true"/>
          <w:lang w:bidi="ar-SA"/>
        </w:rPr>
        <w:t xml:space="preserve">في بعضها فهو محمول على الكثير تحكيما للأخبار المقيّدة كما هو مقتضى القاعدة والأخبار الظاهرة في إرادة القليل مع أنّ كثيرا منها لا يخلو عن ضعف في الأسناد ، أكثرها لا يخلو من </w:t>
      </w:r>
      <w:r>
        <w:rPr>
          <w:rStyle w:val="FootnoteAnchor"/>
          <w:rtl w:val="true"/>
        </w:rPr>
        <w:footnoteReference w:id="692"/>
      </w:r>
      <w:r>
        <w:rPr>
          <w:rFonts w:ascii="Amiri" w:hAnsi="Amiri" w:eastAsia="Amiri" w:cs="Amiri"/>
          <w:color w:val="111111"/>
          <w:sz w:val="28"/>
          <w:sz w:val="28"/>
          <w:szCs w:val="28"/>
          <w:rtl w:val="true"/>
          <w:lang w:bidi="ar-SA"/>
        </w:rPr>
        <w:t>ضعف في الدلالة ، بل بعضها غير دالّ عليه ؛ لإمكان حمل موثقة عمّار على علوّ الباقي من الماء ، فلا يسري النجاسة إليه ؛ مع معارضتها لأخبار اخر دالّة على نجاسة خصوص سؤر اليهود ، فيحتمل قويّا حملها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ابن الميسر يعمّ الكرّ </w:t>
      </w:r>
      <w:r>
        <w:rPr>
          <w:rStyle w:val="FootnoteAnchor"/>
          <w:rtl w:val="true"/>
        </w:rPr>
        <w:footnoteReference w:id="693"/>
      </w:r>
      <w:r>
        <w:rPr>
          <w:rFonts w:ascii="Amiri" w:hAnsi="Amiri" w:eastAsia="Amiri" w:cs="Amiri"/>
          <w:color w:val="111111"/>
          <w:sz w:val="28"/>
          <w:sz w:val="28"/>
          <w:szCs w:val="28"/>
          <w:rtl w:val="true"/>
          <w:lang w:bidi="ar-SA"/>
        </w:rPr>
        <w:t xml:space="preserve">لعدم ثبوت الحقيقة الشرعيّة فيه ، فيقيّد </w:t>
      </w:r>
      <w:r>
        <w:rPr>
          <w:rStyle w:val="FootnoteAnchor"/>
          <w:rtl w:val="true"/>
        </w:rPr>
        <w:footnoteReference w:id="694"/>
      </w:r>
      <w:r>
        <w:rPr>
          <w:rFonts w:ascii="Amiri" w:hAnsi="Amiri" w:eastAsia="Amiri" w:cs="Amiri"/>
          <w:color w:val="111111"/>
          <w:sz w:val="28"/>
          <w:sz w:val="28"/>
          <w:szCs w:val="28"/>
          <w:rtl w:val="true"/>
          <w:lang w:bidi="ar-SA"/>
        </w:rPr>
        <w:t>بالأخبار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والقذارة أيضا لم يثبت كونها حقيقة في النجاسة الشرعيّة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عمر بن زيد ليست دالّة على كون ما يقع في الإناء خصوص ما ينزو من </w:t>
      </w:r>
    </w:p>
    <w:p>
      <w:pPr>
        <w:pStyle w:val="BookText"/>
        <w:rPr/>
      </w:pPr>
      <w:r>
        <w:rPr>
          <w:rFonts w:ascii="Amiri" w:hAnsi="Amiri" w:eastAsia="Amiri" w:cs="Amiri"/>
          <w:color w:val="111111"/>
          <w:sz w:val="28"/>
          <w:sz w:val="28"/>
          <w:szCs w:val="28"/>
          <w:rtl w:val="true"/>
          <w:lang w:bidi="ar-SA"/>
        </w:rPr>
        <w:t>المكان النجس مع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لا دلالة فيها على إصابة الدم الماء ، وإنّما تدلّ على إصابة الإناء ، فقد يكون السؤال من جهة حصول الظنّ بملاقاة النجاسة ، فأجاب عليه‌السلام أنّه إن تبيّن شي‌ء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حصل بذلك العلم بإصابة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تتوضّأ منه وإلّا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في جلد الخنزير ليست معمولا بها عند الأصحاب ؛ لدلالتها على جواز الانتفاع بالميتة ، على أنّها لا تدلّ على طهارة الماء ؛ لظهورها في نفي البأس عن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زرارة لا يمكن العمل بها ؛ إذ الفرق بين التفسّخ وعدمه ممّا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الفرق في ذلك بين ما كان أكثر من رواية ودونها </w:t>
      </w:r>
      <w:r>
        <w:rPr>
          <w:rStyle w:val="FootnoteAnchor"/>
          <w:rtl w:val="true"/>
        </w:rPr>
        <w:footnoteReference w:id="695"/>
      </w:r>
      <w:r>
        <w:rPr>
          <w:rFonts w:ascii="Amiri" w:hAnsi="Amiri" w:eastAsia="Amiri" w:cs="Amiri"/>
          <w:color w:val="111111"/>
          <w:sz w:val="28"/>
          <w:sz w:val="28"/>
          <w:szCs w:val="28"/>
          <w:rtl w:val="true"/>
          <w:lang w:bidi="ar-SA"/>
        </w:rPr>
        <w:t>، فهي بظاهرها مطروحة عند كافّة الأصحاب ، فلا تصلح للتعويل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والعذرة في رواية أبي مريم قد تحمل على الطهارة </w:t>
      </w:r>
      <w:r>
        <w:rPr>
          <w:rStyle w:val="FootnoteAnchor"/>
          <w:rtl w:val="true"/>
        </w:rPr>
        <w:footnoteReference w:id="696"/>
      </w:r>
      <w:r>
        <w:rPr>
          <w:rFonts w:ascii="Amiri" w:hAnsi="Amiri" w:eastAsia="Amiri" w:cs="Amiri"/>
          <w:color w:val="111111"/>
          <w:sz w:val="28"/>
          <w:sz w:val="28"/>
          <w:szCs w:val="28"/>
          <w:rtl w:val="true"/>
          <w:lang w:bidi="ar-SA"/>
        </w:rPr>
        <w:t>كما حملت عليها في بعض الروايات مع أنّها لا صراحة فيها بكونها في الماء فلعلّها كانت على الدلو فإكفاء رأسه لإزالتها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بكّار غير صريح في النجس كما مرّ على أنّه يمكن حمل الحبّ على ما يسع الكرّ على ما حكي من حباب ذلك الزمان ، ودلّ عليه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يدخله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إدخاله الحبّ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يصب من الماء ثلاث أكف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على تطهير الكوز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الحسين بن زرارة لا دلالة فيها على ملاقاة الحبل لما في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ماء الاستنجاء مقصور على محلّه ؛ إذ لا مقتضى للتسرية من الإجماع وغيره ، والرواية المعلّلة ضعيفة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مقاومة للروايات المذكورة بالنسبة إلى ما دلّ على الانفعال ، مضافا إلى اعتضادها بالشّهرة العظيمة عند الأصحاب وجريان السيرة عليه بين الشيعة الأطياب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حكاية عدم إمكان التطهير بالقليل ، فضعيفة جدّا ؛ إذ استبعاد حصول التطهير </w:t>
      </w:r>
    </w:p>
    <w:p>
      <w:pPr>
        <w:pStyle w:val="BookText"/>
        <w:rPr/>
      </w:pPr>
      <w:r>
        <w:rPr>
          <w:rFonts w:ascii="Amiri" w:hAnsi="Amiri" w:eastAsia="Amiri" w:cs="Amiri"/>
          <w:color w:val="111111"/>
          <w:sz w:val="28"/>
          <w:sz w:val="28"/>
          <w:szCs w:val="28"/>
          <w:rtl w:val="true"/>
          <w:lang w:bidi="ar-SA"/>
        </w:rPr>
        <w:t>بالنجس ممّا لا يقوم حجّة في الشرع ، مع أنّه قد ذهب جماعة كثيرون إلى تطهير الأرض النجس بغير التطهير ، فكيف بالماء مع تنجّسه حال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السيد </w:t>
      </w:r>
      <w:r>
        <w:rPr>
          <w:rStyle w:val="FootnoteAnchor"/>
          <w:rtl w:val="true"/>
        </w:rPr>
        <w:footnoteReference w:id="697"/>
      </w:r>
      <w:r>
        <w:rPr>
          <w:rFonts w:ascii="Amiri" w:hAnsi="Amiri" w:eastAsia="Amiri" w:cs="Amiri"/>
          <w:color w:val="111111"/>
          <w:sz w:val="28"/>
          <w:sz w:val="28"/>
          <w:szCs w:val="28"/>
          <w:rtl w:val="true"/>
          <w:lang w:bidi="ar-SA"/>
        </w:rPr>
        <w:t>قدس‌سره على التفصيل أنّه لولاه لزم عدم إمكان التطهير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من تبعه من المتأخرين عليه عدم شمول أدلّة انفعال القليل لمثله ، والإجماع </w:t>
      </w:r>
      <w:r>
        <w:rPr>
          <w:rStyle w:val="FootnoteAnchor"/>
          <w:rtl w:val="true"/>
        </w:rPr>
        <w:footnoteReference w:id="698"/>
      </w:r>
      <w:r>
        <w:rPr>
          <w:rFonts w:ascii="Amiri" w:hAnsi="Amiri" w:eastAsia="Amiri" w:cs="Amiri"/>
          <w:color w:val="111111"/>
          <w:sz w:val="28"/>
          <w:sz w:val="28"/>
          <w:szCs w:val="28"/>
          <w:rtl w:val="true"/>
          <w:lang w:bidi="ar-SA"/>
        </w:rPr>
        <w:t>على التسرية ، ومقتضى العمومات طهارته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 ضعف الوجه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أكثر ما دلّ على نجاسة القليل واردا في خصوص ورود النجاسة على الماء إلّا أن جملة من تلك الأخبار متناولة للنوعين كمفهوم </w:t>
      </w:r>
      <w:r>
        <w:rPr>
          <w:rStyle w:val="FootnoteAnchor"/>
          <w:rtl w:val="true"/>
        </w:rPr>
        <w:footnoteReference w:id="699"/>
      </w:r>
      <w:r>
        <w:rPr>
          <w:rFonts w:ascii="Amiri" w:hAnsi="Amiri" w:eastAsia="Amiri" w:cs="Amiri"/>
          <w:color w:val="111111"/>
          <w:sz w:val="28"/>
          <w:sz w:val="28"/>
          <w:szCs w:val="28"/>
          <w:rtl w:val="true"/>
          <w:lang w:bidi="ar-SA"/>
        </w:rPr>
        <w:t xml:space="preserve">أحاديث الكر والروايات الواردة في المنع من غسالة الحمام معللا بأن فيها غسالة الناصب ومن يحكمه ، وإطلاق مضمرة العيص ابن قاسم المتقدمة ، وإطلاق رواية أبي بصير المذكورة من النبيذ ، ومفهوم رواية علي بن جعفر ، عن أخيه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الشرب في إناء يشرب من الخمر قدحان عند ان أو باطنه؟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غسله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ونحوها موثقة عمار ، عن أبي عبد اللّه عليه‌السلام ، عن الإبريق وغيره بكون فيه خمر يصلح أن يكون فيه 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اذا غسل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الماء مع الورود على النجاسة غير منفعل عنها لما احتج الأواني المذكورة إلى الغسل في موضع الماء فيها ؛ مضافا إلى الشهرة المقارنة للإجماع وظاهر الإجماعات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قضية ما استند إليه يخصّص طهارة الوارد بما أزيل به الخبث اقتصارا فيه على قدر الضرورة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أورد على ما لا يطهر به صار بتسليط النجس عليه موردا عليه </w:t>
      </w:r>
      <w:bookmarkStart w:id="163" w:name="pg15827_173670"/>
    </w:p>
    <w:p>
      <w:pPr>
        <w:pStyle w:val="BookText"/>
        <w:rPr/>
      </w:pPr>
      <w:bookmarkEnd w:id="163"/>
      <w:r>
        <w:rPr>
          <w:rFonts w:ascii="Amiri" w:hAnsi="Amiri" w:eastAsia="Amiri" w:cs="Amiri"/>
          <w:color w:val="111111"/>
          <w:sz w:val="28"/>
          <w:sz w:val="28"/>
          <w:szCs w:val="28"/>
          <w:rtl w:val="true"/>
          <w:lang w:bidi="ar-SA"/>
        </w:rPr>
        <w:t>متنجس به وإن لم ينجس أو الورود فيرتفع الثمرة الظاهرة بخلاف ما لو حصلت بها الطهارة ؛ لعدم انفعاله ، فتأمل</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4099705_2142443653"/>
      <w:bookmarkStart w:id="165" w:name="_Toc59"/>
      <w:bookmarkEnd w:id="164"/>
      <w:r>
        <w:rPr>
          <w:rtl w:val="true"/>
        </w:rPr>
        <w:t xml:space="preserve">[ </w:t>
      </w:r>
      <w:r>
        <w:rPr>
          <w:rtl w:val="true"/>
        </w:rPr>
        <w:t xml:space="preserve">تنبيهات </w:t>
      </w:r>
      <w:r>
        <w:rPr>
          <w:rtl w:val="true"/>
        </w:rPr>
        <w:t>]</w:t>
      </w:r>
      <w:bookmarkEnd w:id="165"/>
    </w:p>
    <w:p>
      <w:pPr>
        <w:pStyle w:val="BookText"/>
        <w:rPr/>
      </w:pPr>
      <w:r>
        <w:rPr>
          <w:rFonts w:ascii="Amiri" w:hAnsi="Amiri" w:eastAsia="Amiri" w:cs="Amiri"/>
          <w:color w:val="111111"/>
          <w:sz w:val="28"/>
          <w:sz w:val="28"/>
          <w:szCs w:val="28"/>
          <w:rtl w:val="true"/>
          <w:lang w:bidi="ar-SA"/>
        </w:rPr>
        <w:t xml:space="preserve">وينبغي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المتّفق عليه بين أصحابنا عدم الفرق في الحكم المذكور بين المياه والنجاسات ، وحالتي الاختيار والاضطرار بل يعدل حينئذ إلى التيمم إلا ما استثنى في المقام مما يجي‌ء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يتراءى من بعض المتأخرين الفرق بين الحالتين ، ولا يدري أنّه مبنيّ على طهارة ذلك الماء في حال الضرورة أو على جواز استعمال ذلك النجس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فهو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فالوجه فيه ظواهر الأخبار كحسنة ابن الميسّر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في اليهودي والنصراني يدخل يده في الماء أيتوضأ منه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إلّا أن يضطر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أن من يسأله عن القذر يجتمع فيه ماء السماء ويستقى فيه من البئر ، فيستجي‌ء فيه الانسان من بول أو يغتسل فيه الجنب ، ما حده الذي لا يجوز؟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تتوضأ من مثل هذا الماء إلا من ضرورة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وقوّيه علي بن جعفر عن جنب أصابت يده من جنايته فمسحه بخرقة ثم أدخل يده في غسله قبل أن يغسلها هل يجزيه أن يغتسل من ذلك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وجد ماء غيره فلا يجزيه أن يغتسل به وإن لم يجد غيره أجزأ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وظواهر عدة الأخبار كما ترى مطرحة عند الأصحاب مخالفة لما مرّ من الروايات ، فإن أمكن تأويلها بما يرجع إلى المشهور وإلّا فلتطرح أو تحمل كالأخبار الدالّة على طهارة القليل على التقية ؛ إذ القول بعدم انفعاله مذهب جماعة من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أنه اضطر ظاهر فتاوى الصدوق في هذا الباب نظرا إلى اختلاف الروايات عن السادة الأطياب فإنه رحمه‌اللّه مع اعتباره الكرية في الماء وحكمه في مقامات </w:t>
      </w:r>
      <w:r>
        <w:rPr>
          <w:rStyle w:val="FootnoteAnchor"/>
          <w:rtl w:val="true"/>
        </w:rPr>
        <w:footnoteReference w:id="700"/>
      </w:r>
      <w:r>
        <w:rPr>
          <w:rFonts w:ascii="Amiri" w:hAnsi="Amiri" w:eastAsia="Amiri" w:cs="Amiri"/>
          <w:color w:val="111111"/>
          <w:sz w:val="28"/>
          <w:sz w:val="28"/>
          <w:szCs w:val="28"/>
          <w:rtl w:val="true"/>
          <w:lang w:bidi="ar-SA"/>
        </w:rPr>
        <w:t>شي‌ء بنجاسة القليل الملاقي للنجاسة في موارد مخصوصة ونجاسة الغسالة وعدم فرقه بين الورودين ، ذكر مضمون حسنة ابن الميسر مفتيا به مع ظهوره في جواز استعمال القليل الملاقي للنجاسة مع 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أيضا مضمون رواية زرارة في الرواية التي وقعت فيها فارة ، والمفصلة بين حالتي التفسخ وعدمه ؛ وذلك يعطي حكمه بعدم </w:t>
      </w:r>
      <w:r>
        <w:rPr>
          <w:rStyle w:val="FootnoteAnchor"/>
          <w:rtl w:val="true"/>
        </w:rPr>
        <w:footnoteReference w:id="701"/>
      </w:r>
      <w:r>
        <w:rPr>
          <w:rFonts w:ascii="Amiri" w:hAnsi="Amiri" w:eastAsia="Amiri" w:cs="Amiri"/>
          <w:color w:val="111111"/>
          <w:sz w:val="28"/>
          <w:sz w:val="28"/>
          <w:szCs w:val="28"/>
          <w:rtl w:val="true"/>
          <w:lang w:bidi="ar-SA"/>
        </w:rPr>
        <w:t xml:space="preserve">انفعال ما في الرواية </w:t>
      </w:r>
      <w:r>
        <w:rPr>
          <w:rStyle w:val="FootnoteAnchor"/>
          <w:rtl w:val="true"/>
        </w:rPr>
        <w:footnoteReference w:id="702"/>
      </w:r>
      <w:r>
        <w:rPr>
          <w:rFonts w:ascii="Amiri" w:hAnsi="Amiri" w:eastAsia="Amiri" w:cs="Amiri"/>
          <w:color w:val="111111"/>
          <w:sz w:val="28"/>
          <w:sz w:val="28"/>
          <w:szCs w:val="28"/>
          <w:rtl w:val="true"/>
          <w:lang w:bidi="ar-SA"/>
        </w:rPr>
        <w:t xml:space="preserve">والقرية وحب الماء والجرة </w:t>
      </w:r>
      <w:r>
        <w:rPr>
          <w:rStyle w:val="FootnoteAnchor"/>
          <w:rtl w:val="true"/>
        </w:rPr>
        <w:footnoteReference w:id="703"/>
      </w:r>
      <w:r>
        <w:rPr>
          <w:rFonts w:ascii="IRNazanin" w:hAnsi="IRNazanin" w:eastAsia="IRNazanin"/>
          <w:color w:val="111111"/>
          <w:sz w:val="28"/>
          <w:sz w:val="28"/>
          <w:szCs w:val="28"/>
          <w:rtl w:val="true"/>
          <w:lang w:bidi="fa-IR"/>
        </w:rPr>
        <w:t xml:space="preserve">وما أشبهها </w:t>
      </w:r>
      <w:r>
        <w:rPr>
          <w:rStyle w:val="FootnoteAnchor"/>
          <w:rtl w:val="true"/>
        </w:rPr>
        <w:footnoteReference w:id="704"/>
      </w:r>
      <w:r>
        <w:rPr>
          <w:rFonts w:ascii="Amiri" w:hAnsi="Amiri" w:eastAsia="Amiri" w:cs="Amiri"/>
          <w:color w:val="111111"/>
          <w:sz w:val="28"/>
          <w:sz w:val="28"/>
          <w:szCs w:val="28"/>
          <w:rtl w:val="true"/>
          <w:lang w:bidi="ar-SA"/>
        </w:rPr>
        <w:t xml:space="preserve">من أوعية الماء بملاقاة ميتة الفارة قبل تفسخها والذي يتخيل بالبال </w:t>
      </w:r>
      <w:r>
        <w:rPr>
          <w:rStyle w:val="FootnoteAnchor"/>
          <w:rtl w:val="true"/>
        </w:rPr>
        <w:footnoteReference w:id="705"/>
      </w:r>
      <w:r>
        <w:rPr>
          <w:rFonts w:ascii="Amiri" w:hAnsi="Amiri" w:eastAsia="Amiri" w:cs="Amiri"/>
          <w:color w:val="111111"/>
          <w:sz w:val="28"/>
          <w:sz w:val="28"/>
          <w:szCs w:val="28"/>
          <w:rtl w:val="true"/>
          <w:lang w:bidi="ar-SA"/>
        </w:rPr>
        <w:t>أن بناءه رحمه‌اللّه إما على حكاية مضامين الأخبار وإن لم يعمل بظاهرها ليكون ذلك رجوعا عما ذكره أولا من اقتصاره على نقل الأخبار التي يفتي بمضمونها ، وهي حجة بينة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أنّه ذكر في الباب الرواية الدالّة على طهارة جلد الميتة وجواز استعماله ، وهو ممّا أطبق الأصحاب على خلافه ؛ أو أنّه عمل بمضمون الأخبار المذكورة </w:t>
      </w:r>
      <w:r>
        <w:rPr>
          <w:rStyle w:val="FootnoteAnchor"/>
          <w:rtl w:val="true"/>
        </w:rPr>
        <w:footnoteReference w:id="706"/>
      </w:r>
      <w:r>
        <w:rPr>
          <w:rFonts w:ascii="Amiri" w:hAnsi="Amiri" w:eastAsia="Amiri" w:cs="Amiri"/>
          <w:color w:val="111111"/>
          <w:sz w:val="28"/>
          <w:sz w:val="28"/>
          <w:szCs w:val="28"/>
          <w:rtl w:val="true"/>
          <w:lang w:bidi="ar-SA"/>
        </w:rPr>
        <w:t>مقتصرا على مورد الخبر من دون تسرية ، وهو ممّا يأبى عنه جلالة هذا الشيخ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البناء على ظاهر عبارته يكفي في ضعفه إطباق الشيعة الأبرار على خلافه مضافا إلى ما عرفت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 من الماء على الملاقي منه للنجاسة جاريا عليه لم ينجس بملاقاة الأسفل للنجاسة بلا خلاف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محصّلا ومنقولا حدّ الاستفاضة السيرة الجارية الّتي </w:t>
      </w:r>
    </w:p>
    <w:p>
      <w:pPr>
        <w:pStyle w:val="BookText"/>
        <w:rPr/>
      </w:pPr>
      <w:r>
        <w:rPr>
          <w:rFonts w:ascii="Amiri" w:hAnsi="Amiri" w:eastAsia="Amiri" w:cs="Amiri"/>
          <w:color w:val="111111"/>
          <w:sz w:val="28"/>
          <w:sz w:val="28"/>
          <w:szCs w:val="28"/>
          <w:rtl w:val="true"/>
          <w:lang w:bidi="ar-SA"/>
        </w:rPr>
        <w:t xml:space="preserve">يقطع منها قول </w:t>
      </w:r>
      <w:r>
        <w:rPr>
          <w:rStyle w:val="FootnoteAnchor"/>
          <w:rtl w:val="true"/>
        </w:rPr>
        <w:footnoteReference w:id="707"/>
      </w:r>
      <w:r>
        <w:rPr>
          <w:rFonts w:ascii="Amiri" w:hAnsi="Amiri" w:eastAsia="Amiri" w:cs="Amiri"/>
          <w:color w:val="111111"/>
          <w:sz w:val="28"/>
          <w:sz w:val="28"/>
          <w:szCs w:val="28"/>
          <w:rtl w:val="true"/>
          <w:lang w:bidi="ar-SA"/>
        </w:rPr>
        <w:t xml:space="preserve">المعصوم ، بل الظاهر أنّه في الجملة من الضروريات الّتي يشترك فيها الفقهاء والعوام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هو خارج عمّا دلّ على تنجّس القليل لعدم شمولها مثل </w:t>
      </w:r>
      <w:r>
        <w:rPr>
          <w:rStyle w:val="FootnoteAnchor"/>
          <w:rtl w:val="true"/>
        </w:rPr>
        <w:footnoteReference w:id="709"/>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والإجماع المحكيّ في الروض </w:t>
      </w:r>
      <w:r>
        <w:rPr>
          <w:rStyle w:val="FootnoteAnchor"/>
          <w:rtl w:val="true"/>
        </w:rPr>
        <w:footnoteReference w:id="710"/>
      </w:r>
      <w:r>
        <w:rPr>
          <w:rFonts w:ascii="Amiri" w:hAnsi="Amiri" w:eastAsia="Amiri" w:cs="Amiri"/>
          <w:color w:val="111111"/>
          <w:sz w:val="28"/>
          <w:sz w:val="28"/>
          <w:szCs w:val="28"/>
          <w:rtl w:val="true"/>
          <w:lang w:bidi="ar-SA"/>
        </w:rPr>
        <w:t>يسري الحكم إلى المضاف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الظاهر عدم الفرق بين ما إذا كان علوّه على سبيل التسنيم أو الانحدار الظاهر ، فظاهر </w:t>
      </w:r>
      <w:r>
        <w:rPr>
          <w:rStyle w:val="FootnoteAnchor"/>
          <w:rtl w:val="true"/>
        </w:rPr>
        <w:footnoteReference w:id="711"/>
      </w:r>
      <w:r>
        <w:rPr>
          <w:rFonts w:ascii="Amiri" w:hAnsi="Amiri" w:eastAsia="Amiri" w:cs="Amiri"/>
          <w:color w:val="111111"/>
          <w:sz w:val="28"/>
          <w:sz w:val="28"/>
          <w:szCs w:val="28"/>
          <w:rtl w:val="true"/>
          <w:lang w:bidi="ar-SA"/>
        </w:rPr>
        <w:t xml:space="preserve">السيرة والإجماعات المحكيّة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الأصل والشكّ في شمول الإطلاقات لمثل ذلك وفي انسحاب </w:t>
      </w:r>
      <w:r>
        <w:rPr>
          <w:rStyle w:val="FootnoteAnchor"/>
          <w:rtl w:val="true"/>
        </w:rPr>
        <w:footnoteReference w:id="712"/>
      </w:r>
      <w:r>
        <w:rPr>
          <w:rFonts w:ascii="Amiri" w:hAnsi="Amiri" w:eastAsia="Amiri" w:cs="Amiri"/>
          <w:color w:val="111111"/>
          <w:sz w:val="28"/>
          <w:sz w:val="28"/>
          <w:szCs w:val="28"/>
          <w:rtl w:val="true"/>
          <w:lang w:bidi="ar-SA"/>
        </w:rPr>
        <w:t xml:space="preserve">الحكم فيما لو تدافع الماء مع عدم العلوّ الظاهر أو مساواة المكان أو جريانه من الأسفل كما في الفوارة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من صدق ملاقاته للنجاسة فيشمله ظواهر الإطلاقات الحاكمة بالنجاسة ، ومن أنّ قضية تلك الإطلاقات نجاسة محل الملاقاة كما تقتضيه </w:t>
      </w:r>
      <w:r>
        <w:rPr>
          <w:rStyle w:val="FootnoteAnchor"/>
          <w:rtl w:val="true"/>
        </w:rPr>
        <w:footnoteReference w:id="713"/>
      </w:r>
      <w:r>
        <w:rPr>
          <w:rFonts w:ascii="Amiri" w:hAnsi="Amiri" w:eastAsia="Amiri" w:cs="Amiri"/>
          <w:color w:val="111111"/>
          <w:sz w:val="28"/>
          <w:sz w:val="28"/>
          <w:szCs w:val="28"/>
          <w:rtl w:val="true"/>
          <w:lang w:bidi="ar-SA"/>
        </w:rPr>
        <w:t xml:space="preserve">العبارة إذا سيقت </w:t>
      </w:r>
      <w:r>
        <w:rPr>
          <w:rStyle w:val="FootnoteAnchor"/>
          <w:rtl w:val="true"/>
        </w:rPr>
        <w:footnoteReference w:id="714"/>
      </w:r>
      <w:r>
        <w:rPr>
          <w:rFonts w:ascii="Amiri" w:hAnsi="Amiri" w:eastAsia="Amiri" w:cs="Amiri"/>
          <w:color w:val="111111"/>
          <w:sz w:val="28"/>
          <w:sz w:val="28"/>
          <w:szCs w:val="28"/>
          <w:rtl w:val="true"/>
          <w:lang w:bidi="ar-SA"/>
        </w:rPr>
        <w:t>بالنسبة إلى سائر الأعيان ، وإنّما يجي‌ء تنجّس غير الملاقي من جهة الميعان المقتضي لسريان النجاسة بالإجماع ، وهو منتف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لا يخلو عن قرب ؛ لظهور ما دلّ على النجاسة على تنجيس مجموع الماء في مثل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الاحتياط في غالب المقامات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وقطع في البيان </w:t>
      </w:r>
      <w:r>
        <w:rPr>
          <w:rStyle w:val="FootnoteAnchor"/>
          <w:rtl w:val="true"/>
        </w:rPr>
        <w:footnoteReference w:id="715"/>
      </w:r>
      <w:r>
        <w:rPr>
          <w:rFonts w:ascii="Amiri" w:hAnsi="Amiri" w:eastAsia="Amiri" w:cs="Amiri"/>
          <w:color w:val="111111"/>
          <w:sz w:val="28"/>
          <w:sz w:val="28"/>
          <w:szCs w:val="28"/>
          <w:rtl w:val="true"/>
          <w:lang w:bidi="ar-SA"/>
        </w:rPr>
        <w:t>بعدم تنجّس ما فوق موضع الملاقاة في الجاري لا عن المادّة ، وإطلاقه يشمل بعض الصور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عدم الفرق في تنجيس </w:t>
      </w:r>
      <w:r>
        <w:rPr>
          <w:rStyle w:val="FootnoteAnchor"/>
          <w:rtl w:val="true"/>
        </w:rPr>
        <w:footnoteReference w:id="716"/>
      </w:r>
      <w:r>
        <w:rPr>
          <w:rFonts w:ascii="Amiri" w:hAnsi="Amiri" w:eastAsia="Amiri" w:cs="Amiri"/>
          <w:color w:val="111111"/>
          <w:sz w:val="28"/>
          <w:sz w:val="28"/>
          <w:szCs w:val="28"/>
          <w:rtl w:val="true"/>
          <w:lang w:bidi="ar-SA"/>
        </w:rPr>
        <w:t>الماء بالملاقاة بين قليل النجاسات وكثيرها ، وهو قضيّة جملة من 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w:t>
      </w:r>
      <w:r>
        <w:rPr>
          <w:rStyle w:val="FootnoteAnchor"/>
          <w:rtl w:val="true"/>
        </w:rPr>
        <w:footnoteReference w:id="717"/>
      </w:r>
      <w:r>
        <w:rPr>
          <w:rFonts w:ascii="Amiri" w:hAnsi="Amiri" w:eastAsia="Amiri" w:cs="Amiri"/>
          <w:color w:val="111111"/>
          <w:sz w:val="28"/>
          <w:sz w:val="28"/>
          <w:szCs w:val="28"/>
          <w:rtl w:val="true"/>
          <w:lang w:bidi="ar-SA"/>
        </w:rPr>
        <w:t xml:space="preserve">رحمه‌اللّه إلى عدم تنجّس الماء لملاقاة أجزاء </w:t>
      </w:r>
      <w:r>
        <w:rPr>
          <w:rStyle w:val="FootnoteAnchor"/>
          <w:rtl w:val="true"/>
        </w:rPr>
        <w:footnoteReference w:id="718"/>
      </w:r>
      <w:r>
        <w:rPr>
          <w:rFonts w:ascii="Amiri" w:hAnsi="Amiri" w:eastAsia="Amiri" w:cs="Amiri"/>
          <w:color w:val="111111"/>
          <w:sz w:val="28"/>
          <w:sz w:val="28"/>
          <w:szCs w:val="28"/>
          <w:rtl w:val="true"/>
          <w:lang w:bidi="ar-SA"/>
        </w:rPr>
        <w:t xml:space="preserve">الصغار من الدم القليل الذي لا تدركه </w:t>
      </w:r>
      <w:r>
        <w:rPr>
          <w:rStyle w:val="FootnoteAnchor"/>
          <w:rtl w:val="true"/>
        </w:rPr>
        <w:footnoteReference w:id="719"/>
      </w:r>
      <w:r>
        <w:rPr>
          <w:rFonts w:ascii="Amiri" w:hAnsi="Amiri" w:eastAsia="Amiri" w:cs="Amiri"/>
          <w:color w:val="111111"/>
          <w:sz w:val="28"/>
          <w:sz w:val="28"/>
          <w:szCs w:val="28"/>
          <w:rtl w:val="true"/>
          <w:lang w:bidi="ar-SA"/>
        </w:rPr>
        <w:t>الطرف كرءوس الإبر لصحيحة علي بن جعفر ، عن أخيه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وعدّى الحكم في المبسوط </w:t>
      </w:r>
      <w:r>
        <w:rPr>
          <w:rStyle w:val="FootnoteAnchor"/>
          <w:rtl w:val="true"/>
        </w:rPr>
        <w:footnoteReference w:id="720"/>
      </w:r>
      <w:r>
        <w:rPr>
          <w:rFonts w:ascii="Amiri" w:hAnsi="Amiri" w:eastAsia="Amiri" w:cs="Amiri"/>
          <w:color w:val="111111"/>
          <w:sz w:val="28"/>
          <w:sz w:val="28"/>
          <w:szCs w:val="28"/>
          <w:rtl w:val="true"/>
          <w:lang w:bidi="ar-SA"/>
        </w:rPr>
        <w:t xml:space="preserve">إلى كلّ النجاسات ؛ لعدم إمكان التحرّز </w:t>
      </w:r>
      <w:r>
        <w:rPr>
          <w:rStyle w:val="FootnoteAnchor"/>
          <w:rtl w:val="true"/>
        </w:rPr>
        <w:footnoteReference w:id="721"/>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التعليل قد يومي إلى التسرية إلى غير الماء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بدلالة الرواية عليه بالفحوى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عدم دلالة الرواية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التسليم فالتسرية إلى غير الدم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غير التحرير غير مسموعة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المذهب عدم الفرق في انفعال القليل الراكد بين ما بعد عن موضع الملاقاة إذا لم يكن متقاربا بعضه إلى بعض وما قرب إليه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المعالم عدم تنجّس ما بعد عن موضع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في ذلك إلى عدم قيام دليل </w:t>
      </w:r>
    </w:p>
    <w:p>
      <w:pPr>
        <w:pStyle w:val="BookText"/>
        <w:rPr/>
      </w:pPr>
      <w:r>
        <w:rPr>
          <w:rFonts w:ascii="Amiri" w:hAnsi="Amiri" w:eastAsia="Amiri" w:cs="Amiri"/>
          <w:color w:val="111111"/>
          <w:sz w:val="28"/>
          <w:sz w:val="28"/>
          <w:szCs w:val="28"/>
          <w:rtl w:val="true"/>
          <w:lang w:bidi="ar-SA"/>
        </w:rPr>
        <w:t>على النجاسة لاختصاص ما دلّ على انفعال القليل بالمجتمع والمتقارب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مجرّد الاتصال بالنّجس موجبا لانفعاله وإلّا فيسري </w:t>
      </w:r>
      <w:r>
        <w:rPr>
          <w:rStyle w:val="FootnoteAnchor"/>
          <w:rtl w:val="true"/>
        </w:rPr>
        <w:footnoteReference w:id="723"/>
      </w:r>
      <w:r>
        <w:rPr>
          <w:rFonts w:ascii="Amiri" w:hAnsi="Amiri" w:eastAsia="Amiri" w:cs="Amiri"/>
          <w:color w:val="111111"/>
          <w:sz w:val="28"/>
          <w:sz w:val="28"/>
          <w:szCs w:val="28"/>
          <w:rtl w:val="true"/>
          <w:lang w:bidi="ar-SA"/>
        </w:rPr>
        <w:t xml:space="preserve">النجاسة إلى الأعلى لحصوله ، ومع عدم الاكتفاء بمجرّده فلا بدّ من </w:t>
      </w:r>
      <w:r>
        <w:rPr>
          <w:rStyle w:val="FootnoteAnchor"/>
          <w:rtl w:val="true"/>
        </w:rPr>
        <w:footnoteReference w:id="724"/>
      </w:r>
      <w:r>
        <w:rPr>
          <w:rFonts w:ascii="Amiri" w:hAnsi="Amiri" w:eastAsia="Amiri" w:cs="Amiri"/>
          <w:color w:val="111111"/>
          <w:sz w:val="28"/>
          <w:sz w:val="28"/>
          <w:szCs w:val="28"/>
          <w:rtl w:val="true"/>
          <w:lang w:bidi="ar-SA"/>
        </w:rPr>
        <w:t>نجاسة البعيد من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جرى إليه الماء النجس قضي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ما دلّ على تنجّس القليل يشمل الصورة المذكورة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w:t>
      </w:r>
      <w:r>
        <w:rPr>
          <w:rStyle w:val="FootnoteAnchor"/>
          <w:rtl w:val="true"/>
        </w:rPr>
        <w:footnoteReference w:id="725"/>
      </w:r>
      <w:r>
        <w:rPr>
          <w:rFonts w:ascii="Amiri" w:hAnsi="Amiri" w:eastAsia="Amiri" w:cs="Amiri"/>
          <w:color w:val="111111"/>
          <w:sz w:val="28"/>
          <w:sz w:val="28"/>
          <w:szCs w:val="28"/>
          <w:rtl w:val="true"/>
          <w:lang w:bidi="ar-SA"/>
        </w:rPr>
        <w:t xml:space="preserve">السريان اللّازم لميعان الماء وعدم سرايتها </w:t>
      </w:r>
      <w:r>
        <w:rPr>
          <w:rStyle w:val="FootnoteAnchor"/>
          <w:rtl w:val="true"/>
        </w:rPr>
        <w:footnoteReference w:id="726"/>
      </w:r>
      <w:r>
        <w:rPr>
          <w:rFonts w:ascii="Amiri" w:hAnsi="Amiri" w:eastAsia="Amiri" w:cs="Amiri"/>
          <w:color w:val="111111"/>
          <w:sz w:val="28"/>
          <w:sz w:val="28"/>
          <w:szCs w:val="28"/>
          <w:rtl w:val="true"/>
          <w:lang w:bidi="ar-SA"/>
        </w:rPr>
        <w:t xml:space="preserve">إلى العالي مع قيام الإجماع عليه لا يقضي بانتفائه في غيره مع وجود الفارق بين الأمرين من جهة قوّته على التنجيس </w:t>
      </w:r>
      <w:r>
        <w:rPr>
          <w:rStyle w:val="FootnoteAnchor"/>
          <w:rtl w:val="true"/>
        </w:rPr>
        <w:footnoteReference w:id="727"/>
      </w:r>
      <w:r>
        <w:rPr>
          <w:rFonts w:ascii="Amiri" w:hAnsi="Amiri" w:eastAsia="Amiri" w:cs="Amiri"/>
          <w:color w:val="111111"/>
          <w:sz w:val="28"/>
          <w:sz w:val="28"/>
          <w:szCs w:val="28"/>
          <w:rtl w:val="true"/>
          <w:lang w:bidi="ar-SA"/>
        </w:rPr>
        <w:t>وتدافعه عليه بخلاف صورة المساواة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إطباق القائلين بنجاسة القليل على عدم الفرق بين جريان الماء ووقوفه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المتأخّرين من الأخباريين إلى عدم انفعاله بالملاقاة في الأوّل مع عدم ملاقاة النجاسة لأوّل جزء منه زعما منه تقوّي الأسفل منه بالأعلى ؛ نظرا إلى عدم شمول أدلّة انفعال القليل لمثله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دلّ بإطلاقه على طهارة </w:t>
      </w:r>
      <w:r>
        <w:rPr>
          <w:rStyle w:val="FootnoteAnchor"/>
          <w:rtl w:val="true"/>
        </w:rPr>
        <w:footnoteReference w:id="728"/>
      </w:r>
      <w:r>
        <w:rPr>
          <w:rFonts w:ascii="Amiri" w:hAnsi="Amiri" w:eastAsia="Amiri" w:cs="Amiri"/>
          <w:color w:val="111111"/>
          <w:sz w:val="28"/>
          <w:sz w:val="28"/>
          <w:szCs w:val="28"/>
          <w:rtl w:val="true"/>
          <w:lang w:bidi="ar-SA"/>
        </w:rPr>
        <w:t xml:space="preserve">الجاري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بمنزلة الجاري </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كماء النهر يطهّر بعضه بعضا </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حيث لم يقيّد الجاري أو ماء النهر بكونه عن </w:t>
      </w:r>
    </w:p>
    <w:p>
      <w:pPr>
        <w:pStyle w:val="BookText"/>
        <w:rPr/>
      </w:pPr>
      <w:r>
        <w:rPr>
          <w:rFonts w:ascii="IRNazanin" w:hAnsi="IRNazanin" w:eastAsia="IRNazanin"/>
          <w:color w:val="111111"/>
          <w:sz w:val="28"/>
          <w:sz w:val="28"/>
          <w:szCs w:val="28"/>
          <w:rtl w:val="true"/>
          <w:lang w:bidi="fa-IR"/>
        </w:rPr>
        <w:t xml:space="preserve">نبع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عدم تقيّد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كرية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ماء الحمّام بكريّة مادّته أو المجموع شهادة عليه أيضا مع إطلاق المادّة الواردة فيه وفي ماء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وضعف </w:t>
      </w:r>
      <w:r>
        <w:rPr>
          <w:rStyle w:val="FootnoteAnchor"/>
          <w:rtl w:val="true"/>
        </w:rPr>
        <w:footnoteReference w:id="734"/>
      </w:r>
      <w:r>
        <w:rPr>
          <w:rFonts w:ascii="IRNazanin" w:hAnsi="IRNazanin" w:eastAsia="IRNazanin"/>
          <w:color w:val="111111"/>
          <w:sz w:val="28"/>
          <w:sz w:val="28"/>
          <w:szCs w:val="28"/>
          <w:rtl w:val="true"/>
          <w:lang w:bidi="fa-IR"/>
        </w:rPr>
        <w:t xml:space="preserve">جمع </w:t>
      </w:r>
      <w:r>
        <w:rPr>
          <w:rStyle w:val="FootnoteAnchor"/>
          <w:rtl w:val="true"/>
        </w:rPr>
        <w:footnoteReference w:id="735"/>
      </w:r>
      <w:r>
        <w:rPr>
          <w:rFonts w:ascii="Amiri" w:hAnsi="Amiri" w:eastAsia="Amiri" w:cs="Amiri"/>
          <w:color w:val="111111"/>
          <w:sz w:val="28"/>
          <w:sz w:val="28"/>
          <w:szCs w:val="28"/>
          <w:rtl w:val="true"/>
          <w:lang w:bidi="ar-SA"/>
        </w:rPr>
        <w:t xml:space="preserve">ماءين </w:t>
      </w:r>
      <w:r>
        <w:rPr>
          <w:rStyle w:val="FootnoteAnchor"/>
          <w:rtl w:val="true"/>
        </w:rPr>
        <w:footnoteReference w:id="736"/>
      </w:r>
      <w:r>
        <w:rPr>
          <w:rFonts w:ascii="Amiri" w:hAnsi="Amiri" w:eastAsia="Amiri" w:cs="Amiri"/>
          <w:color w:val="111111"/>
          <w:sz w:val="28"/>
          <w:sz w:val="28"/>
          <w:szCs w:val="28"/>
          <w:rtl w:val="true"/>
          <w:lang w:bidi="ar-SA"/>
        </w:rPr>
        <w:t>أوضح من أن يبيّن لما عرفت من إطلاق جملة من أدلّة انفعال القليل ، مع تأيده بالشّهرة العظيمة بين الطائفة القريبة من الإجماع بل الإجماع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المؤيّدات لا يفيد شيئا كما عرفت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ومن العجب أيضا ما </w:t>
      </w:r>
      <w:r>
        <w:rPr>
          <w:rStyle w:val="FootnoteAnchor"/>
          <w:rtl w:val="true"/>
        </w:rPr>
        <w:footnoteReference w:id="737"/>
      </w:r>
      <w:r>
        <w:rPr>
          <w:rFonts w:ascii="Amiri" w:hAnsi="Amiri" w:eastAsia="Amiri" w:cs="Amiri"/>
          <w:color w:val="111111"/>
          <w:sz w:val="28"/>
          <w:sz w:val="28"/>
          <w:szCs w:val="28"/>
          <w:rtl w:val="true"/>
          <w:lang w:bidi="ar-SA"/>
        </w:rPr>
        <w:t xml:space="preserve">يظهر عن </w:t>
      </w:r>
      <w:r>
        <w:rPr>
          <w:rStyle w:val="FootnoteAnchor"/>
          <w:rtl w:val="true"/>
        </w:rPr>
        <w:footnoteReference w:id="738"/>
      </w:r>
      <w:r>
        <w:rPr>
          <w:rFonts w:ascii="Amiri" w:hAnsi="Amiri" w:eastAsia="Amiri" w:cs="Amiri"/>
          <w:color w:val="111111"/>
          <w:sz w:val="28"/>
          <w:sz w:val="28"/>
          <w:szCs w:val="28"/>
          <w:rtl w:val="true"/>
          <w:lang w:bidi="ar-SA"/>
        </w:rPr>
        <w:t xml:space="preserve">بعض المتأخّرين </w:t>
      </w:r>
      <w:r>
        <w:rPr>
          <w:rStyle w:val="FootnoteAnchor"/>
          <w:rtl w:val="true"/>
        </w:rPr>
        <w:footnoteReference w:id="739"/>
      </w:r>
      <w:r>
        <w:rPr>
          <w:rFonts w:ascii="Amiri" w:hAnsi="Amiri" w:eastAsia="Amiri" w:cs="Amiri"/>
          <w:color w:val="111111"/>
          <w:sz w:val="28"/>
          <w:sz w:val="28"/>
          <w:szCs w:val="28"/>
          <w:rtl w:val="true"/>
          <w:lang w:bidi="ar-SA"/>
        </w:rPr>
        <w:t xml:space="preserve">من عدم سراية النجاسة إلى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من الجاري لا عن المادّة وإن كان أقلّ من كرّ ؛ استنادا إلى أنّه هارب عن النجاسة ، فيبقى على أصالة الطهارة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ووهنه واضح</w:t>
      </w:r>
      <w:r>
        <w:rPr>
          <w:rFonts w:eastAsia="IRNazanin" w:cs="IRNazanin"/>
          <w:color w:val="111111"/>
          <w:sz w:val="28"/>
          <w:szCs w:val="28"/>
          <w:rtl w:val="true"/>
          <w:lang w:bidi="fa-IR"/>
        </w:rPr>
        <w:t xml:space="preserve">. </w:t>
      </w:r>
      <w:bookmarkStart w:id="166" w:name="pg15827_173676"/>
    </w:p>
    <w:p>
      <w:pPr>
        <w:pStyle w:val="Heading4"/>
        <w:numPr>
          <w:ilvl w:val="3"/>
          <w:numId w:val="1"/>
        </w:numPr>
        <w:rPr/>
      </w:pPr>
      <w:bookmarkStart w:id="167" w:name="__RefHeading___Toc14099707_2142443653"/>
      <w:bookmarkStart w:id="168" w:name="_Toc60"/>
      <w:bookmarkEnd w:id="166"/>
      <w:bookmarkEnd w:id="167"/>
      <w:r>
        <w:rPr>
          <w:rtl w:val="true"/>
        </w:rPr>
        <w:t>تبصرة</w:t>
      </w:r>
      <w:r>
        <w:rPr>
          <w:rtl w:val="true"/>
        </w:rPr>
        <w:t xml:space="preserve">: [ </w:t>
      </w:r>
      <w:r>
        <w:rPr>
          <w:rtl w:val="true"/>
        </w:rPr>
        <w:t xml:space="preserve">في حكم الكثير الراكد </w:t>
      </w:r>
      <w:r>
        <w:rPr>
          <w:rtl w:val="true"/>
        </w:rPr>
        <w:t>]</w:t>
      </w:r>
      <w:bookmarkEnd w:id="168"/>
    </w:p>
    <w:p>
      <w:pPr>
        <w:pStyle w:val="Heading5"/>
        <w:numPr>
          <w:ilvl w:val="4"/>
          <w:numId w:val="1"/>
        </w:numPr>
        <w:rPr/>
      </w:pPr>
      <w:bookmarkStart w:id="169" w:name="__RefHeading___Toc14099709_2142443653"/>
      <w:bookmarkStart w:id="170" w:name="_Toc61"/>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الكثير من الراكد وهو ما كان كرّا فصاعدا لا ينجس إلّا باستيلاء النجاسة على أحد أوصافه الثلاثة على نحو ما مرّ في سائر المياه المعتصمة بإجماعنا المعلوم والمنقول في كلام جماعة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الأصل والنصوص المستفيضة المتكثّرة بل المتواترة عن العترة الطاهرة ، فأصل المسألة ممّا لا كلام فيه وإنّما الكلام هنا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يعتبر فيه تقارب أجزاء الماء ليتقوّى بعضها </w:t>
      </w:r>
      <w:r>
        <w:rPr>
          <w:rStyle w:val="FootnoteAnchor"/>
          <w:rtl w:val="true"/>
        </w:rPr>
        <w:footnoteReference w:id="741"/>
      </w:r>
      <w:r>
        <w:rPr>
          <w:rFonts w:ascii="Amiri" w:hAnsi="Amiri" w:eastAsia="Amiri" w:cs="Amiri"/>
          <w:color w:val="111111"/>
          <w:sz w:val="28"/>
          <w:sz w:val="28"/>
          <w:szCs w:val="28"/>
          <w:rtl w:val="true"/>
          <w:lang w:bidi="ar-SA"/>
        </w:rPr>
        <w:t xml:space="preserve">ببعض ، فيضعف تأثير </w:t>
      </w:r>
      <w:r>
        <w:rPr>
          <w:rStyle w:val="FootnoteAnchor"/>
          <w:rtl w:val="true"/>
        </w:rPr>
        <w:footnoteReference w:id="742"/>
      </w:r>
      <w:r>
        <w:rPr>
          <w:rFonts w:ascii="Amiri" w:hAnsi="Amiri" w:eastAsia="Amiri" w:cs="Amiri"/>
          <w:color w:val="111111"/>
          <w:sz w:val="28"/>
          <w:sz w:val="28"/>
          <w:szCs w:val="28"/>
          <w:rtl w:val="true"/>
          <w:lang w:bidi="ar-SA"/>
        </w:rPr>
        <w:t>النجاسة فيها ؛ للأصل وصدق اتّحاد الماء ولو تباعد أجزاؤه ، فيشمله إطلاق المستفيضة الدالّة على اعتصام الكرّ ، وما دلّ على تحديده بالوزن بل والمساحة على وجه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الراوندي إلى اعتبار ذلك فيه ، ولذا </w:t>
      </w:r>
      <w:r>
        <w:rPr>
          <w:rStyle w:val="FootnoteAnchor"/>
          <w:rtl w:val="true"/>
        </w:rPr>
        <w:footnoteReference w:id="743"/>
      </w:r>
      <w:r>
        <w:rPr>
          <w:rFonts w:ascii="Amiri" w:hAnsi="Amiri" w:eastAsia="Amiri" w:cs="Amiri"/>
          <w:color w:val="111111"/>
          <w:sz w:val="28"/>
          <w:sz w:val="28"/>
          <w:szCs w:val="28"/>
          <w:rtl w:val="true"/>
          <w:lang w:bidi="ar-SA"/>
        </w:rPr>
        <w:t>ذكر حكاية الجمع بين 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من ذلك توهّموا ذهابه إلى النظافة </w:t>
      </w:r>
      <w:r>
        <w:rPr>
          <w:rStyle w:val="FootnoteAnchor"/>
          <w:rtl w:val="true"/>
        </w:rPr>
        <w:footnoteReference w:id="744"/>
      </w:r>
      <w:r>
        <w:rPr>
          <w:rFonts w:ascii="Amiri" w:hAnsi="Amiri" w:eastAsia="Amiri" w:cs="Amiri"/>
          <w:color w:val="111111"/>
          <w:sz w:val="28"/>
          <w:sz w:val="28"/>
          <w:szCs w:val="28"/>
          <w:rtl w:val="true"/>
          <w:lang w:bidi="ar-SA"/>
        </w:rPr>
        <w:t xml:space="preserve">بالجمع بين الأبعاد في تحديد الكرّ من غير </w:t>
      </w:r>
      <w:r>
        <w:rPr>
          <w:rStyle w:val="FootnoteAnchor"/>
          <w:rtl w:val="true"/>
        </w:rPr>
        <w:footnoteReference w:id="745"/>
      </w:r>
      <w:r>
        <w:rPr>
          <w:rFonts w:ascii="Amiri" w:hAnsi="Amiri" w:eastAsia="Amiri" w:cs="Amiri"/>
          <w:color w:val="111111"/>
          <w:sz w:val="28"/>
          <w:sz w:val="28"/>
          <w:szCs w:val="28"/>
          <w:rtl w:val="true"/>
          <w:lang w:bidi="ar-SA"/>
        </w:rPr>
        <w:t>اعتبار الضرب فألزموه باعتصام المياه القليلة إذا كان المجتمع من أبعاده بذلك المقدار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وعبارته في شرح الجمل صريحة في خلافه ، وعدم خلافه للمشهور في بيان المقدار ، وإنّما خالفهم فيما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يستفاد من المعالم أيضا ميله إلى اعتبار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في الحدائق </w:t>
      </w:r>
      <w:r>
        <w:rPr>
          <w:rStyle w:val="FootnoteAnchor"/>
          <w:rtl w:val="true"/>
        </w:rPr>
        <w:footnoteReference w:id="746"/>
      </w:r>
      <w:r>
        <w:rPr>
          <w:rFonts w:ascii="Amiri" w:hAnsi="Amiri" w:eastAsia="Amiri" w:cs="Amiri"/>
          <w:color w:val="111111"/>
          <w:sz w:val="28"/>
          <w:sz w:val="28"/>
          <w:szCs w:val="28"/>
          <w:rtl w:val="true"/>
          <w:lang w:bidi="ar-SA"/>
        </w:rPr>
        <w:t>على ظاهر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الوجه في اعتبار ذلك لإطلاق </w:t>
      </w:r>
      <w:r>
        <w:rPr>
          <w:rStyle w:val="FootnoteAnchor"/>
          <w:rtl w:val="true"/>
        </w:rPr>
        <w:footnoteReference w:id="747"/>
      </w:r>
      <w:r>
        <w:rPr>
          <w:rFonts w:ascii="Amiri" w:hAnsi="Amiri" w:eastAsia="Amiri" w:cs="Amiri"/>
          <w:color w:val="111111"/>
          <w:sz w:val="28"/>
          <w:sz w:val="28"/>
          <w:szCs w:val="28"/>
          <w:rtl w:val="true"/>
          <w:lang w:bidi="ar-SA"/>
        </w:rPr>
        <w:t xml:space="preserve">الروايات الدالّة على تحديد </w:t>
      </w:r>
      <w:r>
        <w:rPr>
          <w:rStyle w:val="FootnoteAnchor"/>
          <w:rtl w:val="true"/>
        </w:rPr>
        <w:footnoteReference w:id="748"/>
      </w:r>
      <w:r>
        <w:rPr>
          <w:rFonts w:ascii="Amiri" w:hAnsi="Amiri" w:eastAsia="Amiri" w:cs="Amiri"/>
          <w:color w:val="111111"/>
          <w:sz w:val="28"/>
          <w:sz w:val="28"/>
          <w:szCs w:val="28"/>
          <w:rtl w:val="true"/>
          <w:lang w:bidi="ar-SA"/>
        </w:rPr>
        <w:t>مساحة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وحملها على إرادة بيان المكسّر لا داعي إليه على أنّه مع الاجتماع يتقوّى الماء على النجاسة من جهة انتشارها فيه ، بخلاف ما لو انتشر الماء وتباعدت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ظواهر تلك الأخبار </w:t>
      </w:r>
      <w:r>
        <w:rPr>
          <w:rStyle w:val="FootnoteAnchor"/>
          <w:rtl w:val="true"/>
        </w:rPr>
        <w:footnoteReference w:id="749"/>
      </w:r>
      <w:r>
        <w:rPr>
          <w:rFonts w:ascii="Amiri" w:hAnsi="Amiri" w:eastAsia="Amiri" w:cs="Amiri"/>
          <w:color w:val="111111"/>
          <w:sz w:val="28"/>
          <w:sz w:val="28"/>
          <w:szCs w:val="28"/>
          <w:rtl w:val="true"/>
          <w:lang w:bidi="ar-SA"/>
        </w:rPr>
        <w:t xml:space="preserve">ممّا لم يعرج </w:t>
      </w:r>
      <w:r>
        <w:rPr>
          <w:rStyle w:val="FootnoteAnchor"/>
          <w:rtl w:val="true"/>
        </w:rPr>
        <w:footnoteReference w:id="750"/>
      </w:r>
      <w:r>
        <w:rPr>
          <w:rFonts w:ascii="Amiri" w:hAnsi="Amiri" w:eastAsia="Amiri" w:cs="Amiri"/>
          <w:color w:val="111111"/>
          <w:sz w:val="28"/>
          <w:sz w:val="28"/>
          <w:szCs w:val="28"/>
          <w:rtl w:val="true"/>
          <w:lang w:bidi="ar-SA"/>
        </w:rPr>
        <w:t xml:space="preserve">عليها أحد من الأصحاب ، فلا بدّ من حملها على إرادة التكثير كما فهموا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الإطلاقات وظاهر التحديد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المعتبر في الاعتصام هو بلوغ الماء قدر الكرّ ، وهو أعمّ من كونه على ذلك النحو المخصوص الملحوظ في الأبعاد على فرض تسليم ظهور الروايات فيه ، أو كونها بحيث لو جعل </w:t>
      </w:r>
      <w:r>
        <w:rPr>
          <w:rStyle w:val="FootnoteAnchor"/>
          <w:rtl w:val="true"/>
        </w:rPr>
        <w:footnoteReference w:id="751"/>
      </w:r>
      <w:r>
        <w:rPr>
          <w:rFonts w:ascii="Amiri" w:hAnsi="Amiri" w:eastAsia="Amiri" w:cs="Amiri"/>
          <w:color w:val="111111"/>
          <w:sz w:val="28"/>
          <w:sz w:val="28"/>
          <w:szCs w:val="28"/>
          <w:rtl w:val="true"/>
          <w:lang w:bidi="ar-SA"/>
        </w:rPr>
        <w:t xml:space="preserve">في محلّ قليل </w:t>
      </w:r>
      <w:r>
        <w:rPr>
          <w:rStyle w:val="FootnoteAnchor"/>
          <w:rtl w:val="true"/>
        </w:rPr>
        <w:footnoteReference w:id="752"/>
      </w:r>
      <w:r>
        <w:rPr>
          <w:rFonts w:ascii="Amiri" w:hAnsi="Amiri" w:eastAsia="Amiri" w:cs="Amiri"/>
          <w:color w:val="111111"/>
          <w:sz w:val="28"/>
          <w:sz w:val="28"/>
          <w:szCs w:val="28"/>
          <w:rtl w:val="true"/>
          <w:lang w:bidi="ar-SA"/>
        </w:rPr>
        <w:t xml:space="preserve">لذلك كان كذلك </w:t>
      </w:r>
      <w:r>
        <w:rPr>
          <w:rStyle w:val="FootnoteAnchor"/>
          <w:rtl w:val="true"/>
        </w:rPr>
        <w:footnoteReference w:id="753"/>
      </w:r>
      <w:r>
        <w:rPr>
          <w:rFonts w:ascii="Amiri" w:hAnsi="Amiri" w:eastAsia="Amiri" w:cs="Amiri"/>
          <w:color w:val="111111"/>
          <w:sz w:val="28"/>
          <w:sz w:val="28"/>
          <w:szCs w:val="28"/>
          <w:rtl w:val="true"/>
          <w:lang w:bidi="ar-SA"/>
        </w:rPr>
        <w:t>، فإطلاقها يعمّ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754"/>
      </w:r>
      <w:r>
        <w:rPr>
          <w:rFonts w:ascii="Amiri" w:hAnsi="Amiri" w:eastAsia="Amiri" w:cs="Amiri"/>
          <w:color w:val="111111"/>
          <w:sz w:val="28"/>
          <w:sz w:val="28"/>
          <w:szCs w:val="28"/>
          <w:rtl w:val="true"/>
          <w:lang w:bidi="ar-SA"/>
        </w:rPr>
        <w:t>هل يعتبر فيه استواء سطح الماء أو يعمّ صورة الاختلاف فيقوى الأسفل بالأعلى والأعلى بالأسفل بمجرّد اتّصال الماء؟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فيه عبارات الأصحاب ، واضطربت فيه أقوالهم ؛ لخفاء مدرك الحكم وخلوّه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ما ذهب إليه كثير من الأصحاب من اعتبار الدفعة في التطهير بالكرّ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تقوّي الأعلى بالأسفل وبالعكس إلّا مع اجتماع الماء عرفا واعتضاد بعضه </w:t>
      </w:r>
    </w:p>
    <w:p>
      <w:pPr>
        <w:pStyle w:val="BookText"/>
        <w:rPr/>
      </w:pPr>
      <w:r>
        <w:rPr>
          <w:rFonts w:ascii="Amiri" w:hAnsi="Amiri" w:eastAsia="Amiri" w:cs="Amiri"/>
          <w:color w:val="111111"/>
          <w:sz w:val="28"/>
          <w:sz w:val="28"/>
          <w:szCs w:val="28"/>
          <w:rtl w:val="true"/>
          <w:lang w:bidi="ar-SA"/>
        </w:rPr>
        <w:t>ببعض ؛ إذ ذاك هو الوجه في اعتباره ، وهو التعليل المعروف له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المساواة في الجملة ليس ببعيد ، ثمّ قال في مسألة التطهير بالكرّ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تقدّم منّا الميل إلى اعتبار المساواة فاعتبار الدفعة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ظاهر من أطلق اعتبار الكثرة في مادّة الحمّام مع تسريته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المحقّق الكركي </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على اعتبار ذلك في غير صورة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أطلق الحكم بالاعتصام مع اتّصال الماء فيقوى </w:t>
      </w:r>
      <w:r>
        <w:rPr>
          <w:rStyle w:val="FootnoteAnchor"/>
          <w:rtl w:val="true"/>
        </w:rPr>
        <w:footnoteReference w:id="756"/>
      </w:r>
      <w:r>
        <w:rPr>
          <w:rFonts w:ascii="Amiri" w:hAnsi="Amiri" w:eastAsia="Amiri" w:cs="Amiri"/>
          <w:color w:val="111111"/>
          <w:sz w:val="28"/>
          <w:sz w:val="28"/>
          <w:szCs w:val="28"/>
          <w:rtl w:val="true"/>
          <w:lang w:bidi="ar-SA"/>
        </w:rPr>
        <w:t>كلّ من الأعلى والأسفل بالآخر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في الروض </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قضيّة إطلاق أكثر الأصحاب حيث لم يقيّدوا الكرّ </w:t>
      </w:r>
      <w:r>
        <w:rPr>
          <w:rStyle w:val="FootnoteAnchor"/>
          <w:rtl w:val="true"/>
        </w:rPr>
        <w:footnoteReference w:id="758"/>
      </w:r>
      <w:r>
        <w:rPr>
          <w:rFonts w:ascii="Amiri" w:hAnsi="Amiri" w:eastAsia="Amiri" w:cs="Amiri"/>
          <w:color w:val="111111"/>
          <w:sz w:val="28"/>
          <w:sz w:val="28"/>
          <w:szCs w:val="28"/>
          <w:rtl w:val="true"/>
          <w:lang w:bidi="ar-SA"/>
        </w:rPr>
        <w:t>المجتمع بكون سطوحه مستوية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إطلاقه عدم الفرق بين صورة التسنيم والانحدار كما حكى عنه صريحا في 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في ذلك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قضيّة ما مرّ من تصريح جماعة بطهارة ما دون المتغيّر في الجاري مع </w:t>
      </w:r>
      <w:r>
        <w:rPr>
          <w:rStyle w:val="FootnoteAnchor"/>
          <w:rtl w:val="true"/>
        </w:rPr>
        <w:footnoteReference w:id="759"/>
      </w:r>
      <w:r>
        <w:rPr>
          <w:rFonts w:ascii="Amiri" w:hAnsi="Amiri" w:eastAsia="Amiri" w:cs="Amiri"/>
          <w:color w:val="111111"/>
          <w:sz w:val="28"/>
          <w:sz w:val="28"/>
          <w:szCs w:val="28"/>
          <w:rtl w:val="true"/>
          <w:lang w:bidi="ar-SA"/>
        </w:rPr>
        <w:t>كريّته إذا قطع التغيير عمود الماء ؛ إذ هو بعد قطع العمود ينفصل عن حكم الجاري ، فيجري عليه أحكام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 ذلك أيضا صورتي الانحدار والتسنيم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ويقتضيه أيضا إطلاق الدروس </w:t>
      </w:r>
      <w:r>
        <w:rPr>
          <w:rStyle w:val="FootnoteAnchor"/>
          <w:rtl w:val="true"/>
        </w:rPr>
        <w:footnoteReference w:id="760"/>
      </w:r>
      <w:r>
        <w:rPr>
          <w:rFonts w:ascii="Amiri" w:hAnsi="Amiri" w:eastAsia="Amiri" w:cs="Amiri"/>
          <w:color w:val="111111"/>
          <w:sz w:val="28"/>
          <w:sz w:val="28"/>
          <w:szCs w:val="28"/>
          <w:rtl w:val="true"/>
          <w:lang w:bidi="ar-SA"/>
        </w:rPr>
        <w:t xml:space="preserve">والبيان </w:t>
      </w:r>
      <w:r>
        <w:rPr>
          <w:rStyle w:val="FootnoteAnchor"/>
          <w:rtl w:val="true"/>
        </w:rPr>
        <w:footnoteReference w:id="761"/>
      </w:r>
      <w:r>
        <w:rPr>
          <w:rFonts w:ascii="Amiri" w:hAnsi="Amiri" w:eastAsia="Amiri" w:cs="Amiri"/>
          <w:color w:val="111111"/>
          <w:sz w:val="28"/>
          <w:sz w:val="28"/>
          <w:szCs w:val="28"/>
          <w:rtl w:val="true"/>
          <w:lang w:bidi="ar-SA"/>
        </w:rPr>
        <w:t xml:space="preserve">والموجز وغيرها بعدم </w:t>
      </w:r>
      <w:r>
        <w:rPr>
          <w:rStyle w:val="FootnoteAnchor"/>
          <w:rtl w:val="true"/>
        </w:rPr>
        <w:footnoteReference w:id="762"/>
      </w:r>
      <w:r>
        <w:rPr>
          <w:rFonts w:ascii="Amiri" w:hAnsi="Amiri" w:eastAsia="Amiri" w:cs="Amiri"/>
          <w:color w:val="111111"/>
          <w:sz w:val="28"/>
          <w:sz w:val="28"/>
          <w:szCs w:val="28"/>
          <w:rtl w:val="true"/>
          <w:lang w:bidi="ar-SA"/>
        </w:rPr>
        <w:t xml:space="preserve">انفعال الجاري لا </w:t>
      </w:r>
    </w:p>
    <w:p>
      <w:pPr>
        <w:pStyle w:val="BookText"/>
        <w:rPr/>
      </w:pPr>
      <w:r>
        <w:rPr>
          <w:rFonts w:ascii="Amiri" w:hAnsi="Amiri" w:eastAsia="Amiri" w:cs="Amiri"/>
          <w:color w:val="111111"/>
          <w:sz w:val="28"/>
          <w:sz w:val="28"/>
          <w:szCs w:val="28"/>
          <w:rtl w:val="true"/>
          <w:lang w:bidi="ar-SA"/>
        </w:rPr>
        <w:t>عن مادّة بالملاقاة إذا كان بمقدار الكرّ ، ونجاسة الأسفل خاصّة إذا 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يومي إليه إطلاق المعتبر </w:t>
      </w:r>
      <w:r>
        <w:rPr>
          <w:rStyle w:val="FootnoteAnchor"/>
          <w:rtl w:val="true"/>
        </w:rPr>
        <w:footnoteReference w:id="763"/>
      </w:r>
      <w:r>
        <w:rPr>
          <w:rFonts w:ascii="Amiri" w:hAnsi="Amiri" w:eastAsia="Amiri" w:cs="Amiri"/>
          <w:color w:val="111111"/>
          <w:sz w:val="28"/>
          <w:sz w:val="28"/>
          <w:szCs w:val="28"/>
          <w:rtl w:val="true"/>
          <w:lang w:bidi="ar-SA"/>
        </w:rPr>
        <w:t>بالاكتفاء بكرية المجموع في الغديرين الموصول بينهما بساقية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ذهب إلى تقوّي الأسفل بالأعلى أو </w:t>
      </w:r>
      <w:r>
        <w:rPr>
          <w:rStyle w:val="FootnoteAnchor"/>
          <w:rtl w:val="true"/>
        </w:rPr>
        <w:footnoteReference w:id="764"/>
      </w:r>
      <w:r>
        <w:rPr>
          <w:rFonts w:ascii="Amiri" w:hAnsi="Amiri" w:eastAsia="Amiri" w:cs="Amiri"/>
          <w:color w:val="111111"/>
          <w:sz w:val="28"/>
          <w:sz w:val="28"/>
          <w:szCs w:val="28"/>
          <w:rtl w:val="true"/>
          <w:lang w:bidi="ar-SA"/>
        </w:rPr>
        <w:t>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التذكرة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أو على اعتبار المساواة مطلقا يبنى ما في الدروس </w:t>
      </w:r>
      <w:r>
        <w:rPr>
          <w:rStyle w:val="FootnoteAnchor"/>
          <w:rtl w:val="true"/>
        </w:rPr>
        <w:footnoteReference w:id="766"/>
      </w:r>
      <w:r>
        <w:rPr>
          <w:rFonts w:ascii="Amiri" w:hAnsi="Amiri" w:eastAsia="Amiri" w:cs="Amiri"/>
          <w:color w:val="111111"/>
          <w:sz w:val="28"/>
          <w:sz w:val="28"/>
          <w:szCs w:val="28"/>
          <w:rtl w:val="true"/>
          <w:lang w:bidi="ar-SA"/>
        </w:rPr>
        <w:t xml:space="preserve">والبيان </w:t>
      </w:r>
      <w:r>
        <w:rPr>
          <w:rStyle w:val="FootnoteAnchor"/>
          <w:rtl w:val="true"/>
        </w:rPr>
        <w:footnoteReference w:id="767"/>
      </w:r>
      <w:r>
        <w:rPr>
          <w:rFonts w:ascii="Amiri" w:hAnsi="Amiri" w:eastAsia="Amiri" w:cs="Amiri"/>
          <w:color w:val="111111"/>
          <w:sz w:val="28"/>
          <w:sz w:val="28"/>
          <w:szCs w:val="28"/>
          <w:rtl w:val="true"/>
          <w:lang w:bidi="ar-SA"/>
        </w:rPr>
        <w:t xml:space="preserve">والموجز من الحكم باتحاد القليل المتصل بالجاري معه </w:t>
      </w:r>
      <w:r>
        <w:rPr>
          <w:rStyle w:val="FootnoteAnchor"/>
          <w:rtl w:val="true"/>
        </w:rPr>
        <w:footnoteReference w:id="768"/>
      </w:r>
      <w:r>
        <w:rPr>
          <w:rFonts w:ascii="Amiri" w:hAnsi="Amiri" w:eastAsia="Amiri" w:cs="Amiri"/>
          <w:color w:val="111111"/>
          <w:sz w:val="28"/>
          <w:sz w:val="28"/>
          <w:szCs w:val="28"/>
          <w:rtl w:val="true"/>
          <w:lang w:bidi="ar-SA"/>
        </w:rPr>
        <w:t>مع علوّ الجاري أو مساواته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نحوه في الذكرى </w:t>
      </w:r>
      <w:r>
        <w:rPr>
          <w:rStyle w:val="FootnoteAnchor"/>
          <w:rtl w:val="true"/>
        </w:rPr>
        <w:footnoteReference w:id="769"/>
      </w:r>
      <w:r>
        <w:rPr>
          <w:rFonts w:ascii="Amiri" w:hAnsi="Amiri" w:eastAsia="Amiri" w:cs="Amiri"/>
          <w:color w:val="111111"/>
          <w:sz w:val="28"/>
          <w:sz w:val="28"/>
          <w:szCs w:val="28"/>
          <w:rtl w:val="true"/>
          <w:lang w:bidi="ar-SA"/>
        </w:rPr>
        <w:t>وغيره في القليل المتصل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مدافعة ذلك لما حكيناه آنفا عن الدروس والبيان والموجز في الجاري لا عن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فصّل بين صورتي التسنيم والانحدار ، فقال بحصول التقوّي من الطرفين في الثاني ، وعدم تقوي الأعلى بالأسفل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واحتمله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ويحتمله الجمع بين الحكمين المذكورين في الكتب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بعضهم في الجمع بين عبائر من أطلق القول باعتبار الكرّية في مادّة الحمّام مع إطلاقه القول باتحاد الغديرين الموصول بينهما بساقية حمل الأوّل على صورة التسنيم وتخصيص الثاني بصورة الانحدار ، فيرجع إلى التفصيل المذكور لكن مع عدم تقوّي الأسفل بالأعلى أيضا في الصورة الأولى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المرام أنّ الّذي يقتضيه الأصل في المقام عدم انفعال الماء بمجرّد بلوغ المتّصل </w:t>
      </w:r>
    </w:p>
    <w:p>
      <w:pPr>
        <w:pStyle w:val="BookText"/>
        <w:rPr/>
      </w:pPr>
      <w:r>
        <w:rPr>
          <w:rFonts w:ascii="Amiri" w:hAnsi="Amiri" w:eastAsia="Amiri" w:cs="Amiri"/>
          <w:color w:val="111111"/>
          <w:sz w:val="28"/>
          <w:sz w:val="28"/>
          <w:szCs w:val="28"/>
          <w:rtl w:val="true"/>
          <w:lang w:bidi="ar-SA"/>
        </w:rPr>
        <w:t xml:space="preserve">منه حدّ الكرّ على جميع صوره ؛ لإطلاق ما دلّ على طهارة الماء وخصوص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استصحاب الطهارة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انفعال القليل لا يعمّ شيئا من هذه الصور ، ولا أقلّ من الشكّ في شموله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يعارضه استصحاب حكم القلّة في القليل المتّصل كذلك بما يكمّله كرّا ؛ لمعارضته باستصحاب حكم الكرّ إذا طرا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بالفصل ، فعلى كلّ من القولين لا بدّ من نقض أحد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أخبار الكرّ على اشتراط عدم انفعال الماء بشرط وجودي ، وهو غير معلوم الحصول في المقام ، فينفى بالأصل ويتفرّعه القول بالانفعال كما هو الوجه عند الشكّ في بلوغ الماء حدّ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ذلك إنّما يتمّ عند تحقيق الشرط المفروض ، ثمّ الشكّ في حصوله كما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الشكّ في أصل الشرط فلا ، بل العمومات تقضي بنفي الشرط </w:t>
      </w:r>
      <w:r>
        <w:rPr>
          <w:rStyle w:val="FootnoteAnchor"/>
          <w:rtl w:val="true"/>
        </w:rPr>
        <w:footnoteReference w:id="771"/>
      </w: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فمع الشكّ في صدق الكرّ مع الاختلاف في سطوح الماء كما في بعض صوره يبنى على الطهارة ؛ لرجوع ذلك إلى الشكّ في اعتبار ما يزيد على بلوغ الماء المتّصل حدا معلوما ، فيدفع بالأصل ، ويقتصر على اشتراط خصوص ما ثبت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صدق اسم الكرّ مع صورة </w:t>
      </w:r>
      <w:r>
        <w:rPr>
          <w:rStyle w:val="FootnoteAnchor"/>
          <w:rtl w:val="true"/>
        </w:rPr>
        <w:footnoteReference w:id="772"/>
      </w:r>
      <w:r>
        <w:rPr>
          <w:rFonts w:ascii="Amiri" w:hAnsi="Amiri" w:eastAsia="Amiri" w:cs="Amiri"/>
          <w:color w:val="111111"/>
          <w:sz w:val="28"/>
          <w:sz w:val="28"/>
          <w:szCs w:val="28"/>
          <w:rtl w:val="true"/>
          <w:lang w:bidi="ar-SA"/>
        </w:rPr>
        <w:t xml:space="preserve">اختلاف السطوح مع التسنيم والانحدار ، فتكون ذلك </w:t>
      </w:r>
      <w:r>
        <w:rPr>
          <w:rStyle w:val="FootnoteAnchor"/>
          <w:rtl w:val="true"/>
        </w:rPr>
        <w:footnoteReference w:id="773"/>
      </w:r>
      <w:r>
        <w:rPr>
          <w:rFonts w:ascii="Amiri" w:hAnsi="Amiri" w:eastAsia="Amiri" w:cs="Amiri"/>
          <w:color w:val="111111"/>
          <w:sz w:val="28"/>
          <w:sz w:val="28"/>
          <w:szCs w:val="28"/>
          <w:rtl w:val="true"/>
          <w:lang w:bidi="ar-SA"/>
        </w:rPr>
        <w:t>الاطلاقات دليلا آخر عليه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سريان النجاسة إلى الأعلى قاض بعدم سراية </w:t>
      </w:r>
      <w:r>
        <w:rPr>
          <w:rStyle w:val="FootnoteAnchor"/>
          <w:rtl w:val="true"/>
        </w:rPr>
        <w:footnoteReference w:id="774"/>
      </w:r>
      <w:r>
        <w:rPr>
          <w:rStyle w:val="FootnoteAnchor"/>
          <w:rtl w:val="true"/>
        </w:rPr>
        <w:footnoteReference w:id="775"/>
      </w:r>
      <w:r>
        <w:rPr>
          <w:rFonts w:ascii="Amiri" w:hAnsi="Amiri" w:eastAsia="Amiri" w:cs="Amiri"/>
          <w:color w:val="111111"/>
          <w:sz w:val="28"/>
          <w:sz w:val="28"/>
          <w:szCs w:val="28"/>
          <w:rtl w:val="true"/>
          <w:lang w:bidi="ar-SA"/>
        </w:rPr>
        <w:t xml:space="preserve">الطهارة إليه </w:t>
      </w:r>
    </w:p>
    <w:p>
      <w:pPr>
        <w:pStyle w:val="BookText"/>
        <w:rPr/>
      </w:pPr>
      <w:r>
        <w:rPr>
          <w:rFonts w:ascii="Amiri" w:hAnsi="Amiri" w:eastAsia="Amiri" w:cs="Amiri"/>
          <w:color w:val="111111"/>
          <w:sz w:val="28"/>
          <w:sz w:val="28"/>
          <w:szCs w:val="28"/>
          <w:rtl w:val="true"/>
          <w:lang w:bidi="ar-SA"/>
        </w:rPr>
        <w:t xml:space="preserve">أيضا لعدم الفرق بينهما وقد صرّح به في الروض </w:t>
      </w:r>
      <w:r>
        <w:rPr>
          <w:rStyle w:val="FootnoteAnchor"/>
          <w:rtl w:val="true"/>
        </w:rPr>
        <w:footnoteReference w:id="776"/>
      </w:r>
      <w:r>
        <w:rPr>
          <w:rFonts w:ascii="Amiri" w:hAnsi="Amiri" w:eastAsia="Amiri" w:cs="Amiri"/>
          <w:color w:val="111111"/>
          <w:sz w:val="28"/>
          <w:sz w:val="28"/>
          <w:szCs w:val="28"/>
          <w:rtl w:val="true"/>
          <w:lang w:bidi="ar-SA"/>
        </w:rPr>
        <w:t>مع مبالغته في الحكم بعدم اعتبار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 عدم سراية الطهارة إلى الأعلى ليس إلّا لعدم اعتصامه بما دونه ، وهو مقتض لانفعاله بالملاقاة ؛ إذ ليس عدم الانفعال إلّا لأجل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اعتبار محض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 إطلاق الأخبار خلافه ؛ لصدق اسم الكرّ قطعا في بعض صورها كما إذا كان مقدار الكرّ من الماء المجتمع نازلا أو منحدرا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القول به في صورة اجتماع الماء وانضمام بعضه إلى بعض يثبت </w:t>
      </w:r>
      <w:r>
        <w:rPr>
          <w:rStyle w:val="FootnoteAnchor"/>
          <w:rtl w:val="true"/>
        </w:rPr>
        <w:footnoteReference w:id="777"/>
      </w:r>
      <w:r>
        <w:rPr>
          <w:rFonts w:ascii="Amiri" w:hAnsi="Amiri" w:eastAsia="Amiri" w:cs="Amiri"/>
          <w:color w:val="111111"/>
          <w:sz w:val="28"/>
          <w:sz w:val="28"/>
          <w:szCs w:val="28"/>
          <w:rtl w:val="true"/>
          <w:lang w:bidi="ar-SA"/>
        </w:rPr>
        <w:t>في غيره أيضا ؛ لكشفه عن فساد الوجه المذكور ؛ إذ لا مقتضى سواه للتفرقة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لا ذلك لزم الحكم بنجاسة الأنهار العظيمة المنحدرة بمجرّد قطعها عن المادّة بمجرّد ملاقاة النجاسة لأعلاها ، وهو ضروري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أقوى الشواهد على ما قلناه ، فلا ضير إذن في القول بحصول الاعتصام عن </w:t>
      </w:r>
      <w:r>
        <w:rPr>
          <w:rStyle w:val="FootnoteAnchor"/>
          <w:rtl w:val="true"/>
        </w:rPr>
        <w:footnoteReference w:id="778"/>
      </w:r>
      <w:r>
        <w:rPr>
          <w:rFonts w:ascii="Amiri" w:hAnsi="Amiri" w:eastAsia="Amiri" w:cs="Amiri"/>
          <w:color w:val="111111"/>
          <w:sz w:val="28"/>
          <w:sz w:val="28"/>
          <w:szCs w:val="28"/>
          <w:rtl w:val="true"/>
          <w:lang w:bidi="ar-SA"/>
        </w:rPr>
        <w:t xml:space="preserve">الانفعال بمطلق الاتصال ، وإن لم يحصل به التطهير في بعض الوجوه من جهة قيام الإجماع </w:t>
      </w:r>
      <w:r>
        <w:rPr>
          <w:rStyle w:val="FootnoteAnchor"/>
          <w:rtl w:val="true"/>
        </w:rPr>
        <w:footnoteReference w:id="779"/>
      </w:r>
      <w:r>
        <w:rPr>
          <w:rFonts w:ascii="Amiri" w:hAnsi="Amiri" w:eastAsia="Amiri" w:cs="Amiri"/>
          <w:color w:val="111111"/>
          <w:sz w:val="28"/>
          <w:sz w:val="28"/>
          <w:szCs w:val="28"/>
          <w:rtl w:val="true"/>
          <w:lang w:bidi="ar-SA"/>
        </w:rPr>
        <w:t xml:space="preserve">بالخصوص أو الشكّ في شمول أدلته أو لفهمه من عدم سراية </w:t>
      </w:r>
      <w:r>
        <w:rPr>
          <w:rStyle w:val="FootnoteAnchor"/>
          <w:rtl w:val="true"/>
        </w:rPr>
        <w:footnoteReference w:id="780"/>
      </w:r>
      <w:r>
        <w:rPr>
          <w:rFonts w:ascii="Amiri" w:hAnsi="Amiri" w:eastAsia="Amiri" w:cs="Amiri"/>
          <w:color w:val="111111"/>
          <w:sz w:val="28"/>
          <w:sz w:val="28"/>
          <w:szCs w:val="28"/>
          <w:rtl w:val="true"/>
          <w:lang w:bidi="ar-SA"/>
        </w:rPr>
        <w:t>النجاسة بالفحوى كما سيجي‌ء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بالفرق بين حكمي الدفع والرفع ليس بمستطرف عندهم ؛ إذ قد اعتبر كثير منهم في تطهير المياه امتزاج المطهّر بها مع أنّه لا يعقل اعتباره في الاعتصام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قد يقال بعدم صدق اتحاد الماء مع اختلاف السطوح ، فلا يصدق معه البلوغ حدّ الكرّ المتفرّع على وحدة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ذلك هو الوجه في القول الأوّل على ما يومي إليه بعض </w:t>
      </w:r>
    </w:p>
    <w:p>
      <w:pPr>
        <w:pStyle w:val="BookText"/>
        <w:rPr/>
      </w:pPr>
      <w:r>
        <w:rPr>
          <w:rFonts w:ascii="Amiri" w:hAnsi="Amiri" w:eastAsia="Amiri" w:cs="Amiri"/>
          <w:color w:val="111111"/>
          <w:sz w:val="28"/>
          <w:sz w:val="28"/>
          <w:szCs w:val="28"/>
          <w:rtl w:val="true"/>
          <w:lang w:bidi="ar-SA"/>
        </w:rPr>
        <w:t>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الظاهر اتّحاد المائين بمجرّد الاتّصال بل في كثير من صوره يقطع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فيه في بعض الصور فلا شكّ في عدم شمول أدلّة القليل لمثله </w:t>
      </w:r>
      <w:r>
        <w:rPr>
          <w:rStyle w:val="FootnoteAnchor"/>
          <w:rtl w:val="true"/>
        </w:rPr>
        <w:footnoteReference w:id="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الشكّ فيه أيضا كفى في المقام ؛ لما عرفت من قضاء الأصل والعمومات فيه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أنّه لا يصحّ للمفصّل الاستناد إلى الوجه المذكور كما قد يوهمه بعض العبائر ؛ إذ من الظاهر أنّه مع عدم صدق اتّحاد المائين يكون كلّ منهما في حكم المنفصل عن الآخر ، فلا يعقل الحكم بالاتّحاد من جانب دون </w:t>
      </w:r>
      <w:r>
        <w:rPr>
          <w:rStyle w:val="FootnoteAnchor"/>
          <w:rtl w:val="true"/>
        </w:rPr>
        <w:footnoteReference w:id="782"/>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بعد القول بكون اللّاحق بمنزلة المنفصل عن السابق كما نصّ عليه بعضهم يمكن الاستناد في اعتصام السافل بالعالي بكون العالي مادّة له ؛ عملا بإطلاق ما دلّ على كونها عاصمة من التعليل الوارد في البئر ، وتعليق الحكم عليها في الحمّام المشعر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زعم بعض المحدّثين </w:t>
      </w:r>
      <w:r>
        <w:rPr>
          <w:rStyle w:val="FootnoteAnchor"/>
          <w:rtl w:val="true"/>
        </w:rPr>
        <w:footnoteReference w:id="783"/>
      </w:r>
      <w:r>
        <w:rPr>
          <w:rFonts w:ascii="Amiri" w:hAnsi="Amiri" w:eastAsia="Amiri" w:cs="Amiri"/>
          <w:color w:val="111111"/>
          <w:sz w:val="28"/>
          <w:sz w:val="28"/>
          <w:szCs w:val="28"/>
          <w:rtl w:val="true"/>
          <w:lang w:bidi="ar-SA"/>
        </w:rPr>
        <w:t>تعميم الحكم ، فذهب إلى عدم انفعال القليل مع جريانه وملاقاة النجاسة لما عدا الأعلى منه ، وحكم بنجاسة الأعلى خاصّة إذا لاقاه النجاسة وإن كان أضعاف الكرّ ؛ لكونه بحكم المنفصل عمّا دونه ، فلا يتقوى به ولا يسري النجاسة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الوجه المذكور إنّما يتمّ مع كريّة السابق خاصّة ؛ لما مرّ في الحمّام من أنّه مع عدم اعتصام المادّة في نفسها لا يعقل اعتصام غيرها بها ، ولأنه المنساق منها في المواد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إطباقهم على اعتصام السافل به حينئذ ؛ إذ لم نجد مخالفا فيه مع تصريح جماعة قاطعين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المعالم حكاية اتّفاقهم عليه ، فالوجه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آخر لاعتصام الماء لا دخل له بما هو محلّ الكلام من اعتصام السافل بالعالي في خصوص الكرّ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في اتفاقهم على ما ذكر تاييدا لما قلناه ؛ إذ مع الغضّ عن اتّحاد الماء وإجراء حكم </w:t>
      </w:r>
      <w:bookmarkStart w:id="171" w:name="pg15827_173683"/>
    </w:p>
    <w:p>
      <w:pPr>
        <w:pStyle w:val="BookText"/>
        <w:rPr/>
      </w:pPr>
      <w:bookmarkEnd w:id="171"/>
      <w:r>
        <w:rPr>
          <w:rFonts w:ascii="Amiri" w:hAnsi="Amiri" w:eastAsia="Amiri" w:cs="Amiri"/>
          <w:color w:val="111111"/>
          <w:sz w:val="28"/>
          <w:sz w:val="28"/>
          <w:szCs w:val="28"/>
          <w:rtl w:val="true"/>
          <w:lang w:bidi="ar-SA"/>
        </w:rPr>
        <w:t xml:space="preserve">الكرّ على المجموع لا يظهر وجه للحكم سوى </w:t>
      </w:r>
      <w:r>
        <w:rPr>
          <w:rStyle w:val="FootnoteAnchor"/>
          <w:rtl w:val="true"/>
        </w:rPr>
        <w:footnoteReference w:id="784"/>
      </w:r>
      <w:r>
        <w:rPr>
          <w:rFonts w:ascii="Amiri" w:hAnsi="Amiri" w:eastAsia="Amiri" w:cs="Amiri"/>
          <w:color w:val="111111"/>
          <w:sz w:val="28"/>
          <w:sz w:val="28"/>
          <w:szCs w:val="28"/>
          <w:rtl w:val="true"/>
          <w:lang w:bidi="ar-SA"/>
        </w:rPr>
        <w:t>رواية الحمّام وتعليل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ضعف لعدم العموم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بنى جماعة هناك على تسرية حكمه بتطبيقه على القاعدة وظهور الثاني في الموارد الأرضية ، فتأمّل</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14099711_2142443653"/>
      <w:bookmarkStart w:id="173" w:name="_Toc62"/>
      <w:bookmarkEnd w:id="172"/>
      <w:r>
        <w:rPr>
          <w:rtl w:val="true"/>
        </w:rPr>
        <w:t xml:space="preserve">[ </w:t>
      </w:r>
      <w:r>
        <w:rPr>
          <w:rtl w:val="true"/>
        </w:rPr>
        <w:t xml:space="preserve">تنبيهات </w:t>
      </w:r>
      <w:r>
        <w:rPr>
          <w:rtl w:val="true"/>
        </w:rPr>
        <w:t>]</w:t>
      </w:r>
      <w:bookmarkEnd w:id="173"/>
    </w:p>
    <w:p>
      <w:pPr>
        <w:pStyle w:val="BookText"/>
        <w:rPr/>
      </w:pPr>
      <w:r>
        <w:rPr>
          <w:rFonts w:ascii="Amiri" w:hAnsi="Amiri" w:eastAsia="Amiri" w:cs="Amiri"/>
          <w:color w:val="111111"/>
          <w:sz w:val="28"/>
          <w:sz w:val="28"/>
          <w:szCs w:val="28"/>
          <w:rtl w:val="true"/>
          <w:lang w:bidi="ar-SA"/>
        </w:rPr>
        <w:t xml:space="preserve">وينبغي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موضع البحث في اعتبار استواء السطوح وعدمه فيها </w:t>
      </w:r>
      <w:r>
        <w:rPr>
          <w:rStyle w:val="FootnoteAnchor"/>
          <w:rtl w:val="true"/>
        </w:rPr>
        <w:footnoteReference w:id="785"/>
      </w:r>
      <w:r>
        <w:rPr>
          <w:rFonts w:ascii="Amiri" w:hAnsi="Amiri" w:eastAsia="Amiri" w:cs="Amiri"/>
          <w:color w:val="111111"/>
          <w:sz w:val="28"/>
          <w:sz w:val="28"/>
          <w:szCs w:val="28"/>
          <w:rtl w:val="true"/>
          <w:lang w:bidi="ar-SA"/>
        </w:rPr>
        <w:t xml:space="preserve">إذا كان الاختلاف بتدافع الماء وجريانه ، و </w:t>
      </w:r>
      <w:r>
        <w:rPr>
          <w:rStyle w:val="FootnoteAnchor"/>
          <w:rtl w:val="true"/>
        </w:rPr>
        <w:footnoteReference w:id="786"/>
      </w:r>
      <w:r>
        <w:rPr>
          <w:rFonts w:ascii="Amiri" w:hAnsi="Amiri" w:eastAsia="Amiri" w:cs="Amiri"/>
          <w:color w:val="111111"/>
          <w:sz w:val="28"/>
          <w:sz w:val="28"/>
          <w:szCs w:val="28"/>
          <w:rtl w:val="true"/>
          <w:lang w:bidi="ar-SA"/>
        </w:rPr>
        <w:t>أمّا مع سكونه واستقراره فلا يبعد خروجه عن محلّ الكلام ؛ لخروجه عن ظاهر كلماتهم في المقام وتصريحهم بطهارة الباقي من المتغيّر الكثير إذا كان كرّا من غير تفصيل بين كون غير المتغيّر منه بتساوي السطوح أو لا مع أنّ التغيّر في الغالب لا يسري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هو ظاهر المذهب من عدم اشتراط الاجتماع في الماء وضمّ بعضه إلى بعض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تأمّل في تقوّي الأعلى بالأسفل والأسفل بالأعلى ، وإن كان الماء ان متميّزين في الحسن </w:t>
      </w:r>
      <w:r>
        <w:rPr>
          <w:rStyle w:val="FootnoteAnchor"/>
          <w:rtl w:val="true"/>
        </w:rPr>
        <w:footnoteReference w:id="787"/>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كلمات المتأخّرين ما يفيد تسرية الكلام إلى </w:t>
      </w:r>
      <w:r>
        <w:rPr>
          <w:rStyle w:val="FootnoteAnchor"/>
          <w:rtl w:val="true"/>
        </w:rPr>
        <w:footnoteReference w:id="789"/>
      </w:r>
      <w:r>
        <w:rPr>
          <w:rFonts w:ascii="Amiri" w:hAnsi="Amiri" w:eastAsia="Amiri" w:cs="Amiri"/>
          <w:color w:val="111111"/>
          <w:sz w:val="28"/>
          <w:sz w:val="28"/>
          <w:szCs w:val="28"/>
          <w:rtl w:val="true"/>
          <w:lang w:bidi="ar-SA"/>
        </w:rPr>
        <w:t>ذلك أيضا ، وهو ضعيف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هناك كلام في تطهير الماء العالي كذلك بالسّافل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القول فيه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 أنّ حكم القليل المتّصل بالمعتصم من الكرّ أو الجاري أو الغيث حكمه في عدم الانفعال سواء تساوى سطحاهما أو اختلفا ، ويأتي على قول من لا يقول بتقوّي الأعلى بالأسفل عدمه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القليل أسفل ، فالظاهر عدم الخلاف في اعتصامه به كما عرفت من حكمهم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المذهب أنّ بلوغ الماء حدّ الكرّ باعث على العصمة من الانفعال بملاقاة النجاسة من غير فرق بين كون الماء في الغدران والقلبان </w:t>
      </w:r>
      <w:r>
        <w:rPr>
          <w:rStyle w:val="FootnoteAnchor"/>
          <w:rtl w:val="true"/>
        </w:rPr>
        <w:footnoteReference w:id="791"/>
      </w:r>
      <w:r>
        <w:rPr>
          <w:rFonts w:ascii="Amiri" w:hAnsi="Amiri" w:eastAsia="Amiri" w:cs="Amiri"/>
          <w:color w:val="111111"/>
          <w:sz w:val="28"/>
          <w:sz w:val="28"/>
          <w:szCs w:val="28"/>
          <w:rtl w:val="true"/>
          <w:lang w:bidi="ar-SA"/>
        </w:rPr>
        <w:t>أو الأواني والحياض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اشتهر حكاية الخلاف فيه عن المفيد رحمه‌اللّه في المقنعة </w:t>
      </w:r>
      <w:r>
        <w:rPr>
          <w:rStyle w:val="FootnoteAnchor"/>
          <w:rtl w:val="true"/>
        </w:rPr>
        <w:footnoteReference w:id="792"/>
      </w:r>
      <w:r>
        <w:rPr>
          <w:rFonts w:ascii="Amiri" w:hAnsi="Amiri" w:eastAsia="Amiri" w:cs="Amiri"/>
          <w:color w:val="111111"/>
          <w:sz w:val="28"/>
          <w:sz w:val="28"/>
          <w:szCs w:val="28"/>
          <w:rtl w:val="true"/>
          <w:lang w:bidi="ar-SA"/>
        </w:rPr>
        <w:t xml:space="preserve">والديلمي في المراسم </w:t>
      </w:r>
      <w:r>
        <w:rPr>
          <w:rStyle w:val="FootnoteAnchor"/>
          <w:rtl w:val="true"/>
        </w:rPr>
        <w:footnoteReference w:id="793"/>
      </w:r>
      <w:r>
        <w:rPr>
          <w:rFonts w:ascii="Amiri" w:hAnsi="Amiri" w:eastAsia="Amiri" w:cs="Amiri"/>
          <w:color w:val="111111"/>
          <w:sz w:val="28"/>
          <w:sz w:val="28"/>
          <w:szCs w:val="28"/>
          <w:rtl w:val="true"/>
          <w:lang w:bidi="ar-SA"/>
        </w:rPr>
        <w:t xml:space="preserve">ويستفاد ذلك أيضا من الشيخ رحمه‌اللّه في النهاية </w:t>
      </w:r>
      <w:r>
        <w:rPr>
          <w:rStyle w:val="FootnoteAnchor"/>
          <w:rtl w:val="true"/>
        </w:rPr>
        <w:footnoteReference w:id="794"/>
      </w:r>
      <w:r>
        <w:rPr>
          <w:rFonts w:ascii="Amiri" w:hAnsi="Amiri" w:eastAsia="Amiri" w:cs="Amiri"/>
          <w:color w:val="111111"/>
          <w:sz w:val="28"/>
          <w:sz w:val="28"/>
          <w:szCs w:val="28"/>
          <w:rtl w:val="true"/>
          <w:lang w:bidi="ar-SA"/>
        </w:rPr>
        <w:t>في خصوص مياه الأواني حيث أطلق القول بانفعالها وفصّل في مياه الغدران بين الكرّ 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حملها على صورة القلّة ؛ إذ هو الغالب فيها بخلاف الغدران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يحمل عليه عبارة المقنعة والمراسم وإن صرّحا بنجاسته </w:t>
      </w:r>
      <w:r>
        <w:rPr>
          <w:rStyle w:val="FootnoteAnchor"/>
          <w:rtl w:val="true"/>
        </w:rPr>
        <w:footnoteReference w:id="795"/>
      </w:r>
      <w:r>
        <w:rPr>
          <w:rFonts w:ascii="Amiri" w:hAnsi="Amiri" w:eastAsia="Amiri" w:cs="Amiri"/>
          <w:color w:val="111111"/>
          <w:sz w:val="28"/>
          <w:sz w:val="28"/>
          <w:szCs w:val="28"/>
          <w:rtl w:val="true"/>
          <w:lang w:bidi="ar-SA"/>
        </w:rPr>
        <w:t xml:space="preserve">مع الكثرة حملا للكثرة على العرفيّة دون الكرّية ؛ إذ اشتمال الآنية </w:t>
      </w:r>
      <w:r>
        <w:rPr>
          <w:rStyle w:val="FootnoteAnchor"/>
          <w:rtl w:val="true"/>
        </w:rPr>
        <w:footnoteReference w:id="796"/>
      </w:r>
      <w:r>
        <w:rPr>
          <w:rFonts w:ascii="Amiri" w:hAnsi="Amiri" w:eastAsia="Amiri" w:cs="Amiri"/>
          <w:color w:val="111111"/>
          <w:sz w:val="28"/>
          <w:sz w:val="28"/>
          <w:szCs w:val="28"/>
          <w:rtl w:val="true"/>
          <w:lang w:bidi="ar-SA"/>
        </w:rPr>
        <w:t>على الكرّ في غاية الندرة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الحياض المصفوفة </w:t>
      </w:r>
      <w:r>
        <w:rPr>
          <w:rStyle w:val="FootnoteAnchor"/>
          <w:rtl w:val="true"/>
        </w:rPr>
        <w:footnoteReference w:id="797"/>
      </w:r>
      <w:r>
        <w:rPr>
          <w:rFonts w:ascii="Amiri" w:hAnsi="Amiri" w:eastAsia="Amiri" w:cs="Amiri"/>
          <w:color w:val="111111"/>
          <w:sz w:val="28"/>
          <w:sz w:val="28"/>
          <w:szCs w:val="28"/>
          <w:rtl w:val="true"/>
          <w:lang w:bidi="ar-SA"/>
        </w:rPr>
        <w:t>الّتي تسقى منها الدوابّ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والحياض المعمولة في هذا الزمان غير معلوم الاشتهار في تلك الأعصار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أنّ الشيخ رحمه‌اللّه </w:t>
      </w:r>
      <w:r>
        <w:rPr>
          <w:rStyle w:val="FootnoteAnchor"/>
          <w:rtl w:val="true"/>
        </w:rPr>
        <w:footnoteReference w:id="798"/>
      </w:r>
      <w:r>
        <w:rPr>
          <w:rFonts w:ascii="Amiri" w:hAnsi="Amiri" w:eastAsia="Amiri" w:cs="Amiri"/>
          <w:color w:val="111111"/>
          <w:sz w:val="28"/>
          <w:sz w:val="28"/>
          <w:szCs w:val="28"/>
          <w:rtl w:val="true"/>
          <w:lang w:bidi="ar-SA"/>
        </w:rPr>
        <w:t>في التهذيب عند شرحه للكلام المذكور حمله على القليل خاصّة ، ولذا استدلّ عليه بما دلّ على انفعال القليل ، وهو أعرف بمقصود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فيدلّ على المشهور إطلاق روايات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ووقوع خصوص مياه الغدران في السؤال الوارد في بعضها لا يوجب انصراف الجواب إليه بالخصوص مع إطلاقه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فغاية الأمر عدم دلالة تلك الرواية على العموم ، وهو لا ينافي دلالة غيرها عليه ؛ إذ ليس ذلك واردا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w:t>
      </w:r>
      <w:r>
        <w:rPr>
          <w:rStyle w:val="FootnoteAnchor"/>
          <w:rtl w:val="true"/>
        </w:rPr>
        <w:footnoteReference w:id="799"/>
      </w:r>
      <w:r>
        <w:rPr>
          <w:rFonts w:ascii="Amiri" w:hAnsi="Amiri" w:eastAsia="Amiri" w:cs="Amiri"/>
          <w:color w:val="111111"/>
          <w:sz w:val="28"/>
          <w:sz w:val="28"/>
          <w:szCs w:val="28"/>
          <w:rtl w:val="true"/>
          <w:lang w:bidi="ar-SA"/>
        </w:rPr>
        <w:t xml:space="preserve">سؤر الكلب إلّا أن يكون حوضا كبيرا يستقى منه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مضافا إلى الأصل والاستصحاب والعمومات ، مع عدم قيام دليل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المفيد </w:t>
      </w:r>
      <w:r>
        <w:rPr>
          <w:rStyle w:val="FootnoteAnchor"/>
          <w:rtl w:val="true"/>
        </w:rPr>
        <w:footnoteReference w:id="801"/>
      </w:r>
      <w:r>
        <w:rPr>
          <w:rFonts w:ascii="Amiri" w:hAnsi="Amiri" w:eastAsia="Amiri" w:cs="Amiri"/>
          <w:color w:val="111111"/>
          <w:sz w:val="28"/>
          <w:sz w:val="28"/>
          <w:szCs w:val="28"/>
          <w:rtl w:val="true"/>
          <w:lang w:bidi="ar-SA"/>
        </w:rPr>
        <w:t xml:space="preserve">ومن تبعه بإطلاق ما دلّ على انفعال مياه الأواني من غير تفصيل بين القولين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ويضعّفه </w:t>
      </w:r>
      <w:r>
        <w:rPr>
          <w:rStyle w:val="FootnoteAnchor"/>
          <w:rtl w:val="true"/>
        </w:rPr>
        <w:footnoteReference w:id="803"/>
      </w:r>
      <w:r>
        <w:rPr>
          <w:rFonts w:ascii="Amiri" w:hAnsi="Amiri" w:eastAsia="Amiri" w:cs="Amiri"/>
          <w:color w:val="111111"/>
          <w:sz w:val="28"/>
          <w:sz w:val="28"/>
          <w:szCs w:val="28"/>
          <w:rtl w:val="true"/>
          <w:lang w:bidi="ar-SA"/>
        </w:rPr>
        <w:t xml:space="preserve">أنّه مع أخصّيته عن المدّعى معارض </w:t>
      </w:r>
      <w:r>
        <w:rPr>
          <w:rStyle w:val="FootnoteAnchor"/>
          <w:rtl w:val="true"/>
        </w:rPr>
        <w:footnoteReference w:id="804"/>
      </w:r>
      <w:r>
        <w:rPr>
          <w:rFonts w:ascii="IRNazanin" w:hAnsi="IRNazanin" w:eastAsia="IRNazanin"/>
          <w:color w:val="111111"/>
          <w:sz w:val="28"/>
          <w:sz w:val="28"/>
          <w:szCs w:val="28"/>
          <w:rtl w:val="true"/>
          <w:lang w:bidi="fa-IR"/>
        </w:rPr>
        <w:t>بالإطلاق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فغاية الأمر أن يكون التعارض بينهما من قبيل العموم من وجه ، فيرجع فيه إلى الأصل ، ومقتضاه الطهارة كما أنّها </w:t>
      </w:r>
      <w:r>
        <w:rPr>
          <w:rStyle w:val="FootnoteAnchor"/>
          <w:rtl w:val="true"/>
        </w:rPr>
        <w:footnoteReference w:id="805"/>
      </w:r>
      <w:r>
        <w:rPr>
          <w:rFonts w:ascii="IRNazanin" w:hAnsi="IRNazanin" w:eastAsia="IRNazanin"/>
          <w:color w:val="111111"/>
          <w:sz w:val="28"/>
          <w:sz w:val="28"/>
          <w:szCs w:val="28"/>
          <w:rtl w:val="true"/>
          <w:lang w:bidi="fa-IR"/>
        </w:rPr>
        <w:t>مقتضى العمومات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الغالب في مياه الأواني القلّة ، فينصرف إليه الإطلاقات ؛ إذ هي مبنيّة على الغالب مع اعتضاده بالشهرة العظيمة بين الطائفة بل اتفاق الكلمة عليه بعد أولئك الأجلّة إن </w:t>
      </w:r>
    </w:p>
    <w:p>
      <w:pPr>
        <w:pStyle w:val="BookText"/>
        <w:rPr/>
      </w:pPr>
      <w:r>
        <w:rPr>
          <w:rFonts w:ascii="Amiri" w:hAnsi="Amiri" w:eastAsia="Amiri" w:cs="Amiri"/>
          <w:color w:val="111111"/>
          <w:sz w:val="28"/>
          <w:sz w:val="28"/>
          <w:szCs w:val="28"/>
          <w:rtl w:val="true"/>
          <w:lang w:bidi="ar-SA"/>
        </w:rPr>
        <w:t>ثبت خلافهم في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بلوغ الماء حدّ الكرّ بني على عدم بلوغه سواء علمت قلّته أو لا ، أو جهل الحال فيه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المقام أنّ الشكّ في كرّية الماء إمّا أن يكون ابتداء من أوّل الأمر أو بعد العلم بالكرّية بأن يشكّ في حصول النقيصة </w:t>
      </w:r>
      <w:r>
        <w:rPr>
          <w:rStyle w:val="FootnoteAnchor"/>
          <w:rtl w:val="true"/>
        </w:rPr>
        <w:footnoteReference w:id="807"/>
      </w:r>
      <w:r>
        <w:rPr>
          <w:rFonts w:ascii="Amiri" w:hAnsi="Amiri" w:eastAsia="Amiri" w:cs="Amiri"/>
          <w:color w:val="111111"/>
          <w:sz w:val="28"/>
          <w:sz w:val="28"/>
          <w:szCs w:val="28"/>
          <w:rtl w:val="true"/>
          <w:lang w:bidi="ar-SA"/>
        </w:rPr>
        <w:t xml:space="preserve">أو مع العلم بحصولها في الجملة ، غير أنّه يشكّ في كونه مخرجا له عن الكريّة إمّا للشكّ </w:t>
      </w:r>
      <w:r>
        <w:rPr>
          <w:rStyle w:val="FootnoteAnchor"/>
          <w:rtl w:val="true"/>
        </w:rPr>
        <w:footnoteReference w:id="808"/>
      </w:r>
      <w:r>
        <w:rPr>
          <w:rFonts w:ascii="Amiri" w:hAnsi="Amiri" w:eastAsia="Amiri" w:cs="Amiri"/>
          <w:color w:val="111111"/>
          <w:sz w:val="28"/>
          <w:sz w:val="28"/>
          <w:szCs w:val="28"/>
          <w:rtl w:val="true"/>
          <w:lang w:bidi="ar-SA"/>
        </w:rPr>
        <w:t xml:space="preserve">في مقدار أصل الماء أو الشكّ في مقدار النقيصة أو الشكّ فيهما أو بعد العلم بنقصانه عن الكرّ بأن يشكّ في تكميله ؛ أو يعلم به في الجملة ويشكّ في إيصاله إلى حدّ الكرّ إمّا للشكّ في مقدار أصل الماء أو في قدر </w:t>
      </w:r>
      <w:r>
        <w:rPr>
          <w:rStyle w:val="FootnoteAnchor"/>
          <w:rtl w:val="true"/>
        </w:rPr>
        <w:footnoteReference w:id="809"/>
      </w:r>
      <w:r>
        <w:rPr>
          <w:rFonts w:ascii="Amiri" w:hAnsi="Amiri" w:eastAsia="Amiri" w:cs="Amiri"/>
          <w:color w:val="111111"/>
          <w:sz w:val="28"/>
          <w:sz w:val="28"/>
          <w:szCs w:val="28"/>
          <w:rtl w:val="true"/>
          <w:lang w:bidi="ar-SA"/>
        </w:rPr>
        <w:t xml:space="preserve">المكمل أو فيهما ، فهذه وجوه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الكرّية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كما أشرنا إليه البناء على قلّته </w:t>
      </w:r>
      <w:r>
        <w:rPr>
          <w:rStyle w:val="FootnoteAnchor"/>
          <w:rtl w:val="true"/>
        </w:rPr>
        <w:footnoteReference w:id="810"/>
      </w:r>
      <w:r>
        <w:rPr>
          <w:rFonts w:ascii="Amiri" w:hAnsi="Amiri" w:eastAsia="Amiri" w:cs="Amiri"/>
          <w:color w:val="111111"/>
          <w:sz w:val="28"/>
          <w:sz w:val="28"/>
          <w:szCs w:val="28"/>
          <w:rtl w:val="true"/>
          <w:lang w:bidi="ar-SA"/>
        </w:rPr>
        <w:t xml:space="preserve">وانفعاله بالملاقاة ؛ أخذا بأصالة عدم البلوغ إلى حدّ الكرّية </w:t>
      </w:r>
      <w:r>
        <w:rPr>
          <w:rStyle w:val="FootnoteAnchor"/>
          <w:rtl w:val="true"/>
        </w:rPr>
        <w:footnoteReference w:id="811"/>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جماعة من المتأخّرين إلى البناء على أصالة الطهارة ؛ إذ أصالة عدم البلوغ إلى حدّ الكرّ معارضة بأصالة بقاء الطهارة ، فيبقى العمومات سليمة من </w:t>
      </w:r>
      <w:r>
        <w:rPr>
          <w:rStyle w:val="FootnoteAnchor"/>
          <w:rtl w:val="true"/>
        </w:rPr>
        <w:footnoteReference w:id="813"/>
      </w:r>
      <w:r>
        <w:rPr>
          <w:rFonts w:ascii="IRNazanin" w:hAnsi="IRNazanin" w:eastAsia="IRNazanin"/>
          <w:color w:val="111111"/>
          <w:sz w:val="28"/>
          <w:sz w:val="28"/>
          <w:szCs w:val="28"/>
          <w:rtl w:val="true"/>
          <w:lang w:bidi="fa-IR"/>
        </w:rPr>
        <w:t>المعارض</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ويضعّفه أن أصالة الطهارة مغيّاة بقيام الدليل الشرعي على النجاسة ، وقد قام ثبوت </w:t>
      </w:r>
      <w:r>
        <w:rPr>
          <w:rStyle w:val="FootnoteAnchor"/>
          <w:rtl w:val="true"/>
        </w:rPr>
        <w:footnoteReference w:id="814"/>
      </w:r>
      <w:r>
        <w:rPr>
          <w:rFonts w:ascii="Amiri" w:hAnsi="Amiri" w:eastAsia="Amiri" w:cs="Amiri"/>
          <w:color w:val="111111"/>
          <w:sz w:val="28"/>
          <w:sz w:val="28"/>
          <w:szCs w:val="28"/>
          <w:rtl w:val="true"/>
          <w:lang w:bidi="ar-SA"/>
        </w:rPr>
        <w:t>القلّة بالاستصحاب وقيام أدلّة القليل على انفعاله ، فليس هناك معارضة بين الأصلين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في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ماء طاهر </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إن جعلناه </w:t>
      </w:r>
      <w:r>
        <w:rPr>
          <w:rStyle w:val="FootnoteAnchor"/>
          <w:rtl w:val="true"/>
        </w:rPr>
        <w:footnoteReference w:id="816"/>
      </w:r>
      <w:r>
        <w:rPr>
          <w:rFonts w:ascii="Amiri" w:hAnsi="Amiri" w:eastAsia="Amiri" w:cs="Amiri"/>
          <w:color w:val="111111"/>
          <w:sz w:val="28"/>
          <w:sz w:val="28"/>
          <w:szCs w:val="28"/>
          <w:rtl w:val="true"/>
          <w:lang w:bidi="ar-SA"/>
        </w:rPr>
        <w:t>مغايرا للاستصحاب لكون الحكم فيه مغيّى بالعلم ، وهو حاصل من جهة قيام 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العلم ظاهر في اليقين وهو غير حاصل بالاستصحاب ونحوه منقوض بحكمهم بالنجاسة قطعا من جهة قيام الدليل الشرعيّ على الحكم كالأدلّة القائمة على انفعال القليل أو نجاسة عرق الجنب من الحرام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الأدلّة المذكورة لا يفيد اليقين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انتهاؤها إلى اليقين للدليل القاطع على حجيّتها فهي قاضية بالعلم القطعي بالحكم ، فيجب البناء على مقتضاها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ولتفصيل الكلام في هذا المرام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طروّ نقص على الماء بعد العلم بكرّيته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إذن في البناء على أصالة البقاء على الكرّية مع اعتضادها بأصالة الطهارة والعمومات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القدر الناقص إذا علم بنقصان شي‌ء منه ودار الأمر بين بلوغه إلى حدّ يوجب نقصه عن الكرّ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كسابقه ؛ لأصالة القلّة في القدر الناقص وأصالة الطهارة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القدر الناقص معلوما ويكون الشكّ من جهة الشكّ في مقدار أصل الماء ، فيحتمل فيه البناء على أصالة القلة فيؤخذ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يلزم الخروج عن الكرّية بالنقص المفروض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 الماء قد كان محكوما بكرّيّته قبل طروّ النقص ، فالأصل البقاء عليها إلى أن يعلم المخرج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المحكوم بكرّيته هو مجموع الماء بطروّ </w:t>
      </w:r>
      <w:r>
        <w:rPr>
          <w:rStyle w:val="FootnoteAnchor"/>
          <w:rtl w:val="true"/>
        </w:rPr>
        <w:footnoteReference w:id="817"/>
      </w:r>
      <w:r>
        <w:rPr>
          <w:rFonts w:ascii="Amiri" w:hAnsi="Amiri" w:eastAsia="Amiri" w:cs="Amiri"/>
          <w:color w:val="111111"/>
          <w:sz w:val="28"/>
          <w:sz w:val="28"/>
          <w:szCs w:val="28"/>
          <w:rtl w:val="true"/>
          <w:lang w:bidi="ar-SA"/>
        </w:rPr>
        <w:t xml:space="preserve">النقص تغيّر </w:t>
      </w:r>
      <w:r>
        <w:rPr>
          <w:rStyle w:val="FootnoteAnchor"/>
          <w:rtl w:val="true"/>
        </w:rPr>
        <w:footnoteReference w:id="818"/>
      </w:r>
      <w:r>
        <w:rPr>
          <w:rFonts w:ascii="Amiri" w:hAnsi="Amiri" w:eastAsia="Amiri" w:cs="Amiri"/>
          <w:color w:val="111111"/>
          <w:sz w:val="28"/>
          <w:sz w:val="28"/>
          <w:szCs w:val="28"/>
          <w:rtl w:val="true"/>
          <w:lang w:bidi="ar-SA"/>
        </w:rPr>
        <w:t>الموضوع إذ لم يحكم أولا بكريّة الباقي حتى يستصحب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ذلك ليس من استصحاب الحكم حتّى يتنازع فيه بتغيّر الموضوع بل هو من قبيل استصحاب نفس الموضوع فانّ الكرّ قد كان موجودا قبل النقيصة فالأصل بقاؤه بعدها حتّى يعلم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فتأخذ الحكم في المقام العصمة عن الانفعال ، فإنّ القدر الباقي قد كان معصوما من الانفعال قبل النقص ، فالأصل بقاؤه عليه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ويتوجّه عليه أنّ الأصل عدم الزيادة في مقدار الماء ، فلا يحكم بها إلّا على مقدار اليقين ، وحينئذ بعد العلم بحصول النقص المفروض يثبت القلّة أخذا بالأصل المذكور ، وهو حاكم عى أصالة بقاء الكر وأصالة بقاء العصمة ؛ إذ الحكم بهما مغيّى بحصول العلم بالقلة ، والمفروض أنّ الأصل المذكور دليل شرعي عليها من دون معارض يدفعه سيّما لو كان الماء قليلا في الأوّل فحصلت الزيادة شيئا فشيئا فشكّ في مقدار الماء الزائد ، خصوصا لو كان ذلك لاحتمال حصول الزيادة بعد الزيادة ، بل لا يبقى الشك </w:t>
      </w:r>
      <w:r>
        <w:rPr>
          <w:rStyle w:val="FootnoteAnchor"/>
          <w:rtl w:val="true"/>
        </w:rPr>
        <w:footnoteReference w:id="819"/>
      </w:r>
      <w:r>
        <w:rPr>
          <w:rFonts w:ascii="Amiri" w:hAnsi="Amiri" w:eastAsia="Amiri" w:cs="Amiri"/>
          <w:color w:val="111111"/>
          <w:sz w:val="28"/>
          <w:sz w:val="28"/>
          <w:szCs w:val="28"/>
          <w:rtl w:val="true"/>
          <w:lang w:bidi="ar-SA"/>
        </w:rPr>
        <w:t>في مثله في الحكم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قد يناقش في كونه من استصحاب الأمر فيه إلى الشكّ في بقاء الكرّية مع اختلاف ما لو تعلّق به اليقين الأوّل قطعا ، كيف ولو قيل بكون استصحاب بقاء الكرّ من استصحاب الموضوع لكونه متعلّقا بجملة من الأحكام جرى مثله في كثير من موارد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نقصانه من الكر أوّلا وقد زيد عليه ما يشكّ معها في البلوغ إلى حدّ الكرّ إمّا للشكّ في مقدار الزائد أو في مقدار الماء أوّلا أو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الوجهان السابقان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ما قدّمناه من البناء على أصالة القلّة ، وجعله حاكما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طروّ الكرّية ابتداء بعد العلم بالقلّة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حينئذ هو الحكم باستصحاب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فيه أوضح من الوجوه المتقدّمة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بمعارضته باستصحاب الطهارة فيرجع إلى أصالة الطهارة ، وهو ضعيف</w:t>
      </w:r>
      <w:r>
        <w:rPr>
          <w:rFonts w:eastAsia="Amiri" w:cs="Amiri" w:ascii="Amiri" w:hAnsi="Amiri"/>
          <w:color w:val="111111"/>
          <w:sz w:val="28"/>
          <w:szCs w:val="28"/>
          <w:rtl w:val="true"/>
          <w:lang w:bidi="ar-SA"/>
        </w:rPr>
        <w:t xml:space="preserve">. </w:t>
      </w:r>
      <w:bookmarkStart w:id="174" w:name="pg15827_173690"/>
    </w:p>
    <w:p>
      <w:pPr>
        <w:pStyle w:val="Heading4"/>
        <w:numPr>
          <w:ilvl w:val="3"/>
          <w:numId w:val="1"/>
        </w:numPr>
        <w:rPr/>
      </w:pPr>
      <w:bookmarkStart w:id="175" w:name="__RefHeading___Toc14099713_2142443653"/>
      <w:bookmarkStart w:id="176" w:name="_Toc63"/>
      <w:bookmarkEnd w:id="174"/>
      <w:bookmarkEnd w:id="175"/>
      <w:r>
        <w:rPr>
          <w:rtl w:val="true"/>
        </w:rPr>
        <w:t>تبصرة</w:t>
      </w:r>
      <w:r>
        <w:rPr>
          <w:rtl w:val="true"/>
        </w:rPr>
        <w:t xml:space="preserve">: [ </w:t>
      </w:r>
      <w:r>
        <w:rPr>
          <w:rtl w:val="true"/>
        </w:rPr>
        <w:t xml:space="preserve">في تقدير الكرّ بالوزن </w:t>
      </w:r>
      <w:r>
        <w:rPr>
          <w:rtl w:val="true"/>
        </w:rPr>
        <w:t>]</w:t>
      </w:r>
      <w:bookmarkEnd w:id="176"/>
    </w:p>
    <w:p>
      <w:pPr>
        <w:pStyle w:val="BookText"/>
        <w:rPr/>
      </w:pPr>
      <w:r>
        <w:rPr>
          <w:rFonts w:ascii="Amiri" w:hAnsi="Amiri" w:eastAsia="Amiri" w:cs="Amiri"/>
          <w:color w:val="111111"/>
          <w:sz w:val="28"/>
          <w:sz w:val="28"/>
          <w:szCs w:val="28"/>
          <w:rtl w:val="true"/>
          <w:lang w:bidi="ar-SA"/>
        </w:rPr>
        <w:t xml:space="preserve">للأصحاب في تقدير الكرّ </w:t>
      </w:r>
      <w:r>
        <w:rPr>
          <w:rStyle w:val="FootnoteAnchor"/>
          <w:rtl w:val="true"/>
        </w:rPr>
        <w:footnoteReference w:id="821"/>
      </w:r>
      <w:r>
        <w:rPr>
          <w:rFonts w:ascii="Amiri" w:hAnsi="Amiri" w:eastAsia="Amiri" w:cs="Amiri"/>
          <w:color w:val="111111"/>
          <w:sz w:val="28"/>
          <w:sz w:val="28"/>
          <w:szCs w:val="28"/>
          <w:rtl w:val="true"/>
          <w:lang w:bidi="ar-SA"/>
        </w:rPr>
        <w:t xml:space="preserve">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بالوزن ، والآخر بالمساحة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في الأوّل تحديده بألف ومأتي رطل بلا خلاف يظهر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الإجماع عليه في الانتصار </w:t>
      </w:r>
      <w:r>
        <w:rPr>
          <w:rStyle w:val="FootnoteAnchor"/>
          <w:rtl w:val="true"/>
        </w:rPr>
        <w:footnoteReference w:id="822"/>
      </w:r>
      <w:r>
        <w:rPr>
          <w:rFonts w:ascii="Amiri" w:hAnsi="Amiri" w:eastAsia="Amiri" w:cs="Amiri"/>
          <w:color w:val="111111"/>
          <w:sz w:val="28"/>
          <w:sz w:val="28"/>
          <w:szCs w:val="28"/>
          <w:rtl w:val="true"/>
          <w:lang w:bidi="ar-SA"/>
        </w:rPr>
        <w:t xml:space="preserve">والناصريات </w:t>
      </w:r>
      <w:r>
        <w:rPr>
          <w:rStyle w:val="FootnoteAnchor"/>
          <w:rtl w:val="true"/>
        </w:rPr>
        <w:footnoteReference w:id="823"/>
      </w:r>
      <w:r>
        <w:rPr>
          <w:rFonts w:ascii="Amiri" w:hAnsi="Amiri" w:eastAsia="Amiri" w:cs="Amiri"/>
          <w:color w:val="111111"/>
          <w:sz w:val="28"/>
          <w:sz w:val="28"/>
          <w:szCs w:val="28"/>
          <w:rtl w:val="true"/>
          <w:lang w:bidi="ar-SA"/>
        </w:rPr>
        <w:t xml:space="preserve">والغنية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في المعتبر </w:t>
      </w:r>
      <w:r>
        <w:rPr>
          <w:rStyle w:val="FootnoteAnchor"/>
          <w:rtl w:val="true"/>
        </w:rPr>
        <w:footnoteReference w:id="825"/>
      </w:r>
      <w:r>
        <w:rPr>
          <w:rFonts w:ascii="Amiri" w:hAnsi="Amiri" w:eastAsia="Amiri" w:cs="Amiri"/>
          <w:color w:val="111111"/>
          <w:sz w:val="28"/>
          <w:sz w:val="28"/>
          <w:szCs w:val="28"/>
          <w:rtl w:val="true"/>
          <w:lang w:bidi="ar-SA"/>
        </w:rPr>
        <w:t>إلى الأصحاب مؤذنا بالإجماع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المهذّب البارع </w:t>
      </w:r>
      <w:r>
        <w:rPr>
          <w:rStyle w:val="FootnoteAnchor"/>
          <w:rtl w:val="true"/>
        </w:rPr>
        <w:footnoteReference w:id="826"/>
      </w:r>
      <w:r>
        <w:rPr>
          <w:rFonts w:ascii="Amiri" w:hAnsi="Amiri" w:eastAsia="Amiri" w:cs="Amiri"/>
          <w:color w:val="111111"/>
          <w:sz w:val="28"/>
          <w:sz w:val="28"/>
          <w:szCs w:val="28"/>
          <w:rtl w:val="true"/>
          <w:lang w:bidi="ar-SA"/>
        </w:rPr>
        <w:t>حيث أسنده فيه إلى عمل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وجعله الصدوق رحمه‌اللّه </w:t>
      </w:r>
      <w:r>
        <w:rPr>
          <w:rStyle w:val="FootnoteAnchor"/>
          <w:rtl w:val="true"/>
        </w:rPr>
        <w:footnoteReference w:id="827"/>
      </w:r>
      <w:r>
        <w:rPr>
          <w:rFonts w:ascii="Amiri" w:hAnsi="Amiri" w:eastAsia="Amiri" w:cs="Amiri"/>
          <w:color w:val="111111"/>
          <w:sz w:val="28"/>
          <w:sz w:val="28"/>
          <w:szCs w:val="28"/>
          <w:rtl w:val="true"/>
          <w:lang w:bidi="ar-SA"/>
        </w:rPr>
        <w:t xml:space="preserve">من دين الإمامية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مضافا إلى ذلك مرسلة ابن أبي عمير </w:t>
      </w:r>
      <w:r>
        <w:rPr>
          <w:rStyle w:val="FootnoteAnchor"/>
          <w:rtl w:val="true"/>
        </w:rPr>
        <w:footnoteReference w:id="829"/>
      </w:r>
      <w:r>
        <w:rPr>
          <w:rFonts w:ascii="Amiri" w:hAnsi="Amiri" w:eastAsia="Amiri" w:cs="Amiri"/>
          <w:color w:val="111111"/>
          <w:sz w:val="28"/>
          <w:sz w:val="28"/>
          <w:szCs w:val="28"/>
          <w:rtl w:val="true"/>
          <w:lang w:bidi="ar-SA"/>
        </w:rPr>
        <w:t>الّتي هي عندهم بمنزلة الصحيح سيّما بعد اعتضادها بالعمل ، بل هي إذن أقوى من كثير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في كشف </w:t>
      </w:r>
      <w:r>
        <w:rPr>
          <w:rStyle w:val="FootnoteAnchor"/>
          <w:rtl w:val="true"/>
        </w:rPr>
        <w:footnoteReference w:id="830"/>
      </w:r>
      <w:r>
        <w:rPr>
          <w:rFonts w:ascii="Amiri" w:hAnsi="Amiri" w:eastAsia="Amiri" w:cs="Amiri"/>
          <w:color w:val="111111"/>
          <w:sz w:val="28"/>
          <w:sz w:val="28"/>
          <w:szCs w:val="28"/>
          <w:rtl w:val="true"/>
          <w:lang w:bidi="ar-SA"/>
        </w:rPr>
        <w:t>الرموز من أصحّ الروايات والأشهر منها في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فالحكم المذكور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المقصود بالأرطال في المقام ، فالمشهور كما حكاه جماعة من الأصحاب </w:t>
      </w:r>
      <w:r>
        <w:rPr>
          <w:rStyle w:val="FootnoteAnchor"/>
          <w:rtl w:val="true"/>
        </w:rPr>
        <w:footnoteReference w:id="831"/>
      </w:r>
      <w:r>
        <w:rPr>
          <w:rFonts w:ascii="Amiri" w:hAnsi="Amiri" w:eastAsia="Amiri" w:cs="Amiri"/>
          <w:color w:val="111111"/>
          <w:sz w:val="28"/>
          <w:sz w:val="28"/>
          <w:szCs w:val="28"/>
          <w:rtl w:val="true"/>
          <w:lang w:bidi="ar-SA"/>
        </w:rPr>
        <w:t xml:space="preserve">منهم الشهيد الثاني في الروض والروضة </w:t>
      </w:r>
      <w:r>
        <w:rPr>
          <w:rStyle w:val="FootnoteAnchor"/>
          <w:rtl w:val="true"/>
        </w:rPr>
        <w:footnoteReference w:id="832"/>
      </w:r>
      <w:r>
        <w:rPr>
          <w:rFonts w:ascii="Amiri" w:hAnsi="Amiri" w:eastAsia="Amiri" w:cs="Amiri"/>
          <w:color w:val="111111"/>
          <w:sz w:val="28"/>
          <w:sz w:val="28"/>
          <w:szCs w:val="28"/>
          <w:rtl w:val="true"/>
          <w:lang w:bidi="ar-SA"/>
        </w:rPr>
        <w:t xml:space="preserve">وصاحب الذخيرة </w:t>
      </w:r>
      <w:r>
        <w:rPr>
          <w:rStyle w:val="FootnoteAnchor"/>
          <w:rtl w:val="true"/>
        </w:rPr>
        <w:footnoteReference w:id="833"/>
      </w:r>
      <w:r>
        <w:rPr>
          <w:rFonts w:ascii="IRNazanin" w:hAnsi="IRNazanin" w:eastAsia="IRNazanin"/>
          <w:color w:val="111111"/>
          <w:sz w:val="28"/>
          <w:sz w:val="28"/>
          <w:szCs w:val="28"/>
          <w:rtl w:val="true"/>
          <w:lang w:bidi="fa-IR"/>
        </w:rPr>
        <w:t xml:space="preserve">والحدائق </w:t>
      </w:r>
      <w:r>
        <w:rPr>
          <w:rStyle w:val="FootnoteAnchor"/>
          <w:rtl w:val="true"/>
        </w:rPr>
        <w:footnoteReference w:id="834"/>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الأرطال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في كشف الرموز </w:t>
      </w:r>
      <w:r>
        <w:rPr>
          <w:rStyle w:val="FootnoteAnchor"/>
          <w:rtl w:val="true"/>
        </w:rPr>
        <w:footnoteReference w:id="835"/>
      </w:r>
      <w:r>
        <w:rPr>
          <w:rFonts w:ascii="Amiri" w:hAnsi="Amiri" w:eastAsia="Amiri" w:cs="Amiri"/>
          <w:color w:val="111111"/>
          <w:sz w:val="28"/>
          <w:sz w:val="28"/>
          <w:szCs w:val="28"/>
          <w:rtl w:val="true"/>
          <w:lang w:bidi="ar-SA"/>
        </w:rPr>
        <w:t>عن الشيخ رحمه‌اللّه حكاية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عليه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الشيخان والقاضي </w:t>
      </w:r>
      <w:r>
        <w:rPr>
          <w:rStyle w:val="FootnoteAnchor"/>
          <w:rtl w:val="true"/>
        </w:rPr>
        <w:footnoteReference w:id="836"/>
      </w:r>
      <w:r>
        <w:rPr>
          <w:rFonts w:ascii="Amiri" w:hAnsi="Amiri" w:eastAsia="Amiri" w:cs="Amiri"/>
          <w:color w:val="111111"/>
          <w:sz w:val="28"/>
          <w:sz w:val="28"/>
          <w:szCs w:val="28"/>
          <w:rtl w:val="true"/>
          <w:lang w:bidi="ar-SA"/>
        </w:rPr>
        <w:t xml:space="preserve">والطوسي </w:t>
      </w:r>
      <w:r>
        <w:rPr>
          <w:rStyle w:val="FootnoteAnchor"/>
          <w:rtl w:val="true"/>
        </w:rPr>
        <w:footnoteReference w:id="837"/>
      </w:r>
      <w:r>
        <w:rPr>
          <w:rFonts w:ascii="IRNazanin" w:hAnsi="IRNazanin" w:eastAsia="IRNazanin"/>
          <w:color w:val="111111"/>
          <w:sz w:val="28"/>
          <w:sz w:val="28"/>
          <w:szCs w:val="28"/>
          <w:rtl w:val="true"/>
          <w:lang w:bidi="fa-IR"/>
        </w:rPr>
        <w:t xml:space="preserve">والفاضلان </w:t>
      </w:r>
      <w:r>
        <w:rPr>
          <w:rStyle w:val="FootnoteAnchor"/>
          <w:rtl w:val="true"/>
        </w:rPr>
        <w:footnoteReference w:id="838"/>
      </w:r>
      <w:r>
        <w:rPr>
          <w:rFonts w:ascii="Amiri" w:hAnsi="Amiri" w:eastAsia="Amiri" w:cs="Amiri"/>
          <w:color w:val="111111"/>
          <w:sz w:val="28"/>
          <w:sz w:val="28"/>
          <w:szCs w:val="28"/>
          <w:rtl w:val="true"/>
          <w:lang w:bidi="ar-SA"/>
        </w:rPr>
        <w:t xml:space="preserve">والشهيدان </w:t>
      </w:r>
      <w:r>
        <w:rPr>
          <w:rStyle w:val="FootnoteAnchor"/>
          <w:rtl w:val="true"/>
        </w:rPr>
        <w:footnoteReference w:id="839"/>
      </w:r>
      <w:r>
        <w:rPr>
          <w:rFonts w:ascii="Amiri" w:hAnsi="Amiri" w:eastAsia="Amiri" w:cs="Amiri"/>
          <w:color w:val="111111"/>
          <w:sz w:val="28"/>
          <w:sz w:val="28"/>
          <w:szCs w:val="28"/>
          <w:rtl w:val="true"/>
          <w:lang w:bidi="ar-SA"/>
        </w:rPr>
        <w:t xml:space="preserve">وجمهور المتأخرين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الصدوقين </w:t>
      </w:r>
      <w:r>
        <w:rPr>
          <w:rStyle w:val="FootnoteAnchor"/>
          <w:rtl w:val="true"/>
        </w:rPr>
        <w:footnoteReference w:id="841"/>
      </w:r>
      <w:r>
        <w:rPr>
          <w:rFonts w:ascii="Amiri" w:hAnsi="Amiri" w:eastAsia="Amiri" w:cs="Amiri"/>
          <w:color w:val="111111"/>
          <w:sz w:val="28"/>
          <w:sz w:val="28"/>
          <w:szCs w:val="28"/>
          <w:rtl w:val="true"/>
          <w:lang w:bidi="ar-SA"/>
        </w:rPr>
        <w:t xml:space="preserve">والسيد </w:t>
      </w:r>
      <w:r>
        <w:rPr>
          <w:rStyle w:val="FootnoteAnchor"/>
          <w:rtl w:val="true"/>
        </w:rPr>
        <w:footnoteReference w:id="842"/>
      </w:r>
      <w:r>
        <w:rPr>
          <w:rFonts w:ascii="Amiri" w:hAnsi="Amiri" w:eastAsia="Amiri" w:cs="Amiri"/>
          <w:color w:val="111111"/>
          <w:sz w:val="28"/>
          <w:sz w:val="28"/>
          <w:szCs w:val="28"/>
          <w:rtl w:val="true"/>
          <w:lang w:bidi="ar-SA"/>
        </w:rPr>
        <w:t xml:space="preserve">أنّها مدنية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في الغنية </w:t>
      </w:r>
      <w:r>
        <w:rPr>
          <w:rStyle w:val="FootnoteAnchor"/>
          <w:rtl w:val="true"/>
        </w:rPr>
        <w:footnoteReference w:id="844"/>
      </w:r>
      <w:r>
        <w:rPr>
          <w:rFonts w:ascii="IRNazanin" w:hAnsi="IRNazanin" w:eastAsia="IRNazanin"/>
          <w:color w:val="111111"/>
          <w:sz w:val="28"/>
          <w:sz w:val="28"/>
          <w:szCs w:val="28"/>
          <w:rtl w:val="true"/>
          <w:lang w:bidi="fa-IR"/>
        </w:rPr>
        <w:t>أحوط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وحكى السيد </w:t>
      </w:r>
      <w:r>
        <w:rPr>
          <w:rStyle w:val="FootnoteAnchor"/>
          <w:rtl w:val="true"/>
        </w:rPr>
        <w:footnoteReference w:id="845"/>
      </w:r>
      <w:r>
        <w:rPr>
          <w:rFonts w:ascii="Amiri" w:hAnsi="Amiri" w:eastAsia="Amiri" w:cs="Amiri"/>
          <w:color w:val="111111"/>
          <w:sz w:val="28"/>
          <w:sz w:val="28"/>
          <w:szCs w:val="28"/>
          <w:rtl w:val="true"/>
          <w:lang w:bidi="ar-SA"/>
        </w:rPr>
        <w:t xml:space="preserve">عليه الإجماع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دلّت عليه الآثار المعروفة المرويّة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وعدّه الصدوق </w:t>
      </w:r>
      <w:r>
        <w:rPr>
          <w:rStyle w:val="FootnoteAnchor"/>
          <w:rtl w:val="true"/>
        </w:rPr>
        <w:footnoteReference w:id="846"/>
      </w:r>
      <w:r>
        <w:rPr>
          <w:rFonts w:ascii="Amiri" w:hAnsi="Amiri" w:eastAsia="Amiri" w:cs="Amiri"/>
          <w:color w:val="111111"/>
          <w:sz w:val="28"/>
          <w:sz w:val="28"/>
          <w:szCs w:val="28"/>
          <w:rtl w:val="true"/>
          <w:lang w:bidi="ar-SA"/>
        </w:rPr>
        <w:t xml:space="preserve">من دين الإمامية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كلّه طاهر حتّى يعلم أنه قذر </w:t>
      </w:r>
      <w:r>
        <w:rPr>
          <w:rFonts w:eastAsia="Amiri" w:cs="Amiri" w:ascii="Amiri" w:hAnsi="Amiri"/>
          <w:color w:val="111111"/>
          <w:sz w:val="28"/>
          <w:szCs w:val="28"/>
          <w:rtl w:val="true"/>
          <w:lang w:bidi="ar-SA"/>
        </w:rPr>
        <w:t xml:space="preserve">» </w:t>
      </w:r>
      <w:r>
        <w:rPr>
          <w:rStyle w:val="FootnoteAnchor"/>
          <w:rtl w:val="true"/>
        </w:rPr>
        <w:footnoteReference w:id="848"/>
      </w:r>
      <w:r>
        <w:rPr>
          <w:rFonts w:ascii="Amiri" w:hAnsi="Amiri" w:eastAsia="Amiri" w:cs="Amiri"/>
          <w:color w:val="111111"/>
          <w:sz w:val="28"/>
          <w:sz w:val="28"/>
          <w:szCs w:val="28"/>
          <w:rtl w:val="true"/>
          <w:lang w:bidi="ar-SA"/>
        </w:rPr>
        <w:t>؛ إذ غاية الأمر حصول الشكّ في المراد بالأرطال لإجمالها واشتراكها بين الرطلين ، فيشكّ في نجاسة القدر الأقلّ بالملاقاة ، وقضية الأصل والعموم المذكور بقاؤه على الطهارة حتّى يتبيّن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فيهما بأنّ مقتضاهما الحكم بالطهارة مع الشكّ في ملاقاة النجاسة لا مع العلم بها ، والشكّ في الانفعال بالملاقاة أو في حكم الشرع نجاسة الملاقي كعرق الجنب من الحرام ، بل الواجب حينئذ هو الرجوع إلى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العجز عن الترجيح مراعاة جانب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العمل بالعموم والأصل إنّما هو مع الشكّ في عروض القادح </w:t>
      </w:r>
      <w:r>
        <w:rPr>
          <w:rStyle w:val="FootnoteAnchor"/>
          <w:rtl w:val="true"/>
        </w:rPr>
        <w:footnoteReference w:id="849"/>
      </w:r>
      <w:r>
        <w:rPr>
          <w:rFonts w:ascii="Amiri" w:hAnsi="Amiri" w:eastAsia="Amiri" w:cs="Amiri"/>
          <w:color w:val="111111"/>
          <w:sz w:val="28"/>
          <w:sz w:val="28"/>
          <w:szCs w:val="28"/>
          <w:rtl w:val="true"/>
          <w:lang w:bidi="ar-SA"/>
        </w:rPr>
        <w:t xml:space="preserve">لا في قدح العارض ، بل لا بدّ في النافي </w:t>
      </w:r>
      <w:r>
        <w:rPr>
          <w:rStyle w:val="FootnoteAnchor"/>
          <w:rtl w:val="true"/>
        </w:rPr>
        <w:footnoteReference w:id="850"/>
      </w:r>
      <w:r>
        <w:rPr>
          <w:rFonts w:ascii="Amiri" w:hAnsi="Amiri" w:eastAsia="Amiri" w:cs="Amiri"/>
          <w:color w:val="111111"/>
          <w:sz w:val="28"/>
          <w:sz w:val="28"/>
          <w:szCs w:val="28"/>
          <w:rtl w:val="true"/>
          <w:lang w:bidi="ar-SA"/>
        </w:rPr>
        <w:t>من ملاحظة الدليل والبناء على 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أنّ مقتضى الأصل والعموم المذكورين هو البناء على الطهارة إلى أن يتبيّن الخلاف ، ويتّفق له القطع بطروّ النجاسة ، فلا يجب التجسّس والفحص عن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في الأوّل دون الثاني ، للزوم التجسّس عن الدليل قطعا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 أنّ قضية إطلاق أدلّة الاستصحاب وظاهر العموم المذكور عدم الفرق بين الصورتين في صحّة الرجوع إلى الأمرين ، وتخصيصه بالأوّل خروج عن الظاهر من غير قيام حجة عليه كما فصّل ذلك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 من الفرق بين الصورتين في صحّة </w:t>
      </w:r>
      <w:r>
        <w:rPr>
          <w:rStyle w:val="FootnoteAnchor"/>
          <w:rtl w:val="true"/>
        </w:rPr>
        <w:footnoteReference w:id="851"/>
      </w:r>
      <w:r>
        <w:rPr>
          <w:rFonts w:ascii="Amiri" w:hAnsi="Amiri" w:eastAsia="Amiri" w:cs="Amiri"/>
          <w:color w:val="111111"/>
          <w:sz w:val="28"/>
          <w:sz w:val="28"/>
          <w:szCs w:val="28"/>
          <w:rtl w:val="true"/>
          <w:lang w:bidi="ar-SA"/>
        </w:rPr>
        <w:t>الرجوع إلى الأمرين نظرا إلى عدم جواز البناء عليهما من دون الفحص في اثبات أصل الحكم ، لا يقضي بخروجه عنها ؛ إذ غاية الأمر تقييده لما دلّ على وجوب بذل الوسع على المجتهد بما يعدّ بذل الوسع لا بخروجه عن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الكلام فيه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قضية أخبار الكرّ كون الكرّية شرطا للاعتصام وعدم الانفعال بالملاقاة ، ومن المعلوم أنّها صفة وجوديّة ، فمع الشكّ في حصولها لا بدّ من نفيها بالأصل ويتبعه القول بالانفعال ، فقضية الأصل فيه على العكس ؛ فاسد إذ ذاك إنّما يتمّ مع العلم بمقدار الكرّ والشكّ في حصوله ؛ إذ الأصل فيه حينئذ عدم وصوله إلى ذلك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الشكّ بأصل مقداره فلا معنى لأصالة عدم كونه كرّا ؛ إذ من الواضح للأصل المذكور لموضوعات الألفاظ ومستعملاتها وتعيين المراد من المجملات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الأمر هو التوقّف ، ومعه يقدّم </w:t>
      </w:r>
      <w:r>
        <w:rPr>
          <w:rStyle w:val="FootnoteAnchor"/>
          <w:rtl w:val="true"/>
        </w:rPr>
        <w:footnoteReference w:id="853"/>
      </w:r>
      <w:r>
        <w:rPr>
          <w:rFonts w:ascii="Amiri" w:hAnsi="Amiri" w:eastAsia="Amiri" w:cs="Amiri"/>
          <w:color w:val="111111"/>
          <w:sz w:val="28"/>
          <w:sz w:val="28"/>
          <w:szCs w:val="28"/>
          <w:rtl w:val="true"/>
          <w:lang w:bidi="ar-SA"/>
        </w:rPr>
        <w:t>للأصل المتقدّم حجّة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يجاب عن الإيراد المذكور من أنّه كما يقال </w:t>
      </w:r>
      <w:r>
        <w:rPr>
          <w:rStyle w:val="FootnoteAnchor"/>
          <w:rtl w:val="true"/>
        </w:rPr>
        <w:footnoteReference w:id="854"/>
      </w:r>
      <w:r>
        <w:rPr>
          <w:rFonts w:ascii="Amiri" w:hAnsi="Amiri" w:eastAsia="Amiri" w:cs="Amiri"/>
          <w:color w:val="111111"/>
          <w:sz w:val="28"/>
          <w:sz w:val="28"/>
          <w:szCs w:val="28"/>
          <w:rtl w:val="true"/>
          <w:lang w:bidi="ar-SA"/>
        </w:rPr>
        <w:t xml:space="preserve">بكون الكرّية شرطا للاعتصام بمقتضى منطوق روايات الكرّ كذا نقول بكون القلّة شرطا لانفعاله بمقتضى المفهوم فكما أنّ الشكّ في الشرط يوجب </w:t>
      </w:r>
      <w:r>
        <w:rPr>
          <w:rStyle w:val="FootnoteAnchor"/>
          <w:rtl w:val="true"/>
        </w:rPr>
        <w:footnoteReference w:id="855"/>
      </w:r>
      <w:r>
        <w:rPr>
          <w:rFonts w:ascii="Amiri" w:hAnsi="Amiri" w:eastAsia="Amiri" w:cs="Amiri"/>
          <w:color w:val="111111"/>
          <w:sz w:val="28"/>
          <w:sz w:val="28"/>
          <w:szCs w:val="28"/>
          <w:rtl w:val="true"/>
          <w:lang w:bidi="ar-SA"/>
        </w:rPr>
        <w:t>الشكّ في المشروط في الأوّل فكذا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فالمرجع بعد تعارض الأصلين المذكورين إلى أصالة الطهارة في الماء المستفادة من العمومات وأصالة براءة الذمّة عن وجوب الاجتناب</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ويضعّفه أنّ ذلك إنّما يتمّ لو كان كلّ من الشرطين المذكورين وجوديّا ، وأمّا </w:t>
      </w:r>
      <w:r>
        <w:rPr>
          <w:rStyle w:val="FootnoteAnchor"/>
          <w:rtl w:val="true"/>
        </w:rPr>
        <w:footnoteReference w:id="856"/>
      </w:r>
      <w:r>
        <w:rPr>
          <w:rFonts w:ascii="Amiri" w:hAnsi="Amiri" w:eastAsia="Amiri" w:cs="Amiri"/>
          <w:color w:val="111111"/>
          <w:sz w:val="28"/>
          <w:sz w:val="28"/>
          <w:szCs w:val="28"/>
          <w:rtl w:val="true"/>
          <w:lang w:bidi="ar-SA"/>
        </w:rPr>
        <w:t xml:space="preserve">مع كون </w:t>
      </w:r>
    </w:p>
    <w:p>
      <w:pPr>
        <w:pStyle w:val="BookText"/>
        <w:rPr/>
      </w:pPr>
      <w:r>
        <w:rPr>
          <w:rFonts w:ascii="Amiri" w:hAnsi="Amiri" w:eastAsia="Amiri" w:cs="Amiri"/>
          <w:color w:val="111111"/>
          <w:sz w:val="28"/>
          <w:sz w:val="28"/>
          <w:szCs w:val="28"/>
          <w:rtl w:val="true"/>
          <w:lang w:bidi="ar-SA"/>
        </w:rPr>
        <w:t xml:space="preserve">أحدهما وجوديا والآخر عدميّا فلا يتّجه ذلك أصلا ؛ إذ قضية الأصل إذن </w:t>
      </w:r>
      <w:r>
        <w:rPr>
          <w:rStyle w:val="FootnoteAnchor"/>
          <w:rtl w:val="true"/>
        </w:rPr>
        <w:footnoteReference w:id="857"/>
      </w:r>
      <w:r>
        <w:rPr>
          <w:rFonts w:ascii="Amiri" w:hAnsi="Amiri" w:eastAsia="Amiri" w:cs="Amiri"/>
          <w:color w:val="111111"/>
          <w:sz w:val="28"/>
          <w:sz w:val="28"/>
          <w:szCs w:val="28"/>
          <w:rtl w:val="true"/>
          <w:lang w:bidi="ar-SA"/>
        </w:rPr>
        <w:t>ثبوت ما يوافقه ، فيتعين العمل بمقتضاه كما هو الشأن في نظائر المقام ، فالصواب في الجواب هو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الإشكال في المقام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الأصل وكذا العموم إنّما يتمّ إذا كان الماء المفروض منفصلا من الكثير وما بحكمه ، وأمّا إذا كان محكوما بقلّته أوّلا ثمّ زيد عليه ما جعله ألفا ومأتين بالعراقية ، فلا يجري فيه ذلك ، بل الأمر فيها بالعكس ؛ إذ </w:t>
      </w:r>
      <w:r>
        <w:rPr>
          <w:rStyle w:val="FootnoteAnchor"/>
          <w:rtl w:val="true"/>
        </w:rPr>
        <w:footnoteReference w:id="858"/>
      </w:r>
      <w:r>
        <w:rPr>
          <w:rFonts w:ascii="Amiri" w:hAnsi="Amiri" w:eastAsia="Amiri" w:cs="Amiri"/>
          <w:color w:val="111111"/>
          <w:sz w:val="28"/>
          <w:sz w:val="28"/>
          <w:szCs w:val="28"/>
          <w:rtl w:val="true"/>
          <w:lang w:bidi="ar-SA"/>
        </w:rPr>
        <w:t>كان الماء قبل البلوغ إلى ذلك محكوما بانفعاله فمع الشكّ في زواله يبنى على أصالة بقائه ، ويكون ذلك حاكما على الأصل والعموم المذكور لكونه دليلا شرعيّا على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إنّما يتمّ بالنسبة إلى اعتصام الماء ، وأمّا تطهيره لما يلاقيه على نحو الكرّ بناء على الفرق بين الكرّ وغيره في ذلك فلا ؛ لأصالة بقاء الملاقي الوارد عليه على نجاسته ، فقضية الأصل البناء على كلّ من الأصلين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تطهير الماء لورود النجاسة عليه مشروط بالكرّية على القول المذكور ، ولا دليل على حصول الكرّية في المقام عليها شرعا ، والشكّ في </w:t>
      </w:r>
      <w:r>
        <w:rPr>
          <w:rStyle w:val="FootnoteAnchor"/>
          <w:rtl w:val="true"/>
        </w:rPr>
        <w:footnoteReference w:id="859"/>
      </w:r>
      <w:r>
        <w:rPr>
          <w:rFonts w:ascii="Amiri" w:hAnsi="Amiri" w:eastAsia="Amiri" w:cs="Amiri"/>
          <w:color w:val="111111"/>
          <w:sz w:val="28"/>
          <w:sz w:val="28"/>
          <w:szCs w:val="28"/>
          <w:rtl w:val="true"/>
          <w:lang w:bidi="ar-SA"/>
        </w:rPr>
        <w:t>الشرط يوجب الشكّ في المشروط فلا يحكم به إلّا بعد قيام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الأوّل بأنّه لا مقتضى </w:t>
      </w:r>
      <w:r>
        <w:rPr>
          <w:rStyle w:val="FootnoteAnchor"/>
          <w:rtl w:val="true"/>
        </w:rPr>
        <w:footnoteReference w:id="860"/>
      </w:r>
      <w:r>
        <w:rPr>
          <w:rFonts w:ascii="Amiri" w:hAnsi="Amiri" w:eastAsia="Amiri" w:cs="Amiri"/>
          <w:color w:val="111111"/>
          <w:sz w:val="28"/>
          <w:sz w:val="28"/>
          <w:szCs w:val="28"/>
          <w:rtl w:val="true"/>
          <w:lang w:bidi="ar-SA"/>
        </w:rPr>
        <w:t>لاستصحاب الانفعال في المقام مع عدم جريان استصحاب القلّة كما عرفت ، فإنّه إذا لم يقم دليل شرعيّ على القلّة ولو من جهة الأصل لم يتّجه الحكم بالانفعال ؛ إذ هو مخالف للأصل والعموم ، فيقتصر فيه على مورد اليقين وغاية ما يثبت الحكم بانفعاله قبل الإكمال المفروض</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بعده فاستصحاب عدم الانفعال قائم فيه ؛ إذ قضية الأصل والعموم عدمه إلّا فيما </w:t>
      </w:r>
    </w:p>
    <w:p>
      <w:pPr>
        <w:pStyle w:val="BookText"/>
        <w:rPr/>
      </w:pPr>
      <w:r>
        <w:rPr>
          <w:rFonts w:ascii="Amiri" w:hAnsi="Amiri" w:eastAsia="Amiri" w:cs="Amiri"/>
          <w:color w:val="111111"/>
          <w:sz w:val="28"/>
          <w:sz w:val="28"/>
          <w:szCs w:val="28"/>
          <w:rtl w:val="true"/>
          <w:lang w:bidi="ar-SA"/>
        </w:rPr>
        <w:t>يثبت خلافه والمفروض ثبوته قبل طروّ تلك الحالة لو لاقته 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طروّ النجاسة عليه حينئذ و </w:t>
      </w:r>
      <w:r>
        <w:rPr>
          <w:rStyle w:val="FootnoteAnchor"/>
          <w:rtl w:val="true"/>
        </w:rPr>
        <w:footnoteReference w:id="861"/>
      </w:r>
      <w:r>
        <w:rPr>
          <w:rFonts w:ascii="Amiri" w:hAnsi="Amiri" w:eastAsia="Amiri" w:cs="Amiri"/>
          <w:color w:val="111111"/>
          <w:sz w:val="28"/>
          <w:sz w:val="28"/>
          <w:szCs w:val="28"/>
          <w:rtl w:val="true"/>
          <w:lang w:bidi="ar-SA"/>
        </w:rPr>
        <w:t>وصوله إلى المقدار المذكور فقضية ما قلناه بقاء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واستصحاب قبول الانفعال غير متّجه بل الأمر بالعكس ؛ لقضاء الأصل والعموم بعدمه إلّا فيما دلّ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دلّ عليه هو ما قبل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بعده فقضيّة الاستصحاب والعموم المذكور </w:t>
      </w:r>
      <w:r>
        <w:rPr>
          <w:rStyle w:val="FootnoteAnchor"/>
          <w:rtl w:val="true"/>
        </w:rPr>
        <w:footnoteReference w:id="862"/>
      </w:r>
      <w:r>
        <w:rPr>
          <w:rFonts w:ascii="Amiri" w:hAnsi="Amiri" w:eastAsia="Amiri" w:cs="Amiri"/>
          <w:color w:val="111111"/>
          <w:sz w:val="28"/>
          <w:sz w:val="28"/>
          <w:szCs w:val="28"/>
          <w:rtl w:val="true"/>
          <w:lang w:bidi="ar-SA"/>
        </w:rPr>
        <w:t>البقاء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بأصالة الانفعال بالملاقاة هو عكس ما اقتضاه الدليل من الأصل والعموم من البناء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تفرّع الانفعال على صفة ثابتة في الأول وأمكن استصحابها تفرّع عليها الحكم بالانفعال ، وهو غير جار في محلّ الكلام ؛ لما عرفت من عدم جريان استصحاب القلّة في المقام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بأنّ الماء المفروض بعد ورود النجاسة عليه محكوما بطهارته شرعا ، فيكون مطهّرا ؛ إذا المانع من طهوريّة القليل على القول باعتبار الورود فيه انفعاله لملاقاة النجاسة ، فلا يطهر ما يلاقيه ؛ إذ غاية ما يثبت من الأدلّة طهوريّة الوارد دون المورود ، 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طهوريّة الماء كافية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بعدم الفرق بين الورودين في ذلك فالأمر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بقاء الطهارة نظرا إلى الأصل لا يقضي بتطهيره لما يلاقيه على أي وجه كان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قضيّة بقاء الطهارة بالأصل تطهيره لما يلاقيه في الجملة لما </w:t>
      </w:r>
      <w:r>
        <w:rPr>
          <w:rStyle w:val="FootnoteAnchor"/>
          <w:rtl w:val="true"/>
        </w:rPr>
        <w:footnoteReference w:id="863"/>
      </w:r>
      <w:r>
        <w:rPr>
          <w:rFonts w:ascii="Amiri" w:hAnsi="Amiri" w:eastAsia="Amiri" w:cs="Amiri"/>
          <w:color w:val="111111"/>
          <w:sz w:val="28"/>
          <w:sz w:val="28"/>
          <w:szCs w:val="28"/>
          <w:rtl w:val="true"/>
          <w:lang w:bidi="ar-SA"/>
        </w:rPr>
        <w:t>هو معلوم من أن تطهير النجس مع وروده على الماء مشروطا ببلوغه حدّ الكرّ ، فكيف يمكن الحكم بحصول الطهارة في المقام مع الشكّ في حصول الشرط ، فغاية الأمر حينئذ هو الحكم ببقاء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طهوريّته على النحو المذكور بعد البناء على الاشتراط المفروض مع الشكّ في حصوله فممّا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ورود الماء المفروض بعد ملاقاة النجاسة عليها قضت أصالة البقاء على الطهارة بطهوريّتها حسب ما ذكر ، ولا يعارضه استصحاب النجاسة في الآخر ؛ لما هو معلوم من أن الحكم باستمراره مغيّى بالعلم بالمزيل بحسب الشرع ، وقد علم ذلك من تطهيره بما علمت طهارته بحكم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صحّ تعارض الاستصحابين في المقام لما جاز التطهير بشي‌ء من المياه الّتي يثبت فيها الطهارة بالاستصحاب ، وهو خلاف إجماع المسلمين بل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أنّ قضية الأصل في المقام جريان حكم </w:t>
      </w:r>
      <w:r>
        <w:rPr>
          <w:rStyle w:val="FootnoteAnchor"/>
          <w:rtl w:val="true"/>
        </w:rPr>
        <w:footnoteReference w:id="864"/>
      </w:r>
      <w:r>
        <w:rPr>
          <w:rFonts w:ascii="Amiri" w:hAnsi="Amiri" w:eastAsia="Amiri" w:cs="Amiri"/>
          <w:color w:val="111111"/>
          <w:sz w:val="28"/>
          <w:sz w:val="28"/>
          <w:szCs w:val="28"/>
          <w:rtl w:val="true"/>
          <w:lang w:bidi="ar-SA"/>
        </w:rPr>
        <w:t xml:space="preserve">الكرّ في الماء المفروض بالنسبة إلى الاعتصام عن الانفعال وجريان حكم القليل فيه بالنسبة إلى كيفية التطهير ، لكن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الحكم بطهوريّة الماء المفروض لا بدّ من الحكم بتطهيره لما يلاقيه ، ولو على الوجه المفروض ؛ لصدق اسم الغسل بالماء الطاهر ، وإنّما لا </w:t>
      </w:r>
      <w:r>
        <w:rPr>
          <w:rStyle w:val="FootnoteAnchor"/>
          <w:rtl w:val="true"/>
        </w:rPr>
        <w:footnoteReference w:id="865"/>
      </w:r>
      <w:r>
        <w:rPr>
          <w:rFonts w:ascii="Amiri" w:hAnsi="Amiri" w:eastAsia="Amiri" w:cs="Amiri"/>
          <w:color w:val="111111"/>
          <w:sz w:val="28"/>
          <w:sz w:val="28"/>
          <w:szCs w:val="28"/>
          <w:rtl w:val="true"/>
          <w:lang w:bidi="ar-SA"/>
        </w:rPr>
        <w:t>يطهر بالورود عليه بناء على القول المذكور من جهة انفعال القليل بالملاقاة فيتنجّس به الماء من دون أن يقتضي بالتطهير ، ومع عدم انفعاله في ظاهر الشرع لا وجه لعدم الحكم مع القلّة بطهوريته على الوجه المذكور ، فالأظهر قضاء الأصل في المقامين بالطهارة والطهوريّة ، وهو مفاد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المتقدمة </w:t>
      </w:r>
      <w:r>
        <w:rPr>
          <w:rStyle w:val="FootnoteAnchor"/>
          <w:rtl w:val="true"/>
        </w:rPr>
        <w:footnoteReference w:id="866"/>
      </w:r>
      <w:r>
        <w:rPr>
          <w:rFonts w:ascii="Amiri" w:hAnsi="Amiri" w:eastAsia="Amiri" w:cs="Amiri"/>
          <w:color w:val="111111"/>
          <w:sz w:val="28"/>
          <w:sz w:val="28"/>
          <w:szCs w:val="28"/>
          <w:rtl w:val="true"/>
          <w:lang w:bidi="ar-SA"/>
        </w:rPr>
        <w:t>الّتي هي الأصل في المسألة محمولة على الأرطال العراقية تقديما لعرف الراوي على 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كانت مرسلة إلّا أنّ الظاهر كون الراوي عراقيا ؛ إذ غالب الرواة من أهل العراق ، والمرسل هو ابن أبي عمير ، وعمدة مشايخه من العراقيين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المستفاد من غير واحد من الأخبار اشتهار الأرطال العراقيّة في ذلك </w:t>
      </w:r>
    </w:p>
    <w:p>
      <w:pPr>
        <w:pStyle w:val="BookText"/>
        <w:rPr/>
      </w:pPr>
      <w:r>
        <w:rPr>
          <w:rFonts w:ascii="Amiri" w:hAnsi="Amiri" w:eastAsia="Amiri" w:cs="Amiri"/>
          <w:color w:val="111111"/>
          <w:sz w:val="28"/>
          <w:sz w:val="28"/>
          <w:szCs w:val="28"/>
          <w:rtl w:val="true"/>
          <w:lang w:bidi="ar-SA"/>
        </w:rPr>
        <w:t xml:space="preserve">العصر ، فربّما ينصرف الإطلاق إليها ، فقد ورد في بعض الأخبار تفسير الأرطال المطلقة بأرطال مكيال العراق وفسّر الصاع في بعض الروايات بتسعة أرطال ، ويراد </w:t>
      </w:r>
      <w:r>
        <w:rPr>
          <w:rStyle w:val="FootnoteAnchor"/>
          <w:rtl w:val="true"/>
        </w:rPr>
        <w:footnoteReference w:id="867"/>
      </w:r>
      <w:r>
        <w:rPr>
          <w:rFonts w:ascii="Amiri" w:hAnsi="Amiri" w:eastAsia="Amiri" w:cs="Amiri"/>
          <w:color w:val="111111"/>
          <w:sz w:val="28"/>
          <w:sz w:val="28"/>
          <w:szCs w:val="28"/>
          <w:rtl w:val="true"/>
          <w:lang w:bidi="ar-SA"/>
        </w:rPr>
        <w:t>به العراقي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فهم معظم الأصحاب منه ذلك واشتهار الحكم به بينهم ، فإنّ القول بإرادة المدني فيها لم يظهر إلّا من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 من تأخّر </w:t>
      </w:r>
      <w:r>
        <w:rPr>
          <w:rStyle w:val="FootnoteAnchor"/>
          <w:rtl w:val="true"/>
        </w:rPr>
        <w:footnoteReference w:id="868"/>
      </w:r>
      <w:r>
        <w:rPr>
          <w:rFonts w:ascii="Amiri" w:hAnsi="Amiri" w:eastAsia="Amiri" w:cs="Amiri"/>
          <w:color w:val="111111"/>
          <w:sz w:val="28"/>
          <w:sz w:val="28"/>
          <w:szCs w:val="28"/>
          <w:rtl w:val="true"/>
          <w:lang w:bidi="ar-SA"/>
        </w:rPr>
        <w:t>عنهم هو العراقيّة بلا خلاف يعرف بينهم سوى بعض متأخري المتأخرين كما أشرنا إليه لوجه ضعيف سنشير إليه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صحيحة محمّد بن مسلم من أنّ الكرّ ستمائة رطل </w:t>
      </w:r>
      <w:r>
        <w:rPr>
          <w:rStyle w:val="FootnoteAnchor"/>
          <w:rtl w:val="true"/>
        </w:rPr>
        <w:footnoteReference w:id="869"/>
      </w:r>
      <w:r>
        <w:rPr>
          <w:rFonts w:ascii="Amiri" w:hAnsi="Amiri" w:eastAsia="Amiri" w:cs="Amiri"/>
          <w:color w:val="111111"/>
          <w:sz w:val="28"/>
          <w:sz w:val="28"/>
          <w:szCs w:val="28"/>
          <w:rtl w:val="true"/>
          <w:lang w:bidi="ar-SA"/>
        </w:rPr>
        <w:t>بحمل الرطل فيها على المكّي الّذي هو ضعف العراقي لكون الراوي لها من حوالي مكّة ولعدم ظهور القائل به من الأصحاب لو لا حملها عليه وإلا لزم طرحها ، وللجمع بينها وبين الرواية المتقدّمة فيكشف كلّ منهما عمّا هو المراد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يشهد له أنه قد روى ابن أبي عمير أيضا بطريق فيه إرسال عن الصادق عليه‌السلام إنّ الكرّ ستمائة رطل </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الوجه المذكور للجمع بين روايته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احتمل بعضهم اتحاد الروايتين بل يحتمل اتحاد الروايات الثلاث على أن يكون روايته الثانية هو رواية محمّد بن مسلم ويكون ما في روايته الأولى نقلا لذلك بالمعنى على حسب ما هو المتعارف بينهم في الأرطال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الآخر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الرطل في الحديث المتقدّم على الرطل المدني ؛ ترجيحا لعرف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في الانتصار ورود روايات به وقيام إجماع الفرقة عليه حيث قال بعد ذكر تحديده بألف ومأتي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المدني </w:t>
      </w:r>
      <w:r>
        <w:rPr>
          <w:rStyle w:val="FootnoteAnchor"/>
          <w:rtl w:val="true"/>
        </w:rPr>
        <w:footnoteReference w:id="872"/>
      </w:r>
      <w:r>
        <w:rPr>
          <w:rFonts w:ascii="Amiri" w:hAnsi="Amiri" w:eastAsia="Amiri" w:cs="Amiri"/>
          <w:color w:val="111111"/>
          <w:sz w:val="28"/>
          <w:sz w:val="28"/>
          <w:szCs w:val="28"/>
          <w:rtl w:val="true"/>
          <w:lang w:bidi="ar-SA"/>
        </w:rPr>
        <w:t xml:space="preserve">في مقابلة تحديد </w:t>
      </w:r>
      <w:r>
        <w:rPr>
          <w:rStyle w:val="FootnoteAnchor"/>
          <w:rtl w:val="true"/>
        </w:rPr>
        <w:footnoteReference w:id="873"/>
      </w:r>
      <w:r>
        <w:rPr>
          <w:rFonts w:ascii="Amiri" w:hAnsi="Amiri" w:eastAsia="Amiri" w:cs="Amiri"/>
          <w:color w:val="111111"/>
          <w:sz w:val="28"/>
          <w:sz w:val="28"/>
          <w:szCs w:val="28"/>
          <w:rtl w:val="true"/>
          <w:lang w:bidi="ar-SA"/>
        </w:rPr>
        <w:t xml:space="preserve">ابن حيّ بثلاثة آلاف رطل ، إن تحديدنا بالأرطال التي ذكرناها أولى من تحديد ابن حيّ </w:t>
      </w:r>
      <w:r>
        <w:rPr>
          <w:rStyle w:val="FootnoteAnchor"/>
          <w:rtl w:val="true"/>
        </w:rPr>
        <w:footnoteReference w:id="874"/>
      </w:r>
      <w:r>
        <w:rPr>
          <w:rFonts w:ascii="Amiri" w:hAnsi="Amiri" w:eastAsia="Amiri" w:cs="Amiri"/>
          <w:color w:val="111111"/>
          <w:sz w:val="28"/>
          <w:sz w:val="28"/>
          <w:szCs w:val="28"/>
          <w:rtl w:val="true"/>
          <w:lang w:bidi="ar-SA"/>
        </w:rPr>
        <w:t xml:space="preserve">؛ لأنّا عوّلنا في ذلك على آثار معروفة مرويّة ، وإجماع الفرقة قد دلّ الدليل على أنّ فيهم الحجّة وابن </w:t>
      </w:r>
      <w:r>
        <w:rPr>
          <w:rStyle w:val="FootnoteAnchor"/>
          <w:rtl w:val="true"/>
        </w:rPr>
        <w:footnoteReference w:id="875"/>
      </w:r>
      <w:r>
        <w:rPr>
          <w:rFonts w:ascii="Amiri" w:hAnsi="Amiri" w:eastAsia="Amiri" w:cs="Amiri"/>
          <w:color w:val="111111"/>
          <w:sz w:val="28"/>
          <w:sz w:val="28"/>
          <w:szCs w:val="28"/>
          <w:rtl w:val="true"/>
          <w:lang w:bidi="ar-SA"/>
        </w:rPr>
        <w:t xml:space="preserve">حي لا يدرى كيف حدّده بثلاثة آلاف رطل وعلى ما ذا اعتمد </w:t>
      </w:r>
      <w:r>
        <w:rPr>
          <w:rStyle w:val="FootnoteAnchor"/>
          <w:rtl w:val="true"/>
        </w:rPr>
        <w:footnoteReference w:id="8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ودفع الأوّل ظاهر ممّا </w:t>
      </w:r>
      <w:r>
        <w:rPr>
          <w:rStyle w:val="FootnoteAnchor"/>
          <w:rtl w:val="true"/>
        </w:rPr>
        <w:footnoteReference w:id="877"/>
      </w:r>
      <w:r>
        <w:rPr>
          <w:rFonts w:ascii="Amiri" w:hAnsi="Amiri" w:eastAsia="Amiri" w:cs="Amiri"/>
          <w:color w:val="111111"/>
          <w:sz w:val="28"/>
          <w:sz w:val="28"/>
          <w:szCs w:val="28"/>
          <w:rtl w:val="true"/>
          <w:lang w:bidi="ar-SA"/>
        </w:rPr>
        <w:t>قرّرنا ، فلا حاجة إلى إعادته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يقوم حجّة شرعيّة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الحدائق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التحقيق في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الواردة في الكرّ القائلة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كرّا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بمنطوقها </w:t>
      </w:r>
      <w:r>
        <w:rPr>
          <w:rStyle w:val="FootnoteAnchor"/>
          <w:rtl w:val="true"/>
        </w:rPr>
        <w:footnoteReference w:id="879"/>
      </w:r>
      <w:r>
        <w:rPr>
          <w:rFonts w:ascii="Amiri" w:hAnsi="Amiri" w:eastAsia="Amiri" w:cs="Amiri"/>
          <w:color w:val="111111"/>
          <w:sz w:val="28"/>
          <w:sz w:val="28"/>
          <w:szCs w:val="28"/>
          <w:rtl w:val="true"/>
          <w:lang w:bidi="ar-SA"/>
        </w:rPr>
        <w:t xml:space="preserve">على أنّه مع العلم ببلوغ الكرّية لا ينجسه شي‌ء ، وبمفهومها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صريحة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 العلم بعدم بلوغه كرا ينجس بالملاقاة تعلّق الحكم بنجاسة ذلك الماء على العلم ببلوغه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هذين التعليقين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الاخبار الدالّة على وجوب التوقّف ، التوقّف عن الحكمين والوقوف على جادة الاحتياط في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ليس بدليل شرعيّ ، على إطلاقه ممنوع ؛ لما عرفت في المقدمة الرابعة من أن الاحتياط في مثل هذه الصورة من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ما ذكره من وجوب الاحتياط في المقام فاسد ، بل مقتضى الأصل والعموم هو المتّبع حتى يقوم دليل على تنجسه بملاقاة النجاسة حسبما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أخذ العلم في المنطوق والمفهوم غير متّجه في المقام لإناطة الحكم في الرواية بالواقع دون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الحاشية في وجه التّقييد به أنّ مناط الحكم بالطهارة والنجاسة هو علم المكلّف به لا مجرّد كونه كذلك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وأحال ذلك إلى ما قرّرنا في مقدّمات الكتاب من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ما أنيط به الحكم المذكور هو العلم الشرعيّ سيّما بالنسبة إلى ما نحن فيه حيث إنّ الكلام في ثبوت الحكم الشرعي دون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العلم القطعي غير معتبر في المقام وإلّا لما اكتفى في الحكم بتنجّس الماء بملاقاة ما دلّ الدليل الشرعي على نجاسة من النجاسات العينيّة أو المتنجسات إذا لم يفد العلم القطعي بنجاسة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 عنده قطعا بل الظاهر أنّه لا خلاف فيه أصلا فكذا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قضاء الأصل والعمومات بطهارة الماء المفروض بعد ملاقاة النجاسة ، فيكون كرّا ؛ إذ ليس المراد به إلّا ما يقتضي عصمة الماء من الانفعال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قضيّة ما ذكره أخذ العلم في مفهوم النجاسة دون الطهارة ، فلا وجه لاعتبار التقييد المذكور في جانب الطهارة أيضا ؛ فإنّ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علم نجاسته ، والطاهر ما لم </w:t>
      </w:r>
      <w:r>
        <w:rPr>
          <w:rStyle w:val="FootnoteAnchor"/>
          <w:rtl w:val="true"/>
        </w:rPr>
        <w:footnoteReference w:id="880"/>
      </w:r>
      <w:r>
        <w:rPr>
          <w:rFonts w:ascii="Amiri" w:hAnsi="Amiri" w:eastAsia="Amiri" w:cs="Amiri"/>
          <w:color w:val="111111"/>
          <w:sz w:val="28"/>
          <w:sz w:val="28"/>
          <w:szCs w:val="28"/>
          <w:rtl w:val="true"/>
          <w:lang w:bidi="ar-SA"/>
        </w:rPr>
        <w:t>يعلم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الحكم بالطهارة في المقام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يستفاد من كلام السيّد </w:t>
      </w:r>
      <w:r>
        <w:rPr>
          <w:rStyle w:val="FootnoteAnchor"/>
          <w:rtl w:val="true"/>
        </w:rPr>
        <w:footnoteReference w:id="881"/>
      </w:r>
      <w:r>
        <w:rPr>
          <w:rFonts w:ascii="Amiri" w:hAnsi="Amiri" w:eastAsia="Amiri" w:cs="Amiri"/>
          <w:color w:val="111111"/>
          <w:sz w:val="28"/>
          <w:sz w:val="28"/>
          <w:szCs w:val="28"/>
          <w:rtl w:val="true"/>
          <w:lang w:bidi="ar-SA"/>
        </w:rPr>
        <w:t xml:space="preserve">من دلالة الروايات عليه فممّا لا نقف </w:t>
      </w:r>
      <w:r>
        <w:rPr>
          <w:rStyle w:val="FootnoteAnchor"/>
          <w:rtl w:val="true"/>
        </w:rPr>
        <w:footnoteReference w:id="882"/>
      </w:r>
      <w:r>
        <w:rPr>
          <w:rFonts w:ascii="Amiri" w:hAnsi="Amiri" w:eastAsia="Amiri" w:cs="Amiri"/>
          <w:color w:val="111111"/>
          <w:sz w:val="28"/>
          <w:sz w:val="28"/>
          <w:szCs w:val="28"/>
          <w:rtl w:val="true"/>
          <w:lang w:bidi="ar-SA"/>
        </w:rPr>
        <w:t xml:space="preserve">عليه في الروايات </w:t>
      </w:r>
    </w:p>
    <w:p>
      <w:pPr>
        <w:pStyle w:val="BookText"/>
        <w:rPr/>
      </w:pPr>
      <w:r>
        <w:rPr>
          <w:rFonts w:ascii="Amiri" w:hAnsi="Amiri" w:eastAsia="Amiri" w:cs="Amiri"/>
          <w:color w:val="111111"/>
          <w:sz w:val="28"/>
          <w:sz w:val="28"/>
          <w:szCs w:val="28"/>
          <w:rtl w:val="true"/>
          <w:lang w:bidi="ar-SA"/>
        </w:rPr>
        <w:t>الواصلة إلينا ، ولا أشار إليه أحد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حمل اللفظ على عرف المتكلّم فيرجع إلى الوجه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ادّعاه من الإجماع </w:t>
      </w:r>
      <w:r>
        <w:rPr>
          <w:rStyle w:val="FootnoteAnchor"/>
          <w:rtl w:val="true"/>
        </w:rPr>
        <w:footnoteReference w:id="883"/>
      </w:r>
      <w:r>
        <w:rPr>
          <w:rFonts w:ascii="Amiri" w:hAnsi="Amiri" w:eastAsia="Amiri" w:cs="Amiri"/>
          <w:color w:val="111111"/>
          <w:sz w:val="28"/>
          <w:sz w:val="28"/>
          <w:szCs w:val="28"/>
          <w:rtl w:val="true"/>
          <w:lang w:bidi="ar-SA"/>
        </w:rPr>
        <w:t>على فرض صرفه إلى الخصوصيّة المذكورة أيضا دون أصل المقدار في مقابلة ما ذكره ابن حي ، موهون بمصير المعظم على خلافه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واعلم أنّ المشهور في مقدار الرطل أنّه مائة وثلاثون درهما فيكون بالمثاقيل الشرعيّة أحدا وتسعين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العلامة رحمه‌اللّه في بحث نصاب الغلات من التحرير والمنتهى أنّه مائة وثمانية وعشرون درهما وأربعة أسباع درهم ، فيكون تسعين مثقالا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محكيّ عن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الحاوي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الشهرة العظيمة المعلومة من مذهب الأصحاب ، والمنقولة في كلام جماعة بل لا يعرف مخالف فيه سوى العلامة رحمه‌اللّه في خصوص ما ذكر من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للمشهور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Style w:val="FootnoteAnchor"/>
          <w:rtl w:val="true"/>
        </w:rPr>
        <w:footnoteReference w:id="884"/>
      </w:r>
      <w:r>
        <w:rPr>
          <w:rFonts w:ascii="Amiri" w:hAnsi="Amiri" w:eastAsia="Amiri" w:cs="Amiri"/>
          <w:color w:val="111111"/>
          <w:sz w:val="28"/>
          <w:sz w:val="28"/>
          <w:szCs w:val="28"/>
          <w:rtl w:val="true"/>
          <w:lang w:bidi="ar-SA"/>
        </w:rPr>
        <w:t xml:space="preserve">مثل هذه المسألة يكتفى فيه بمطلق المظنّة </w:t>
      </w:r>
      <w:r>
        <w:rPr>
          <w:rStyle w:val="FootnoteAnchor"/>
          <w:rtl w:val="true"/>
        </w:rPr>
        <w:footnoteReference w:id="885"/>
      </w:r>
      <w:r>
        <w:rPr>
          <w:rFonts w:ascii="Amiri" w:hAnsi="Amiri" w:eastAsia="Amiri" w:cs="Amiri"/>
          <w:color w:val="111111"/>
          <w:sz w:val="28"/>
          <w:sz w:val="28"/>
          <w:szCs w:val="28"/>
          <w:rtl w:val="true"/>
          <w:lang w:bidi="ar-SA"/>
        </w:rPr>
        <w:t>فإنّها من قبيل الموضوعات اللفظيّة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الاحتجاج عليه أيضا بما رواه الشيخان رحمهما‌اللّه في الكافي والتهذيب عن جعفر بن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عليه‌السلام على يدي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اختلفوا في الصّاع ، بعضهم يقولون الفطرة </w:t>
      </w:r>
      <w:r>
        <w:rPr>
          <w:rStyle w:val="FootnoteAnchor"/>
          <w:rtl w:val="true"/>
        </w:rPr>
        <w:footnoteReference w:id="886"/>
      </w:r>
      <w:r>
        <w:rPr>
          <w:rFonts w:ascii="Amiri" w:hAnsi="Amiri" w:eastAsia="Amiri" w:cs="Amiri"/>
          <w:color w:val="111111"/>
          <w:sz w:val="28"/>
          <w:sz w:val="28"/>
          <w:szCs w:val="28"/>
          <w:rtl w:val="true"/>
          <w:lang w:bidi="ar-SA"/>
        </w:rPr>
        <w:t xml:space="preserve">بصاع المدني وبعضهم يقولون بصاع العراقي ،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الصاع ستة أرطال بالمدني وتسعة أرطال بالعراقي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أنّه يكون بالوزن ألفا ومائة وسبعين وزنة ، فيكون كلّ رطل بالعراقي مائة وثلاثين وزنة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أنّه يريد بالوزنة مقدار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ونشير إليه أنّه روى الصدوق رحمه‌اللّه هذا الخبر بعينه في العيون </w:t>
      </w:r>
      <w:r>
        <w:rPr>
          <w:rStyle w:val="FootnoteAnchor"/>
          <w:rtl w:val="true"/>
        </w:rPr>
        <w:footnoteReference w:id="888"/>
      </w:r>
      <w:r>
        <w:rPr>
          <w:rFonts w:ascii="Amiri" w:hAnsi="Amiri" w:eastAsia="Amiri" w:cs="Amiri"/>
          <w:color w:val="111111"/>
          <w:sz w:val="28"/>
          <w:sz w:val="28"/>
          <w:szCs w:val="28"/>
          <w:rtl w:val="true"/>
          <w:lang w:bidi="ar-SA"/>
        </w:rPr>
        <w:t>وذكر الدرهم بدل الوزنة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التتمة يحتمل أن يكون من المكاتبة </w:t>
      </w:r>
      <w:r>
        <w:rPr>
          <w:rStyle w:val="FootnoteAnchor"/>
          <w:rtl w:val="true"/>
        </w:rPr>
        <w:footnoteReference w:id="889"/>
      </w:r>
      <w:r>
        <w:rPr>
          <w:rFonts w:ascii="IRNazanin" w:hAnsi="IRNazanin" w:eastAsia="IRNazanin"/>
          <w:color w:val="111111"/>
          <w:sz w:val="28"/>
          <w:sz w:val="28"/>
          <w:szCs w:val="28"/>
          <w:rtl w:val="true"/>
          <w:lang w:bidi="fa-IR"/>
        </w:rPr>
        <w:t xml:space="preserve">بحمل الإخبار على </w:t>
      </w:r>
      <w:r>
        <w:rPr>
          <w:rStyle w:val="FootnoteAnchor"/>
          <w:rtl w:val="true"/>
        </w:rPr>
        <w:footnoteReference w:id="890"/>
      </w:r>
      <w:r>
        <w:rPr>
          <w:rFonts w:ascii="Amiri" w:hAnsi="Amiri" w:eastAsia="Amiri" w:cs="Amiri"/>
          <w:color w:val="111111"/>
          <w:sz w:val="28"/>
          <w:sz w:val="28"/>
          <w:szCs w:val="28"/>
          <w:rtl w:val="true"/>
          <w:lang w:bidi="ar-SA"/>
        </w:rPr>
        <w:t>الإخبار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من كلام الإمام عليه‌السلام بإخباره إيّاه بلا واسطة أو بإخبار أبيه عنه حيث إنّه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من كلام جعفر ، فيكون الإخبار منه لمن روى عنه ، وعلى الأخير </w:t>
      </w:r>
      <w:r>
        <w:rPr>
          <w:rStyle w:val="FootnoteAnchor"/>
          <w:rtl w:val="true"/>
        </w:rPr>
        <w:footnoteReference w:id="891"/>
      </w:r>
      <w:r>
        <w:rPr>
          <w:rFonts w:ascii="Amiri" w:hAnsi="Amiri" w:eastAsia="Amiri" w:cs="Amiri"/>
          <w:color w:val="111111"/>
          <w:sz w:val="28"/>
          <w:sz w:val="28"/>
          <w:szCs w:val="28"/>
          <w:rtl w:val="true"/>
          <w:lang w:bidi="ar-SA"/>
        </w:rPr>
        <w:t xml:space="preserve">الآخر لا تكون رواية لكنّه في مقام </w:t>
      </w:r>
      <w:r>
        <w:rPr>
          <w:rStyle w:val="FootnoteAnchor"/>
          <w:rtl w:val="true"/>
        </w:rPr>
        <w:footnoteReference w:id="892"/>
      </w:r>
      <w:r>
        <w:rPr>
          <w:rFonts w:ascii="Amiri" w:hAnsi="Amiri" w:eastAsia="Amiri" w:cs="Amiri"/>
          <w:color w:val="111111"/>
          <w:sz w:val="28"/>
          <w:sz w:val="28"/>
          <w:szCs w:val="28"/>
          <w:rtl w:val="true"/>
          <w:lang w:bidi="ar-SA"/>
        </w:rPr>
        <w:t>لا يبعد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إبراهيم بن محمد الهمداني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w:t>
      </w:r>
      <w:r>
        <w:rPr>
          <w:rStyle w:val="FootnoteAnchor"/>
          <w:rtl w:val="true"/>
        </w:rPr>
        <w:footnoteReference w:id="893"/>
      </w:r>
      <w:r>
        <w:rPr>
          <w:rFonts w:ascii="Amiri" w:hAnsi="Amiri" w:eastAsia="Amiri" w:cs="Amiri"/>
          <w:color w:val="111111"/>
          <w:sz w:val="28"/>
          <w:sz w:val="28"/>
          <w:szCs w:val="28"/>
          <w:rtl w:val="true"/>
          <w:lang w:bidi="ar-SA"/>
        </w:rPr>
        <w:t xml:space="preserve">الرواية في الفطرة ، فكتبت إلى أبي الحسن عليه‌السلام صاحب العسكر أسأله عن ذلك ، فكتب </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صاع من قوت بلدك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تدفعه وزنا ستة أرطال رطل المدينة ، والرطل مائة وخمسة وتسعون درهما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xml:space="preserve">فيكون الرطل العراقي مائة وثلاثين لما دلّ من المستفيضة على </w:t>
      </w:r>
      <w:r>
        <w:rPr>
          <w:rStyle w:val="FootnoteAnchor"/>
          <w:rtl w:val="true"/>
        </w:rPr>
        <w:footnoteReference w:id="896"/>
      </w:r>
      <w:r>
        <w:rPr>
          <w:rFonts w:ascii="Amiri" w:hAnsi="Amiri" w:eastAsia="Amiri" w:cs="Amiri"/>
          <w:color w:val="111111"/>
          <w:sz w:val="28"/>
          <w:sz w:val="28"/>
          <w:szCs w:val="28"/>
          <w:rtl w:val="true"/>
          <w:lang w:bidi="ar-SA"/>
        </w:rPr>
        <w:t>كون العراقي ثلثي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الخبرين المذكورين </w:t>
      </w:r>
      <w:r>
        <w:rPr>
          <w:rStyle w:val="FootnoteAnchor"/>
          <w:rtl w:val="true"/>
        </w:rPr>
        <w:footnoteReference w:id="897"/>
      </w:r>
      <w:r>
        <w:rPr>
          <w:rFonts w:ascii="Amiri" w:hAnsi="Amiri" w:eastAsia="Amiri" w:cs="Amiri"/>
          <w:color w:val="111111"/>
          <w:sz w:val="28"/>
          <w:sz w:val="28"/>
          <w:szCs w:val="28"/>
          <w:rtl w:val="true"/>
          <w:lang w:bidi="ar-SA"/>
        </w:rPr>
        <w:t>من ضعف في الإسناد مجبور بالشهرة العظيمة ، فالقول المذكور من العلامة رحمه‌اللّه ضعيف جدا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كلّ درهم نصف مثقال وخمساه فكلّ عشرة دراهم سبع مثاقيل شرعية ، وكلّ </w:t>
      </w:r>
    </w:p>
    <w:p>
      <w:pPr>
        <w:pStyle w:val="BookText"/>
        <w:rPr/>
      </w:pPr>
      <w:r>
        <w:rPr>
          <w:rFonts w:ascii="Amiri" w:hAnsi="Amiri" w:eastAsia="Amiri" w:cs="Amiri"/>
          <w:color w:val="111111"/>
          <w:sz w:val="28"/>
          <w:sz w:val="28"/>
          <w:szCs w:val="28"/>
          <w:rtl w:val="true"/>
          <w:lang w:bidi="ar-SA"/>
        </w:rPr>
        <w:t xml:space="preserve">مثقال منها زنة </w:t>
      </w:r>
      <w:r>
        <w:rPr>
          <w:rStyle w:val="FootnoteAnchor"/>
          <w:rtl w:val="true"/>
        </w:rPr>
        <w:footnoteReference w:id="898"/>
      </w:r>
      <w:r>
        <w:rPr>
          <w:rFonts w:ascii="Amiri" w:hAnsi="Amiri" w:eastAsia="Amiri" w:cs="Amiri"/>
          <w:color w:val="111111"/>
          <w:sz w:val="28"/>
          <w:sz w:val="28"/>
          <w:szCs w:val="28"/>
          <w:rtl w:val="true"/>
          <w:lang w:bidi="ar-SA"/>
        </w:rPr>
        <w:t>دينار ، والدينار ممّا لم يختلف وزنه عمّا كانت عليه في عهد رسول اللّه صلى‌اللّه‌عليه‌وآله من غير خلاف فيه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اتفاق </w:t>
      </w:r>
      <w:r>
        <w:rPr>
          <w:rStyle w:val="FootnoteAnchor"/>
          <w:rtl w:val="true"/>
        </w:rPr>
        <w:footnoteReference w:id="899"/>
      </w:r>
      <w:r>
        <w:rPr>
          <w:rFonts w:ascii="Amiri" w:hAnsi="Amiri" w:eastAsia="Amiri" w:cs="Amiri"/>
          <w:color w:val="111111"/>
          <w:sz w:val="28"/>
          <w:sz w:val="28"/>
          <w:szCs w:val="28"/>
          <w:rtl w:val="true"/>
          <w:lang w:bidi="ar-SA"/>
        </w:rPr>
        <w:t>الخاصة والعامة عليه ، وهو ثلاثة أرباع المثقال الصير في حسب ما نصّوا عليه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الدرهم فقد اختلف الحال </w:t>
      </w:r>
      <w:r>
        <w:rPr>
          <w:rStyle w:val="FootnoteAnchor"/>
          <w:rtl w:val="true"/>
        </w:rPr>
        <w:footnoteReference w:id="90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901"/>
      </w:r>
      <w:r>
        <w:rPr>
          <w:rFonts w:ascii="Amiri" w:hAnsi="Amiri" w:eastAsia="Amiri" w:cs="Amiri"/>
          <w:color w:val="111111"/>
          <w:sz w:val="28"/>
          <w:sz w:val="28"/>
          <w:szCs w:val="28"/>
          <w:rtl w:val="true"/>
          <w:lang w:bidi="ar-SA"/>
        </w:rPr>
        <w:t xml:space="preserve">ذكر جماعة أنّ الدرهم في صدر الإسلام كان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كان وزنه ثمانية دوانيق ، وهي البقليّة </w:t>
      </w:r>
      <w:r>
        <w:rPr>
          <w:rStyle w:val="FootnoteAnchor"/>
          <w:rtl w:val="true"/>
        </w:rPr>
        <w:footnoteReference w:id="902"/>
      </w:r>
      <w:r>
        <w:rPr>
          <w:rFonts w:ascii="Amiri" w:hAnsi="Amiri" w:eastAsia="Amiri" w:cs="Amiri"/>
          <w:color w:val="111111"/>
          <w:sz w:val="28"/>
          <w:sz w:val="28"/>
          <w:szCs w:val="28"/>
          <w:rtl w:val="true"/>
          <w:lang w:bidi="ar-SA"/>
        </w:rPr>
        <w:t xml:space="preserve">، والآخر نصفه أربع دوانيق ، وهي الطبرية ، فجمعا </w:t>
      </w:r>
      <w:r>
        <w:rPr>
          <w:rStyle w:val="FootnoteAnchor"/>
          <w:rtl w:val="true"/>
        </w:rPr>
        <w:footnoteReference w:id="903"/>
      </w:r>
      <w:r>
        <w:rPr>
          <w:rFonts w:ascii="Amiri" w:hAnsi="Amiri" w:eastAsia="Amiri" w:cs="Amiri"/>
          <w:color w:val="111111"/>
          <w:sz w:val="28"/>
          <w:sz w:val="28"/>
          <w:szCs w:val="28"/>
          <w:rtl w:val="true"/>
          <w:lang w:bidi="ar-SA"/>
        </w:rPr>
        <w:t xml:space="preserve">في الإسلام واخذ </w:t>
      </w:r>
      <w:r>
        <w:rPr>
          <w:rStyle w:val="FootnoteAnchor"/>
          <w:rtl w:val="true"/>
        </w:rPr>
        <w:footnoteReference w:id="904"/>
      </w:r>
      <w:r>
        <w:rPr>
          <w:rFonts w:ascii="Amiri" w:hAnsi="Amiri" w:eastAsia="Amiri" w:cs="Amiri"/>
          <w:color w:val="111111"/>
          <w:sz w:val="28"/>
          <w:sz w:val="28"/>
          <w:szCs w:val="28"/>
          <w:rtl w:val="true"/>
          <w:lang w:bidi="ar-SA"/>
        </w:rPr>
        <w:t>نصف المجموع ، فاستقر أمر الدرهم على ستّة دوانيق ، وهو المقصود في المقام</w:t>
      </w:r>
      <w:r>
        <w:rPr>
          <w:rFonts w:eastAsia="Amiri" w:cs="Amiri" w:ascii="Amiri" w:hAnsi="Amiri"/>
          <w:color w:val="111111"/>
          <w:sz w:val="28"/>
          <w:szCs w:val="28"/>
          <w:rtl w:val="true"/>
          <w:lang w:bidi="ar-SA"/>
        </w:rPr>
        <w:t xml:space="preserve">. </w:t>
      </w:r>
      <w:bookmarkStart w:id="177" w:name="pg15827_173703"/>
    </w:p>
    <w:p>
      <w:pPr>
        <w:pStyle w:val="Heading4"/>
        <w:numPr>
          <w:ilvl w:val="3"/>
          <w:numId w:val="1"/>
        </w:numPr>
        <w:rPr/>
      </w:pPr>
      <w:bookmarkStart w:id="178" w:name="__RefHeading___Toc14099715_2142443653"/>
      <w:bookmarkStart w:id="179" w:name="_Toc64"/>
      <w:bookmarkEnd w:id="177"/>
      <w:bookmarkEnd w:id="178"/>
      <w:r>
        <w:rPr>
          <w:rtl w:val="true"/>
        </w:rPr>
        <w:t>تبصرة</w:t>
      </w:r>
      <w:r>
        <w:rPr>
          <w:rtl w:val="true"/>
        </w:rPr>
        <w:t xml:space="preserve">: [ </w:t>
      </w:r>
      <w:r>
        <w:rPr>
          <w:rtl w:val="true"/>
        </w:rPr>
        <w:t xml:space="preserve">في تقدير الكر بالمساحة </w:t>
      </w:r>
      <w:r>
        <w:rPr>
          <w:rtl w:val="true"/>
        </w:rPr>
        <w:t>]</w:t>
      </w:r>
      <w:bookmarkEnd w:id="179"/>
    </w:p>
    <w:p>
      <w:pPr>
        <w:pStyle w:val="Heading5"/>
        <w:numPr>
          <w:ilvl w:val="4"/>
          <w:numId w:val="1"/>
        </w:numPr>
        <w:rPr/>
      </w:pPr>
      <w:bookmarkStart w:id="180" w:name="__RefHeading___Toc14099717_2142443653"/>
      <w:bookmarkStart w:id="181" w:name="_Toc65"/>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بالمساحة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فيه كلام الأصحاب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الأكثر من تحديده بما يبلغ بمكسّره </w:t>
      </w:r>
      <w:r>
        <w:rPr>
          <w:rStyle w:val="FootnoteAnchor"/>
          <w:rtl w:val="true"/>
        </w:rPr>
        <w:footnoteReference w:id="905"/>
      </w:r>
      <w:r>
        <w:rPr>
          <w:rFonts w:ascii="Amiri" w:hAnsi="Amiri" w:eastAsia="Amiri" w:cs="Amiri"/>
          <w:color w:val="111111"/>
          <w:sz w:val="28"/>
          <w:sz w:val="28"/>
          <w:szCs w:val="28"/>
          <w:rtl w:val="true"/>
          <w:lang w:bidi="ar-SA"/>
        </w:rPr>
        <w:t>اثنين وأربعين شبرا وسبعة أثمان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جماعة من القدماء والمتأخرين منهم الصدوق </w:t>
      </w:r>
      <w:r>
        <w:rPr>
          <w:rStyle w:val="FootnoteAnchor"/>
          <w:rtl w:val="true"/>
        </w:rPr>
        <w:footnoteReference w:id="906"/>
      </w:r>
      <w:r>
        <w:rPr>
          <w:rFonts w:ascii="Amiri" w:hAnsi="Amiri" w:eastAsia="Amiri" w:cs="Amiri"/>
          <w:color w:val="111111"/>
          <w:sz w:val="28"/>
          <w:sz w:val="28"/>
          <w:szCs w:val="28"/>
          <w:rtl w:val="true"/>
          <w:lang w:bidi="ar-SA"/>
        </w:rPr>
        <w:t xml:space="preserve">في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الأمالي رواية كما سيجي‌ء الإشارة إلى كلامه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النهاية </w:t>
      </w:r>
      <w:r>
        <w:rPr>
          <w:rStyle w:val="FootnoteAnchor"/>
          <w:rtl w:val="true"/>
        </w:rPr>
        <w:footnoteReference w:id="907"/>
      </w:r>
      <w:r>
        <w:rPr>
          <w:rFonts w:ascii="IRNazanin" w:hAnsi="IRNazanin" w:eastAsia="IRNazanin"/>
          <w:color w:val="111111"/>
          <w:sz w:val="28"/>
          <w:sz w:val="28"/>
          <w:szCs w:val="28"/>
          <w:rtl w:val="true"/>
          <w:lang w:bidi="fa-IR"/>
        </w:rPr>
        <w:t xml:space="preserve">والمبسوط </w:t>
      </w:r>
      <w:r>
        <w:rPr>
          <w:rStyle w:val="FootnoteAnchor"/>
          <w:rtl w:val="true"/>
        </w:rPr>
        <w:footnoteReference w:id="908"/>
      </w:r>
      <w:r>
        <w:rPr>
          <w:rFonts w:ascii="Amiri" w:hAnsi="Amiri" w:eastAsia="Amiri" w:cs="Amiri"/>
          <w:color w:val="111111"/>
          <w:sz w:val="28"/>
          <w:sz w:val="28"/>
          <w:szCs w:val="28"/>
          <w:rtl w:val="true"/>
          <w:lang w:bidi="ar-SA"/>
        </w:rPr>
        <w:t xml:space="preserve">والطوسي والحلي </w:t>
      </w:r>
      <w:r>
        <w:rPr>
          <w:rStyle w:val="FootnoteAnchor"/>
          <w:rtl w:val="true"/>
        </w:rPr>
        <w:footnoteReference w:id="909"/>
      </w:r>
      <w:r>
        <w:rPr>
          <w:rFonts w:ascii="Amiri" w:hAnsi="Amiri" w:eastAsia="Amiri" w:cs="Amiri"/>
          <w:color w:val="111111"/>
          <w:sz w:val="28"/>
          <w:sz w:val="28"/>
          <w:szCs w:val="28"/>
          <w:rtl w:val="true"/>
          <w:lang w:bidi="ar-SA"/>
        </w:rPr>
        <w:t xml:space="preserve">وابن زهرة </w:t>
      </w:r>
      <w:r>
        <w:rPr>
          <w:rStyle w:val="FootnoteAnchor"/>
          <w:rtl w:val="true"/>
        </w:rPr>
        <w:footnoteReference w:id="910"/>
      </w:r>
      <w:r>
        <w:rPr>
          <w:rFonts w:ascii="Amiri" w:hAnsi="Amiri" w:eastAsia="Amiri" w:cs="Amiri"/>
          <w:color w:val="111111"/>
          <w:sz w:val="28"/>
          <w:sz w:val="28"/>
          <w:szCs w:val="28"/>
          <w:rtl w:val="true"/>
          <w:lang w:bidi="ar-SA"/>
        </w:rPr>
        <w:t xml:space="preserve">والفاضلين والشهيد </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متونه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والسيوري والمحقق الكركي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المعالم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القول به عن السيد </w:t>
      </w:r>
      <w:r>
        <w:rPr>
          <w:rStyle w:val="FootnoteAnchor"/>
          <w:rtl w:val="true"/>
        </w:rPr>
        <w:footnoteReference w:id="913"/>
      </w:r>
      <w:r>
        <w:rPr>
          <w:rFonts w:ascii="Amiri" w:hAnsi="Amiri" w:eastAsia="Amiri" w:cs="Amiri"/>
          <w:color w:val="111111"/>
          <w:sz w:val="28"/>
          <w:sz w:val="28"/>
          <w:szCs w:val="28"/>
          <w:rtl w:val="true"/>
          <w:lang w:bidi="ar-SA"/>
        </w:rPr>
        <w:t xml:space="preserve">والقاضي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915"/>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تصغ إلى من يدعي الإجماع هنا ؛ فإنّه يدّعي </w:t>
      </w:r>
      <w:r>
        <w:rPr>
          <w:rStyle w:val="FootnoteAnchor"/>
          <w:rtl w:val="true"/>
        </w:rPr>
        <w:footnoteReference w:id="917"/>
      </w:r>
      <w:r>
        <w:rPr>
          <w:rFonts w:ascii="Amiri" w:hAnsi="Amiri" w:eastAsia="Amiri" w:cs="Amiri"/>
          <w:color w:val="111111"/>
          <w:sz w:val="28"/>
          <w:sz w:val="28"/>
          <w:szCs w:val="28"/>
          <w:rtl w:val="true"/>
          <w:lang w:bidi="ar-SA"/>
        </w:rPr>
        <w:t>الإجماع في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الشهرة عليه مستفيضة في كلامهم جدّا حكاها الفاضل </w:t>
      </w:r>
      <w:r>
        <w:rPr>
          <w:rStyle w:val="FootnoteAnchor"/>
          <w:rtl w:val="true"/>
        </w:rPr>
        <w:footnoteReference w:id="918"/>
      </w:r>
      <w:r>
        <w:rPr>
          <w:rFonts w:ascii="Amiri" w:hAnsi="Amiri" w:eastAsia="Amiri" w:cs="Amiri"/>
          <w:color w:val="111111"/>
          <w:sz w:val="28"/>
          <w:sz w:val="28"/>
          <w:szCs w:val="28"/>
          <w:rtl w:val="true"/>
          <w:lang w:bidi="ar-SA"/>
        </w:rPr>
        <w:t xml:space="preserve">والشهيدان </w:t>
      </w:r>
      <w:r>
        <w:rPr>
          <w:rStyle w:val="FootnoteAnchor"/>
          <w:rtl w:val="true"/>
        </w:rPr>
        <w:footnoteReference w:id="919"/>
      </w:r>
      <w:r>
        <w:rPr>
          <w:rFonts w:ascii="Amiri" w:hAnsi="Amiri" w:eastAsia="Amiri" w:cs="Amiri"/>
          <w:color w:val="111111"/>
          <w:sz w:val="28"/>
          <w:sz w:val="28"/>
          <w:szCs w:val="28"/>
          <w:rtl w:val="true"/>
          <w:lang w:bidi="ar-SA"/>
        </w:rPr>
        <w:t xml:space="preserve">وأصحاب المدارك </w:t>
      </w:r>
      <w:r>
        <w:rPr>
          <w:rStyle w:val="FootnoteAnchor"/>
          <w:rtl w:val="true"/>
        </w:rPr>
        <w:footnoteReference w:id="920"/>
      </w:r>
      <w:r>
        <w:rPr>
          <w:rFonts w:ascii="Amiri" w:hAnsi="Amiri" w:eastAsia="Amiri" w:cs="Amiri"/>
          <w:color w:val="111111"/>
          <w:sz w:val="28"/>
          <w:sz w:val="28"/>
          <w:szCs w:val="28"/>
          <w:rtl w:val="true"/>
          <w:lang w:bidi="ar-SA"/>
        </w:rPr>
        <w:t xml:space="preserve">والمعالم والذخيرة </w:t>
      </w:r>
      <w:r>
        <w:rPr>
          <w:rStyle w:val="FootnoteAnchor"/>
          <w:rtl w:val="true"/>
        </w:rPr>
        <w:footnoteReference w:id="921"/>
      </w:r>
      <w:r>
        <w:rPr>
          <w:rFonts w:ascii="IRNazanin" w:hAnsi="IRNazanin" w:eastAsia="IRNazanin"/>
          <w:color w:val="111111"/>
          <w:sz w:val="28"/>
          <w:sz w:val="28"/>
          <w:szCs w:val="28"/>
          <w:rtl w:val="true"/>
          <w:lang w:bidi="fa-IR"/>
        </w:rPr>
        <w:t xml:space="preserve">والمشارق </w:t>
      </w:r>
      <w:r>
        <w:rPr>
          <w:rStyle w:val="FootnoteAnchor"/>
          <w:rtl w:val="true"/>
        </w:rPr>
        <w:footnoteReference w:id="922"/>
      </w:r>
      <w:r>
        <w:rPr>
          <w:rFonts w:ascii="IRNazanin" w:hAnsi="IRNazanin" w:eastAsia="IRNazanin"/>
          <w:color w:val="111111"/>
          <w:sz w:val="28"/>
          <w:sz w:val="28"/>
          <w:szCs w:val="28"/>
          <w:rtl w:val="true"/>
          <w:lang w:bidi="fa-IR"/>
        </w:rPr>
        <w:t xml:space="preserve">والبحار </w:t>
      </w:r>
      <w:r>
        <w:rPr>
          <w:rStyle w:val="FootnoteAnchor"/>
          <w:rtl w:val="true"/>
        </w:rPr>
        <w:footnoteReference w:id="923"/>
      </w:r>
      <w:r>
        <w:rPr>
          <w:rFonts w:ascii="IRNazanin" w:hAnsi="IRNazanin" w:eastAsia="IRNazanin"/>
          <w:color w:val="111111"/>
          <w:sz w:val="28"/>
          <w:sz w:val="28"/>
          <w:szCs w:val="28"/>
          <w:rtl w:val="true"/>
          <w:lang w:bidi="fa-IR"/>
        </w:rPr>
        <w:t xml:space="preserve">والحدائق </w:t>
      </w:r>
      <w:r>
        <w:rPr>
          <w:rStyle w:val="FootnoteAnchor"/>
          <w:rtl w:val="true"/>
        </w:rPr>
        <w:footnoteReference w:id="924"/>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الطريحي </w:t>
      </w:r>
      <w:r>
        <w:rPr>
          <w:rStyle w:val="FootnoteAnchor"/>
          <w:rtl w:val="true"/>
        </w:rPr>
        <w:footnoteReference w:id="925"/>
      </w:r>
      <w:r>
        <w:rPr>
          <w:rFonts w:ascii="Amiri" w:hAnsi="Amiri" w:eastAsia="Amiri" w:cs="Amiri"/>
          <w:color w:val="111111"/>
          <w:sz w:val="28"/>
          <w:sz w:val="28"/>
          <w:szCs w:val="28"/>
          <w:rtl w:val="true"/>
          <w:lang w:bidi="ar-SA"/>
        </w:rPr>
        <w:t>في مجمع البحرين إلى جمهور متأخري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الأردبيلي </w:t>
      </w:r>
      <w:r>
        <w:rPr>
          <w:rStyle w:val="FootnoteAnchor"/>
          <w:rtl w:val="true"/>
        </w:rPr>
        <w:footnoteReference w:id="926"/>
      </w:r>
      <w:r>
        <w:rPr>
          <w:rFonts w:ascii="Amiri" w:hAnsi="Amiri" w:eastAsia="Amiri" w:cs="Amiri"/>
          <w:color w:val="111111"/>
          <w:sz w:val="28"/>
          <w:sz w:val="28"/>
          <w:szCs w:val="28"/>
          <w:rtl w:val="true"/>
          <w:lang w:bidi="ar-SA"/>
        </w:rPr>
        <w:t xml:space="preserve">أنكر الشهرة في المقام </w:t>
      </w:r>
      <w:r>
        <w:rPr>
          <w:rStyle w:val="FootnoteAnchor"/>
          <w:rtl w:val="true"/>
        </w:rPr>
        <w:footnoteReference w:id="927"/>
      </w:r>
      <w:r>
        <w:rPr>
          <w:rFonts w:ascii="Amiri" w:hAnsi="Amiri" w:eastAsia="Amiri" w:cs="Amiri"/>
          <w:color w:val="111111"/>
          <w:sz w:val="28"/>
          <w:sz w:val="28"/>
          <w:szCs w:val="28"/>
          <w:rtl w:val="true"/>
          <w:lang w:bidi="ar-SA"/>
        </w:rPr>
        <w:t>، ولا تقلّد فإنّ الشهرة لا أصل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مكسّره سبعة وعشرين شبرا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اختاره الصدوق في الفقيه </w:t>
      </w:r>
      <w:r>
        <w:rPr>
          <w:rStyle w:val="FootnoteAnchor"/>
          <w:rtl w:val="true"/>
        </w:rPr>
        <w:footnoteReference w:id="928"/>
      </w:r>
      <w:r>
        <w:rPr>
          <w:rFonts w:ascii="IRNazanin" w:hAnsi="IRNazanin" w:eastAsia="IRNazanin"/>
          <w:color w:val="111111"/>
          <w:sz w:val="28"/>
          <w:sz w:val="28"/>
          <w:szCs w:val="28"/>
          <w:rtl w:val="true"/>
          <w:lang w:bidi="fa-IR"/>
        </w:rPr>
        <w:t xml:space="preserve">والمقنع </w:t>
      </w:r>
      <w:r>
        <w:rPr>
          <w:rStyle w:val="FootnoteAnchor"/>
          <w:rtl w:val="true"/>
        </w:rPr>
        <w:footnoteReference w:id="929"/>
      </w:r>
      <w:r>
        <w:rPr>
          <w:rFonts w:ascii="Amiri" w:hAnsi="Amiri" w:eastAsia="Amiri" w:cs="Amiri"/>
          <w:color w:val="111111"/>
          <w:sz w:val="28"/>
          <w:sz w:val="28"/>
          <w:szCs w:val="28"/>
          <w:rtl w:val="true"/>
          <w:lang w:bidi="ar-SA"/>
        </w:rPr>
        <w:t xml:space="preserve">والمحقق في المعتبر </w:t>
      </w:r>
      <w:r>
        <w:rPr>
          <w:rStyle w:val="FootnoteAnchor"/>
          <w:rtl w:val="true"/>
        </w:rPr>
        <w:footnoteReference w:id="930"/>
      </w:r>
      <w:r>
        <w:rPr>
          <w:rFonts w:ascii="Amiri" w:hAnsi="Amiri" w:eastAsia="Amiri" w:cs="Amiri"/>
          <w:color w:val="111111"/>
          <w:sz w:val="28"/>
          <w:sz w:val="28"/>
          <w:szCs w:val="28"/>
          <w:rtl w:val="true"/>
          <w:lang w:bidi="ar-SA"/>
        </w:rPr>
        <w:t xml:space="preserve">ميلا إليه والعلّامة رحمه‌اللّه في </w:t>
      </w:r>
    </w:p>
    <w:p>
      <w:pPr>
        <w:pStyle w:val="BookText"/>
        <w:rPr/>
      </w:pPr>
      <w:r>
        <w:rPr>
          <w:rFonts w:ascii="IRNazanin" w:hAnsi="IRNazanin" w:eastAsia="IRNazanin"/>
          <w:color w:val="111111"/>
          <w:sz w:val="28"/>
          <w:sz w:val="28"/>
          <w:szCs w:val="28"/>
          <w:rtl w:val="true"/>
          <w:lang w:bidi="fa-IR"/>
        </w:rPr>
        <w:t xml:space="preserve">المختلف </w:t>
      </w:r>
      <w:r>
        <w:rPr>
          <w:rStyle w:val="FootnoteAnchor"/>
          <w:rtl w:val="true"/>
        </w:rPr>
        <w:footnoteReference w:id="931"/>
      </w:r>
      <w:r>
        <w:rPr>
          <w:rFonts w:ascii="Amiri" w:hAnsi="Amiri" w:eastAsia="Amiri" w:cs="Amiri"/>
          <w:color w:val="111111"/>
          <w:sz w:val="28"/>
          <w:sz w:val="28"/>
          <w:szCs w:val="28"/>
          <w:rtl w:val="true"/>
          <w:lang w:bidi="ar-SA"/>
        </w:rPr>
        <w:t xml:space="preserve">إليه </w:t>
      </w:r>
      <w:r>
        <w:rPr>
          <w:rStyle w:val="FootnoteAnchor"/>
          <w:rtl w:val="true"/>
        </w:rPr>
        <w:footnoteReference w:id="932"/>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933"/>
      </w:r>
      <w:r>
        <w:rPr>
          <w:rFonts w:ascii="Amiri" w:hAnsi="Amiri" w:eastAsia="Amiri" w:cs="Amiri"/>
          <w:color w:val="111111"/>
          <w:sz w:val="28"/>
          <w:sz w:val="28"/>
          <w:szCs w:val="28"/>
          <w:rtl w:val="true"/>
          <w:lang w:bidi="ar-SA"/>
        </w:rPr>
        <w:t>في الروض والروضة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w:t>
      </w:r>
      <w:r>
        <w:rPr>
          <w:rStyle w:val="FootnoteAnchor"/>
          <w:rtl w:val="true"/>
        </w:rPr>
        <w:footnoteReference w:id="934"/>
      </w:r>
      <w:r>
        <w:rPr>
          <w:rFonts w:ascii="Amiri" w:hAnsi="Amiri" w:eastAsia="Amiri" w:cs="Amiri"/>
          <w:color w:val="111111"/>
          <w:sz w:val="28"/>
          <w:sz w:val="28"/>
          <w:szCs w:val="28"/>
          <w:rtl w:val="true"/>
          <w:lang w:bidi="ar-SA"/>
        </w:rPr>
        <w:t xml:space="preserve">جماعة من المتأخرين </w:t>
      </w:r>
      <w:r>
        <w:rPr>
          <w:rStyle w:val="FootnoteAnchor"/>
          <w:rtl w:val="true"/>
        </w:rPr>
        <w:footnoteReference w:id="935"/>
      </w:r>
      <w:r>
        <w:rPr>
          <w:rFonts w:ascii="Amiri" w:hAnsi="Amiri" w:eastAsia="Amiri" w:cs="Amiri"/>
          <w:color w:val="111111"/>
          <w:sz w:val="28"/>
          <w:sz w:val="28"/>
          <w:szCs w:val="28"/>
          <w:rtl w:val="true"/>
          <w:lang w:bidi="ar-SA"/>
        </w:rPr>
        <w:t>منهم المحقق الأردبيلي وشيخنا البهائي والفاضلان المجلسيّان وشارح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كشف الرموز </w:t>
      </w:r>
      <w:r>
        <w:rPr>
          <w:rStyle w:val="FootnoteAnchor"/>
          <w:rtl w:val="true"/>
        </w:rPr>
        <w:footnoteReference w:id="936"/>
      </w:r>
      <w:r>
        <w:rPr>
          <w:rFonts w:ascii="Amiri" w:hAnsi="Amiri" w:eastAsia="Amiri" w:cs="Amiri"/>
          <w:color w:val="111111"/>
          <w:sz w:val="28"/>
          <w:sz w:val="28"/>
          <w:szCs w:val="28"/>
          <w:rtl w:val="true"/>
          <w:lang w:bidi="ar-SA"/>
        </w:rPr>
        <w:t xml:space="preserve">إلى والد الصدوق ، وفي السرائر </w:t>
      </w:r>
      <w:r>
        <w:rPr>
          <w:rStyle w:val="FootnoteAnchor"/>
          <w:rtl w:val="true"/>
        </w:rPr>
        <w:footnoteReference w:id="937"/>
      </w:r>
      <w:r>
        <w:rPr>
          <w:rFonts w:ascii="Amiri" w:hAnsi="Amiri" w:eastAsia="Amiri" w:cs="Amiri"/>
          <w:color w:val="111111"/>
          <w:sz w:val="28"/>
          <w:sz w:val="28"/>
          <w:szCs w:val="28"/>
          <w:rtl w:val="true"/>
          <w:lang w:bidi="ar-SA"/>
        </w:rPr>
        <w:t>إلى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مكسّره ستّا وثلاثين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إليه في المعتبر ، واختاره صاحب المدارك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وجزم الفاضل المجلسي </w:t>
      </w:r>
      <w:r>
        <w:rPr>
          <w:rStyle w:val="FootnoteAnchor"/>
          <w:rtl w:val="true"/>
        </w:rPr>
        <w:footnoteReference w:id="939"/>
      </w:r>
      <w:r>
        <w:rPr>
          <w:rFonts w:ascii="Amiri" w:hAnsi="Amiri" w:eastAsia="Amiri" w:cs="Amiri"/>
          <w:color w:val="111111"/>
          <w:sz w:val="28"/>
          <w:sz w:val="28"/>
          <w:szCs w:val="28"/>
          <w:rtl w:val="true"/>
          <w:lang w:bidi="ar-SA"/>
        </w:rPr>
        <w:t>في شرح الفقيه ببلوغه حدّ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يبلغ أبعاده الثلاثة عشرة أشبار ونصفا </w:t>
      </w:r>
      <w:r>
        <w:rPr>
          <w:rStyle w:val="FootnoteAnchor"/>
          <w:rtl w:val="true"/>
        </w:rPr>
        <w:footnoteReference w:id="940"/>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العلّامة </w:t>
      </w:r>
      <w:r>
        <w:rPr>
          <w:rStyle w:val="FootnoteAnchor"/>
          <w:rtl w:val="true"/>
        </w:rPr>
        <w:footnoteReference w:id="941"/>
      </w:r>
      <w:r>
        <w:rPr>
          <w:rFonts w:ascii="Amiri" w:hAnsi="Amiri" w:eastAsia="Amiri" w:cs="Amiri"/>
          <w:color w:val="111111"/>
          <w:sz w:val="28"/>
          <w:sz w:val="28"/>
          <w:szCs w:val="28"/>
          <w:rtl w:val="true"/>
          <w:lang w:bidi="ar-SA"/>
        </w:rPr>
        <w:t>رحمه‌اللّه عن القطب الراوندي ، وقد اشتهرت نسبة ذلك إليه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وكأنّها مأخوذ </w:t>
      </w:r>
      <w:r>
        <w:rPr>
          <w:rStyle w:val="FootnoteAnchor"/>
          <w:rtl w:val="true"/>
        </w:rPr>
        <w:footnoteReference w:id="942"/>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943"/>
      </w:r>
      <w:r>
        <w:rPr>
          <w:rFonts w:ascii="Amiri" w:hAnsi="Amiri" w:eastAsia="Amiri" w:cs="Amiri"/>
          <w:color w:val="111111"/>
          <w:sz w:val="28"/>
          <w:sz w:val="28"/>
          <w:szCs w:val="28"/>
          <w:rtl w:val="true"/>
          <w:lang w:bidi="ar-SA"/>
        </w:rPr>
        <w:t xml:space="preserve">أنه اكتفى القطب الراوندي في حلّ </w:t>
      </w:r>
      <w:r>
        <w:rPr>
          <w:rStyle w:val="FootnoteAnchor"/>
          <w:rtl w:val="true"/>
        </w:rPr>
        <w:footnoteReference w:id="944"/>
      </w:r>
      <w:r>
        <w:rPr>
          <w:rFonts w:ascii="IRNazanin" w:hAnsi="IRNazanin" w:eastAsia="IRNazanin"/>
          <w:color w:val="111111"/>
          <w:sz w:val="28"/>
          <w:sz w:val="28"/>
          <w:szCs w:val="28"/>
          <w:rtl w:val="true"/>
          <w:lang w:bidi="fa-IR"/>
        </w:rPr>
        <w:t xml:space="preserve">المعقود </w:t>
      </w:r>
      <w:r>
        <w:rPr>
          <w:rStyle w:val="FootnoteAnchor"/>
          <w:rtl w:val="true"/>
        </w:rPr>
        <w:footnoteReference w:id="945"/>
      </w:r>
      <w:r>
        <w:rPr>
          <w:rFonts w:ascii="Amiri" w:hAnsi="Amiri" w:eastAsia="Amiri" w:cs="Amiri"/>
          <w:color w:val="111111"/>
          <w:sz w:val="28"/>
          <w:sz w:val="28"/>
          <w:szCs w:val="28"/>
          <w:rtl w:val="true"/>
          <w:lang w:bidi="ar-SA"/>
        </w:rPr>
        <w:t>من الجمل والعقود بجميع المقادير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فقد يكون الكرّ ما هو المشهور بين الأصحاب إذا كان كلّ من أبعاده الثلاثة ثلاثة أشبار ونصفا ، وقد يكون مقدار كأس من ماء إذا وضع في أنبوبة يكون طوله عشرة أشبار ونصفا إلا عرض إصبع ، ويكون كلّ من عرضه وعمقه نصف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بأنّ صدور مثل هذا التحديد العظيم الاختلاف لا يخلو من 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ذلك التزام اختلاف حال الماء على الوجه المسطور بحسب اختلاف أشكاله وظروفه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البهائي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يظهر أنّ مراد القطب رحمه‌اللّه أنّ الكرّ هو الّذي لو تساوت أبعاده الثلاثة لكان مجموعها عشرة أشبار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ينطبق كلامه على </w:t>
      </w:r>
      <w:r>
        <w:rPr>
          <w:rStyle w:val="FootnoteAnchor"/>
          <w:rtl w:val="true"/>
        </w:rPr>
        <w:footnoteReference w:id="947"/>
      </w:r>
      <w:r>
        <w:rPr>
          <w:rFonts w:ascii="IRNazanin" w:hAnsi="IRNazanin" w:eastAsia="IRNazanin"/>
          <w:color w:val="111111"/>
          <w:sz w:val="28"/>
          <w:sz w:val="28"/>
          <w:szCs w:val="28"/>
          <w:rtl w:val="true"/>
          <w:lang w:bidi="fa-IR"/>
        </w:rPr>
        <w:t>المذهب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التوجيه ممّا لا شاهد عليه في كلامه سوى الاستبعاد المذكور ، فحمل كلامه عليه رجم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أنّ ذلك كلّه مبنيّ على الغفلة في النقل ؛ فإنّه وإن قال في المقام بالجمع بين الأبعاد إلّا أنّه نصّ أيضا على اعتباره </w:t>
      </w:r>
      <w:r>
        <w:rPr>
          <w:rStyle w:val="FootnoteAnchor"/>
          <w:rtl w:val="true"/>
        </w:rPr>
        <w:footnoteReference w:id="948"/>
      </w:r>
      <w:r>
        <w:rPr>
          <w:rFonts w:ascii="Amiri" w:hAnsi="Amiri" w:eastAsia="Amiri" w:cs="Amiri"/>
          <w:color w:val="111111"/>
          <w:sz w:val="28"/>
          <w:sz w:val="28"/>
          <w:szCs w:val="28"/>
          <w:rtl w:val="true"/>
          <w:lang w:bidi="ar-SA"/>
        </w:rPr>
        <w:t xml:space="preserve">تقارب أجزاء الكر حسب ما مرّت الإشارة إليه ليرجع </w:t>
      </w:r>
      <w:r>
        <w:rPr>
          <w:rStyle w:val="FootnoteAnchor"/>
          <w:rtl w:val="true"/>
        </w:rPr>
        <w:footnoteReference w:id="949"/>
      </w:r>
      <w:r>
        <w:rPr>
          <w:rFonts w:ascii="Amiri" w:hAnsi="Amiri" w:eastAsia="Amiri" w:cs="Amiri"/>
          <w:color w:val="111111"/>
          <w:sz w:val="28"/>
          <w:sz w:val="28"/>
          <w:szCs w:val="28"/>
          <w:rtl w:val="true"/>
          <w:lang w:bidi="ar-SA"/>
        </w:rPr>
        <w:t>ما ذكره إلى المشهور بعد إرادة كون كلّ من أبعاده ثلاثة أشبار ونصفا على ما هو ببالي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مكسّره نحوا من مائة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w:t>
      </w:r>
      <w:r>
        <w:rPr>
          <w:rStyle w:val="FootnoteAnchor"/>
          <w:rtl w:val="true"/>
        </w:rPr>
        <w:footnoteReference w:id="950"/>
      </w:r>
      <w:r>
        <w:rPr>
          <w:rFonts w:ascii="Amiri" w:hAnsi="Amiri" w:eastAsia="Amiri" w:cs="Amiri"/>
          <w:color w:val="111111"/>
          <w:sz w:val="28"/>
          <w:sz w:val="28"/>
          <w:szCs w:val="28"/>
          <w:rtl w:val="true"/>
          <w:lang w:bidi="ar-SA"/>
        </w:rPr>
        <w:t>العلّامة وغيره عن الإسكافي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السيّد علي بن طاوس </w:t>
      </w:r>
      <w:r>
        <w:rPr>
          <w:rStyle w:val="FootnoteAnchor"/>
          <w:rtl w:val="true"/>
        </w:rPr>
        <w:footnoteReference w:id="951"/>
      </w:r>
      <w:r>
        <w:rPr>
          <w:rFonts w:ascii="Amiri" w:hAnsi="Amiri" w:eastAsia="Amiri" w:cs="Amiri"/>
          <w:color w:val="111111"/>
          <w:sz w:val="28"/>
          <w:sz w:val="28"/>
          <w:szCs w:val="28"/>
          <w:rtl w:val="true"/>
          <w:lang w:bidi="ar-SA"/>
        </w:rPr>
        <w:t xml:space="preserve">رحمه‌اللّه من الاكتفاء بكلّ ما روي ، واستقر به </w:t>
      </w:r>
    </w:p>
    <w:p>
      <w:pPr>
        <w:pStyle w:val="BookText"/>
        <w:rPr/>
      </w:pPr>
      <w:r>
        <w:rPr>
          <w:rFonts w:ascii="Amiri" w:hAnsi="Amiri" w:eastAsia="Amiri" w:cs="Amiri"/>
          <w:color w:val="111111"/>
          <w:sz w:val="28"/>
          <w:sz w:val="28"/>
          <w:szCs w:val="28"/>
          <w:rtl w:val="true"/>
          <w:lang w:bidi="ar-SA"/>
        </w:rPr>
        <w:t xml:space="preserve">شيخنا الحر في الوسائل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953"/>
      </w:r>
      <w:r>
        <w:rPr>
          <w:rFonts w:ascii="IRNazanin" w:hAnsi="IRNazanin" w:eastAsia="IRNazanin"/>
          <w:color w:val="111111"/>
          <w:sz w:val="28"/>
          <w:sz w:val="28"/>
          <w:szCs w:val="28"/>
          <w:rtl w:val="true"/>
          <w:lang w:bidi="fa-IR"/>
        </w:rPr>
        <w:t>أنّه لا بأس به إذا صحّ السند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يظهر من جماعة التوقف في المقام حيث لم يرجّحوا شيئا بعد ذكر المسألة كابن فهد في المهذب البارع والصيمري في غاية المرام وصاحب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الشلمغاني تقديره بما لا يتحرك جنباه لو ألقي حجر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الإجماع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في كتاب الفقه الرضوي </w:t>
      </w:r>
      <w:r>
        <w:rPr>
          <w:rStyle w:val="FootnoteAnchor"/>
          <w:rtl w:val="true"/>
        </w:rPr>
        <w:footnoteReference w:id="955"/>
      </w:r>
      <w:r>
        <w:rPr>
          <w:rFonts w:ascii="Amiri" w:hAnsi="Amiri" w:eastAsia="Amiri" w:cs="Amiri"/>
          <w:color w:val="111111"/>
          <w:sz w:val="28"/>
          <w:sz w:val="28"/>
          <w:szCs w:val="28"/>
          <w:rtl w:val="true"/>
          <w:lang w:bidi="ar-SA"/>
        </w:rPr>
        <w:t xml:space="preserve">ما يوافقه ، 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غدير فيه من الماء أكثر من كر لا ينجسه ما يقع فيه من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رحمه‌اللّه في ذلك أن يؤخذ بحجر فيرمى به في وسطه ، فإن بلغت أمواجه من الحجر جنبي الغدير فهو دون الكر وإن لم يبلغ فهو كرّ لا ينجسه شي‌ء إلّا أن يكون فيه الجيف فيتغيّر لونه وطعمه ورائحته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والفتاوى والنصوص منطبقة </w:t>
      </w:r>
      <w:r>
        <w:rPr>
          <w:rStyle w:val="FootnoteAnchor"/>
          <w:rtl w:val="true"/>
        </w:rPr>
        <w:footnoteReference w:id="956"/>
      </w:r>
      <w:r>
        <w:rPr>
          <w:rFonts w:ascii="Amiri" w:hAnsi="Amiri" w:eastAsia="Amiri" w:cs="Amiri"/>
          <w:color w:val="111111"/>
          <w:sz w:val="28"/>
          <w:sz w:val="28"/>
          <w:szCs w:val="28"/>
          <w:rtl w:val="true"/>
          <w:lang w:bidi="ar-SA"/>
        </w:rPr>
        <w:t>على خلافه ، فلا معوّل عليه مع ما فيه من الضعف ، وقد يكون ذلك من دين الملاحدة لو ثبت صحة ذلك الكتاب في الجملة ، فإنّ الشلمغاني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والمعوّل عليه من هذه الأقوال هو القولان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باقي الأقوال فموهونة كما سنبيّن الحال فيها ، فلنفصّل القول في أدلّتهما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فاستدلّ عليه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بالأصل نظرا إلى أنّ الكريّة شرط في اعتصام الماء ، فمع الشكّ في حصوله يبنى على عدمه حتّى يقوم دليل شرعي على ثبوته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وبالإجماع المحكيّ عن الغنية المؤيّد بالشهرة المستفيض النقل في كلام جماعة من الأجلة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وعدّة من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الكرّ من الماء كم يكون قدره؟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ثلاثة أشبار ونصفا في مثله ثلاثة أشبار ونصف في عمقه في الأرض فذلك الكر من الماء </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أوضح أخبار هذا القول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صاحب العوالي </w:t>
      </w:r>
      <w:r>
        <w:rPr>
          <w:rStyle w:val="FootnoteAnchor"/>
          <w:rtl w:val="true"/>
        </w:rPr>
        <w:footnoteReference w:id="958"/>
      </w:r>
      <w:r>
        <w:rPr>
          <w:rFonts w:ascii="Amiri" w:hAnsi="Amiri" w:eastAsia="Amiri" w:cs="Amiri"/>
          <w:color w:val="111111"/>
          <w:sz w:val="28"/>
          <w:sz w:val="28"/>
          <w:szCs w:val="28"/>
          <w:rtl w:val="true"/>
          <w:lang w:bidi="ar-SA"/>
        </w:rPr>
        <w:t>أن رواية أبي بصير هذا من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المهذب البارع </w:t>
      </w:r>
      <w:r>
        <w:rPr>
          <w:rStyle w:val="FootnoteAnchor"/>
          <w:rtl w:val="true"/>
        </w:rPr>
        <w:footnoteReference w:id="959"/>
      </w:r>
      <w:r>
        <w:rPr>
          <w:rFonts w:ascii="Amiri" w:hAnsi="Amiri" w:eastAsia="Amiri" w:cs="Amiri"/>
          <w:color w:val="111111"/>
          <w:sz w:val="28"/>
          <w:sz w:val="28"/>
          <w:szCs w:val="28"/>
          <w:rtl w:val="true"/>
          <w:lang w:bidi="ar-SA"/>
        </w:rPr>
        <w:t xml:space="preserve">مرسلا عن أبي بصير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ثلاثة أشبار ونصفا في طوله ومثله ثلاثة أشبار ونصفا في عرضه ومثله ثلاثة أشبار ونصفا في عمقه في الأرض فذلك الكرّ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ذلك عين الخبر الأوّل ويكون الاختلاف الحاصل فيه من اختلاف النسخ ، و </w:t>
      </w:r>
      <w:r>
        <w:rPr>
          <w:rStyle w:val="FootnoteAnchor"/>
          <w:rtl w:val="true"/>
        </w:rPr>
        <w:footnoteReference w:id="960"/>
      </w:r>
      <w:r>
        <w:rPr>
          <w:rFonts w:ascii="Amiri" w:hAnsi="Amiri" w:eastAsia="Amiri" w:cs="Amiri"/>
          <w:color w:val="111111"/>
          <w:sz w:val="28"/>
          <w:sz w:val="28"/>
          <w:szCs w:val="28"/>
          <w:rtl w:val="true"/>
          <w:lang w:bidi="ar-SA"/>
        </w:rPr>
        <w:t xml:space="preserve">دلالته على المدّعى حينئذ </w:t>
      </w:r>
      <w:r>
        <w:rPr>
          <w:rStyle w:val="FootnoteAnchor"/>
          <w:rtl w:val="true"/>
        </w:rPr>
        <w:footnoteReference w:id="961"/>
      </w:r>
      <w:r>
        <w:rPr>
          <w:rFonts w:ascii="Amiri" w:hAnsi="Amiri" w:eastAsia="Amiri" w:cs="Amiri"/>
          <w:color w:val="111111"/>
          <w:sz w:val="28"/>
          <w:sz w:val="28"/>
          <w:szCs w:val="28"/>
          <w:rtl w:val="true"/>
          <w:lang w:bidi="ar-SA"/>
        </w:rPr>
        <w:t>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بإسناده عن الحسن بن صالح الثوري ، عن أبي عبد اللّه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في الركى كرّا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ونصف عمقها في ثلاثة أشبار ونصف عرضها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الاستبصار في حكم الآبار مصرّحا بذكر الأبعاد الثلاثة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ونصف طولها في ثلاثة أشبار ونصف عمقها في ثلاثة أشبار </w:t>
      </w:r>
    </w:p>
    <w:p>
      <w:pPr>
        <w:pStyle w:val="BookText"/>
        <w:rPr/>
      </w:pPr>
      <w:r>
        <w:rPr>
          <w:rFonts w:ascii="IRNazanin" w:hAnsi="IRNazanin" w:eastAsia="IRNazanin"/>
          <w:color w:val="111111"/>
          <w:sz w:val="28"/>
          <w:sz w:val="28"/>
          <w:szCs w:val="28"/>
          <w:rtl w:val="true"/>
          <w:lang w:bidi="fa-IR"/>
        </w:rPr>
        <w:t xml:space="preserve">ونصف عرضها </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الأمالي </w:t>
      </w:r>
      <w:r>
        <w:rPr>
          <w:rStyle w:val="FootnoteAnchor"/>
          <w:rtl w:val="true"/>
        </w:rPr>
        <w:footnoteReference w:id="96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الكرّ هو ما يكون ثلاثة أشبار ونصف في طول وفي عرض وفي 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إشارة إلى أحد الخبرين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وينجبر ما فيها من الضعف في الدلالة أو الإسناد بانضمام بعضها إلى البعض ، وباعتضادها بالشّهرة بين الأصحاب والإجماع المنقول بل الأصل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الأوّل أن قضيّة الأصل طهارة الماء إلى أن يعلم نجاسته ، ولا علم بالنجاسة مع نقصانه عن القدر المذكور بما لا ينقص عن كرّ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تفصيل القول في ذلك في التقدير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أن الإجماع المذكور موهون بمصير كثير من الأصحاب إلى خلافه سيّما القمّيين المتقاربين </w:t>
      </w:r>
      <w:r>
        <w:rPr>
          <w:rStyle w:val="FootnoteAnchor"/>
          <w:rtl w:val="true"/>
        </w:rPr>
        <w:footnoteReference w:id="965"/>
      </w:r>
      <w:r>
        <w:rPr>
          <w:rFonts w:ascii="Amiri" w:hAnsi="Amiri" w:eastAsia="Amiri" w:cs="Amiri"/>
          <w:color w:val="111111"/>
          <w:sz w:val="28"/>
          <w:sz w:val="28"/>
          <w:szCs w:val="28"/>
          <w:rtl w:val="true"/>
          <w:lang w:bidi="ar-SA"/>
        </w:rPr>
        <w:t>لأعصارهم بل المعاصرين لهم عليهم‌السلام الآخذين بمضامين الروايات الواردة منهم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أنكر المحقّق رحمه‌اللّه </w:t>
      </w:r>
      <w:r>
        <w:rPr>
          <w:rStyle w:val="FootnoteAnchor"/>
          <w:rtl w:val="true"/>
        </w:rPr>
        <w:footnoteReference w:id="966"/>
      </w:r>
      <w:r>
        <w:rPr>
          <w:rFonts w:ascii="Amiri" w:hAnsi="Amiri" w:eastAsia="Amiri" w:cs="Amiri"/>
          <w:color w:val="111111"/>
          <w:sz w:val="28"/>
          <w:sz w:val="28"/>
          <w:szCs w:val="28"/>
          <w:rtl w:val="true"/>
          <w:lang w:bidi="ar-SA"/>
        </w:rPr>
        <w:t xml:space="preserve">دعوى الإجماع في المقام كما مرّت الإشارة إليه ، وقد عرفت مناقشة المحقّق الأردبيلي </w:t>
      </w:r>
      <w:r>
        <w:rPr>
          <w:rStyle w:val="FootnoteAnchor"/>
          <w:rtl w:val="true"/>
        </w:rPr>
        <w:footnoteReference w:id="967"/>
      </w:r>
      <w:r>
        <w:rPr>
          <w:rFonts w:ascii="Amiri" w:hAnsi="Amiri" w:eastAsia="Amiri" w:cs="Amiri"/>
          <w:color w:val="111111"/>
          <w:sz w:val="28"/>
          <w:sz w:val="28"/>
          <w:szCs w:val="28"/>
          <w:rtl w:val="true"/>
          <w:lang w:bidi="ar-SA"/>
        </w:rPr>
        <w:t>في قيام الشهرة عليه فكيف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أمّا على الموثقة فتارة بالمناقشة في إسنادها من جهة اشتمالها على عثمان بن عيسى ، وهو غير مصرّح عليه بالتوثيق ؛ مضافا إلى وقفه وسخط الإمام عليه‌السلام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توبته غير ثابتة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أبي بصير المشترك بين جماعة ، وفيهم بعض المجاهيل ، وقد طعن على بعضهم </w:t>
      </w:r>
    </w:p>
    <w:p>
      <w:pPr>
        <w:pStyle w:val="BookText"/>
        <w:rPr/>
      </w:pPr>
      <w:r>
        <w:rPr>
          <w:rFonts w:ascii="IRNazanin" w:hAnsi="IRNazanin" w:eastAsia="IRNazanin"/>
          <w:color w:val="111111"/>
          <w:sz w:val="28"/>
          <w:sz w:val="28"/>
          <w:szCs w:val="28"/>
          <w:rtl w:val="true"/>
          <w:lang w:bidi="fa-IR"/>
        </w:rPr>
        <w:t>بالوقف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بالمناقشة في دلالتها لعدم اشتمالها على تحديد الأبعاد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حينئذ بترك ذكر العرض بكون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مثله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بعامل مقدّر يقدّر حالا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العرض مذكورا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بترك بيان مقدار العمق بأن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أشبار ونصفا في مثله ثلاثة أشبار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لمقداري الطول والعرض ،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ضرب ذلك في عمق الماء من دون بيان لمقداره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الأول إما من جهة عثمان بن عيسى فيما تقرّر في محلّه من توثيقه بوجوه شتّى ، فغاية الأمر أن تكون الرواية </w:t>
      </w:r>
      <w:r>
        <w:rPr>
          <w:rStyle w:val="FootnoteAnchor"/>
          <w:rtl w:val="true"/>
        </w:rPr>
        <w:footnoteReference w:id="969"/>
      </w:r>
      <w:r>
        <w:rPr>
          <w:rFonts w:ascii="Amiri" w:hAnsi="Amiri" w:eastAsia="Amiri" w:cs="Amiri"/>
          <w:color w:val="111111"/>
          <w:sz w:val="28"/>
          <w:sz w:val="28"/>
          <w:szCs w:val="28"/>
          <w:rtl w:val="true"/>
          <w:lang w:bidi="ar-SA"/>
        </w:rPr>
        <w:t>موثقة بل يحتمل عدّه من الصحاح إن قيل بثبوت توبته كما يومي إليه بعض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ريب في مقبولية أخباره وربّما يعدّ خبره موثقا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من جهة أبي بصير فيما تقرّر في الرجال من اشتراك أبي بصير بين رجلين ثقتين لا ريب في شأنهما </w:t>
      </w:r>
      <w:r>
        <w:rPr>
          <w:rStyle w:val="FootnoteAnchor"/>
          <w:rtl w:val="true"/>
        </w:rPr>
        <w:footnoteReference w:id="970"/>
      </w:r>
      <w:r>
        <w:rPr>
          <w:rFonts w:ascii="Amiri" w:hAnsi="Amiri" w:eastAsia="Amiri" w:cs="Amiri"/>
          <w:color w:val="111111"/>
          <w:sz w:val="28"/>
          <w:sz w:val="28"/>
          <w:szCs w:val="28"/>
          <w:rtl w:val="true"/>
          <w:lang w:bidi="ar-SA"/>
        </w:rPr>
        <w:t>سيما إذا كان راويا عن الصادق عليه‌السلام ، فالمناقشة فيها من جهة السند في غاية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ودفع الثاني بوجهين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البعد الثالث لا يمنع من صحة الاحتجاج إمّا لظهوره بالمقايسة ؛ إذ لو كان أقل أو أكثر لأشار إليه في مقام البيان أو لأنّ المتعارف في مثله التعبير بالبعدين ، ويراد به الأبعاد الثلاث كما إذا قيل إنّ هذا الحوض كم في كم؟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في ثلاث ، ويراد به أنّ كلّا من أبعاده ثلاث أو لأنّه بعد ثبوت كون كلّ من بعديه ثلاثا ونصفا يتعيّن ذلك في بعده الآخر </w:t>
      </w:r>
    </w:p>
    <w:p>
      <w:pPr>
        <w:pStyle w:val="BookText"/>
        <w:rPr/>
      </w:pPr>
      <w:r>
        <w:rPr>
          <w:rFonts w:ascii="IRNazanin" w:hAnsi="IRNazanin" w:eastAsia="IRNazanin"/>
          <w:color w:val="111111"/>
          <w:sz w:val="28"/>
          <w:sz w:val="28"/>
          <w:szCs w:val="28"/>
          <w:rtl w:val="true"/>
          <w:lang w:bidi="fa-IR"/>
        </w:rPr>
        <w:t>لعدم القول بالفصل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الرواية على وجه يشتمل على بيان الأبعاد الثلاث ، ويقرّر ذلك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شيخنا البهائي </w:t>
      </w:r>
      <w:r>
        <w:rPr>
          <w:rStyle w:val="FootnoteAnchor"/>
          <w:rtl w:val="true"/>
        </w:rPr>
        <w:footnoteReference w:id="971"/>
      </w:r>
      <w:r>
        <w:rPr>
          <w:rFonts w:ascii="Amiri" w:hAnsi="Amiri" w:eastAsia="Amiri" w:cs="Amiri"/>
          <w:color w:val="111111"/>
          <w:sz w:val="28"/>
          <w:sz w:val="28"/>
          <w:szCs w:val="28"/>
          <w:rtl w:val="true"/>
          <w:lang w:bidi="ar-SA"/>
        </w:rPr>
        <w:t xml:space="preserve">رحمه‌اللّه من الحكم بعود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ذلك المقدار ، فيدلّ على بيان مقدار كلّ من الطول والعرض ، ويكون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ذلك المقدار أيضا بقرينة عود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 إلى الماء ممّا لا محصّل له مع ما فيه من التفكيك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رحمه‌اللّه </w:t>
      </w:r>
      <w:r>
        <w:rPr>
          <w:rStyle w:val="FootnoteAnchor"/>
          <w:rtl w:val="true"/>
        </w:rPr>
        <w:footnoteReference w:id="972"/>
      </w:r>
      <w:r>
        <w:rPr>
          <w:rFonts w:ascii="Amiri" w:hAnsi="Amiri" w:eastAsia="Amiri" w:cs="Amiri"/>
          <w:color w:val="111111"/>
          <w:sz w:val="28"/>
          <w:sz w:val="28"/>
          <w:szCs w:val="28"/>
          <w:rtl w:val="true"/>
          <w:lang w:bidi="ar-SA"/>
        </w:rPr>
        <w:t xml:space="preserve">أيضا من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ونصف 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 على أنه خبر ثان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مجرورا بالبدليّة والحال في بقية الخبر كما في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أن إرجاع 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المقدار المذكور تكلّف ؛ إذ لا يتم ذلك إلّا مع جعل الإضافة بيانية ، وهو في المقام بعيد جدّا إن قلنا بجوازه في الإضافة إلى الضمير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عود الضمير إلى الماء ممّا لا محصّل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يتمّ إذا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مضروبا فيه من دون بيان مقداره ، وأمّا إن كان متعلّقا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حالا من ثلاثة أشبار ونصف ، فأي مانع من رجوع الضمير إلى الماء؟</w:t>
      </w:r>
    </w:p>
    <w:p>
      <w:pPr>
        <w:pStyle w:val="BookText"/>
        <w:rPr/>
      </w:pPr>
      <w:r>
        <w:rPr>
          <w:rFonts w:ascii="Amiri" w:hAnsi="Amiri" w:eastAsia="Amiri" w:cs="Amiri"/>
          <w:color w:val="111111"/>
          <w:sz w:val="28"/>
          <w:sz w:val="28"/>
          <w:szCs w:val="28"/>
          <w:rtl w:val="true"/>
          <w:lang w:bidi="ar-SA"/>
        </w:rPr>
        <w:t xml:space="preserve">وعلى الثاني بأنّه لا يوافق كتابة الحديث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معطوفا على ثلاثة أشبار ، فمع نصبها يكون منصوبا لا بد من كتابته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يذبّ عنه بلزوم الإيراد المذكور في الفقرة الأولى من الرواية لكتابة النصف هناك كما هنا على ما في بعض النسخ فما يلتزم في الجواب عنه هناك يلتزم به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حينئذ بكون الثلاثة مرفوعة بالابتدائية ، ويكون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عنه ويجعل الجمع خبر البيان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الوجه مع بعده لا يصحّح </w:t>
      </w:r>
      <w:r>
        <w:rPr>
          <w:rStyle w:val="FootnoteAnchor"/>
          <w:rtl w:val="true"/>
        </w:rPr>
        <w:footnoteReference w:id="973"/>
      </w:r>
      <w:r>
        <w:rPr>
          <w:rFonts w:ascii="Amiri" w:hAnsi="Amiri" w:eastAsia="Amiri" w:cs="Amiri"/>
          <w:color w:val="111111"/>
          <w:sz w:val="28"/>
          <w:sz w:val="28"/>
          <w:szCs w:val="28"/>
          <w:rtl w:val="true"/>
          <w:lang w:bidi="ar-SA"/>
        </w:rPr>
        <w:t>الوجه المذكور بل هو توجيه آخر للرواية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فالوجهان المذكوران لا يصحّحان الاستناد إلى الرواية إلّا مع ظهور الخبر في أحدهما ولا شاهد عليه ، غاية الأمر صحّة حمل الرواية على كلّ منهما </w:t>
      </w:r>
      <w:r>
        <w:rPr>
          <w:rStyle w:val="FootnoteAnchor"/>
          <w:rtl w:val="true"/>
        </w:rPr>
        <w:footnoteReference w:id="974"/>
      </w:r>
      <w:r>
        <w:rPr>
          <w:rFonts w:ascii="Amiri" w:hAnsi="Amiri" w:eastAsia="Amiri" w:cs="Amiri"/>
          <w:color w:val="111111"/>
          <w:sz w:val="28"/>
          <w:sz w:val="28"/>
          <w:szCs w:val="28"/>
          <w:rtl w:val="true"/>
          <w:lang w:bidi="ar-SA"/>
        </w:rPr>
        <w:t>، ومجرّد الاحتمال لا يقضي بصحة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ثلاثة أشبار ونصفا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طول الماء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 أن يكون سعة الماء الشاملة لطوله وعرضه بالغة إلى المقدار المذكور ، ويكون ما في الرواية بيانا لمقدار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شأن مستتر فيه ،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ثلاثة أشبار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وخبرا ، والجملة خبرا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به أحد </w:t>
      </w:r>
      <w:r>
        <w:rPr>
          <w:rStyle w:val="FootnoteAnchor"/>
          <w:rtl w:val="true"/>
        </w:rPr>
        <w:footnoteReference w:id="975"/>
      </w:r>
      <w:r>
        <w:rPr>
          <w:rFonts w:ascii="Amiri" w:hAnsi="Amiri" w:eastAsia="Amiri" w:cs="Amiri"/>
          <w:color w:val="111111"/>
          <w:sz w:val="28"/>
          <w:sz w:val="28"/>
          <w:szCs w:val="28"/>
          <w:rtl w:val="true"/>
          <w:lang w:bidi="ar-SA"/>
        </w:rPr>
        <w:t xml:space="preserve">طرفي الطول والعرض ، 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الآخر ، والمراد به ضرب أحد الطرفين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ونصف في 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تقدير المبتدأ خبرا ثانيا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بعامل مقدر يكون حالا عنه يعني كائنا في عمقه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بعد التوجيه المذكور ، وعدم مساعدته لنصف النصف كما في النسخة المشهورة ، فما قيل من أنه مع ما فيه من البعد أحسن التوجيهات في هذا الخبر لفظا ومعنى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ذكر من الوجوه إنّما يتمّ في مقام التوجيه لا في معرض الاحتجاج ؛ إذ بمجرّد الاحتمال لا يصح الاستدلال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انحصر الأمر من حمل الرواية على أحد الوجوه المذكورة فربّما أمكن الاحتجاج بها بل لا حاجة في تصحيح الاستدلال إلى ملاحظة شي‌ء منها ؛ إذ بعد حمل الرواية على المكعّب يتعيّن البعد الثالث بالمقايسة قطعا وإلّا سقط الكلام عن الإفادة ، والأمر في الزيادة </w:t>
      </w:r>
    </w:p>
    <w:p>
      <w:pPr>
        <w:pStyle w:val="BookText"/>
        <w:rPr/>
      </w:pPr>
      <w:r>
        <w:rPr>
          <w:rFonts w:ascii="IRNazanin" w:hAnsi="IRNazanin" w:eastAsia="IRNazanin"/>
          <w:color w:val="111111"/>
          <w:sz w:val="28"/>
          <w:sz w:val="28"/>
          <w:szCs w:val="28"/>
          <w:rtl w:val="true"/>
          <w:lang w:bidi="fa-IR"/>
        </w:rPr>
        <w:t xml:space="preserve">سهل </w:t>
      </w:r>
      <w:r>
        <w:rPr>
          <w:rStyle w:val="FootnoteAnchor"/>
          <w:rtl w:val="true"/>
        </w:rPr>
        <w:footnoteReference w:id="976"/>
      </w:r>
      <w:r>
        <w:rPr>
          <w:rFonts w:ascii="Amiri" w:hAnsi="Amiri" w:eastAsia="Amiri" w:cs="Amiri"/>
          <w:color w:val="111111"/>
          <w:sz w:val="28"/>
          <w:sz w:val="28"/>
          <w:szCs w:val="28"/>
          <w:rtl w:val="true"/>
          <w:lang w:bidi="ar-SA"/>
        </w:rPr>
        <w:t xml:space="preserve">لكنّه ليس كذلك لاحتمال حملها على المستدير كما يومي إليه رواية </w:t>
      </w:r>
      <w:r>
        <w:rPr>
          <w:rStyle w:val="FootnoteAnchor"/>
          <w:rtl w:val="true"/>
        </w:rPr>
        <w:footnoteReference w:id="977"/>
      </w:r>
      <w:r>
        <w:rPr>
          <w:rFonts w:ascii="Amiri" w:hAnsi="Amiri" w:eastAsia="Amiri" w:cs="Amiri"/>
          <w:color w:val="111111"/>
          <w:sz w:val="28"/>
          <w:sz w:val="28"/>
          <w:szCs w:val="28"/>
          <w:rtl w:val="true"/>
          <w:lang w:bidi="ar-SA"/>
        </w:rPr>
        <w:t>الثوري حيث فرضه في الركى ظاهر في المستدير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يفيد المدّعى بل يكون أقرب إلى تحديد القميين </w:t>
      </w:r>
      <w:r>
        <w:rPr>
          <w:rStyle w:val="FootnoteAnchor"/>
          <w:rtl w:val="true"/>
        </w:rPr>
        <w:footnoteReference w:id="978"/>
      </w:r>
      <w:r>
        <w:rPr>
          <w:rFonts w:ascii="Amiri" w:hAnsi="Amiri" w:eastAsia="Amiri" w:cs="Amiri"/>
          <w:color w:val="111111"/>
          <w:sz w:val="28"/>
          <w:sz w:val="28"/>
          <w:szCs w:val="28"/>
          <w:rtl w:val="true"/>
          <w:lang w:bidi="ar-SA"/>
        </w:rPr>
        <w:t>حيث يزيد عليه ستة أشبار ونصف تقريبا ، وينقص من المشهور تسعة ونصف تقريبا والأمر في الزيادة سهل لإمكان مراعاتها لأمور أخر بخلاف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بانجبار ضعفها في الدلالة بالشهرة بين الأصحاب لكن بلوغ الشهرة إلى تلك الدرجة غير ظاهر سيّما مع معارضتها بما هو أصحّ منها سندا وأوضح دلالة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رواية المهذّب </w:t>
      </w:r>
      <w:r>
        <w:rPr>
          <w:rStyle w:val="FootnoteAnchor"/>
          <w:rtl w:val="true"/>
        </w:rPr>
        <w:footnoteReference w:id="979"/>
      </w:r>
      <w:r>
        <w:rPr>
          <w:rFonts w:ascii="Amiri" w:hAnsi="Amiri" w:eastAsia="Amiri" w:cs="Amiri"/>
          <w:color w:val="111111"/>
          <w:sz w:val="28"/>
          <w:sz w:val="28"/>
          <w:szCs w:val="28"/>
          <w:rtl w:val="true"/>
          <w:lang w:bidi="ar-SA"/>
        </w:rPr>
        <w:t>فبإرسالها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نقلا بالمعنى للموثقة المذكورة بناء على فهمه تقدير الأبعاد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رواية </w:t>
      </w:r>
      <w:r>
        <w:rPr>
          <w:rStyle w:val="FootnoteAnchor"/>
          <w:rtl w:val="true"/>
        </w:rPr>
        <w:footnoteReference w:id="980"/>
      </w:r>
      <w:r>
        <w:rPr>
          <w:rFonts w:ascii="Amiri" w:hAnsi="Amiri" w:eastAsia="Amiri" w:cs="Amiri"/>
          <w:color w:val="111111"/>
          <w:sz w:val="28"/>
          <w:sz w:val="28"/>
          <w:szCs w:val="28"/>
          <w:rtl w:val="true"/>
          <w:lang w:bidi="ar-SA"/>
        </w:rPr>
        <w:t>الثوري فبضعف إسنادها ودلالتها أيضا على ما في غيرها لعدم اشتمالها على تقدير الأفعال الثلاثة وظهورها في المستدير حسبما أشرنا إليه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 ما في الاستبصار </w:t>
      </w:r>
      <w:r>
        <w:rPr>
          <w:rStyle w:val="FootnoteAnchor"/>
          <w:rtl w:val="true"/>
        </w:rPr>
        <w:footnoteReference w:id="981"/>
      </w:r>
      <w:r>
        <w:rPr>
          <w:rFonts w:ascii="Amiri" w:hAnsi="Amiri" w:eastAsia="Amiri" w:cs="Amiri"/>
          <w:color w:val="111111"/>
          <w:sz w:val="28"/>
          <w:sz w:val="28"/>
          <w:szCs w:val="28"/>
          <w:rtl w:val="true"/>
          <w:lang w:bidi="ar-SA"/>
        </w:rPr>
        <w:t xml:space="preserve">أيضا على المستدير بأنّ بعد أحد الامتدادين في المستدير طولا والآخر عرضا نظرا إلى ظهور صدر الرواية في </w:t>
      </w:r>
      <w:r>
        <w:rPr>
          <w:rStyle w:val="FootnoteAnchor"/>
          <w:rtl w:val="true"/>
        </w:rPr>
        <w:footnoteReference w:id="982"/>
      </w:r>
      <w:r>
        <w:rPr>
          <w:rFonts w:ascii="Amiri" w:hAnsi="Amiri" w:eastAsia="Amiri" w:cs="Amiri"/>
          <w:color w:val="111111"/>
          <w:sz w:val="28"/>
          <w:sz w:val="28"/>
          <w:szCs w:val="28"/>
          <w:rtl w:val="true"/>
          <w:lang w:bidi="ar-SA"/>
        </w:rPr>
        <w:t>فرض الكرّ في المستدير على أنّ الظاهر في متن الرواية ما في التهذيب ؛ إذ الأصل في الرواية على حسب ما في الكتابين كتاب أحمد بن محمّد بن عيسى والظاهر أنّ ما فيه مطابق لما في التهذيب لموافقته لرواية الكافي عنه الّذي هو أضبط الكتب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رواية الأمالي </w:t>
      </w:r>
      <w:r>
        <w:rPr>
          <w:rStyle w:val="FootnoteAnchor"/>
          <w:rtl w:val="true"/>
        </w:rPr>
        <w:footnoteReference w:id="983"/>
      </w:r>
      <w:r>
        <w:rPr>
          <w:rFonts w:ascii="Amiri" w:hAnsi="Amiri" w:eastAsia="Amiri" w:cs="Amiri"/>
          <w:color w:val="111111"/>
          <w:sz w:val="28"/>
          <w:sz w:val="28"/>
          <w:szCs w:val="28"/>
          <w:rtl w:val="true"/>
          <w:lang w:bidi="ar-SA"/>
        </w:rPr>
        <w:t>فبضعفها بالإرسال ، مضافا إلى قوة احتمال كونها نقلا بالمعنى لإحدى الروايتين المذكورتين ، فلا تكون حجة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فيحتجّ عليه تارة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الأظهر قضاء الأصل بالقول بالأقل حسبما مرّ تفصيل القول فيه في المسألة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بما رواه الشيخان في الصحيح على الأصحّ عن اسماعيل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الماء الذي لا ينجسه 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الكر؟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أشبار في ثلاثة أشبار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تارة بالمناقشة في إسناده من جهة اشتماله على محمّد بن خالد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ضعّفه النجاشي </w:t>
      </w:r>
      <w:r>
        <w:rPr>
          <w:rStyle w:val="FootnoteAnchor"/>
          <w:rtl w:val="true"/>
        </w:rPr>
        <w:footnoteReference w:id="985"/>
      </w:r>
      <w:r>
        <w:rPr>
          <w:rFonts w:ascii="Amiri" w:hAnsi="Amiri" w:eastAsia="Amiri" w:cs="Amiri"/>
          <w:color w:val="111111"/>
          <w:sz w:val="28"/>
          <w:sz w:val="28"/>
          <w:szCs w:val="28"/>
          <w:rtl w:val="true"/>
          <w:lang w:bidi="ar-SA"/>
        </w:rPr>
        <w:t xml:space="preserve">ولم يوثّق أيضا اسماعيل بن جابر ، بل لم يوثقه غيره أيضا عدا الشيخ رحمه‌اللّه في الأمالي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سنان حاله معروف في الضعف ، وقد نصّ على تضعيفه جماعة من علماء الرجال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زعم جماعة صحة الرواية لتوهم كون ابن سنان الوارد في إسنادها عبد اللّه بن سنان حسبما وقع التصريح به في موضع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وانتصر لهم شيخنا البهائي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الخبير الماهر في الرجال مع ملاحظة جميع ما ذكره يكاد يقطع بخلافه ، وأنّه محمّد بن سنان لا غير كما وقع التصريح به في موضع آخر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بالمناقشة في دلالته لعدم اشتماله على البعد الثالث</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الأوّل ما تقرّر في محلّه من توثيق البرقي واسماعيل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وتوهينه بكون </w:t>
      </w:r>
    </w:p>
    <w:p>
      <w:pPr>
        <w:pStyle w:val="BookText"/>
        <w:rPr/>
      </w:pPr>
      <w:r>
        <w:rPr>
          <w:rFonts w:ascii="Amiri" w:hAnsi="Amiri" w:eastAsia="Amiri" w:cs="Amiri"/>
          <w:color w:val="111111"/>
          <w:sz w:val="28"/>
          <w:sz w:val="28"/>
          <w:szCs w:val="28"/>
          <w:rtl w:val="true"/>
          <w:lang w:bidi="ar-SA"/>
        </w:rPr>
        <w:t>الموثق له واحدا أوهن شي‌ء حسبما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بن سنان فضعفه وإن كان مشهورا بين الأصحاب إلّا أنّه عند التحقيق من أجلّاء الثقات كما هو المختار عند جماعة من المحقّقين لأحوال الرجال ، وقد فصّل القول فيه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مرّت الإشارة إليه من ظهور البعد الثالث بالمقايسة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يداول في الاستعمالات من ترك البعد الثالث في مثل التعبير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صحّ حملها على المستدير أمكن المناقشة في دلالتها كما مرّت الإشارة إليه فيما مرّ من الأخبار إلّا أنّه لا يمكن إرادته في المقام ؛ إذ لا قائل بمضمونه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أنه روى الصدوق </w:t>
      </w:r>
      <w:r>
        <w:rPr>
          <w:rStyle w:val="FootnoteAnchor"/>
          <w:rtl w:val="true"/>
        </w:rPr>
        <w:footnoteReference w:id="988"/>
      </w:r>
      <w:r>
        <w:rPr>
          <w:rFonts w:ascii="Amiri" w:hAnsi="Amiri" w:eastAsia="Amiri" w:cs="Amiri"/>
          <w:color w:val="111111"/>
          <w:sz w:val="28"/>
          <w:sz w:val="28"/>
          <w:szCs w:val="28"/>
          <w:rtl w:val="true"/>
          <w:lang w:bidi="ar-SA"/>
        </w:rPr>
        <w:t>رحمه‌اللّه مرسلا إنّ الكرّ هو ما يكون ثلاثة أشبار طولا في مثله ثلاثة أشبار عرضا في ثلاثة أشبار عمقا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قد روى اسماعيل بن </w:t>
      </w:r>
      <w:r>
        <w:rPr>
          <w:rStyle w:val="FootnoteAnchor"/>
          <w:rtl w:val="true"/>
        </w:rPr>
        <w:footnoteReference w:id="989"/>
      </w:r>
      <w:r>
        <w:rPr>
          <w:rFonts w:ascii="Amiri" w:hAnsi="Amiri" w:eastAsia="Amiri" w:cs="Amiri"/>
          <w:color w:val="111111"/>
          <w:sz w:val="28"/>
          <w:sz w:val="28"/>
          <w:szCs w:val="28"/>
          <w:rtl w:val="true"/>
          <w:lang w:bidi="ar-SA"/>
        </w:rPr>
        <w:t xml:space="preserve">جابر أيضا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الذي لا ينجسه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ذراعان عمقه في ذراع وشبر سعته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روايات الباب حسبما نصّ عليه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صاحب العوالي </w:t>
      </w:r>
      <w:r>
        <w:rPr>
          <w:rStyle w:val="FootnoteAnchor"/>
          <w:rtl w:val="true"/>
        </w:rPr>
        <w:footnoteReference w:id="990"/>
      </w:r>
      <w:r>
        <w:rPr>
          <w:rFonts w:ascii="Amiri" w:hAnsi="Amiri" w:eastAsia="Amiri" w:cs="Amiri"/>
          <w:color w:val="111111"/>
          <w:sz w:val="28"/>
          <w:sz w:val="28"/>
          <w:szCs w:val="28"/>
          <w:rtl w:val="true"/>
          <w:lang w:bidi="ar-SA"/>
        </w:rPr>
        <w:t>من أن هذه الرواية والرواية المتقدمة غير معلوم الإسناد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الأصحاب أنّ هذا الخبر ممّا اتفق الكلّ على صحته ، وظاهر لفظ السعة والاقتصار على ذكر البعدين يومي إلى إرادة المدور ، فيقارب مكسّره ما أفاده روايته الأولى ، فحملها على المدور هو الذي يقتضيه الجمع بين روايتيه ، بل لا يبعد أن يكون الكر مكيالا مدوّرا فينصرف الاطلاق في مثل الخبر المذكور إلى المستدير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ملاحظة جميع ما ذكر لا يبعد أن يكون هذه الصحيحة حجّة مستقلّة على القول </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تطبيقها على القول المشهور لكون الذراع زائدا على الشبرين غير ظاهر بل الظاهر خلافها حسبما يساعده الاختيار ، ويعاضده الاشتهار عند أهل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بما قرّرنا ضعف حملها على المكعّب ليكون الكر ستة وثلاثين شبرا ، ويكون المراد بالستة </w:t>
      </w:r>
      <w:r>
        <w:rPr>
          <w:rStyle w:val="FootnoteAnchor"/>
          <w:rtl w:val="true"/>
        </w:rPr>
        <w:footnoteReference w:id="991"/>
      </w:r>
      <w:r>
        <w:rPr>
          <w:rFonts w:ascii="Amiri" w:hAnsi="Amiri" w:eastAsia="Amiri" w:cs="Amiri"/>
          <w:color w:val="111111"/>
          <w:sz w:val="28"/>
          <w:sz w:val="28"/>
          <w:szCs w:val="28"/>
          <w:rtl w:val="true"/>
          <w:lang w:bidi="ar-SA"/>
        </w:rPr>
        <w:t>مجموع الطول والعرض أو أحدهما ، ويبين الحال في الآخر بالمقايسة مضافا إلى أنّه لا يظهر قائل صريح به من الأصحاب ، ولو فرض ذهاب البعض إليه فلا ريب في شذوذه فلا داعى لحمل الخبر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ويؤيّد القول المذكور مقاربته للتحديد بالوزن بناء على تفسير الرطل بالعراقي كما هو المشهور المنصور ، فإنه لا يوافق جدّا زيادة الانصاف في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فسّر الرطل بالمدني قارب القول به إلّا أنه خلاف المشهور ، فاختيار المعظم هنا الأرطال العراقية لا يوافق اختيارهم زيادة الانصاف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يؤيده أيضا ما ورد في بعض الأخبار من تفسير الكر بنحو من هذا وأنّ الماء إذا كان أكثر من راوية لا ينجسه شي‌ء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الذي يجمع به بين الأخبار لما عرفت من إمكان تنزيل أخبار المشهور وغيره على ذلك ، ولا أقلّ من إمكان حمل الزائد إذن على الاستحباب بخلاف ما لو أخذ بالأكثر للزوم طرح الأقل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 أن الأظهر في المقام هو مختار القميين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قررنا ظهر وجه القول الثالث وضعفه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القول الرابع حمل الأخبار على إرادة الجمع دون الضرب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ظاهر لخروجه عن ظواهر الروايات ومخالفته لفهم جمهور الأصحاب من دون قيام شاهد عليه</w:t>
      </w:r>
      <w:r>
        <w:rPr>
          <w:rFonts w:eastAsia="Amiri" w:cs="Amiri" w:ascii="Amiri" w:hAnsi="Amiri"/>
          <w:color w:val="111111"/>
          <w:sz w:val="28"/>
          <w:szCs w:val="28"/>
          <w:rtl w:val="true"/>
          <w:lang w:bidi="ar-SA"/>
        </w:rPr>
        <w:t xml:space="preserve">. </w:t>
      </w:r>
      <w:bookmarkStart w:id="182" w:name="pg15827_173717"/>
    </w:p>
    <w:p>
      <w:pPr>
        <w:pStyle w:val="BookText"/>
        <w:rPr/>
      </w:pPr>
      <w:bookmarkEnd w:id="182"/>
      <w:r>
        <w:rPr>
          <w:rFonts w:ascii="Amiri" w:hAnsi="Amiri" w:eastAsia="Amiri" w:cs="Amiri"/>
          <w:color w:val="111111"/>
          <w:sz w:val="28"/>
          <w:sz w:val="28"/>
          <w:szCs w:val="28"/>
          <w:rtl w:val="true"/>
          <w:lang w:bidi="ar-SA"/>
        </w:rPr>
        <w:t>لكنّك قد عرفت أن مرجع القول المذكور إلى المشهور ؛ إذ لا فرق بعد ما بنى عليه القائل المذكور بين الضرب والجمع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الخامس فلم نقف له على 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روى الصدوق رحمه‌اللّه في المقنع </w:t>
      </w:r>
      <w:r>
        <w:rPr>
          <w:rStyle w:val="FootnoteAnchor"/>
          <w:rtl w:val="true"/>
        </w:rPr>
        <w:footnoteReference w:id="992"/>
      </w:r>
      <w:r>
        <w:rPr>
          <w:rFonts w:ascii="Amiri" w:hAnsi="Amiri" w:eastAsia="Amiri" w:cs="Amiri"/>
          <w:color w:val="111111"/>
          <w:sz w:val="28"/>
          <w:sz w:val="28"/>
          <w:szCs w:val="28"/>
          <w:rtl w:val="true"/>
          <w:lang w:bidi="ar-SA"/>
        </w:rPr>
        <w:t>مرسلا أنّ الكر ذراعين وشبر في ذراعين وشبر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استناده إليه بعد حمله على المستدير ؛ إذ يصير مضروبه ثمانية وتسعين وسبعا ونصف ، وهو نحو مائة شبر ؛ لكنّ الرواية ضعيفة جدّا متروكة بين الأصحاب ، فلا معوّل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لا يطابق ما ادّعاه ، فإن ظاهرها اعتبار خصوص القدر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السادس فوجهه الجمع بين الأخبار بحملها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عند التحقيق إلى الأخذ بالأقل وحمل الزائد على الاستحباب ، فيرجع القول بحسب المساحة إلى مذهب القميين إذ لم يقل أحد بما دونه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4099719_2142443653"/>
      <w:bookmarkStart w:id="184" w:name="_Toc66"/>
      <w:bookmarkEnd w:id="183"/>
      <w:r>
        <w:rPr>
          <w:rtl w:val="true"/>
        </w:rPr>
        <w:t xml:space="preserve">[ </w:t>
      </w:r>
      <w:r>
        <w:rPr>
          <w:rtl w:val="true"/>
        </w:rPr>
        <w:t xml:space="preserve">تنبيهات </w:t>
      </w:r>
      <w:r>
        <w:rPr>
          <w:rtl w:val="true"/>
        </w:rPr>
        <w:t>]</w:t>
      </w:r>
      <w:bookmarkEnd w:id="184"/>
    </w:p>
    <w:p>
      <w:pPr>
        <w:pStyle w:val="BookText"/>
        <w:rPr/>
      </w:pPr>
      <w:r>
        <w:rPr>
          <w:rFonts w:ascii="Amiri" w:hAnsi="Amiri" w:eastAsia="Amiri" w:cs="Amiri"/>
          <w:color w:val="111111"/>
          <w:sz w:val="28"/>
          <w:sz w:val="28"/>
          <w:szCs w:val="28"/>
          <w:rtl w:val="true"/>
          <w:lang w:bidi="ar-SA"/>
        </w:rPr>
        <w:t xml:space="preserve">وهاهنا أمور ينبغي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في الأشبار بأشبار مستوى الخلقة حملا للإطلاق على الشائع ، فلا عبرة بالقصيرة جدا ولا الطويلة فيرجعان إلى 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الظاهر اختلاف أشبار مستوى الخلقة جدا ، فقد يستشكل معه في تحديد الكر به لعدم انضباطه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ويجاب عنه بأنّ التفاوت على الوجه المذكور لا ينافي الانضباط العرفي ؛ إذ ليس الضبط </w:t>
      </w:r>
      <w:r>
        <w:rPr>
          <w:rStyle w:val="FootnoteAnchor"/>
          <w:rtl w:val="true"/>
        </w:rPr>
        <w:footnoteReference w:id="993"/>
      </w:r>
      <w:r>
        <w:rPr>
          <w:rFonts w:ascii="Amiri" w:hAnsi="Amiri" w:eastAsia="Amiri" w:cs="Amiri"/>
          <w:color w:val="111111"/>
          <w:sz w:val="28"/>
          <w:sz w:val="28"/>
          <w:szCs w:val="28"/>
          <w:rtl w:val="true"/>
          <w:lang w:bidi="ar-SA"/>
        </w:rPr>
        <w:t xml:space="preserve">في العرف على وجه لا يقع فيه الاختلاف أصلا ، كيف والتحديد بالوزن أضبط مع أنه لا يخلو </w:t>
      </w:r>
    </w:p>
    <w:p>
      <w:pPr>
        <w:pStyle w:val="BookText"/>
        <w:rPr/>
      </w:pPr>
      <w:r>
        <w:rPr>
          <w:rFonts w:ascii="Amiri" w:hAnsi="Amiri" w:eastAsia="Amiri" w:cs="Amiri"/>
          <w:color w:val="111111"/>
          <w:sz w:val="28"/>
          <w:sz w:val="28"/>
          <w:szCs w:val="28"/>
          <w:rtl w:val="true"/>
          <w:lang w:bidi="ar-SA"/>
        </w:rPr>
        <w:t>أيضا عن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فالضبط العرفي أوسع دائرة من الضبط العقلي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حينئذ بأقل المستوية ، فلا يقضي باختلاف التحديد ، وكذا الحال في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باعتبار كلّ واحد من المستوية شبر نفسه لوقوع التقدير على حسبه في العرف ، فيحمل عليه الاطلاق أو أنّ العبرة بشبر المعتبر ، ولا يخلو عن بعد وإن وافق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الرجوع إلى أوسط أشبار المستوية ، وهو أيضا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التحديد المذكور للكر تحقيقي لا تقريبي ، فلو نقص عن الحدّ المذكور بأقلّ قليل كان في حكم القليل على ظاهر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الحواشي الكركية أنّ هذا هو المعروف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يومي عبارة المنتهى </w:t>
      </w:r>
      <w:r>
        <w:rPr>
          <w:rStyle w:val="FootnoteAnchor"/>
          <w:rtl w:val="true"/>
        </w:rPr>
        <w:footnoteReference w:id="995"/>
      </w:r>
      <w:r>
        <w:rPr>
          <w:rFonts w:ascii="Amiri" w:hAnsi="Amiri" w:eastAsia="Amiri" w:cs="Amiri"/>
          <w:color w:val="111111"/>
          <w:sz w:val="28"/>
          <w:sz w:val="28"/>
          <w:szCs w:val="28"/>
          <w:rtl w:val="true"/>
          <w:lang w:bidi="ar-SA"/>
        </w:rPr>
        <w:t>إلى اتفاقنا على الحكم حيث أسند القول بالتقريب إلى الشافعي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 فإن ظاهر التحديد قاض بإناطة الحكم بالحدّ المعيّن حقيقة ، والتسامح العرفي من قبيل التجوّز لا يحمل عليها الاطلاق من دون قيام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عبارة الإسكافي حيث ذكر أنّ الكر ما بلغ بكسره </w:t>
      </w:r>
      <w:r>
        <w:rPr>
          <w:rStyle w:val="FootnoteAnchor"/>
          <w:rtl w:val="true"/>
        </w:rPr>
        <w:footnoteReference w:id="996"/>
      </w:r>
      <w:r>
        <w:rPr>
          <w:rFonts w:ascii="Amiri" w:hAnsi="Amiri" w:eastAsia="Amiri" w:cs="Amiri"/>
          <w:color w:val="111111"/>
          <w:sz w:val="28"/>
          <w:sz w:val="28"/>
          <w:szCs w:val="28"/>
          <w:rtl w:val="true"/>
          <w:lang w:bidi="ar-SA"/>
        </w:rPr>
        <w:t>نحوا من مائة شبر اختيار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فرض دلالة العبارة المذكورة عليه ضعيف جدا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 بأن اختلاف التحديدات الواردة في الكر والاختلاف الحاصل في الأشبار والأوزان شاهد على كون التحديد مبنيّا على التقريب ، وإلّا لما أنيط بمثله</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وضعفه ظاهر ؛ إذ غاية الأمر حينئذ أن يكون القدر </w:t>
      </w:r>
      <w:r>
        <w:rPr>
          <w:rStyle w:val="FootnoteAnchor"/>
          <w:rtl w:val="true"/>
        </w:rPr>
        <w:footnoteReference w:id="997"/>
      </w:r>
      <w:r>
        <w:rPr>
          <w:rFonts w:ascii="Amiri" w:hAnsi="Amiri" w:eastAsia="Amiri" w:cs="Amiri"/>
          <w:color w:val="111111"/>
          <w:sz w:val="28"/>
          <w:sz w:val="28"/>
          <w:szCs w:val="28"/>
          <w:rtl w:val="true"/>
          <w:lang w:bidi="ar-SA"/>
        </w:rPr>
        <w:t>المعتبر حصول أقل تلك التقديرات ، وذلك لا يقضي بالاكتفاء بما ينقص عن الكلّ ممّا يقاربه كما هو قضية البناء على التقريب</w:t>
      </w:r>
      <w:r>
        <w:rPr>
          <w:rFonts w:eastAsia="Amiri" w:cs="Amiri" w:ascii="Amiri" w:hAnsi="Amiri"/>
          <w:color w:val="111111"/>
          <w:sz w:val="28"/>
          <w:szCs w:val="28"/>
          <w:rtl w:val="true"/>
          <w:lang w:bidi="ar-SA"/>
        </w:rPr>
        <w:t xml:space="preserve">. </w:t>
      </w:r>
      <w:bookmarkStart w:id="185" w:name="pg15827_173720"/>
    </w:p>
    <w:p>
      <w:pPr>
        <w:pStyle w:val="Heading4"/>
        <w:numPr>
          <w:ilvl w:val="3"/>
          <w:numId w:val="1"/>
        </w:numPr>
        <w:rPr/>
      </w:pPr>
      <w:bookmarkStart w:id="186" w:name="__RefHeading___Toc14099721_2142443653"/>
      <w:bookmarkStart w:id="187" w:name="_Toc67"/>
      <w:bookmarkEnd w:id="185"/>
      <w:bookmarkEnd w:id="186"/>
      <w:r>
        <w:rPr>
          <w:rtl w:val="true"/>
        </w:rPr>
        <w:t>تبصرة</w:t>
      </w:r>
      <w:r>
        <w:rPr>
          <w:rtl w:val="true"/>
        </w:rPr>
        <w:t xml:space="preserve">: [ </w:t>
      </w:r>
      <w:r>
        <w:rPr>
          <w:rtl w:val="true"/>
        </w:rPr>
        <w:t xml:space="preserve">في موضوع البئر وبعض أحكامها </w:t>
      </w:r>
      <w:r>
        <w:rPr>
          <w:rtl w:val="true"/>
        </w:rPr>
        <w:t>]</w:t>
      </w:r>
      <w:bookmarkEnd w:id="187"/>
    </w:p>
    <w:p>
      <w:pPr>
        <w:pStyle w:val="BookText"/>
        <w:rPr/>
      </w:pPr>
      <w:r>
        <w:rPr>
          <w:rFonts w:ascii="Amiri" w:hAnsi="Amiri" w:eastAsia="Amiri" w:cs="Amiri"/>
          <w:color w:val="111111"/>
          <w:sz w:val="28"/>
          <w:sz w:val="28"/>
          <w:szCs w:val="28"/>
          <w:rtl w:val="true"/>
          <w:lang w:bidi="ar-SA"/>
        </w:rPr>
        <w:t xml:space="preserve">ماء البئر أحد أقسام المياه المعنونة في الأخبار وكلام الأصحاب ، وقد أنيط بها عدّة من الأحكام فالأولى أوّلا شرح موضوعها ثمّ اتباعه ببيان </w:t>
      </w:r>
      <w:r>
        <w:rPr>
          <w:rStyle w:val="FootnoteAnchor"/>
          <w:rtl w:val="true"/>
        </w:rPr>
        <w:footnoteReference w:id="998"/>
      </w:r>
      <w:r>
        <w:rPr>
          <w:rFonts w:ascii="Amiri" w:hAnsi="Amiri" w:eastAsia="Amiri" w:cs="Amiri"/>
          <w:color w:val="111111"/>
          <w:sz w:val="28"/>
          <w:sz w:val="28"/>
          <w:szCs w:val="28"/>
          <w:rtl w:val="true"/>
          <w:lang w:bidi="ar-SA"/>
        </w:rPr>
        <w:t>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عرّفه جماعة </w:t>
      </w:r>
      <w:r>
        <w:rPr>
          <w:rStyle w:val="FootnoteAnchor"/>
          <w:rtl w:val="true"/>
        </w:rPr>
        <w:footnoteReference w:id="999"/>
      </w:r>
      <w:r>
        <w:rPr>
          <w:rFonts w:ascii="Amiri" w:hAnsi="Amiri" w:eastAsia="Amiri" w:cs="Amiri"/>
          <w:color w:val="111111"/>
          <w:sz w:val="28"/>
          <w:sz w:val="28"/>
          <w:szCs w:val="28"/>
          <w:rtl w:val="true"/>
          <w:lang w:bidi="ar-SA"/>
        </w:rPr>
        <w:t>منهم الشهيدان بأنها مجمع ماء نابع من الأرض لا يتعداها غالبا ، ولا يخرج عن مسماها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والإحالة </w:t>
      </w:r>
      <w:r>
        <w:rPr>
          <w:rStyle w:val="FootnoteAnchor"/>
          <w:rtl w:val="true"/>
        </w:rPr>
        <w:footnoteReference w:id="1000"/>
      </w:r>
      <w:r>
        <w:rPr>
          <w:rFonts w:ascii="Amiri" w:hAnsi="Amiri" w:eastAsia="Amiri" w:cs="Amiri"/>
          <w:color w:val="111111"/>
          <w:sz w:val="28"/>
          <w:sz w:val="28"/>
          <w:szCs w:val="28"/>
          <w:rtl w:val="true"/>
          <w:lang w:bidi="ar-SA"/>
        </w:rPr>
        <w:t>في تعيين مسماها إلى العرف من جهة عدم إمكان تحديد الأمور العرفيّة على وجه جامع مانع بدون الإرجاع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التحديد حينئذ لغو لبيان جملة من الأمور الشارحة لمعناها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ضمّ إليها الرجوع إلى العرف لتتميم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إحالة إلى المجهول ؛ لوضوح الحال بعد 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استعمالا للمشترك في الحد من دون قرينة ؛ لوضوح انصراف العرف مع الإطلاق إلى العرف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العرف العام الحاصل في زمن النبي صلى‌اللّه‌عليه‌وآله والأئمّة عليهم‌السلام ، الظاهر من ملاحظة العرف العام في هذه الأزمنة كما هو الغالب في استعمال </w:t>
      </w:r>
      <w:r>
        <w:rPr>
          <w:rStyle w:val="FootnoteAnchor"/>
          <w:rtl w:val="true"/>
        </w:rPr>
        <w:footnoteReference w:id="1001"/>
      </w:r>
      <w:r>
        <w:rPr>
          <w:rFonts w:ascii="Amiri" w:hAnsi="Amiri" w:eastAsia="Amiri" w:cs="Amiri"/>
          <w:color w:val="111111"/>
          <w:sz w:val="28"/>
          <w:sz w:val="28"/>
          <w:szCs w:val="28"/>
          <w:rtl w:val="true"/>
          <w:lang w:bidi="ar-SA"/>
        </w:rPr>
        <w:t>المعاني العرفية الحاصلة في أزمنتهم عليهم‌السلام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يلزم من ذلك إبهام الحدّ من جهة جهالة العرف المحال عليه لاستكشافه بالرجوع إلى العرف العام في أزمنتنا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من الرجوع إلى العرف العام تغيير الحكم بتغيير العرف ؛ إذ لا معوّل على شي‌ء من المعاني العرفيّة في معرفة الألفاظ الواردة في كلام الشارع بعد العلم بتغيير العرف أو الظن به ، بل الشك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يؤخذ بالمعاني العرفية من جهة الظن بالاتحاد والاستكشاف بما عندنا عمّا هناك كما هو الحال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فالإيراد المذكور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النبع في مفهومها ظاهر من ملاحظة العرف العام المحكم في أمثال المقام ، ولذا لا يعدّ الماء النازل إلى الحفر الهابطة بئرا في العرف ، وإن أطلق عليها اسم البئر في بعض البلاد كما يحكى عن بلاد الشام ، فلا يجري عليه أحكام البئر ؛ لما عرفت من عدم الاعتداد فيه بالعرف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بالنبع ما يعمّ الترشيح لصدق البئر معه قطعا ولو </w:t>
      </w:r>
      <w:r>
        <w:rPr>
          <w:rStyle w:val="FootnoteAnchor"/>
          <w:rtl w:val="true"/>
        </w:rPr>
        <w:footnoteReference w:id="1002"/>
      </w:r>
      <w:r>
        <w:rPr>
          <w:rStyle w:val="FootnoteAnchor"/>
          <w:rtl w:val="true"/>
        </w:rPr>
        <w:footnoteReference w:id="1003"/>
      </w:r>
      <w:r>
        <w:rPr>
          <w:rFonts w:ascii="Amiri" w:hAnsi="Amiri" w:eastAsia="Amiri" w:cs="Amiri"/>
          <w:color w:val="111111"/>
          <w:sz w:val="28"/>
          <w:sz w:val="28"/>
          <w:szCs w:val="28"/>
          <w:rtl w:val="true"/>
          <w:lang w:bidi="ar-SA"/>
        </w:rPr>
        <w:t xml:space="preserve">فرق بين أن يكون الترشيح من أعماق الأرض أو من النهر </w:t>
      </w:r>
      <w:r>
        <w:rPr>
          <w:rStyle w:val="FootnoteAnchor"/>
          <w:rtl w:val="true"/>
        </w:rPr>
        <w:footnoteReference w:id="1004"/>
      </w:r>
      <w:r>
        <w:rPr>
          <w:rFonts w:ascii="Amiri" w:hAnsi="Amiri" w:eastAsia="Amiri" w:cs="Amiri"/>
          <w:color w:val="111111"/>
          <w:sz w:val="28"/>
          <w:sz w:val="28"/>
          <w:szCs w:val="28"/>
          <w:rtl w:val="true"/>
          <w:lang w:bidi="ar-SA"/>
        </w:rPr>
        <w:t>الواقع في جنب الأرض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ظهور الماء تحت الأرض على نحو الثماد </w:t>
      </w:r>
      <w:r>
        <w:rPr>
          <w:rStyle w:val="FootnoteAnchor"/>
          <w:rtl w:val="true"/>
        </w:rPr>
        <w:footnoteReference w:id="1005"/>
      </w:r>
      <w:r>
        <w:rPr>
          <w:rFonts w:ascii="Amiri" w:hAnsi="Amiri" w:eastAsia="Amiri" w:cs="Amiri"/>
          <w:color w:val="111111"/>
          <w:sz w:val="28"/>
          <w:sz w:val="28"/>
          <w:szCs w:val="28"/>
          <w:rtl w:val="true"/>
          <w:lang w:bidi="ar-SA"/>
        </w:rPr>
        <w:t>ففي إلحاقه بالنبع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هناك ماء مجتمع واقف تحت الأرض فحفر الأرض إليها كما يوجد في بعض البلاد ففي إجراء حكم البئر فيه إشكال ، ويعتبر فيه إبقاء النبع بمعنى اتصالها بالنبع ، فلو حبسه </w:t>
      </w:r>
      <w:r>
        <w:rPr>
          <w:rStyle w:val="FootnoteAnchor"/>
          <w:rtl w:val="true"/>
        </w:rPr>
        <w:footnoteReference w:id="1006"/>
      </w:r>
      <w:r>
        <w:rPr>
          <w:rFonts w:ascii="Amiri" w:hAnsi="Amiri" w:eastAsia="Amiri" w:cs="Amiri"/>
          <w:color w:val="111111"/>
          <w:sz w:val="28"/>
          <w:sz w:val="28"/>
          <w:szCs w:val="28"/>
          <w:rtl w:val="true"/>
          <w:lang w:bidi="ar-SA"/>
        </w:rPr>
        <w:t>نبعا جرى عليها حكم الواقف في وجه قوي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اتصل بالماء المعصوم كالجاري خرج عن حكم البئر ، فلو ألقى فيه الكر وإن كان مأخوذا منه قوي اعتصامها به ما دام باقيا فيها ويحتمل فيه تغليب حكم البئر بعد استقراره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أجري الماء إلى </w:t>
      </w:r>
      <w:r>
        <w:rPr>
          <w:rStyle w:val="FootnoteAnchor"/>
          <w:rtl w:val="true"/>
        </w:rPr>
        <w:footnoteReference w:id="1007"/>
      </w:r>
      <w:r>
        <w:rPr>
          <w:rFonts w:ascii="Amiri" w:hAnsi="Amiri" w:eastAsia="Amiri" w:cs="Amiri"/>
          <w:color w:val="111111"/>
          <w:sz w:val="28"/>
          <w:sz w:val="28"/>
          <w:szCs w:val="28"/>
          <w:rtl w:val="true"/>
          <w:lang w:bidi="ar-SA"/>
        </w:rPr>
        <w:t>البئر فسرى في أعماق الأرض ثمّ خرج بعد ذلك على سبيل النبع أو الرشح اندرج في حكم البئر في وجه قوي ، ويعتبر فيها البعد عن وجه الأرض ، فلو أشير إليه في الحد كان أولى ويرجع في مقدار البعد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في التهذيب تنزيل العيون </w:t>
      </w:r>
      <w:r>
        <w:rPr>
          <w:rStyle w:val="FootnoteAnchor"/>
          <w:rtl w:val="true"/>
        </w:rPr>
        <w:footnoteReference w:id="1008"/>
      </w:r>
      <w:r>
        <w:rPr>
          <w:rFonts w:ascii="Amiri" w:hAnsi="Amiri" w:eastAsia="Amiri" w:cs="Amiri"/>
          <w:color w:val="111111"/>
          <w:sz w:val="28"/>
          <w:sz w:val="28"/>
          <w:szCs w:val="28"/>
          <w:rtl w:val="true"/>
          <w:lang w:bidi="ar-SA"/>
        </w:rPr>
        <w:t>الراكدة منزلة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ابن القطان في المعالم وبعض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أريد بذلك دخولها في اسم البئر فهو بيّن الضعف بعد الرجوع إلى العرف ، وإن أريد مجرّد إلحاقها بها في الحكم فكذلك أيضا ؛ لعدم وضوح دليل على الإلحاق مع ما للبئر من الأحكام المخالفة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إذن إلحاقها على القول بعدم عاصميّة </w:t>
      </w:r>
      <w:r>
        <w:rPr>
          <w:rStyle w:val="FootnoteAnchor"/>
          <w:rtl w:val="true"/>
        </w:rPr>
        <w:footnoteReference w:id="1009"/>
      </w:r>
      <w:r>
        <w:rPr>
          <w:rFonts w:ascii="Amiri" w:hAnsi="Amiri" w:eastAsia="Amiri" w:cs="Amiri"/>
          <w:color w:val="111111"/>
          <w:sz w:val="28"/>
          <w:sz w:val="28"/>
          <w:szCs w:val="28"/>
          <w:rtl w:val="true"/>
          <w:lang w:bidi="ar-SA"/>
        </w:rPr>
        <w:t>المادة إلى المياه المحقونة ، وإلّا فالأقوى اعتصامها وجريانها مجرى الجاري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المفيد رحمه‌اللّه مخالفته في الحكم للجاري والراكد والبئر ،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أيضا في صدق البئر أن يكون على النحو المعتاد وما يقاربه فلو حفر سرداب ونحوه إلى أن ظهر الماء لم يكن بئرا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حكمها فيه وجهان ، ومقتضى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اعتبر في الحد من عدم جريان الماء وتعدّيه عن النبع </w:t>
      </w:r>
      <w:r>
        <w:rPr>
          <w:rStyle w:val="FootnoteAnchor"/>
          <w:rtl w:val="true"/>
        </w:rPr>
        <w:footnoteReference w:id="1010"/>
      </w:r>
      <w:r>
        <w:rPr>
          <w:rFonts w:ascii="Amiri" w:hAnsi="Amiri" w:eastAsia="Amiri" w:cs="Amiri"/>
          <w:color w:val="111111"/>
          <w:sz w:val="28"/>
          <w:sz w:val="28"/>
          <w:szCs w:val="28"/>
          <w:rtl w:val="true"/>
          <w:lang w:bidi="ar-SA"/>
        </w:rPr>
        <w:t>هو الظاهر من إطلاق البئر في العرف ، فالقنوات الجارية تحت الأرض بحكم سائر المياه الجارية سواء ظهرت على وجهها أولا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 أفاضل المتأخرين صدق البئر مع الجريان أيضا كما في أكثر آبار المشهد المقدس الغروي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 آلاف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فيندرج آبار القنوات الجارية في محلّ البحث ، وهو 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الإطلاقات الواردة في المقام </w:t>
      </w:r>
      <w:r>
        <w:rPr>
          <w:rStyle w:val="FootnoteAnchor"/>
          <w:rtl w:val="true"/>
        </w:rPr>
        <w:footnoteReference w:id="1011"/>
      </w:r>
      <w:r>
        <w:rPr>
          <w:rFonts w:ascii="Amiri" w:hAnsi="Amiri" w:eastAsia="Amiri" w:cs="Amiri"/>
          <w:color w:val="111111"/>
          <w:sz w:val="28"/>
          <w:sz w:val="28"/>
          <w:szCs w:val="28"/>
          <w:rtl w:val="true"/>
          <w:lang w:bidi="ar-SA"/>
        </w:rPr>
        <w:t xml:space="preserve">ما يعمّها في غاية البعد عن الفهم ، فالظاهر خروجها عن محلّ الكلام في المقام وعدم جريان أحكام البئر فيها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وقف مياه القنوات وانقطع جريانها فالأظهر اندراجها في محلّ البحث وإن كانت جارية في الأغلب واتصل مياه تلك الآبار بعضها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فاض ماء البئر في بعض الفصول قوى خروجه عن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واندراجه إذن في اسم العين وإن كان حين غور مائها مندرجا في البئر ، ومغلوبية الحالة الأولى لا يقضي بشمول اسم البئر لها في تلك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البناء على </w:t>
      </w:r>
      <w:r>
        <w:rPr>
          <w:rStyle w:val="FootnoteAnchor"/>
          <w:rtl w:val="true"/>
        </w:rPr>
        <w:footnoteReference w:id="1013"/>
      </w:r>
      <w:r>
        <w:rPr>
          <w:rFonts w:ascii="IRNazanin" w:hAnsi="IRNazanin" w:eastAsia="IRNazanin"/>
          <w:color w:val="111111"/>
          <w:sz w:val="28"/>
          <w:sz w:val="28"/>
          <w:szCs w:val="28"/>
          <w:rtl w:val="true"/>
          <w:lang w:bidi="fa-IR"/>
        </w:rPr>
        <w:t>الشمول فالظاهر عدم شمول الإطلاق لمثله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الحد يومي إلى اندراجه إذن في البئر بخلاف ما لو كان الغالب فيه الجريان واتفق غوره في بعض الأحيان أو تساوى فيه الحالان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توصّل إلى جريان الماء في الظاهر ببعض الآلات ففي جريان حكم البئر على مائها </w:t>
      </w:r>
      <w:r>
        <w:rPr>
          <w:rStyle w:val="FootnoteAnchor"/>
          <w:rtl w:val="true"/>
        </w:rPr>
        <w:footnoteReference w:id="1014"/>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الماء الخارج المتّصل بالمنبع ففي إلحاقه بالجاري أو الراكد أو البئر وجوه ؛ كان أوجهها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الحد المذكور اتحاد المنبع والمجمع ، ولا يخلو عن قرب إلّا أن يتقاربا فلا ، يبعد معه صدق البئر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ومقتضى الأصل في موارد الشكّ في صدق البئر هو الإلحاق بغيرها لما لها من الأحكام المخالفة للأصل سيّما على القول بنجاستها بالملاقاة ، ولو كان الشكّ بعد اليقين بصدق البئر احتمل استصحاب الحكم السابق ، فتأمّل</w:t>
      </w:r>
      <w:r>
        <w:rPr>
          <w:rFonts w:eastAsia="Amiri" w:cs="Amiri" w:ascii="Amiri" w:hAnsi="Amiri"/>
          <w:color w:val="111111"/>
          <w:sz w:val="28"/>
          <w:szCs w:val="28"/>
          <w:rtl w:val="true"/>
          <w:lang w:bidi="ar-SA"/>
        </w:rPr>
        <w:t xml:space="preserve">. </w:t>
      </w:r>
      <w:bookmarkStart w:id="188" w:name="pg15827_173724"/>
    </w:p>
    <w:p>
      <w:pPr>
        <w:pStyle w:val="Heading4"/>
        <w:numPr>
          <w:ilvl w:val="3"/>
          <w:numId w:val="1"/>
        </w:numPr>
        <w:rPr/>
      </w:pPr>
      <w:bookmarkStart w:id="189" w:name="__RefHeading___Toc14099723_2142443653"/>
      <w:bookmarkStart w:id="190" w:name="_Toc68"/>
      <w:bookmarkEnd w:id="188"/>
      <w:bookmarkEnd w:id="189"/>
      <w:r>
        <w:rPr>
          <w:rtl w:val="true"/>
        </w:rPr>
        <w:t>تبصرة</w:t>
      </w:r>
      <w:r>
        <w:rPr>
          <w:rtl w:val="true"/>
        </w:rPr>
        <w:t xml:space="preserve">: [ </w:t>
      </w:r>
      <w:r>
        <w:rPr>
          <w:rtl w:val="true"/>
        </w:rPr>
        <w:t xml:space="preserve">في كيفية اعتصام البئر بالملاقاة </w:t>
      </w:r>
      <w:r>
        <w:rPr>
          <w:rtl w:val="true"/>
        </w:rPr>
        <w:t>]</w:t>
      </w:r>
      <w:bookmarkEnd w:id="190"/>
    </w:p>
    <w:p>
      <w:pPr>
        <w:pStyle w:val="BookText"/>
        <w:rPr/>
      </w:pPr>
      <w:r>
        <w:rPr>
          <w:rFonts w:ascii="Amiri" w:hAnsi="Amiri" w:eastAsia="Amiri" w:cs="Amiri"/>
          <w:color w:val="111111"/>
          <w:sz w:val="28"/>
          <w:sz w:val="28"/>
          <w:szCs w:val="28"/>
          <w:rtl w:val="true"/>
          <w:lang w:bidi="ar-SA"/>
        </w:rPr>
        <w:t xml:space="preserve">اختلف الأصحاب في اعتصام البئر عن الانفعال بالملاقاة وعدمه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بانفعالها بمجرّد الملاقاة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ذهب معظم المتقدمين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عليه ابن بابويه في رسالته إلى ابنه والمفيد في المقنعة والسيد المرتضى في الانتصار والشيخ رحمه‌اللّه في عدّة من كتبه والديلمي ، والقاضي ، والحلبي ، وصاحب الإشارة والطوسي وابن زهرة ، والحلّي والمحقق ، وابن عمّه يحيى بن سعيد ، و </w:t>
      </w:r>
      <w:r>
        <w:rPr>
          <w:rStyle w:val="FootnoteAnchor"/>
          <w:rtl w:val="true"/>
        </w:rPr>
        <w:footnoteReference w:id="1015"/>
      </w:r>
      <w:r>
        <w:rPr>
          <w:rFonts w:ascii="Amiri" w:hAnsi="Amiri" w:eastAsia="Amiri" w:cs="Amiri"/>
          <w:color w:val="111111"/>
          <w:sz w:val="28"/>
          <w:sz w:val="28"/>
          <w:szCs w:val="28"/>
          <w:rtl w:val="true"/>
          <w:lang w:bidi="ar-SA"/>
        </w:rPr>
        <w:t>العلّامة في تلخيص المرام والشهيدان في عدّة من كتبهما والشيخ عبد العال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الإجماع عليه ودعوى اشتهاره بين الأصحاب مستفيضة سيجي‌ء الإشارة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وعدم الانفعال بمجرّد ملاقاة النجاسة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وإليه ذهب معظم المتأخرين من أصحابنا ، بل الظاهر استقرار المذهب عليه واتّفاقهم أخيرا على القول به ؛ ذهب إليه العلّامة رحمه‌اللّه في معظم كتبه وولده المحقّق في الايضاح والسيورى في ظاهر التنقيح وابن فهد في عدة من كتبه ، والمحقق الكركي ، وتلميذه الشيخ أبي طالب ، والفاضل القطيفي ، والشهيد الثاني ، فيما اعتمد عليه أخيرا حسبما نصّ عليه ولده المحقّق في المعالم وصرّح به في رسالته المعمولة في المسألة ، والمحقق الأردبيلي ، وتلميذاه المحقّقان ، وشيخنا البهائي في اثني عشريته ، والفاضل الخراساني ، والعلّامة الخوانساري ، وولده ، والعلّامتين المجلسيّين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حكي القول به أيضا عن جماعة من قدماء أصحابنا منهم العماني ، والصدوق في الهداية ، والحسين بن عبد اللّه الغضائري شيخ الشيخ قد حكى في غاية المراد عن الشيخ أبي يعلى الجعفري خليفة المفيد عنه القول به ، والشيخ الفقيه مفيد بن جهم شيخ العلّامة رحمه‌اللّه حكاه الشهيد أيضا عن شيخه السيد العميدي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القول به عن الشيخ رحمه‌اللّه في كتابي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فيهما مضطرب إلّا أنّ حمل كلامه على الحكم بالطهارة والقول بوجوب النزح تعبّد هو مقتضى الجمع بين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حكاه المحقّق عن قوم من الفقهاء القدماء ، وتلميذه الآبي عن جماعة من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ينسب ذلك إلى جماعة من أساطين المحدثين وفقهاء الرواة كزرارة ومحمّد بن مسلم وأبي بصير ومعاوية بن عمار وعلي بن جعفر وأبان بن عثمان وابن رئاب ومحمّد بن اسماعيل بن بزيع والبزنطي والحسين بن سعيد وأحمد بن محمّد بن عيسى والصفار والزيات وغيرهم ممّن روى عدم انفعالها بالملاقاة ؛ بناء على ما اشتهر من انّهم إنّما يفتون بمضمون ما يروون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القائلون بهذا القول في وجوب النزح تعبّدا وعدمه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 منهم الشيخ في كتابي الحديث على ما مرّ هو الأول ، وإليه ذهب العلّامة رحمه‌اللّه في المنتهى ، وابن فهد في عدة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يستظهر من الصدوق في الهداية ، ويظهر من السيوري الميل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المتأخرين بل المتّفق عليه في الظاهر بين متأخريهم هو استحباب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مختار العلّامة رحمه‌اللّه في جملة من كتبه ، والمحقّق الكركي ، والشهيد الثاني ، وهو المنقول عن جماعة من القدماء منهم العماني على ما حكاه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وتفرّد ابن فهد في حكاية الأوّل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القول الأوّل يتوقف جواز استعمال الماء على النزح على ما نصّوا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المراد بالوجوب وإلّا فلا وجه للقول بوجوبه الشرعي فيأثم بتعمّد استعماله من دونه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الجهل به فلا حرج ، كما نصّ عليه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التعمّد والإثم فهل يصحّ التطهير به؟ قولان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التهذيب صحة الاستعمال وإن أثم كما هو المصرّح به في المحرر ، وظاهر الاستبصار بطلان الاستعمال ولزوم إعادة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إنّما يقول به فيما يتوقف على نية القربة كالوضوء دون غيره كتطهير الثياب ، فينحلّ القول المذكور إذن إلى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الكثير والقليل ، فلا يعتصم </w:t>
      </w:r>
      <w:r>
        <w:rPr>
          <w:rStyle w:val="FootnoteAnchor"/>
          <w:rtl w:val="true"/>
        </w:rPr>
        <w:footnoteReference w:id="1016"/>
      </w:r>
      <w:r>
        <w:rPr>
          <w:rFonts w:ascii="Amiri" w:hAnsi="Amiri" w:eastAsia="Amiri" w:cs="Amiri"/>
          <w:color w:val="111111"/>
          <w:sz w:val="28"/>
          <w:sz w:val="28"/>
          <w:szCs w:val="28"/>
          <w:rtl w:val="true"/>
          <w:lang w:bidi="ar-SA"/>
        </w:rPr>
        <w:t xml:space="preserve">ما دون الكر منه وان </w:t>
      </w:r>
      <w:r>
        <w:rPr>
          <w:rStyle w:val="FootnoteAnchor"/>
          <w:rtl w:val="true"/>
        </w:rPr>
        <w:footnoteReference w:id="1017"/>
      </w:r>
      <w:r>
        <w:rPr>
          <w:rFonts w:ascii="Amiri" w:hAnsi="Amiri" w:eastAsia="Amiri" w:cs="Amiri"/>
          <w:color w:val="111111"/>
          <w:sz w:val="28"/>
          <w:sz w:val="28"/>
          <w:szCs w:val="28"/>
          <w:rtl w:val="true"/>
          <w:lang w:bidi="ar-SA"/>
        </w:rPr>
        <w:t xml:space="preserve">الكر على ما حكي القول به عن محمّد بن محمّد البصري من تلامذة السيد المرتضى رحمه‌اللّه وربّما يعزى ذلك إلى السيد في الجمل </w:t>
      </w:r>
      <w:r>
        <w:rPr>
          <w:rStyle w:val="FootnoteAnchor"/>
          <w:rtl w:val="true"/>
        </w:rPr>
        <w:footnoteReference w:id="101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كلّ ماء على أصل الطهارة إلّا أن يخالطه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فينجس أو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أوصافه من لون أو طعم أو رائحة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يعم ماء البئر والجاري وغيرهما ، لكن القاضي في شرحه حمل ذلك على القليل من الراكد ، وذكر أن أصحابنا يذهبون إلى نجاسة مياه الآبار ممّا يلاقيها من النجاسة ولا يعتبرون فيه قلة ولا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التفصيل شيخنا البهائي في بعض مصنّفاته ، وألزم العلّامة رحمه‌اللّه القول به ، فإنه إذا قال به في الجاري كان التزامه به في البئر أولى وليس كذلك ؛ إذ الطهارة والنجاسة من الأحكام التوقيفية ، وظاهر الإطلاقات في المقام انتفاء </w:t>
      </w:r>
      <w:r>
        <w:rPr>
          <w:rStyle w:val="FootnoteAnchor"/>
          <w:rtl w:val="true"/>
        </w:rPr>
        <w:footnoteReference w:id="1019"/>
      </w:r>
      <w:r>
        <w:rPr>
          <w:rFonts w:ascii="Amiri" w:hAnsi="Amiri" w:eastAsia="Amiri" w:cs="Amiri"/>
          <w:color w:val="111111"/>
          <w:sz w:val="28"/>
          <w:sz w:val="28"/>
          <w:szCs w:val="28"/>
          <w:rtl w:val="true"/>
          <w:lang w:bidi="ar-SA"/>
        </w:rPr>
        <w:t>التفصيل في البئر بين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والأولوية المذكورة لا تنهض حجة شرعية مع عدم إشعاره قدس‌سره بالتفصيل ، ولو كان قائلا به لأشار إليه في شي‌ء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الجعفي أنه اعتبر في اعتصام البئر أن يكون كل من أبعاده الثلاثة ذراعين ، ثمّ إنه حكم بالنزح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وكلامه هذا يحتمل التفصيل المذكور عن البصروي ؛ بناء على تحديده الكر بالقدر </w:t>
      </w:r>
    </w:p>
    <w:p>
      <w:pPr>
        <w:pStyle w:val="BookText"/>
        <w:rPr/>
      </w:pPr>
      <w:r>
        <w:rPr>
          <w:rFonts w:ascii="Amiri" w:hAnsi="Amiri" w:eastAsia="Amiri" w:cs="Amiri"/>
          <w:color w:val="111111"/>
          <w:sz w:val="28"/>
          <w:sz w:val="28"/>
          <w:szCs w:val="28"/>
          <w:rtl w:val="true"/>
          <w:lang w:bidi="ar-SA"/>
        </w:rPr>
        <w:t>المذكور لكنه غير معروف في حدّ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تفصيلا آخر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حكمه بالنزح إن كان بالنسبة إلى ما بلغ القدر المذكور أيضا ، وكان قولا منه بوجوبه كما يومي إليه العبارة المذكورة كان ذلك أيضا فارقا بين قوله وقول البصروي ؛ إذ لم ينقل عنه الحكم بوجوب النزح بالنسبة إلى ما ذهب اعتصامه ، وظاهر مذهبه يعطي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فالظاهر أن هذا القول أيضا ينحلّ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في المسألة هو القول بعدم </w:t>
      </w:r>
      <w:r>
        <w:rPr>
          <w:rStyle w:val="FootnoteAnchor"/>
          <w:rtl w:val="true"/>
        </w:rPr>
        <w:footnoteReference w:id="1020"/>
      </w:r>
      <w:r>
        <w:rPr>
          <w:rFonts w:ascii="Amiri" w:hAnsi="Amiri" w:eastAsia="Amiri" w:cs="Amiri"/>
          <w:color w:val="111111"/>
          <w:sz w:val="28"/>
          <w:sz w:val="28"/>
          <w:szCs w:val="28"/>
          <w:rtl w:val="true"/>
          <w:lang w:bidi="ar-SA"/>
        </w:rPr>
        <w:t>انفعالها بالملاقاة وعدم وجوب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قضاء الأصل به من وجوه عديدة ودلالة العمومات عليه من الكتاب والسنة المعتبرة المستفيضة المشتملة على الصحاح وغيرها منها صحيحة محمّد بن اسماعيل ابن بزيع المروية مشافهة تارة ومكاتبة أخرى عن مولانا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البئر واسع لا يفسده شي‌ء إلّا أن يتغيّر ريحه أو طعمه فينزح حتّى يذهب الريح ويطيب طعمه لأنّ له مادة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وهي مع وضوح إسنادها واضحة الدلالة على المقصود بل فيها دلالة على المدعى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يغسل الثوب ولا تعاد الصلاة ممّا وقع في البئر إلا بنتن </w:t>
      </w:r>
      <w:r>
        <w:rPr>
          <w:rStyle w:val="FootnoteAnchor"/>
          <w:rtl w:val="true"/>
        </w:rPr>
        <w:footnoteReference w:id="1022"/>
      </w:r>
      <w:r>
        <w:rPr>
          <w:rFonts w:ascii="Amiri" w:hAnsi="Amiri" w:eastAsia="Amiri" w:cs="Amiri"/>
          <w:color w:val="111111"/>
          <w:sz w:val="28"/>
          <w:sz w:val="28"/>
          <w:szCs w:val="28"/>
          <w:rtl w:val="true"/>
          <w:lang w:bidi="ar-SA"/>
        </w:rPr>
        <w:t xml:space="preserve">فإن نتن غسل الثوب وأعاد الصلاة ونزحت البئر </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له عنه في الفأرة تقع في البئر فيتوضأ الرجل منها ويصلي وهو لا يعلم أيعيد الصلاة ويغسل ثوبه؟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يعيد الصلاة ولا يغسل ثوبه </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في موثقة أبان </w:t>
      </w:r>
      <w:r>
        <w:rPr>
          <w:rStyle w:val="FootnoteAnchor"/>
          <w:rtl w:val="true"/>
        </w:rPr>
        <w:footnoteReference w:id="1025"/>
      </w:r>
      <w:r>
        <w:rPr>
          <w:rFonts w:ascii="Amiri" w:hAnsi="Amiri" w:eastAsia="Amiri" w:cs="Amiri"/>
          <w:color w:val="111111"/>
          <w:sz w:val="28"/>
          <w:sz w:val="28"/>
          <w:szCs w:val="28"/>
          <w:rtl w:val="true"/>
          <w:lang w:bidi="ar-SA"/>
        </w:rPr>
        <w:t>عنه عليه‌السلام ، وقد وقع السؤال فيها عن إعادة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الشحام وابن عثيم عنه </w:t>
      </w:r>
      <w:r>
        <w:rPr>
          <w:rStyle w:val="FootnoteAnchor"/>
          <w:rtl w:val="true"/>
        </w:rPr>
        <w:footnoteReference w:id="1026"/>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وقع في البئر الطير والدجاجة والفأرة فانزح منها سبع 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صلاتنا ووضوئنا وما أصاب ثيابنا؟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رحمهم‌اللّه تعالى في الكتب الأربعة عن أبي بصير 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يسقى منه ويتوضأ به ويغتسل منه الثياب ويعجن به ثمّ يعلم أنّه كان فيها 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ولا يغسل منه الثوب ولا يعاد منه الصلاة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 عن أخيه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بئر ماء وقع فيه زنبيل من عذرة </w:t>
      </w:r>
      <w:r>
        <w:rPr>
          <w:rStyle w:val="FootnoteAnchor"/>
          <w:rtl w:val="true"/>
        </w:rPr>
        <w:footnoteReference w:id="1029"/>
      </w:r>
      <w:r>
        <w:rPr>
          <w:rFonts w:ascii="Amiri" w:hAnsi="Amiri" w:eastAsia="Amiri" w:cs="Amiri"/>
          <w:color w:val="111111"/>
          <w:sz w:val="28"/>
          <w:sz w:val="28"/>
          <w:szCs w:val="28"/>
          <w:rtl w:val="true"/>
          <w:lang w:bidi="ar-SA"/>
        </w:rPr>
        <w:t xml:space="preserve">رطبة أو يابسة أو زنبيل من سرقين ، أيصلح الوضوء منها؟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علي بن حديد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عليه‌السلام في طريق مكة فصرنا إلى بئر فاستقى غلام أبي عبد اللّه عليه‌السلام دلوا فخرج فيه فأرتان ، فقال أبو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فاستقى آخر فخرجت فيه فأرة فاستقى الثالث ، فلم يخرج فيه شي‌ء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صبه في الإناء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واستعماله عليه‌السلام للماء المفروض من دون نزح المقدّر مع ما تقرّر من عدم إقدامهم اختيارا على المكروهات ومخالفة السنن إما لمكان الضرورة من جهة السفر أو لبيان الجواز أو من جهة التوسعة والأخذ بالرخصة ، وهي قد يكون جهة مرجّحة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يحبّ أن يؤخذ </w:t>
      </w:r>
    </w:p>
    <w:p>
      <w:pPr>
        <w:pStyle w:val="BookText"/>
        <w:rPr/>
      </w:pPr>
      <w:r>
        <w:rPr>
          <w:rFonts w:ascii="IRNazanin" w:hAnsi="IRNazanin" w:eastAsia="IRNazanin"/>
          <w:color w:val="111111"/>
          <w:sz w:val="28"/>
          <w:sz w:val="28"/>
          <w:szCs w:val="28"/>
          <w:rtl w:val="true"/>
          <w:lang w:bidi="fa-IR"/>
        </w:rPr>
        <w:t xml:space="preserve">برخصته </w:t>
      </w:r>
      <w:r>
        <w:rPr>
          <w:rStyle w:val="FootnoteAnchor"/>
          <w:rtl w:val="true"/>
        </w:rPr>
        <w:footnoteReference w:id="1032"/>
      </w:r>
      <w:r>
        <w:rPr>
          <w:rFonts w:ascii="Amiri" w:hAnsi="Amiri" w:eastAsia="Amiri" w:cs="Amiri"/>
          <w:color w:val="111111"/>
          <w:sz w:val="28"/>
          <w:sz w:val="28"/>
          <w:szCs w:val="28"/>
          <w:rtl w:val="true"/>
          <w:lang w:bidi="ar-SA"/>
        </w:rPr>
        <w:t xml:space="preserve">كما يحبّ </w:t>
      </w:r>
      <w:r>
        <w:rPr>
          <w:rStyle w:val="FootnoteAnchor"/>
          <w:rtl w:val="true"/>
        </w:rPr>
        <w:footnoteReference w:id="1033"/>
      </w:r>
      <w:r>
        <w:rPr>
          <w:rFonts w:ascii="Amiri" w:hAnsi="Amiri" w:eastAsia="Amiri" w:cs="Amiri"/>
          <w:color w:val="111111"/>
          <w:sz w:val="28"/>
          <w:sz w:val="28"/>
          <w:szCs w:val="28"/>
          <w:rtl w:val="true"/>
          <w:lang w:bidi="ar-SA"/>
        </w:rPr>
        <w:t xml:space="preserve">أن يؤخذ بعزائمه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رواه الصدوق مرسلا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في المدينة بئر في وسط مزبلة ، فكانت الريح تهب فتلقى فيه </w:t>
      </w:r>
      <w:r>
        <w:rPr>
          <w:rStyle w:val="FootnoteAnchor"/>
          <w:rtl w:val="true"/>
        </w:rPr>
        <w:footnoteReference w:id="1035"/>
      </w:r>
      <w:r>
        <w:rPr>
          <w:rFonts w:ascii="Amiri" w:hAnsi="Amiri" w:eastAsia="Amiri" w:cs="Amiri"/>
          <w:color w:val="111111"/>
          <w:sz w:val="28"/>
          <w:sz w:val="28"/>
          <w:szCs w:val="28"/>
          <w:rtl w:val="true"/>
          <w:lang w:bidi="ar-SA"/>
        </w:rPr>
        <w:t xml:space="preserve">القذر وكان النبي صلى‌اللّه‌عليه‌وآله يتوضأ منها </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النبي صلى‌اللّه‌عليه‌وآله أنّه كان يتطهّر من بئر بضاعة ، وفيها العذرة والنجاسات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إن الرواية من طرق العامة ، وما أورده المحقق رحمه‌اللّه </w:t>
      </w:r>
      <w:r>
        <w:rPr>
          <w:rStyle w:val="FootnoteAnchor"/>
          <w:rtl w:val="true"/>
        </w:rPr>
        <w:footnoteReference w:id="1038"/>
      </w:r>
      <w:r>
        <w:rPr>
          <w:rFonts w:ascii="IRNazanin" w:hAnsi="IRNazanin" w:eastAsia="IRNazanin"/>
          <w:color w:val="111111"/>
          <w:sz w:val="28"/>
          <w:sz w:val="28"/>
          <w:szCs w:val="28"/>
          <w:rtl w:val="true"/>
          <w:lang w:bidi="fa-IR"/>
        </w:rPr>
        <w:t xml:space="preserve">من </w:t>
      </w:r>
      <w:r>
        <w:rPr>
          <w:rStyle w:val="FootnoteAnchor"/>
          <w:rtl w:val="true"/>
        </w:rPr>
        <w:footnoteReference w:id="1039"/>
      </w:r>
      <w:r>
        <w:rPr>
          <w:rFonts w:ascii="Amiri" w:hAnsi="Amiri" w:eastAsia="Amiri" w:cs="Amiri"/>
          <w:color w:val="111111"/>
          <w:sz w:val="28"/>
          <w:sz w:val="28"/>
          <w:szCs w:val="28"/>
          <w:rtl w:val="true"/>
          <w:lang w:bidi="ar-SA"/>
        </w:rPr>
        <w:t xml:space="preserve">أن عادته عليه‌السلام </w:t>
      </w:r>
      <w:r>
        <w:rPr>
          <w:rStyle w:val="FootnoteAnchor"/>
          <w:rtl w:val="true"/>
        </w:rPr>
        <w:footnoteReference w:id="1040"/>
      </w:r>
      <w:r>
        <w:rPr>
          <w:rFonts w:ascii="Amiri" w:hAnsi="Amiri" w:eastAsia="Amiri" w:cs="Amiri"/>
          <w:color w:val="111111"/>
          <w:sz w:val="28"/>
          <w:sz w:val="28"/>
          <w:szCs w:val="28"/>
          <w:rtl w:val="true"/>
          <w:lang w:bidi="ar-SA"/>
        </w:rPr>
        <w:t xml:space="preserve">التنزه عن النجاسات والتباعد عن المكروهات فلا يظن به </w:t>
      </w:r>
      <w:r>
        <w:rPr>
          <w:rStyle w:val="FootnoteAnchor"/>
          <w:rtl w:val="true"/>
        </w:rPr>
        <w:footnoteReference w:id="1041"/>
      </w:r>
      <w:r>
        <w:rPr>
          <w:rFonts w:ascii="Amiri" w:hAnsi="Amiri" w:eastAsia="Amiri" w:cs="Amiri"/>
          <w:color w:val="111111"/>
          <w:sz w:val="28"/>
          <w:sz w:val="28"/>
          <w:szCs w:val="28"/>
          <w:rtl w:val="true"/>
          <w:lang w:bidi="ar-SA"/>
        </w:rPr>
        <w:t xml:space="preserve">المسامحة </w:t>
      </w:r>
      <w:r>
        <w:rPr>
          <w:rStyle w:val="FootnoteAnchor"/>
          <w:rtl w:val="true"/>
        </w:rPr>
        <w:footnoteReference w:id="1042"/>
      </w:r>
      <w:r>
        <w:rPr>
          <w:rFonts w:ascii="Amiri" w:hAnsi="Amiri" w:eastAsia="Amiri" w:cs="Amiri"/>
          <w:color w:val="111111"/>
          <w:sz w:val="28"/>
          <w:sz w:val="28"/>
          <w:szCs w:val="28"/>
          <w:rtl w:val="true"/>
          <w:lang w:bidi="ar-SA"/>
        </w:rPr>
        <w:t>باستعمال المياه المتنجّسة مع وجود غيرها مدفوع بما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الحبل يكون من شعر الخنزير يستقى به الماء من البئر هل يتوضأ به من ذلك الماء؟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ولده الحسين بن زرارة في الموثق عنه عليه‌السلام نحو ذلك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أن يكون الوجه فيه عدم العلم بوصول الشعر إلى الماء مدفوع بقضاء العادة بخلافه ، مضافا إلى ترك الاستفصال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 الدالّة عليه ممّا لا مجال لذكرها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ويؤيده الأخبار المستفيضة الدالّة على الاكتفاء في البئر المتغير بعده من النجاسات نزحها إلى أن يزول التغيير فيفيد الاكتفاء ولو مع عدم استيفاء المقدّر ، وهو لا يوافق القول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 الواردة في المنزوحات أقوى شاهد عليه من وجوه شتّى ؛ نظرا إلى شدّة اختلافها في التقديرات المشيرة إلى بناء الأمر فيها على الندب ؛ إذ لا يناسب التفاوت الفاحش مقام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في عدّة منها نزح الدلاء من غير تعيين لمقدار المنزوح ، ولا يناسب مثله من التسامح مقام الوجوب ، والتزام الاجمال </w:t>
      </w:r>
      <w:r>
        <w:rPr>
          <w:rStyle w:val="FootnoteAnchor"/>
          <w:rtl w:val="true"/>
        </w:rPr>
        <w:footnoteReference w:id="1044"/>
      </w:r>
      <w:r>
        <w:rPr>
          <w:rFonts w:ascii="Amiri" w:hAnsi="Amiri" w:eastAsia="Amiri" w:cs="Amiri"/>
          <w:color w:val="111111"/>
          <w:sz w:val="28"/>
          <w:sz w:val="28"/>
          <w:szCs w:val="28"/>
          <w:rtl w:val="true"/>
          <w:lang w:bidi="ar-SA"/>
        </w:rPr>
        <w:t>في تلك الأخبار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عدّة منها نزح الماء لورود غير النجاسات ، ولا وجه لتنجيسه الماء ولا لوجوب النزح حينئذ من دون ورود نجاسة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أيضا الروايات المستفيضة الدالّة على اعتصام الماء الكثير منه ، فيثبت الحكم في غيره أيضا لضعف القول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فهي كافية في دفع القول بانفعالها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قوية الثوري المتقدم في بحث الكر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الفطحيّة عن البئر يقع فيها زنبيل عذرة يابسة أو رطبة؟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إذا كان فيها ماء كثير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اشتراط الكثرة حينئذ من جهة عدم تغيّره بالنجاسة المفروضة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الفقه 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بئر عمق مائها ثلاثة أشبار ونصف في مثلها فسبيلها سبيل الماء الجاري إلّا أن يتغيّر لونها وطعمها ورائحتها ، فإن تغيّرت نزحت حتى تطيب </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ويؤكد ذلك أيضا أنّه لو انقطع قدر كرّ من ماء البئر عن مادّته أو جفت مادة البئر وكان ما فيها من الماء مقدار الكر لم ينجّس بملاقاة النجاسة لاندراجه في الكثير الراكد وخروجه عن اسم البئر ، فلو كان مع الاتصال بالمادة متنجسا بالملاقاة لكان </w:t>
      </w:r>
      <w:r>
        <w:rPr>
          <w:rStyle w:val="FootnoteAnchor"/>
          <w:rtl w:val="true"/>
        </w:rPr>
        <w:footnoteReference w:id="1048"/>
      </w:r>
      <w:r>
        <w:rPr>
          <w:rFonts w:ascii="Amiri" w:hAnsi="Amiri" w:eastAsia="Amiri" w:cs="Amiri"/>
          <w:color w:val="111111"/>
          <w:sz w:val="28"/>
          <w:sz w:val="28"/>
          <w:szCs w:val="28"/>
          <w:rtl w:val="true"/>
          <w:lang w:bidi="ar-SA"/>
        </w:rPr>
        <w:t>وجود المادة قاضيا بضعفه وقبوله للانفعال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جدا بل لا وجه له إذ لو لم يكن وجود المادّة قاضيا بقوّة الماء لم يكن باعثا على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صلى‌اللّه‌عليه‌وآله كان يرد آبار المشركين ولم ينقل عنه الأمر بالرجوع </w:t>
      </w:r>
      <w:r>
        <w:rPr>
          <w:rStyle w:val="FootnoteAnchor"/>
          <w:rtl w:val="true"/>
        </w:rPr>
        <w:footnoteReference w:id="1049"/>
      </w:r>
      <w:r>
        <w:rPr>
          <w:rFonts w:ascii="Amiri" w:hAnsi="Amiri" w:eastAsia="Amiri" w:cs="Amiri"/>
          <w:color w:val="111111"/>
          <w:sz w:val="28"/>
          <w:sz w:val="28"/>
          <w:szCs w:val="28"/>
          <w:rtl w:val="true"/>
          <w:lang w:bidi="ar-SA"/>
        </w:rPr>
        <w:t>من جهة ورودهم عليها ، بل كان صلى‌اللّه‌عليه‌وآله في مكّة المشرفة يستعمل مياه آبارها مع شرك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يستعمل ماء زمزم مع مزاولة المشركين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نجاسة المشركين واردة في المدينة لا ينافيه ؛ إذ لا ينحصر نجاسة المشركين في كفرهم لمزاولتهم لسائر النجاسات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من النجاسات لم يكن نجسة حينئذ ، وهو بعيد ، والظاهر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ينقل عنه صلى‌اللّه‌عليه‌وآله الأمر بتطهير آبار المشركين بعد ذلك ، ولا أمر بتطهير بئر زمزم بعد الفتح مع ورود نجاسة المشركين قبله على أنّ في القول بانفعال البئر بالملاقاة من الحرج والمشقة الشديدة ما لا يخفى إذا غلب المياه دورانا مياه الآبار سيّما في الحرمين الشريفين وما والغالب والاها عدم تحفّظها من ملاقاة النجاسات أو المتنجّسات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وإلزام النزح منها دائما حرج عظيم لا يناسب الشريعة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أنها لو تنجّست بمجرد الملاقاة لورد في الشريعة بيان لكيفيّة تطهيرها ، ولم نجد ذلك في شي‌ء من الأخبار سوى ما ورد في أخبار المنزوحات بالنسبة إلى أمور مخصوصة عديدة وقع السؤال عنها ، وقد خلت معظم النجاسات والمتنجسات عن النص</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وجه لإهمال الشارع بيان الحكم في مثل هذه المسألة العامّة البلوى الّتي يحتاج إليها </w:t>
      </w:r>
    </w:p>
    <w:p>
      <w:pPr>
        <w:pStyle w:val="BookText"/>
        <w:rPr/>
      </w:pPr>
      <w:r>
        <w:rPr>
          <w:rFonts w:ascii="Amiri" w:hAnsi="Amiri" w:eastAsia="Amiri" w:cs="Amiri"/>
          <w:color w:val="111111"/>
          <w:sz w:val="28"/>
          <w:sz w:val="28"/>
          <w:szCs w:val="28"/>
          <w:rtl w:val="true"/>
          <w:lang w:bidi="ar-SA"/>
        </w:rPr>
        <w:t xml:space="preserve">عامة الورى ولا </w:t>
      </w:r>
      <w:r>
        <w:rPr>
          <w:rStyle w:val="FootnoteAnchor"/>
          <w:rtl w:val="true"/>
        </w:rPr>
        <w:footnoteReference w:id="1050"/>
      </w:r>
      <w:r>
        <w:rPr>
          <w:rFonts w:ascii="Amiri" w:hAnsi="Amiri" w:eastAsia="Amiri" w:cs="Amiri"/>
          <w:color w:val="111111"/>
          <w:sz w:val="28"/>
          <w:sz w:val="28"/>
          <w:szCs w:val="28"/>
          <w:rtl w:val="true"/>
          <w:lang w:bidi="ar-SA"/>
        </w:rPr>
        <w:t>تقدّم نقل النقلة ذلك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تنجّس البئر بالملاقاة لم يمكن تطهيرها بالنزح إلّا مع التزام أمور مستبعدة لا وجه للالتزام بها إلّا مع قيام دليل واضح عليها ،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لتنجس الدلو بورود البئر ، فيكون وروده ثانيا على البئر بمنزلة إصابة نجاسة جديدة ، وكذا الرشاء والماء المتساقط منه في البئر ، فكيف يصحّ القول بتطهيره بذلك مع ملاقاته النجاسة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كيف يحكم بطهارة الماء عند انفصال الدلو النجس عنه ، وكذا بطهارة الدلو عند تفريغ ما فيه من الماء النجس المنزوح من البئر من دون ملاقاة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طهارة الرشاء وأطراف البئر بما </w:t>
      </w:r>
      <w:r>
        <w:rPr>
          <w:rStyle w:val="FootnoteAnchor"/>
          <w:rtl w:val="true"/>
        </w:rPr>
        <w:footnoteReference w:id="1051"/>
      </w:r>
      <w:r>
        <w:rPr>
          <w:rFonts w:ascii="Amiri" w:hAnsi="Amiri" w:eastAsia="Amiri" w:cs="Amiri"/>
          <w:color w:val="111111"/>
          <w:sz w:val="28"/>
          <w:sz w:val="28"/>
          <w:szCs w:val="28"/>
          <w:rtl w:val="true"/>
          <w:lang w:bidi="ar-SA"/>
        </w:rPr>
        <w:t>تقاطر عليه الماء النجس ، وما هبط عنه الماء من أطراف البئر من جهة بعض الماء بالنزح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ثياب النازح وسائر ادوات النزح ، فإنّه و </w:t>
      </w:r>
      <w:r>
        <w:rPr>
          <w:rStyle w:val="FootnoteAnchor"/>
          <w:rtl w:val="true"/>
        </w:rPr>
        <w:footnoteReference w:id="1052"/>
      </w:r>
      <w:r>
        <w:rPr>
          <w:rFonts w:ascii="Amiri" w:hAnsi="Amiri" w:eastAsia="Amiri" w:cs="Amiri"/>
          <w:color w:val="111111"/>
          <w:sz w:val="28"/>
          <w:sz w:val="28"/>
          <w:szCs w:val="28"/>
          <w:rtl w:val="true"/>
          <w:lang w:bidi="ar-SA"/>
        </w:rPr>
        <w:t>إن أمكن القول بطهارة الجميع على الوجه المذكور إلّا أنّه بعيد يتوقّف القول به على قيام دليل واضح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w:t>
      </w:r>
      <w:r>
        <w:rPr>
          <w:rStyle w:val="FootnoteAnchor"/>
          <w:rtl w:val="true"/>
        </w:rPr>
        <w:footnoteReference w:id="1053"/>
      </w:r>
      <w:r>
        <w:rPr>
          <w:rFonts w:ascii="Amiri" w:hAnsi="Amiri" w:eastAsia="Amiri" w:cs="Amiri"/>
          <w:color w:val="111111"/>
          <w:sz w:val="28"/>
          <w:sz w:val="28"/>
          <w:szCs w:val="28"/>
          <w:rtl w:val="true"/>
          <w:lang w:bidi="ar-SA"/>
        </w:rPr>
        <w:t>بعدم انفعال البئر بالملاقاة أقرب منه ، ولا شي‌ء يلزم من ذلك على القول به فيما إذا تغيّر ماء البئر بالنجاسة فإنّا لا نقول بطهارة الرشاء وجوانب البئر وسائر ما يلاقيه الماء المتغيّر إلّا بملاقاة المطهّر على النحو المعمول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بالانفعال مطلقا أمور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الإجماعات المحكيّة على ذلك المعتضدة بالشهرة القديمة بين الطائفة ، الظاهرة من ملاحظة الفتاوى وكلمات الأصحاب ، والمنقولة في لسان جماعة من علمائنا الأطياب ، وممّن </w:t>
      </w:r>
    </w:p>
    <w:p>
      <w:pPr>
        <w:pStyle w:val="BookText"/>
        <w:rPr/>
      </w:pPr>
      <w:r>
        <w:rPr>
          <w:rFonts w:ascii="Amiri" w:hAnsi="Amiri" w:eastAsia="Amiri" w:cs="Amiri"/>
          <w:color w:val="111111"/>
          <w:sz w:val="28"/>
          <w:sz w:val="28"/>
          <w:szCs w:val="28"/>
          <w:rtl w:val="true"/>
          <w:lang w:bidi="ar-SA"/>
        </w:rPr>
        <w:t xml:space="preserve">حكى الإجماع عليه السيد في الانتصار </w:t>
      </w:r>
      <w:r>
        <w:rPr>
          <w:rStyle w:val="FootnoteAnchor"/>
          <w:rtl w:val="true"/>
        </w:rPr>
        <w:footnoteReference w:id="1054"/>
      </w:r>
      <w:r>
        <w:rPr>
          <w:rFonts w:ascii="Amiri" w:hAnsi="Amiri" w:eastAsia="Amiri" w:cs="Amiri"/>
          <w:color w:val="111111"/>
          <w:sz w:val="28"/>
          <w:sz w:val="28"/>
          <w:szCs w:val="28"/>
          <w:rtl w:val="true"/>
          <w:lang w:bidi="ar-SA"/>
        </w:rPr>
        <w:t>حيث عدّ ذلك ممّا انفردت الامامية به ، وذكر أنّ حجة الإمامية فيما ذهب إليه في البئر ما تقدّم من الحجة ، وأشار به إلى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الشيخ في التهذيب </w:t>
      </w:r>
      <w:r>
        <w:rPr>
          <w:rStyle w:val="FootnoteAnchor"/>
          <w:rtl w:val="true"/>
        </w:rPr>
        <w:footnoteReference w:id="1055"/>
      </w:r>
      <w:r>
        <w:rPr>
          <w:rFonts w:ascii="Amiri" w:hAnsi="Amiri" w:eastAsia="Amiri" w:cs="Amiri"/>
          <w:color w:val="111111"/>
          <w:sz w:val="28"/>
          <w:sz w:val="28"/>
          <w:szCs w:val="28"/>
          <w:rtl w:val="true"/>
          <w:lang w:bidi="ar-SA"/>
        </w:rPr>
        <w:t>نفي الخلاف عن نجاسة ماء البئر إذا وقع فيه البعير 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الجمل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يذهبون إلى نجاسة مياه الآبار بما يلاقيها من النجاسة ، ولا يعتبرون فيه قلّة ولا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Style w:val="FootnoteAnchor"/>
          <w:rtl w:val="true"/>
        </w:rPr>
        <w:footnoteReference w:id="105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1057"/>
      </w:r>
      <w:r>
        <w:rPr>
          <w:rFonts w:ascii="Amiri" w:hAnsi="Amiri" w:eastAsia="Amiri" w:cs="Amiri"/>
          <w:color w:val="111111"/>
          <w:sz w:val="28"/>
          <w:sz w:val="28"/>
          <w:szCs w:val="28"/>
          <w:rtl w:val="true"/>
          <w:lang w:bidi="ar-SA"/>
        </w:rPr>
        <w:t>التصريح بالإجماع عليه قليلا كان ماؤها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1058"/>
      </w:r>
      <w:r>
        <w:rPr>
          <w:rFonts w:ascii="Amiri" w:hAnsi="Amiri" w:eastAsia="Amiri" w:cs="Amiri"/>
          <w:color w:val="111111"/>
          <w:sz w:val="28"/>
          <w:sz w:val="28"/>
          <w:szCs w:val="28"/>
          <w:rtl w:val="true"/>
          <w:lang w:bidi="ar-SA"/>
        </w:rPr>
        <w:t>نفى الخلاف عن الحكم بالنجاسة قليلا كان الماء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نفى الخلاف عنه في خصوص بعض النجاسات بل نصّ فيها </w:t>
      </w:r>
      <w:r>
        <w:rPr>
          <w:rStyle w:val="FootnoteAnchor"/>
          <w:rtl w:val="true"/>
        </w:rPr>
        <w:footnoteReference w:id="1059"/>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المحقّق في المسائل المصريّة </w:t>
      </w:r>
      <w:r>
        <w:rPr>
          <w:rStyle w:val="FootnoteAnchor"/>
          <w:rtl w:val="true"/>
        </w:rPr>
        <w:footnoteReference w:id="1060"/>
      </w:r>
      <w:r>
        <w:rPr>
          <w:rFonts w:ascii="Amiri" w:hAnsi="Amiri" w:eastAsia="Amiri" w:cs="Amiri"/>
          <w:color w:val="111111"/>
          <w:sz w:val="28"/>
          <w:sz w:val="28"/>
          <w:szCs w:val="28"/>
          <w:rtl w:val="true"/>
          <w:lang w:bidi="ar-SA"/>
        </w:rPr>
        <w:t xml:space="preserve">وفي 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من الأصحاب وكاد أن يكون إجماعا منهم على النجاسة ، ولعلّه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جماعة منهم إجماع السلف على نزح البئر لوقوع النجاسة في الجملة وأنّه يطهّرها ففي الانتصار </w:t>
      </w:r>
      <w:r>
        <w:rPr>
          <w:rStyle w:val="FootnoteAnchor"/>
          <w:rtl w:val="true"/>
        </w:rPr>
        <w:footnoteReference w:id="1061"/>
      </w:r>
      <w:r>
        <w:rPr>
          <w:rFonts w:ascii="Amiri" w:hAnsi="Amiri" w:eastAsia="Amiri" w:cs="Amiri"/>
          <w:color w:val="111111"/>
          <w:sz w:val="28"/>
          <w:sz w:val="28"/>
          <w:szCs w:val="28"/>
          <w:rtl w:val="true"/>
          <w:lang w:bidi="ar-SA"/>
        </w:rPr>
        <w:t>أنّه لا خلاف بين الصحابة والتابعين في أنّ اخراج بعض ماء البئر يطهّرها ، وإنّما اختلفوا في مقدار ما ينزح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حكمهم بنجاستها على كل حال من غير اعتبار لمقدار مائها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ما في الغنية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غاية المراد أنّ النزح للبئر مرويّ عن علي عليه‌السلام ، وابن عباس ، وأبي سعيد الخدري ، والحسن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عمل الاماميّة في سائر الأعصار والأمصار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الشهرة عليه مستفيضة في كلماتهم ، حكاه القطيفي في شرح الإرشاد والفاضل الاصبهاني في كشف اللثام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النزح ؛ وهي في غاية الكثرة والاستفاضة بل متواترة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ظواهرها كون النزح لأجل التطهير من جهة ملاقاة النجاسة كما هو الحال في سائر الأوامر المتعلّقة بغسل الثياب والأواني ونحوها بعد ملاقاة النجاسة ؛ فإنّ مفادها تنجّس تلك الأشياء بملاقاة النجاسة وطهرها بذلك حسبما هو المعلوم منها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عليهم فهم الفقهاء في تلك المقامات ، فكذا في المقام بل جرى عليه فهم معظم القدماء هنا أيضا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أقوى الشواهد على المقصود ؛ فإنّ فهم الأصحاب وفتواهم من أعظم المؤيّدات بل يجري مجرى الدليل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تلك الأوامر على الوجوب التعبدي بعيد جدّا بل يمكن القطع بفساده وحملها على الندب خروج عن ظواهرها من غير دليل عليه يكافئها ، بل في ورود النزح في صورة التغيير بالنجاسة وغيرها على نحو واحد أقوى شاهد على كونه في المقامين من قبيل واحد ، والمقصود به مع التغيير هو التطهير فيكون ذلك هو المراد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المشتملة على الصحاح الدالّة عليه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اسماعيل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رجل أسأله أن يسأل أبا الحسن الرضا عليه‌السلام عن البئر يكون في المنزل للوضوء فيقطر فيها قطرات من بول أو دم أو يسقط فيه شي‌ء من عذرة كالبعرة أو نحوها ، ما الذي يطهّرها حتّى يحلّ الوضوء منها للصلاة؟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عليه‌السلام في كتابي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منها دلاء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ومفاد الرواية بعد وقوع السؤال عمّا يطهّرها بعد وقوع المذكورات أنّ نزح الدلاء مطهّر لها وأنّه لا يحل استعماله قبله ، فيدلّ على نجاستها بملاقاتها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الرواية بالمكاتبة مع جهالة الواسطة لا يقضي بضعفها بعد قطع الثقة </w:t>
      </w:r>
      <w:r>
        <w:rPr>
          <w:rStyle w:val="FootnoteAnchor"/>
          <w:rtl w:val="true"/>
        </w:rPr>
        <w:footnoteReference w:id="1065"/>
      </w:r>
      <w:r>
        <w:rPr>
          <w:rFonts w:ascii="Amiri" w:hAnsi="Amiri" w:eastAsia="Amiri" w:cs="Amiri"/>
          <w:color w:val="111111"/>
          <w:sz w:val="28"/>
          <w:sz w:val="28"/>
          <w:szCs w:val="28"/>
          <w:rtl w:val="true"/>
          <w:lang w:bidi="ar-SA"/>
        </w:rPr>
        <w:t>بتوقيع الإمام وخطّه عليه‌السلام حسبما 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يقطين عن الكاظم عليه‌السلام عن البئر يقع فيها الحمامة أو الدجاجة أو الفارة أو الكلب أو الهرة؟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يجزيك أن تنزح منها دلاء فإنّ ذلك يطهّرها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حكمه بتطهيرها بنزح الدلاء حكم منه عليه‌السلام بنجاستها بملاقاة أيّ واحد من تلك النجاسات ؛ مضافا إلى 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الإشارة إلى عدم الاجتزاء بما سوى ذلك ، وأنّه المجزي دون 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أبي يعفور عن الصادق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أتيت البئر وأنت جنب ولم تجد دلوا ولا شيئا تغرف به ، فتيمّم بالصعيد فإنّ ربّ الماء وربّ الصعيد واحد ولا تقع على البئر ولا تفسد على القوم ماءهم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قضيّة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 على القوم 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وقع في الماء 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الإفساد التنجيس أو زوال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أمره بالتيمّم مع وجود الماء وتمكّنه من الوصول إليه ليس الّا من جهة عدم تمكّنه من استعماله لتنجّس الماء بنزوله أو خروجه عن الطهوريّة باستعماله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لا ذلك تعيّن عليه الغسل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أمّا عن الاجماعات المنقولة بوجود الخلاف فيه من جماعة من المتقدمين </w:t>
      </w:r>
    </w:p>
    <w:p>
      <w:pPr>
        <w:pStyle w:val="BookText"/>
        <w:rPr/>
      </w:pPr>
      <w:r>
        <w:rPr>
          <w:rFonts w:ascii="Amiri" w:hAnsi="Amiri" w:eastAsia="Amiri" w:cs="Amiri"/>
          <w:color w:val="111111"/>
          <w:sz w:val="28"/>
          <w:sz w:val="28"/>
          <w:szCs w:val="28"/>
          <w:rtl w:val="true"/>
          <w:lang w:bidi="ar-SA"/>
        </w:rPr>
        <w:t>واشتهار خلافه بين المتأخرين حتى أنّه استقر المذهب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معارضتها بالأخبار الصحيحة الدالّة على خلافها الراجحة عليها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أخبار النزح فبعدم وضوح دلالتها على النجاسة بل عدم ظهورها بل وظهورها في خلافها كما لا يخفى على المتأمّل فيها حسب 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حكم في بعضها بعدم لزوم غسل ما لاقاه قبل العلم بوقوع النجاسة فيها ، وورود جملة منها في ورود جملة من غير النجاسات عليها كوقوع العقرب والوزغ ونحوهما مع الاختلاف الفاحش في مقدار النزح مع اعتبار أسانيد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يظهر للمتأمّل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الجماعة منها ذلك إنّما يتمّ به قصورها في الدلالة لو لا ما يعارضه من شواهد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 فهم المتقدمين بما فهمه المتأخّرون ، والشهرة من القدماء بالشهرة المتأخرة ، فيتساقطان بل لا يبعد ترجيح الثاني في المقام لدقّة أنظارهم وملاحظتهم لمعظم الوجوه المرجّحة واجتماع الآثار المرويّة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مستند القدماء في الفهم المذكور هو ما أشرنا إليه دون أن يكون هناك أمر آخر دعاهم إلى الحمل عليه ، وإلّا لأشير إليه ولو في كلام البعض ، ولما تنبّه المتأخرون لضعف الحمل المذكور نظرا إلى الوجوه الموهونة له عدلوا عن ذلك حتى استقرّ المذهب على خلافه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الأخبار الخاصّة </w:t>
      </w:r>
      <w:r>
        <w:rPr>
          <w:rStyle w:val="FootnoteAnchor"/>
          <w:rtl w:val="true"/>
        </w:rPr>
        <w:footnoteReference w:id="1068"/>
      </w:r>
      <w:r>
        <w:rPr>
          <w:rFonts w:ascii="Amiri" w:hAnsi="Amiri" w:eastAsia="Amiri" w:cs="Amiri"/>
          <w:color w:val="111111"/>
          <w:sz w:val="28"/>
          <w:sz w:val="28"/>
          <w:szCs w:val="28"/>
          <w:rtl w:val="true"/>
          <w:lang w:bidi="ar-SA"/>
        </w:rPr>
        <w:t xml:space="preserve">فبأنّها لا تكافئ الصحاح الدالّة على الطهارة المعتضدة بغيرها من الأخبار المعتبرة ؛ إذ هي أوضح استنادا وأصرح دلالة وأكثر عددا منها مع </w:t>
      </w:r>
      <w:r>
        <w:rPr>
          <w:rStyle w:val="FootnoteAnchor"/>
          <w:rtl w:val="true"/>
        </w:rPr>
        <w:footnoteReference w:id="1069"/>
      </w:r>
      <w:r>
        <w:rPr>
          <w:rFonts w:ascii="Amiri" w:hAnsi="Amiri" w:eastAsia="Amiri" w:cs="Amiri"/>
          <w:color w:val="111111"/>
          <w:sz w:val="28"/>
          <w:sz w:val="28"/>
          <w:szCs w:val="28"/>
          <w:rtl w:val="true"/>
          <w:lang w:bidi="ar-SA"/>
        </w:rPr>
        <w:t xml:space="preserve">اعتضادها بالأصول المتعدّدة وسائر الوجوه المؤيّدة لها جدّا حتّى كاد </w:t>
      </w:r>
      <w:r>
        <w:rPr>
          <w:rStyle w:val="FootnoteAnchor"/>
          <w:rtl w:val="true"/>
        </w:rPr>
        <w:footnoteReference w:id="1070"/>
      </w:r>
      <w:r>
        <w:rPr>
          <w:rFonts w:ascii="Amiri" w:hAnsi="Amiri" w:eastAsia="Amiri" w:cs="Amiri"/>
          <w:color w:val="111111"/>
          <w:sz w:val="28"/>
          <w:sz w:val="28"/>
          <w:szCs w:val="28"/>
          <w:rtl w:val="true"/>
          <w:lang w:bidi="ar-SA"/>
        </w:rPr>
        <w:t>أن يبلغ بها إلى درجة القطع ، وقد عرفت الحال في الشهرة المعاضدة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شيئا </w:t>
      </w:r>
      <w:r>
        <w:rPr>
          <w:rStyle w:val="FootnoteAnchor"/>
          <w:rtl w:val="true"/>
        </w:rPr>
        <w:footnoteReference w:id="1071"/>
      </w:r>
      <w:r>
        <w:rPr>
          <w:rFonts w:ascii="Amiri" w:hAnsi="Amiri" w:eastAsia="Amiri" w:cs="Amiri"/>
          <w:color w:val="111111"/>
          <w:sz w:val="28"/>
          <w:sz w:val="28"/>
          <w:szCs w:val="28"/>
          <w:rtl w:val="true"/>
          <w:lang w:bidi="ar-SA"/>
        </w:rPr>
        <w:t>من الروايات المذكورة ليست بتلك المكانة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ابن بزيع فلاحتمال أن يراد بالطهارة النظافة الحاصلة بارتفاع الكراهة ، فالمراد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الذي لا كراهة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الرواية غير معمول بها عند الجماعة ؛ إذ لا يقولون بالاكتفاء بنزح الدلاء الصادقة على الثلاث أو الأربع في شي‌ء من النجاسات المذكورة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نحو ما ذكرناه في صحيحة علي بن يقطين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ابن أبي يعفور فالظاهر أنّه لا ظهور لها فيما ادّعوه ؛ إذ </w:t>
      </w:r>
      <w:r>
        <w:rPr>
          <w:rStyle w:val="FootnoteAnchor"/>
          <w:rtl w:val="true"/>
        </w:rPr>
        <w:footnoteReference w:id="1072"/>
      </w:r>
      <w:r>
        <w:rPr>
          <w:rFonts w:ascii="Amiri" w:hAnsi="Amiri" w:eastAsia="Amiri" w:cs="Amiri"/>
          <w:color w:val="111111"/>
          <w:sz w:val="28"/>
          <w:sz w:val="28"/>
          <w:szCs w:val="28"/>
          <w:rtl w:val="true"/>
          <w:lang w:bidi="ar-SA"/>
        </w:rPr>
        <w:t>إفساد الماء على القوم أعمّ من تنجيسه لاحتمال أن يراد به اختباط الماء بالطين وتغيّر ريحه وطعمه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يومي إلى ذلك تعبيره عليه‌السلام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تقع على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إلقاء نفسه في الماء دون دخوله فيه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ولو قضى ذلك بنجاسة الماء من جهة نجاسة بدنه لم يطهر به ، ولم يرتفع حدثه ، وكان ذلك حينئذ أولى بالذكر في المقام من إفساد الماء على غيره لفساده إذن بالنسبة إليه أيضا ، وعدم ترتّب الغاية المطلوب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التعليل المذكور يومي إلى إفساد </w:t>
      </w:r>
      <w:r>
        <w:rPr>
          <w:rStyle w:val="FootnoteAnchor"/>
          <w:rtl w:val="true"/>
        </w:rPr>
        <w:footnoteReference w:id="1073"/>
      </w:r>
      <w:r>
        <w:rPr>
          <w:rFonts w:ascii="Amiri" w:hAnsi="Amiri" w:eastAsia="Amiri" w:cs="Amiri"/>
          <w:color w:val="111111"/>
          <w:sz w:val="28"/>
          <w:sz w:val="28"/>
          <w:szCs w:val="28"/>
          <w:rtl w:val="true"/>
          <w:lang w:bidi="ar-SA"/>
        </w:rPr>
        <w:t>الماء على القوم دون نفسه بالنظر إلى ما هو بصدده حتّى لا يترتّب عليه ما يريده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البئر المذكور لإضراره </w:t>
      </w:r>
      <w:r>
        <w:rPr>
          <w:rStyle w:val="FootnoteAnchor"/>
          <w:rtl w:val="true"/>
        </w:rPr>
        <w:footnoteReference w:id="1074"/>
      </w:r>
      <w:r>
        <w:rPr>
          <w:rFonts w:ascii="IRNazanin" w:hAnsi="IRNazanin" w:eastAsia="IRNazanin"/>
          <w:color w:val="111111"/>
          <w:sz w:val="28"/>
          <w:sz w:val="28"/>
          <w:szCs w:val="28"/>
          <w:rtl w:val="true"/>
          <w:lang w:bidi="fa-IR"/>
        </w:rPr>
        <w:t xml:space="preserve">من </w:t>
      </w:r>
      <w:r>
        <w:rPr>
          <w:rStyle w:val="FootnoteAnchor"/>
          <w:rtl w:val="true"/>
        </w:rPr>
        <w:footnoteReference w:id="1075"/>
      </w:r>
      <w:r>
        <w:rPr>
          <w:rFonts w:ascii="Amiri" w:hAnsi="Amiri" w:eastAsia="Amiri" w:cs="Amiri"/>
          <w:color w:val="111111"/>
          <w:sz w:val="28"/>
          <w:sz w:val="28"/>
          <w:szCs w:val="28"/>
          <w:rtl w:val="true"/>
          <w:lang w:bidi="ar-SA"/>
        </w:rPr>
        <w:t xml:space="preserve">موارد القوم الموقوفة لأجل الشرب ونحوه أو الجارية مجرى الأوقاف فينافيه التصرف المذكور لإضراره بهم ، ولذا لزمه الانتقال إلى التيمّم ، وبمعرفة صحّة ما في الأقوال من التأمل فيما قررنا فلا حاجة إلى إبطاله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191" w:name="pg15827_173738"/>
    </w:p>
    <w:p>
      <w:pPr>
        <w:pStyle w:val="Heading4"/>
        <w:numPr>
          <w:ilvl w:val="3"/>
          <w:numId w:val="1"/>
        </w:numPr>
        <w:rPr/>
      </w:pPr>
      <w:bookmarkStart w:id="192" w:name="__RefHeading___Toc14099725_2142443653"/>
      <w:bookmarkStart w:id="193" w:name="_Toc69"/>
      <w:bookmarkEnd w:id="191"/>
      <w:bookmarkEnd w:id="192"/>
      <w:r>
        <w:rPr>
          <w:rtl w:val="true"/>
        </w:rPr>
        <w:t>تبصرة</w:t>
      </w:r>
      <w:r>
        <w:rPr>
          <w:rtl w:val="true"/>
        </w:rPr>
        <w:t xml:space="preserve">: [ </w:t>
      </w:r>
      <w:r>
        <w:rPr>
          <w:rtl w:val="true"/>
        </w:rPr>
        <w:t xml:space="preserve">في تطهير المياه النجسة </w:t>
      </w:r>
      <w:r>
        <w:rPr>
          <w:rtl w:val="true"/>
        </w:rPr>
        <w:t>]</w:t>
      </w:r>
      <w:bookmarkEnd w:id="193"/>
    </w:p>
    <w:p>
      <w:pPr>
        <w:pStyle w:val="Heading5"/>
        <w:numPr>
          <w:ilvl w:val="4"/>
          <w:numId w:val="1"/>
        </w:numPr>
        <w:rPr/>
      </w:pPr>
      <w:bookmarkStart w:id="194" w:name="__RefHeading___Toc14099727_2142443653"/>
      <w:bookmarkStart w:id="195" w:name="_Toc70"/>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تطهر المياه كلّها بملاقاتها للماء المعصوم من الجاري بل مطلق النابع أو الواقف ، الكر أو الغيث ، فيكفي مجرّد اتصالها به إذا كانت قابلة للتطهير ، فلو كانت متغيّرة لم </w:t>
      </w:r>
      <w:r>
        <w:rPr>
          <w:rStyle w:val="FootnoteAnchor"/>
          <w:rtl w:val="true"/>
        </w:rPr>
        <w:footnoteReference w:id="1077"/>
      </w:r>
      <w:r>
        <w:rPr>
          <w:rFonts w:ascii="Amiri" w:hAnsi="Amiri" w:eastAsia="Amiri" w:cs="Amiri"/>
          <w:color w:val="111111"/>
          <w:sz w:val="28"/>
          <w:sz w:val="28"/>
          <w:szCs w:val="28"/>
          <w:rtl w:val="true"/>
          <w:lang w:bidi="ar-SA"/>
        </w:rPr>
        <w:t xml:space="preserve">يطهر قبل زواله فيطهر الجاري بمجرّد زوال التغيير ؛ لاتصاله </w:t>
      </w:r>
      <w:r>
        <w:rPr>
          <w:rStyle w:val="FootnoteAnchor"/>
          <w:rtl w:val="true"/>
        </w:rPr>
        <w:footnoteReference w:id="1078"/>
      </w:r>
      <w:r>
        <w:rPr>
          <w:rFonts w:ascii="Amiri" w:hAnsi="Amiri" w:eastAsia="Amiri" w:cs="Amiri"/>
          <w:color w:val="111111"/>
          <w:sz w:val="28"/>
          <w:sz w:val="28"/>
          <w:szCs w:val="28"/>
          <w:rtl w:val="true"/>
          <w:lang w:bidi="ar-SA"/>
        </w:rPr>
        <w:t xml:space="preserve">بالمادّة المعتصمة ولا يحتاج إذن إلى تكاثر الماء من المادة وتدافعه إليه عليه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يوجد في كلام الفاضلين وغيرهما من اعتبار التكاثر أو التدافع في تطهير الجاري لا ينافي ما ذكرناه ؛ إذ المفروض هناك تغيّر الماء ، وهو ممّا لا يرتفع في مثله غالبا إلا به ، فالمطهر إذن بعد رفعه بالتكاثر هو الاتصال لتنجّس الممازج </w:t>
      </w:r>
      <w:r>
        <w:rPr>
          <w:rStyle w:val="FootnoteAnchor"/>
          <w:rtl w:val="true"/>
        </w:rPr>
        <w:footnoteReference w:id="1080"/>
      </w:r>
      <w:r>
        <w:rPr>
          <w:rFonts w:ascii="Amiri" w:hAnsi="Amiri" w:eastAsia="Amiri" w:cs="Amiri"/>
          <w:color w:val="111111"/>
          <w:sz w:val="28"/>
          <w:sz w:val="28"/>
          <w:szCs w:val="28"/>
          <w:rtl w:val="true"/>
          <w:lang w:bidi="ar-SA"/>
        </w:rPr>
        <w:t>أيضا بسبب التغير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ويطهر الراكد المتنجس بالملاقاة أو التغيير بعد زواله قليلا كان أو كثيرا بالاتصال بالنابع أو الغيث أو الكر من غير حاجة إلى الامتزاج واستيلاء المطهر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قلناه عموم ما دلّ على </w:t>
      </w:r>
      <w:r>
        <w:rPr>
          <w:rStyle w:val="FootnoteAnchor"/>
          <w:rtl w:val="true"/>
        </w:rPr>
        <w:footnoteReference w:id="1081"/>
      </w:r>
      <w:r>
        <w:rPr>
          <w:rFonts w:ascii="Amiri" w:hAnsi="Amiri" w:eastAsia="Amiri" w:cs="Amiri"/>
          <w:color w:val="111111"/>
          <w:sz w:val="28"/>
          <w:sz w:val="28"/>
          <w:szCs w:val="28"/>
          <w:rtl w:val="true"/>
          <w:lang w:bidi="ar-SA"/>
        </w:rPr>
        <w:t xml:space="preserve">طهوريّة المياه لاقتضائه تطهير كلّ ما يلاقيه إلّا أن يدل دليل على اعتبار أمر زائد عليه كالتثنية </w:t>
      </w:r>
      <w:r>
        <w:rPr>
          <w:rStyle w:val="FootnoteAnchor"/>
          <w:rtl w:val="true"/>
        </w:rPr>
        <w:footnoteReference w:id="1082"/>
      </w:r>
      <w:r>
        <w:rPr>
          <w:rFonts w:ascii="Amiri" w:hAnsi="Amiri" w:eastAsia="Amiri" w:cs="Amiri"/>
          <w:color w:val="111111"/>
          <w:sz w:val="28"/>
          <w:sz w:val="28"/>
          <w:szCs w:val="28"/>
          <w:rtl w:val="true"/>
          <w:lang w:bidi="ar-SA"/>
        </w:rPr>
        <w:t>في البول والتعفير في آنية الولوغ</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والتشكيك الواقع من غير واحد من المتأخرين في عموم الأدلّة الدالّة عليه إن كان في العموم المصطلح ففي محلّه ، ولا يمنع من الحجيّة ، وإلّا فلا وجه له ؛ لوضوح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يطهّر ولا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سنده إنما يراد به عدم تطهيره بغيره لقيام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 من التدافع بين ظاهر الصدر والعجز ، فلا بدّ من التقييد في أحد الطرفين فلا يصلح سندا للنفي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المذكور يرجّح الأخير مع أنه قد يقال بترجيح التجوّز في العجز عليه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بإطلاقه من الشواهد على المطلوب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الاطلاقات اعتبار الملاقاة في التطهير ، ولانعقاد الإجماع عليه فلا يثبت منها إلّا تطهيرها لخصوص ما يلاقيها من أجزاء الماء دون غيرها من الأجزاء ، فلا يتّجه الحكم بالسراية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ذلك إنّما يصحّ مع الامتزاج لحصول الملاقاة بالنسبة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اتصال المائين قاض بطهر الجزء الملاقي ، فيطهر الجزء الذي يلاقيه ممّا بدا به </w:t>
      </w:r>
      <w:r>
        <w:rPr>
          <w:rStyle w:val="FootnoteAnchor"/>
          <w:rtl w:val="true"/>
        </w:rPr>
        <w:footnoteReference w:id="1083"/>
      </w:r>
      <w:r>
        <w:rPr>
          <w:rFonts w:ascii="Amiri" w:hAnsi="Amiri" w:eastAsia="Amiri" w:cs="Amiri"/>
          <w:color w:val="111111"/>
          <w:sz w:val="28"/>
          <w:sz w:val="28"/>
          <w:szCs w:val="28"/>
          <w:rtl w:val="true"/>
          <w:lang w:bidi="ar-SA"/>
        </w:rPr>
        <w:t>لكونه طاهرا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الذي يليه بالنسبة إلى ما يلاقيه إلى تمام أجزاء الماء ، فيطهر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المطلق والمضاف ؛ لعدم ثبوت الطهورية له ، فلا يسري الطهارة من الجزء الملاقي إلى ما بعده ، فلا يمكن تطهيره بمجرّد الاتصال ، ولا بالامتزاج مع عدم استهلاكه في الماء ؛ لعدم إمكان إيصال المطهّر إلى جميع أجزائه حينئذ</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ذهب الجمهور إلى عدم قبوله للطهارة ما دام على الإضافة ، فلا مدخليّة لاعتبار الامتزاج في تطهير شي‌ء من المياه لما عرفت من عدم حصول ملاقاة المطهّر لجميع الاجزاء إن قصد </w:t>
      </w:r>
      <w:r>
        <w:rPr>
          <w:rStyle w:val="FootnoteAnchor"/>
          <w:rtl w:val="true"/>
        </w:rPr>
        <w:footnoteReference w:id="1084"/>
      </w:r>
      <w:r>
        <w:rPr>
          <w:rFonts w:ascii="Amiri" w:hAnsi="Amiri" w:eastAsia="Amiri" w:cs="Amiri"/>
          <w:color w:val="111111"/>
          <w:sz w:val="28"/>
          <w:sz w:val="28"/>
          <w:szCs w:val="28"/>
          <w:rtl w:val="true"/>
          <w:lang w:bidi="ar-SA"/>
        </w:rPr>
        <w:t>ذلك ، وعدم الحاجة إليه من جهة صدق ملاقاة الماء الطهور بالنسبة إلى جميع الأجزاء ؛ لحصوله بمجرّد الاتصال حسبما قرّرنا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ولو غضّ عمّا قلناه لزم اعتبار استهلاك الماء النجس في المعصوم على نحو المياه المضافة ليحصل التطهير ، وهو على الظاهر خلاف الإجماع ؛ إذ لا خلاف بينهم في تطهير الكرّ من الماء إذا ألقي في مثله أو ضعفه من الماء النجس مع زوال التغيير ، ولا استهلاك فيه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قلناه أيضا أنّه لا خلاف ظاهر في كون إلقاء الكر دفعة على الماء النجس متطهّرا </w:t>
      </w:r>
      <w:r>
        <w:rPr>
          <w:rStyle w:val="FootnoteAnchor"/>
          <w:rtl w:val="true"/>
        </w:rPr>
        <w:footnoteReference w:id="1085"/>
      </w:r>
      <w:r>
        <w:rPr>
          <w:rFonts w:ascii="Amiri" w:hAnsi="Amiri" w:eastAsia="Amiri" w:cs="Amiri"/>
          <w:color w:val="111111"/>
          <w:sz w:val="28"/>
          <w:sz w:val="28"/>
          <w:szCs w:val="28"/>
          <w:rtl w:val="true"/>
          <w:lang w:bidi="ar-SA"/>
        </w:rPr>
        <w:t>له ، ولو كان النجس أضعاف أضعاف الكر كما هو مقتضى إطلاقاتهم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على عدم الخلاف بينهم في ذلك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إذن عدم حصول الممازجة بالنسبة إلى الجميع ، فيطهر بعضه بالامتزاج والباقي بالاتصال وأمّا إذا كان الاتصال مطهرا في البعض فلا مفرّ من القول به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أيضا في خصوص الجاري وماء الحمّام إطلاق قوله عليه‌السلام في مرسلة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الحمّام كماء النهر ، يطهّر بعضه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إشارة إلى اعتبار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وبتنقيح المناط يمكن تسرية الحكم إلى سائر المياه المتّصلة بالمعصوم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الماء المتّصل بالمعصوم من الجاري والكر وغيرهما </w:t>
      </w:r>
      <w:r>
        <w:rPr>
          <w:rStyle w:val="FootnoteAnchor"/>
          <w:rtl w:val="true"/>
        </w:rPr>
        <w:footnoteReference w:id="1086"/>
      </w:r>
      <w:r>
        <w:rPr>
          <w:rFonts w:ascii="Amiri" w:hAnsi="Amiri" w:eastAsia="Amiri" w:cs="Amiri"/>
          <w:color w:val="111111"/>
          <w:sz w:val="28"/>
          <w:sz w:val="28"/>
          <w:szCs w:val="28"/>
          <w:rtl w:val="true"/>
          <w:lang w:bidi="ar-SA"/>
        </w:rPr>
        <w:t>يدفع عن نفسه النجاسة لاعتصامه بها ، فيكون أيضا رافعا لاتّحاد السبب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فاعتبار الامتزاج </w:t>
      </w:r>
      <w:r>
        <w:rPr>
          <w:rStyle w:val="FootnoteAnchor"/>
          <w:rtl w:val="true"/>
        </w:rPr>
        <w:footnoteReference w:id="1087"/>
      </w:r>
      <w:r>
        <w:rPr>
          <w:rFonts w:ascii="Amiri" w:hAnsi="Amiri" w:eastAsia="Amiri" w:cs="Amiri"/>
          <w:color w:val="111111"/>
          <w:sz w:val="28"/>
          <w:sz w:val="28"/>
          <w:szCs w:val="28"/>
          <w:rtl w:val="true"/>
          <w:lang w:bidi="ar-SA"/>
        </w:rPr>
        <w:t xml:space="preserve">مطلقا كما يظهر من التذكره أو اعتباره في الكر دون الجاري كما يظهر من بعض أجلّة المتأخّرين أو مع علوّ المطهّر دون ما إذا تساوى الماء ان كما يظهر من الموجز ويقتضيه </w:t>
      </w:r>
      <w:r>
        <w:rPr>
          <w:rStyle w:val="FootnoteAnchor"/>
          <w:rtl w:val="true"/>
        </w:rPr>
        <w:footnoteReference w:id="1088"/>
      </w:r>
      <w:r>
        <w:rPr>
          <w:rFonts w:ascii="Amiri" w:hAnsi="Amiri" w:eastAsia="Amiri" w:cs="Amiri"/>
          <w:color w:val="111111"/>
          <w:sz w:val="28"/>
          <w:sz w:val="28"/>
          <w:szCs w:val="28"/>
          <w:rtl w:val="true"/>
          <w:lang w:bidi="ar-SA"/>
        </w:rPr>
        <w:t>الجمع بين عبارات المنتهى والنهاية كما عرفت في بحث ماء الحمّام ؛ ضعيف لا مستند له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اعتباره إمّا لأجل ملاقاة المطهّر للنجس فقد عرفت أنّه </w:t>
      </w:r>
      <w:r>
        <w:rPr>
          <w:rStyle w:val="FootnoteAnchor"/>
          <w:rtl w:val="true"/>
        </w:rPr>
        <w:footnoteReference w:id="1089"/>
      </w:r>
      <w:r>
        <w:rPr>
          <w:rFonts w:ascii="Amiri" w:hAnsi="Amiri" w:eastAsia="Amiri" w:cs="Amiri"/>
          <w:color w:val="111111"/>
          <w:sz w:val="28"/>
          <w:sz w:val="28"/>
          <w:szCs w:val="28"/>
          <w:rtl w:val="true"/>
          <w:lang w:bidi="ar-SA"/>
        </w:rPr>
        <w:t xml:space="preserve">حاصل بالنسبة إلى جميع </w:t>
      </w:r>
    </w:p>
    <w:p>
      <w:pPr>
        <w:pStyle w:val="BookText"/>
        <w:rPr/>
      </w:pPr>
      <w:r>
        <w:rPr>
          <w:rFonts w:ascii="Amiri" w:hAnsi="Amiri" w:eastAsia="Amiri" w:cs="Amiri"/>
          <w:color w:val="111111"/>
          <w:sz w:val="28"/>
          <w:sz w:val="28"/>
          <w:szCs w:val="28"/>
          <w:rtl w:val="true"/>
          <w:lang w:bidi="ar-SA"/>
        </w:rPr>
        <w:t xml:space="preserve">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ولا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الأوّل ، وعدم اعتبارهم للثاني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لرفع الاثنينيّة بين المائين واتحادهما ففيه أنّه لا يتوقّف على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لرفع الامتياز بينهما والمغايرة في الإشارة الحسيّة ففيه أنّه لا دليل عليه ولا شاهد من نظائره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بأصالة بقاء النجاسة إلى أن يعلم المزيل ، ولا يتحقق إلّا مع الامتزاج لقيام الإجماع عليه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الإطلاق أيضا حجّة وهو كاف في نقض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ويعزى إلى بعض الأصحاب أنّه على القول بالاكتفاء بالاتّصال في الواقف لا مفرّ أيضا من اعتبار الامتزاج في الجاري مستدلّا بحصول علوّ المطهّر أو امتزاجه هناك بخلاف الجاري ؛ لكون المنبع فيه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الدليل في نفسه وأخصيّته عن الدعوى إن تمّ ؛ إذ قد يكون المنبع من مكان مرتفع أو مساو للماء ، وقد يكون التغيير في المنحدر عن المنبع بكثير وكان ذلك شاهد على تخصيص الدعوى بصورة علوّ النجس على المادّة كما حكي عن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الروض أيضا ؛ لاعتباره علوّ المطهّر ففيه كما سيأتي من عدم الدليل على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فيه علوّ المطهّر أو مساواته مطلقا أو في غير النابع أو لا يعتبر ذلك مطلقا؟</w:t>
      </w:r>
    </w:p>
    <w:p>
      <w:pPr>
        <w:pStyle w:val="BookText"/>
        <w:rPr/>
      </w:pPr>
      <w:r>
        <w:rPr>
          <w:rFonts w:ascii="IRNazanin" w:hAnsi="IRNazanin" w:eastAsia="IRNazanin"/>
          <w:color w:val="111111"/>
          <w:sz w:val="28"/>
          <w:sz w:val="28"/>
          <w:szCs w:val="28"/>
          <w:rtl w:val="true"/>
          <w:lang w:bidi="fa-IR"/>
        </w:rPr>
        <w:t xml:space="preserve">وجوه ؛ أقواها عدم الاشتراط لما عرفت من عموم </w:t>
      </w:r>
      <w:r>
        <w:rPr>
          <w:rStyle w:val="FootnoteAnchor"/>
          <w:rtl w:val="true"/>
        </w:rPr>
        <w:footnoteReference w:id="1090"/>
      </w:r>
      <w:r>
        <w:rPr>
          <w:rFonts w:ascii="Amiri" w:hAnsi="Amiri" w:eastAsia="Amiri" w:cs="Amiri"/>
          <w:color w:val="111111"/>
          <w:sz w:val="28"/>
          <w:sz w:val="28"/>
          <w:szCs w:val="28"/>
          <w:rtl w:val="true"/>
          <w:lang w:bidi="ar-SA"/>
        </w:rPr>
        <w:t>الدليل بالنسبة إلى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الورود في المطهّر على ما اعتبر في تطهير غير الماء فانّما هو في غير المعتصم وإلّا فلا فرق بين الورودين في غيره قطعا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الروض اعتبار علوّ المطهّر خاصّة فلا طهر مع المساواة أو علو النجس ، وظاهر ما ذهب إليه مخالف لما اتفقوا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اعترف باتفاقهم في صورة مساواة السطوح قال </w:t>
      </w:r>
      <w:r>
        <w:rPr>
          <w:rStyle w:val="FootnoteAnchor"/>
          <w:rtl w:val="true"/>
        </w:rPr>
        <w:footnoteReference w:id="109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حمله بأنّ جماعة </w:t>
      </w:r>
      <w:r>
        <w:rPr>
          <w:rStyle w:val="FootnoteAnchor"/>
          <w:rtl w:val="true"/>
        </w:rPr>
        <w:footnoteReference w:id="1092"/>
      </w:r>
      <w:r>
        <w:rPr>
          <w:rFonts w:ascii="Amiri" w:hAnsi="Amiri" w:eastAsia="Amiri" w:cs="Amiri"/>
          <w:color w:val="111111"/>
          <w:sz w:val="28"/>
          <w:sz w:val="28"/>
          <w:szCs w:val="28"/>
          <w:rtl w:val="true"/>
          <w:lang w:bidi="ar-SA"/>
        </w:rPr>
        <w:t xml:space="preserve">من الأصحاب منهم المصنّف في التذكرة والشهيد في الذكرى </w:t>
      </w:r>
      <w:r>
        <w:rPr>
          <w:rStyle w:val="FootnoteAnchor"/>
          <w:rtl w:val="true"/>
        </w:rPr>
        <w:footnoteReference w:id="1093"/>
      </w:r>
      <w:r>
        <w:rPr>
          <w:rFonts w:ascii="Amiri" w:hAnsi="Amiri" w:eastAsia="Amiri" w:cs="Amiri"/>
          <w:color w:val="111111"/>
          <w:sz w:val="28"/>
          <w:sz w:val="28"/>
          <w:szCs w:val="28"/>
          <w:rtl w:val="true"/>
          <w:lang w:bidi="ar-SA"/>
        </w:rPr>
        <w:t xml:space="preserve">اشترطوا في طهر النجس إذن امتزاج الطاهر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9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الشرط راجع إلى علو الجاري إذ لا يتحقق الامتزاج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أنّ الامتزاج لا يستلزم علو المطهر على جميع أجزاء النجس </w:t>
      </w:r>
      <w:r>
        <w:rPr>
          <w:rStyle w:val="FootnoteAnchor"/>
          <w:rtl w:val="true"/>
        </w:rPr>
        <w:footnoteReference w:id="1095"/>
      </w:r>
      <w:r>
        <w:rPr>
          <w:rFonts w:ascii="Amiri" w:hAnsi="Amiri" w:eastAsia="Amiri" w:cs="Amiri"/>
          <w:color w:val="111111"/>
          <w:sz w:val="28"/>
          <w:sz w:val="28"/>
          <w:szCs w:val="28"/>
          <w:rtl w:val="true"/>
          <w:lang w:bidi="ar-SA"/>
        </w:rPr>
        <w:t>، ولو سلّم فاشتراطهم له ليس من تلك الجهة فاعتباره له مخالف لظاهر ما اتفقوا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عرفت من عدم قيام دليل عليه ، مع مخالفته لظاهر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في القواعد بعدم الاكتفاء بنبع الماء من تحت الراكد 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096"/>
      </w:r>
      <w:r>
        <w:rPr>
          <w:rFonts w:ascii="IRNazanin" w:hAnsi="IRNazanin" w:eastAsia="IRNazanin"/>
          <w:color w:val="111111"/>
          <w:sz w:val="28"/>
          <w:sz w:val="28"/>
          <w:szCs w:val="28"/>
          <w:rtl w:val="true"/>
          <w:lang w:bidi="fa-IR"/>
        </w:rPr>
        <w:t>أنّه أشبه بالمذهب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بظاهره قد يوهم اشتراط علوّ المطهّر أو مساواته لكن حمله على بناء النبع على اعتبار الدفعة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أنه نصّ في المعتبر بعد ذلك بطهارة الماء إذا وصل المطهّر إليه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في نهاية الإحكام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المقصود بالنبع في المقام غير النبع من الأرض ؛ إذ لا تأمّل في الاكتفاء به في الجملة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وأمّا </w:t>
      </w:r>
      <w:r>
        <w:rPr>
          <w:rStyle w:val="FootnoteAnchor"/>
          <w:rtl w:val="true"/>
        </w:rPr>
        <w:footnoteReference w:id="1097"/>
      </w:r>
      <w:r>
        <w:rPr>
          <w:rFonts w:ascii="Amiri" w:hAnsi="Amiri" w:eastAsia="Amiri" w:cs="Amiri"/>
          <w:color w:val="111111"/>
          <w:sz w:val="28"/>
          <w:sz w:val="28"/>
          <w:szCs w:val="28"/>
          <w:rtl w:val="true"/>
          <w:lang w:bidi="ar-SA"/>
        </w:rPr>
        <w:t>عدم علوّ النجس على المطهّر متدافعا عليه من الأعلى إلى الأسفل فلا شكّ في اعتباره لعدم سراية النجاسة كذلك كما عرفت ، فلا تسري الطهارة أيضا</w:t>
      </w:r>
      <w:r>
        <w:rPr>
          <w:rFonts w:eastAsia="Amiri" w:cs="Amiri" w:ascii="Amiri" w:hAnsi="Amiri"/>
          <w:color w:val="111111"/>
          <w:sz w:val="28"/>
          <w:szCs w:val="28"/>
          <w:rtl w:val="true"/>
          <w:lang w:bidi="ar-SA"/>
        </w:rPr>
        <w:t xml:space="preserve">. </w:t>
      </w:r>
      <w:bookmarkStart w:id="196" w:name="pg15827_173743"/>
    </w:p>
    <w:p>
      <w:pPr>
        <w:pStyle w:val="BookText"/>
        <w:rPr/>
      </w:pPr>
      <w:bookmarkEnd w:id="196"/>
      <w:r>
        <w:rPr>
          <w:rFonts w:ascii="Amiri" w:hAnsi="Amiri" w:eastAsia="Amiri" w:cs="Amiri"/>
          <w:color w:val="111111"/>
          <w:sz w:val="28"/>
          <w:sz w:val="28"/>
          <w:szCs w:val="28"/>
          <w:rtl w:val="true"/>
          <w:lang w:bidi="ar-SA"/>
        </w:rPr>
        <w:t>مضافا إلى استصحاب النجاسة مع الشك في شمول إطلاقات التطهير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اتفاقهم على ذلك وعليه يحمل ما حكي عن ظاهرهم من الاتّفاق على اعتبار علوّ المطهّر هنا أو مساواته ، ولو أريد به ما يشمل المعنى الأوّل فقد عرفت ضعفه ، وتصريح غير واحد من الأصحاب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فيما ذكر بين علوّ النجس عليه على سبيل التسنيم أو الانحدار الظاهر ، وكذا الحال مع حصول مسمّى الانحدار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تساوي المكان عرفا إذا تدافع النجس على المطهّر ففي حصول التطهير به إشكال ونحوه ما إذا جرى عليه </w:t>
      </w:r>
      <w:r>
        <w:rPr>
          <w:rStyle w:val="FootnoteAnchor"/>
          <w:rtl w:val="true"/>
        </w:rPr>
        <w:footnoteReference w:id="1098"/>
      </w:r>
      <w:r>
        <w:rPr>
          <w:rFonts w:ascii="Amiri" w:hAnsi="Amiri" w:eastAsia="Amiri" w:cs="Amiri"/>
          <w:color w:val="111111"/>
          <w:sz w:val="28"/>
          <w:sz w:val="28"/>
          <w:szCs w:val="28"/>
          <w:rtl w:val="true"/>
          <w:lang w:bidi="ar-SA"/>
        </w:rPr>
        <w:t>النجس من الأسفل كالفوّارة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بقاء النجاسة وإن كان حصول التطهير به لا يخلو عن قوّة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4099729_2142443653"/>
      <w:bookmarkStart w:id="198" w:name="_Toc71"/>
      <w:bookmarkEnd w:id="197"/>
      <w:r>
        <w:rPr>
          <w:rtl w:val="true"/>
        </w:rPr>
        <w:t xml:space="preserve">[ </w:t>
      </w:r>
      <w:r>
        <w:rPr>
          <w:rtl w:val="true"/>
        </w:rPr>
        <w:t xml:space="preserve">تنبيهات </w:t>
      </w:r>
      <w:r>
        <w:rPr>
          <w:rtl w:val="true"/>
        </w:rPr>
        <w:t>]</w:t>
      </w:r>
      <w:bookmarkEnd w:id="198"/>
    </w:p>
    <w:p>
      <w:pPr>
        <w:pStyle w:val="BookText"/>
        <w:rPr/>
      </w:pPr>
      <w:r>
        <w:rPr>
          <w:rFonts w:ascii="Amiri" w:hAnsi="Amiri" w:eastAsia="Amiri" w:cs="Amiri"/>
          <w:color w:val="111111"/>
          <w:sz w:val="28"/>
          <w:sz w:val="28"/>
          <w:szCs w:val="28"/>
          <w:rtl w:val="true"/>
          <w:lang w:bidi="ar-SA"/>
        </w:rPr>
        <w:t xml:space="preserve">وينبغي التنبيه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الخلاف إلى </w:t>
      </w:r>
      <w:r>
        <w:rPr>
          <w:rStyle w:val="FootnoteAnchor"/>
          <w:rtl w:val="true"/>
        </w:rPr>
        <w:footnoteReference w:id="1099"/>
      </w:r>
      <w:r>
        <w:rPr>
          <w:rFonts w:ascii="Amiri" w:hAnsi="Amiri" w:eastAsia="Amiri" w:cs="Amiri"/>
          <w:color w:val="111111"/>
          <w:sz w:val="28"/>
          <w:sz w:val="28"/>
          <w:szCs w:val="28"/>
          <w:rtl w:val="true"/>
          <w:lang w:bidi="ar-SA"/>
        </w:rPr>
        <w:t>اعتبار الدفعة في إلقاء الكر على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المحقّق الكركي </w:t>
      </w:r>
      <w:r>
        <w:rPr>
          <w:rStyle w:val="FootnoteAnchor"/>
          <w:rtl w:val="true"/>
        </w:rPr>
        <w:footnoteReference w:id="1100"/>
      </w:r>
      <w:r>
        <w:rPr>
          <w:rFonts w:ascii="Amiri" w:hAnsi="Amiri" w:eastAsia="Amiri" w:cs="Amiri"/>
          <w:color w:val="111111"/>
          <w:sz w:val="28"/>
          <w:sz w:val="28"/>
          <w:szCs w:val="28"/>
          <w:rtl w:val="true"/>
          <w:lang w:bidi="ar-SA"/>
        </w:rPr>
        <w:t xml:space="preserve">إلى صريح الأصحاب مؤذنا </w:t>
      </w:r>
      <w:r>
        <w:rPr>
          <w:rStyle w:val="FootnoteAnchor"/>
          <w:rtl w:val="true"/>
        </w:rPr>
        <w:footnoteReference w:id="1101"/>
      </w:r>
      <w:r>
        <w:rPr>
          <w:rFonts w:ascii="Amiri" w:hAnsi="Amiri" w:eastAsia="Amiri" w:cs="Amiri"/>
          <w:color w:val="111111"/>
          <w:sz w:val="28"/>
          <w:sz w:val="28"/>
          <w:szCs w:val="28"/>
          <w:rtl w:val="true"/>
          <w:lang w:bidi="ar-SA"/>
        </w:rPr>
        <w:t>باتفاقهم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Style w:val="FootnoteAnchor"/>
          <w:rtl w:val="true"/>
        </w:rPr>
        <w:footnoteReference w:id="1102"/>
      </w:r>
      <w:r>
        <w:rPr>
          <w:rFonts w:ascii="IRNazanin" w:hAnsi="IRNazanin" w:eastAsia="IRNazanin"/>
          <w:color w:val="111111"/>
          <w:sz w:val="28"/>
          <w:sz w:val="28"/>
          <w:szCs w:val="28"/>
          <w:rtl w:val="true"/>
          <w:lang w:bidi="fa-IR"/>
        </w:rPr>
        <w:t>أنه المشهور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لا خلاف في عدم اعتبارها في التطهير بما عدا الكر من المياه المعتصمة كالجاري والغيث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اختصاصه أيضا بما إذا كان التطهير بمقدار الكرّ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لو زاد عليه بمقدار ما يحصل به الاتصال بالماء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الامتزاج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لاعتبار الدفعة فيه ؛ لما عرفت من اعتصام المنحدر إذن بما فوقه من الكر على ظاهر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جمع من معتبري الدفعة بتسرية حكم الحمّام به </w:t>
      </w:r>
      <w:r>
        <w:rPr>
          <w:rStyle w:val="FootnoteAnchor"/>
          <w:rtl w:val="true"/>
        </w:rPr>
        <w:footnoteReference w:id="1104"/>
      </w:r>
      <w:r>
        <w:rPr>
          <w:rFonts w:ascii="Amiri" w:hAnsi="Amiri" w:eastAsia="Amiri" w:cs="Amiri"/>
          <w:color w:val="111111"/>
          <w:sz w:val="28"/>
          <w:sz w:val="28"/>
          <w:szCs w:val="28"/>
          <w:rtl w:val="true"/>
          <w:lang w:bidi="ar-SA"/>
        </w:rPr>
        <w:t>إلى غيره وقد عزا في المعالم إلى الذاهبين إلى اعتبار المساواة في سطح الكر أنّهم مصرّحون بعدم انفعال القليل المتصل بالكثير ، ولذا اعتبرت الدفعة في عباراتهم في خصوص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الشرائع اعتبارها في الزائد على الكر أيضا ، وقد يرجع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فاعتبار الدفعة مبني على اعتبار تساوي السطوح في الكر وعدم تقوّي الأسفل منه بالأعلى ؛ إذ مع القول بعدمه لا يخرج المنحدر بسبب اتصال الماء عن حكم الكرّ ، فلا فائدة في اعتبار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الأقوى عدم اعتبار استواء السطوح </w:t>
      </w:r>
      <w:r>
        <w:rPr>
          <w:rStyle w:val="FootnoteAnchor"/>
          <w:rtl w:val="true"/>
        </w:rPr>
        <w:footnoteReference w:id="1105"/>
      </w:r>
      <w:r>
        <w:rPr>
          <w:rFonts w:ascii="Amiri" w:hAnsi="Amiri" w:eastAsia="Amiri" w:cs="Amiri"/>
          <w:color w:val="111111"/>
          <w:sz w:val="28"/>
          <w:sz w:val="28"/>
          <w:szCs w:val="28"/>
          <w:rtl w:val="true"/>
          <w:lang w:bidi="ar-SA"/>
        </w:rPr>
        <w:t>كذلك فالوجه عدم اعتبارها في المقام ؛ وفاقا لجماعة من الأعلام بعدم ظهور الفرق بين الدفعة وغيرها حينئذ في إفادة التطهير لاقتضاء الإطلاقات بخصوص التطهير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بعدم ورود كيفيّة تطهير </w:t>
      </w:r>
      <w:r>
        <w:rPr>
          <w:rStyle w:val="FootnoteAnchor"/>
          <w:rtl w:val="true"/>
        </w:rPr>
        <w:footnoteReference w:id="1106"/>
      </w:r>
      <w:r>
        <w:rPr>
          <w:rFonts w:ascii="Amiri" w:hAnsi="Amiri" w:eastAsia="Amiri" w:cs="Amiri"/>
          <w:color w:val="111111"/>
          <w:sz w:val="28"/>
          <w:sz w:val="28"/>
          <w:szCs w:val="28"/>
          <w:rtl w:val="true"/>
          <w:lang w:bidi="ar-SA"/>
        </w:rPr>
        <w:t xml:space="preserve">المياه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الأخذ بمقتضى استصحاب النجاسة في غير مورد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فيبتني على بقاء النجاسة مع عدم إلقاء الكر دفعة لشهرة الخلاف فيه حينئذ ، مدفوع بما مرّت الإشارة إليه من الاكتفاء في الحكم بالتطهير بالاطلاقات الواردة ؛ إذ هي مع عدم ظهور التقييد حجة وافية </w:t>
      </w:r>
      <w:r>
        <w:rPr>
          <w:rStyle w:val="FootnoteAnchor"/>
          <w:rtl w:val="true"/>
        </w:rPr>
        <w:footnoteReference w:id="1107"/>
      </w:r>
      <w:r>
        <w:rPr>
          <w:rFonts w:ascii="Amiri" w:hAnsi="Amiri" w:eastAsia="Amiri" w:cs="Amiri"/>
          <w:color w:val="111111"/>
          <w:sz w:val="28"/>
          <w:sz w:val="28"/>
          <w:szCs w:val="28"/>
          <w:rtl w:val="true"/>
          <w:lang w:bidi="ar-SA"/>
        </w:rPr>
        <w:t>في إفادة الحكم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من الاستصحاب مدفوع باستصحاب بقاء الكرّ الوارد على غير وجه الدفعة على الطهارة ؛ إذ مع القول بعدم إفادته التطهير يحكم بنجاسته حسبما نصّ عليه ، فكيف يصحّ </w:t>
      </w:r>
    </w:p>
    <w:p>
      <w:pPr>
        <w:pStyle w:val="BookText"/>
        <w:rPr/>
      </w:pPr>
      <w:r>
        <w:rPr>
          <w:rFonts w:ascii="Amiri" w:hAnsi="Amiri" w:eastAsia="Amiri" w:cs="Amiri"/>
          <w:color w:val="111111"/>
          <w:sz w:val="28"/>
          <w:sz w:val="28"/>
          <w:szCs w:val="28"/>
          <w:rtl w:val="true"/>
          <w:lang w:bidi="ar-SA"/>
        </w:rPr>
        <w:t>القول ببقائه على الطهارة وبقاء الآخر بالنجاسة مع امتزاج المائين وانتفاء المائز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الكركي </w:t>
      </w:r>
      <w:r>
        <w:rPr>
          <w:rStyle w:val="FootnoteAnchor"/>
          <w:rtl w:val="true"/>
        </w:rPr>
        <w:footnoteReference w:id="1108"/>
      </w:r>
      <w:r>
        <w:rPr>
          <w:rFonts w:ascii="Amiri" w:hAnsi="Amiri" w:eastAsia="Amiri" w:cs="Amiri"/>
          <w:color w:val="111111"/>
          <w:sz w:val="28"/>
          <w:sz w:val="28"/>
          <w:szCs w:val="28"/>
          <w:rtl w:val="true"/>
          <w:lang w:bidi="ar-SA"/>
        </w:rPr>
        <w:t>ورود النصّ به باعتبار الدفعة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حكاه من تصريح الأصحاب به لا حجّة فيه مع تصريح جماعة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وضوح ما ذكره في 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 ممّا قلنا عدم الحاجة إلى اعتبارها مع تساوي سطحي المائين لحصول </w:t>
      </w:r>
      <w:r>
        <w:rPr>
          <w:rStyle w:val="FootnoteAnchor"/>
          <w:rtl w:val="true"/>
        </w:rPr>
        <w:footnoteReference w:id="1109"/>
      </w:r>
      <w:r>
        <w:rPr>
          <w:rFonts w:ascii="IRNazanin" w:hAnsi="IRNazanin" w:eastAsia="IRNazanin"/>
          <w:color w:val="111111"/>
          <w:sz w:val="28"/>
          <w:sz w:val="28"/>
          <w:szCs w:val="28"/>
          <w:rtl w:val="true"/>
          <w:lang w:bidi="fa-IR"/>
        </w:rPr>
        <w:t>الاعتصام معه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اعتبروها في إلقاء الكرّ نظرا إلى علوّه على النجس ،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 اعتبار الدفعة في كلام جماعة منهم على إرادة المواصلة بين أجزاء </w:t>
      </w:r>
      <w:r>
        <w:rPr>
          <w:rStyle w:val="FootnoteAnchor"/>
          <w:rtl w:val="true"/>
        </w:rPr>
        <w:footnoteReference w:id="1110"/>
      </w:r>
      <w:r>
        <w:rPr>
          <w:rFonts w:ascii="Amiri" w:hAnsi="Amiri" w:eastAsia="Amiri" w:cs="Amiri"/>
          <w:color w:val="111111"/>
          <w:sz w:val="28"/>
          <w:sz w:val="28"/>
          <w:szCs w:val="28"/>
          <w:rtl w:val="true"/>
          <w:lang w:bidi="ar-SA"/>
        </w:rPr>
        <w:t>الكر بأن لا يلقى فيه دفعات متفرقة ، وهو بهذا المعنى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الماء متغيرا بالنجاسة فألقي عليه كرّ فإن تغيّر به الكرّ الوارد نجس وليس ذلك من التغيير بالمتنجّس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حينئذ من إلقاء كرّ آخر إلى أن يزول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تغيّر به بعض الكرّ الوارد لتنجسه بذلك ، ونقصان الباقي عن الكر فينجس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لو تغير بعضه في أول آنات اللقاء ثمّ زال التغيير عن الجميع باستيلاء الماء الوارد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يتراءى من اقتضاء إطلاق الأصحاب بحصول التطهير في الصورة المفروضة لصدق </w:t>
      </w:r>
      <w:r>
        <w:rPr>
          <w:rStyle w:val="FootnoteAnchor"/>
          <w:rtl w:val="true"/>
        </w:rPr>
        <w:footnoteReference w:id="1111"/>
      </w:r>
      <w:r>
        <w:rPr>
          <w:rFonts w:ascii="Amiri" w:hAnsi="Amiri" w:eastAsia="Amiri" w:cs="Amiri"/>
          <w:color w:val="111111"/>
          <w:sz w:val="28"/>
          <w:sz w:val="28"/>
          <w:szCs w:val="28"/>
          <w:rtl w:val="true"/>
          <w:lang w:bidi="ar-SA"/>
        </w:rPr>
        <w:t xml:space="preserve">زوال التغيير بالقاء الكر عليه ، بيّن الفساد ؛ لظهور خروج الصورة المفروضة عمّا </w:t>
      </w:r>
      <w:bookmarkStart w:id="199" w:name="pg15827_173746"/>
    </w:p>
    <w:p>
      <w:pPr>
        <w:pStyle w:val="BookText"/>
        <w:rPr/>
      </w:pPr>
      <w:bookmarkEnd w:id="199"/>
      <w:r>
        <w:rPr>
          <w:rFonts w:ascii="Amiri" w:hAnsi="Amiri" w:eastAsia="Amiri" w:cs="Amiri"/>
          <w:color w:val="111111"/>
          <w:sz w:val="28"/>
          <w:sz w:val="28"/>
          <w:szCs w:val="28"/>
          <w:rtl w:val="true"/>
          <w:lang w:bidi="ar-SA"/>
        </w:rPr>
        <w:t>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ومن الواضح تنجّس القدر المتغير في تلك الحال وخروج الباقي عن الكرية ، فلا يبقى هناك كر طاهر حتّى يصحّ التطهير به ، ويندرج في إطلاق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تغيير بعضه في أوّل الملاقاة بنى على أصالة عدمه وبقائه على طهارته ، فيحكم بطهارة الجميع بعد زوال التغيير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الماء بعد حصول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 في زوال التغيير </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بعد امتزاج المائين ظاهر القاعدة الحكم بالطهارة بعد تعارض الأصلين ، ولو أمكن استعلام حاله فهل يجب عليه ذلك عند إرادة استعماله؟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الماء نجسا متغيرا وشكّ في كون تغيّره بالنجاسة ففي طهره مع بقاء التغيير وجهان ؛ من استصحاب النجاسة وأصالة عدم كون التغيير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مقدار الكر في روايات عديدة مثلا فأهريق الجميع دفعة على الماء النجس بعد اتصال بعضها بالبعض في محلّ الانصباب ، فالظاهر الاكتفاء به في المقام بناء على ما اخترناه من عدم اعتبار استواء السطوح في الكر وتقوّي الأسفل بالأعلى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هو مقصود الجماعة من فضلاء البحرين حيث حكموا بالتطهير مع تفرّق ماء الكر في أواني عديدة حسبما حكاه عنهم في 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ما قرّرناه ، فما </w:t>
      </w:r>
      <w:r>
        <w:rPr>
          <w:rStyle w:val="FootnoteAnchor"/>
          <w:rtl w:val="true"/>
        </w:rPr>
        <w:footnoteReference w:id="1113"/>
      </w:r>
      <w:r>
        <w:rPr>
          <w:rFonts w:ascii="Amiri" w:hAnsi="Amiri" w:eastAsia="Amiri" w:cs="Amiri"/>
          <w:color w:val="111111"/>
          <w:sz w:val="28"/>
          <w:sz w:val="28"/>
          <w:szCs w:val="28"/>
          <w:rtl w:val="true"/>
          <w:lang w:bidi="ar-SA"/>
        </w:rPr>
        <w:t>ذكره من أنّه لا يعلم بالوجه فيه عندهم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يطهر الماء النجس بإلقاء الكرّ عليه كذا يطهر بإلقائه في الكر ، ولا مجال حينئذ لاعتبار الدفعة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4099731_2142443653"/>
      <w:bookmarkStart w:id="201" w:name="_Toc72"/>
      <w:bookmarkEnd w:id="200"/>
      <w:r>
        <w:rPr>
          <w:rtl w:val="true"/>
        </w:rPr>
        <w:t xml:space="preserve">[ </w:t>
      </w:r>
      <w:r>
        <w:rPr>
          <w:rtl w:val="true"/>
        </w:rPr>
        <w:t xml:space="preserve">مسائل </w:t>
      </w:r>
      <w:r>
        <w:rPr>
          <w:rtl w:val="true"/>
        </w:rPr>
        <w:t>]</w:t>
      </w:r>
      <w:bookmarkEnd w:id="20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w:t>
      </w:r>
      <w:r>
        <w:rPr>
          <w:rStyle w:val="FootnoteAnchor"/>
          <w:rtl w:val="true"/>
        </w:rPr>
        <w:footnoteReference w:id="1114"/>
      </w:r>
      <w:r>
        <w:rPr>
          <w:rFonts w:ascii="Amiri" w:hAnsi="Amiri" w:eastAsia="Amiri" w:cs="Amiri"/>
          <w:color w:val="111111"/>
          <w:sz w:val="28"/>
          <w:sz w:val="28"/>
          <w:szCs w:val="28"/>
          <w:rtl w:val="true"/>
          <w:lang w:bidi="ar-SA"/>
        </w:rPr>
        <w:t xml:space="preserve">بين المتأخرين عدم طهر القليل باتمامه كرّا سواء تمّم بطاهر أو نجس ، وهو </w:t>
      </w:r>
      <w:r>
        <w:rPr>
          <w:rStyle w:val="FootnoteAnchor"/>
          <w:rtl w:val="true"/>
        </w:rPr>
        <w:footnoteReference w:id="1115"/>
      </w:r>
      <w:r>
        <w:rPr>
          <w:rFonts w:ascii="Amiri" w:hAnsi="Amiri" w:eastAsia="Amiri" w:cs="Amiri"/>
          <w:color w:val="111111"/>
          <w:sz w:val="28"/>
          <w:sz w:val="28"/>
          <w:szCs w:val="28"/>
          <w:rtl w:val="true"/>
          <w:lang w:bidi="ar-SA"/>
        </w:rPr>
        <w:t xml:space="preserve">محكيّ </w:t>
      </w:r>
      <w:r>
        <w:rPr>
          <w:rStyle w:val="FootnoteAnchor"/>
          <w:rtl w:val="true"/>
        </w:rPr>
        <w:footnoteReference w:id="1116"/>
      </w:r>
      <w:r>
        <w:rPr>
          <w:rFonts w:ascii="Amiri" w:hAnsi="Amiri" w:eastAsia="Amiri" w:cs="Amiri"/>
          <w:color w:val="111111"/>
          <w:sz w:val="28"/>
          <w:sz w:val="28"/>
          <w:szCs w:val="28"/>
          <w:rtl w:val="true"/>
          <w:lang w:bidi="ar-SA"/>
        </w:rPr>
        <w:t>عن الإسكافي والشيخ رحمه‌اللّه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الفاضلان والشهيدان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شرح اللمعة </w:t>
      </w:r>
      <w:r>
        <w:rPr>
          <w:rStyle w:val="FootnoteAnchor"/>
          <w:rtl w:val="true"/>
        </w:rPr>
        <w:footnoteReference w:id="1117"/>
      </w:r>
      <w:r>
        <w:rPr>
          <w:rFonts w:ascii="Amiri" w:hAnsi="Amiri" w:eastAsia="Amiri" w:cs="Amiri"/>
          <w:color w:val="111111"/>
          <w:sz w:val="28"/>
          <w:sz w:val="28"/>
          <w:szCs w:val="28"/>
          <w:rtl w:val="true"/>
          <w:lang w:bidi="ar-SA"/>
        </w:rPr>
        <w:t>إلى معظم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 القواعد 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جماعة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المعتبر ندور القول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القدماء منهم السيد ، والديلمي ، والقاضي </w:t>
      </w:r>
      <w:r>
        <w:rPr>
          <w:rStyle w:val="FootnoteAnchor"/>
          <w:rtl w:val="true"/>
        </w:rPr>
        <w:footnoteReference w:id="1118"/>
      </w:r>
      <w:r>
        <w:rPr>
          <w:rFonts w:ascii="Amiri" w:hAnsi="Amiri" w:eastAsia="Amiri" w:cs="Amiri"/>
          <w:color w:val="111111"/>
          <w:sz w:val="28"/>
          <w:sz w:val="28"/>
          <w:szCs w:val="28"/>
          <w:rtl w:val="true"/>
          <w:lang w:bidi="ar-SA"/>
        </w:rPr>
        <w:t>، وابن أبي المجد الحلبي ، والحلّي ، وابن سعيد إلى طهره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وإليه ذهب من المتأخرين المحقّق الكركي </w:t>
      </w:r>
      <w:r>
        <w:rPr>
          <w:rStyle w:val="FootnoteAnchor"/>
          <w:rtl w:val="true"/>
        </w:rPr>
        <w:footnoteReference w:id="1119"/>
      </w:r>
      <w:r>
        <w:rPr>
          <w:rFonts w:ascii="Amiri" w:hAnsi="Amiri" w:eastAsia="Amiri" w:cs="Amiri"/>
          <w:color w:val="111111"/>
          <w:sz w:val="28"/>
          <w:sz w:val="28"/>
          <w:szCs w:val="28"/>
          <w:rtl w:val="true"/>
          <w:lang w:bidi="ar-SA"/>
        </w:rPr>
        <w:t>، وعزاه إلى أكثر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w:t>
      </w:r>
      <w:r>
        <w:rPr>
          <w:rStyle w:val="FootnoteAnchor"/>
          <w:rtl w:val="true"/>
        </w:rPr>
        <w:footnoteReference w:id="1120"/>
      </w:r>
      <w:r>
        <w:rPr>
          <w:rFonts w:ascii="Amiri" w:hAnsi="Amiri" w:eastAsia="Amiri" w:cs="Amiri"/>
          <w:color w:val="111111"/>
          <w:sz w:val="28"/>
          <w:sz w:val="28"/>
          <w:szCs w:val="28"/>
          <w:rtl w:val="true"/>
          <w:lang w:bidi="ar-SA"/>
        </w:rPr>
        <w:t xml:space="preserve">إطلاق بعضهم وصريح آخرين عدم الفرق بين إتمامه بالطاهر أو النجس ، بل ربّما يظهر من بعض أدلّتهم عدم الفرق بين كون الإتمام بالماء أو غيره حتّى من نجس العين إلّا أنّ الشيخ رحمه‌اللّه في المبسوط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ذهابه إليه حيث قوىّ القول بالطهارة مع إتمامه بالطاهر أو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الشك عن عدم حصول الطهر بإتمامه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مع استهلاكه فيه وإلّا كان خارجا عن محلّ الكلام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وفصّل الطوسي بين إتمامه بالماء الطاهر والنجس ، وحكاه الشيخ رحمه‌اللّه عن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حجة المشهور أصالة بقاء النجاسة حتّى يعلم المزيل ولم يعلم حصوله بذلك ؛ لعدم نهوض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احتجّ به للطهارة موهون كما سنبيّن ، وإنّ قضية ما دلّ على انفعال القليل ثبوت النجاسة حتّى يعلم المزيل ولا دليل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إطلاق المنع من غسالة الحمّام ؛ معلّلا بأنّ فيه غسالة اليهودي وولد الزنا والناصب ، فيعم ما لو بلغ المجموع حدّ الكر أو كان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أنّ استصحاب النجاسة إنّما يتمّ إذا لم يكن تتميمه بالماء الطاهر ، وأمّا معه فيتعارض </w:t>
      </w:r>
      <w:r>
        <w:rPr>
          <w:rStyle w:val="FootnoteAnchor"/>
          <w:rtl w:val="true"/>
        </w:rPr>
        <w:footnoteReference w:id="1122"/>
      </w:r>
      <w:r>
        <w:rPr>
          <w:rFonts w:ascii="Amiri" w:hAnsi="Amiri" w:eastAsia="Amiri" w:cs="Amiri"/>
          <w:color w:val="111111"/>
          <w:sz w:val="28"/>
          <w:sz w:val="28"/>
          <w:szCs w:val="28"/>
          <w:rtl w:val="true"/>
          <w:lang w:bidi="ar-SA"/>
        </w:rPr>
        <w:t>الاستصحابان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الأصل طهارة الماء حتّى يعلم انفعاله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باقتضاء أدلّة القليل بقاء الانفعال إلى أن يتحقق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مفادها مفاد الاستصحاب ، فيتعارض </w:t>
      </w:r>
      <w:r>
        <w:rPr>
          <w:rStyle w:val="FootnoteAnchor"/>
          <w:rtl w:val="true"/>
        </w:rPr>
        <w:footnoteReference w:id="1123"/>
      </w:r>
      <w:r>
        <w:rPr>
          <w:rFonts w:ascii="Amiri" w:hAnsi="Amiri" w:eastAsia="Amiri" w:cs="Amiri"/>
          <w:color w:val="111111"/>
          <w:sz w:val="28"/>
          <w:sz w:val="28"/>
          <w:szCs w:val="28"/>
          <w:rtl w:val="true"/>
          <w:lang w:bidi="ar-SA"/>
        </w:rPr>
        <w:t>حينئذ ما دلّ على طهارة الطاهر حتّى يعلم زواله مع خصوصيته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المنع من غسالة الحمّام محمول على المتعارف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وبلوغ المجموع حد الكر غير معلوم ، فلا دلالة فيها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القائلين بطهره بذلك بعد العمومات الدالّة على طهارة الماء من الآيات والروايات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في السرائر </w:t>
      </w:r>
      <w:r>
        <w:rPr>
          <w:rStyle w:val="FootnoteAnchor"/>
          <w:rtl w:val="true"/>
        </w:rPr>
        <w:footnoteReference w:id="1124"/>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وجعله في السرائر من قول الرسول صلى‌اللّه‌عليه‌وآله المجمع عليه عند المخالف والمؤالف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المهذب </w:t>
      </w:r>
      <w:r>
        <w:rPr>
          <w:rStyle w:val="FootnoteAnchor"/>
          <w:rtl w:val="true"/>
        </w:rPr>
        <w:footnoteReference w:id="1125"/>
      </w:r>
      <w:r>
        <w:rPr>
          <w:rFonts w:ascii="Amiri" w:hAnsi="Amiri" w:eastAsia="Amiri" w:cs="Amiri"/>
          <w:color w:val="111111"/>
          <w:sz w:val="28"/>
          <w:sz w:val="28"/>
          <w:szCs w:val="28"/>
          <w:rtl w:val="true"/>
          <w:lang w:bidi="ar-SA"/>
        </w:rPr>
        <w:t>من قولهم صلوات اللّه عليهم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126"/>
      </w:r>
      <w:r>
        <w:rPr>
          <w:rFonts w:ascii="Amiri" w:hAnsi="Amiri" w:eastAsia="Amiri" w:cs="Amiri"/>
          <w:color w:val="111111"/>
          <w:sz w:val="28"/>
          <w:sz w:val="28"/>
          <w:szCs w:val="28"/>
          <w:rtl w:val="true"/>
          <w:lang w:bidi="ar-SA"/>
        </w:rPr>
        <w:t xml:space="preserve">ظاهر ذلك روايته عن الأئمّة عليهم‌السلام ، والمراد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 خبثا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يظهره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يحمل غضبه أي يظهره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مذكور في جملة من كتب اللغة ، فيعمّ صورتي دفع النجاسة عن نفسه ورفعها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ذكره جماعة في وجه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لا حاجة إلى حمله على ذلك مع بعده عن ظاهر الاستعمالات بل يمكن الاستناد إليه مع حمله على ظاهر العرف ؛ فإنّ عدم حمل الخبث يعمّ الصورتين ، فلو كان الخبث حاصلا قبل الكرّيّة كان عدم حمله رفعه عن نفسه ، وإلّا اقتضى دفعه عنها ، والإجماع على طهارة الماء الكثير إذا وجدت فيه نجاسة عينيّة ولم يعلم هل كان وقوعها قبل بلوغ الكر أو بعده ، فلولا تساوي الحالين لما حكم فيه بالطهارة مطلقا ، وإن بلوغ الماء حدّ الكر يوجب استهلاكه للنجاسة ، فلا فرق بين وقوعها قبل بلوغه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العمومات مخصوصة بما دلّ على تنجّس الماء ، وأمّا الإجماع فموهون بمصير الأكثر إلى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w:t>
      </w:r>
      <w:r>
        <w:rPr>
          <w:rStyle w:val="FootnoteAnchor"/>
          <w:rtl w:val="true"/>
        </w:rPr>
        <w:footnoteReference w:id="112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لم نقف على شي‌ء في شي‌ء من كتب الأصحاب ، ولو وجد كان نادرا ، بل ذكره المرتضى في مسائل منفردة وبعده اثنان أو ثلاثة ممّن 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مثل هذا إجماعا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على فرض كونها من روايات أصحابنا مرسلة لا 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الإجماع على الرواية إن عني به الإجماع على الحكم المستفاد منها فقد عرفت ما فيه وإن عني مجرد الاتّفاق على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لدعوى الإجماع المصطلح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ضعيف ؛ لعدم ذكرها في شي‌ء من كتب الحديث ، وإنّما وجدت مرسلة في بعض كتب الفقه قال المحقق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طالعنا كتب الأخبار المنسوبة إليهم فلم نر هذا اللفظ وإنّما رأينا ما ذكرناه ، وهو قول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غلط من غلط في هذه المسألة لتوهمه أنّ معنى اللفظين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أنّها على فرض صحّتها قد يناقش في دلالتها ؛ نظرا إلى ظهور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يحمل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عدم حمل النجاسة الطارئة ، فلا يشمل غير صورة الدفع كالصحاح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طهارة الماء الكثير المفروض ليس مبنيّا على ذلك بل على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الأخير قياس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المفصّل في الحكم بالطهارة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طهر المتمّم اعتبار سبب الطهارة ؛ إذ لا يعقل حصول الطهارة من غير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ما عرفت مضافا إلى أنّ قضية إطلاقها حصول الطهر بمجرّد البلوغ إلى حد الكرّ ، فنفس الكرّية رافعة للنجاسة من غير حاجة إلى طهارة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 حكاية تعارض الأصلين وجها وجيها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يتراءى لدفعه من إطلاقات المفهوم في روايات الكر مدفوع بأنّ المناط في الكرية وعدمها هو حال الملاقاة ، والمفروض إذن بلوغه حدّ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روايات الكر اشتراط عدم الانفعال ببلوغ الماء الطاهر حدّ الكر ، وقضية ذلك تنجّسه إذا لم يكن الطاهر منه كرّا كما هو المفروض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بطهره في الإكمال يقول بطهر الجميع ، فليس الطاهر عنده خصوص ما فرض طهارته بما دون الكر ، فيقتضي </w:t>
      </w:r>
      <w:r>
        <w:rPr>
          <w:rStyle w:val="FootnoteAnchor"/>
          <w:rtl w:val="true"/>
        </w:rPr>
        <w:footnoteReference w:id="1129"/>
      </w:r>
      <w:r>
        <w:rPr>
          <w:rFonts w:ascii="Amiri" w:hAnsi="Amiri" w:eastAsia="Amiri" w:cs="Amiri"/>
          <w:color w:val="111111"/>
          <w:sz w:val="28"/>
          <w:sz w:val="28"/>
          <w:szCs w:val="28"/>
          <w:rtl w:val="true"/>
          <w:lang w:bidi="ar-SA"/>
        </w:rPr>
        <w:t>الإطلاق تنجّسه ، فلا مقتضى لاختصاص الطهر به سوى استصحاب النجاسة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معارض باستصحاب الطهارة ، فقضيّة العمومات طهارة الجميع للإجماع على تغليب أحد الحكمين مع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يقال في توجيه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البناء على توارد الأصلين إنّما يتم إذا ورد الطاهر على النجس أو تواردهما ، أمّا مع ورود النجس عليه فينفي الحكم بالنجاسة ؛ إذ لا مطهّر لما علا من النجس على ما يلاقيه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قضيّة روايات الكر تنجّس ما دون الكر من الماء الطاهر بملاقاة النجاسة والملاقاة </w:t>
      </w:r>
    </w:p>
    <w:p>
      <w:pPr>
        <w:pStyle w:val="BookText"/>
        <w:rPr/>
      </w:pPr>
      <w:r>
        <w:rPr>
          <w:rFonts w:ascii="Amiri" w:hAnsi="Amiri" w:eastAsia="Amiri" w:cs="Amiri"/>
          <w:color w:val="111111"/>
          <w:sz w:val="28"/>
          <w:sz w:val="28"/>
          <w:szCs w:val="28"/>
          <w:rtl w:val="true"/>
          <w:lang w:bidi="ar-SA"/>
        </w:rPr>
        <w:t>حاصلة في المقام ، فيقتضي ذلك تنجّسه ، ولو فرض ثبوت طهره كان ذلك في الحقيقة تقييدا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إطباق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على خروج الحكم بالطهارة بذلك عن القاعدة ، فلذا لم يتمسّك أحد فيها بالأصل ، وإنّما استندوا إلى الأدلّة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المحقق </w:t>
      </w:r>
      <w:r>
        <w:rPr>
          <w:rStyle w:val="FootnoteAnchor"/>
          <w:rtl w:val="true"/>
        </w:rPr>
        <w:footnoteReference w:id="1130"/>
      </w:r>
      <w:r>
        <w:rPr>
          <w:rFonts w:ascii="Amiri" w:hAnsi="Amiri" w:eastAsia="Amiri" w:cs="Amiri"/>
          <w:color w:val="111111"/>
          <w:sz w:val="28"/>
          <w:sz w:val="28"/>
          <w:szCs w:val="28"/>
          <w:rtl w:val="true"/>
          <w:lang w:bidi="ar-SA"/>
        </w:rPr>
        <w:t xml:space="preserve">بعد ردّ ما استدلّ به الحلي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يثبت طهارته فالاجماع على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السبب في اعتصام الكر تقوّي بعض أجزائه بالبعض ، ومع تنجّس بعضه لا يحصل التقوية العاصمة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بعد تعارض الأصلين يبقى استصحاب انفعال القليل بالملاقاة الثابت قبل الوصول إلى النجس سليما من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بجميع ما ذكرنا ضعف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الأصحاب عدم طهارة الكثير المتنجّس بالتغيير بمجرّد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131"/>
      </w:r>
      <w:r>
        <w:rPr>
          <w:rFonts w:ascii="Amiri" w:hAnsi="Amiri" w:eastAsia="Amiri" w:cs="Amiri"/>
          <w:color w:val="111111"/>
          <w:sz w:val="28"/>
          <w:sz w:val="28"/>
          <w:szCs w:val="28"/>
          <w:rtl w:val="true"/>
          <w:lang w:bidi="ar-SA"/>
        </w:rPr>
        <w:t>حكاية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نعرف مخالفا فيه سوى ما حكي عن ابن سعيد من حكمه بالتطهير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واحتمله العلّامة </w:t>
      </w:r>
      <w:r>
        <w:rPr>
          <w:rStyle w:val="FootnoteAnchor"/>
          <w:rtl w:val="true"/>
        </w:rPr>
        <w:footnoteReference w:id="1132"/>
      </w:r>
      <w:r>
        <w:rPr>
          <w:rFonts w:ascii="Amiri" w:hAnsi="Amiri" w:eastAsia="Amiri" w:cs="Amiri"/>
          <w:color w:val="111111"/>
          <w:sz w:val="28"/>
          <w:sz w:val="28"/>
          <w:szCs w:val="28"/>
          <w:rtl w:val="true"/>
          <w:lang w:bidi="ar-SA"/>
        </w:rPr>
        <w:t>في النهاية فيما إذا زال التغيير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لاستصحاب النجاسة الثابتة من دون حصول ما يوجب العلم بنقضه ، ولظاهر الإطلاقات الدالّة على وجوب الاجتناب عنه في الاستعمال بعد حصول التغيير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الطهارة عموم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الماء كرا لم يحمل خبثا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عنه حال التغيير بالإجماع ، فبقي الباقي ، وإنّ التغيير هو السبب في النجاسة فتزول بزواله ؛ ضرورة انتفاء المسبّب عند انتفاء 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وهن التعليلين ؛ لاقتضاء الرواية عدم حمله شيئا من الأخباث مطلقا ، فمع ثبوته يستصحب بعدم دلالتها على رفعه بعد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أنّه لا يلزم القائل بالطهارة بالإتمام قوله بها هنا ، وإن استدلّ هناك بالخبر المذكور فما </w:t>
      </w:r>
      <w:r>
        <w:rPr>
          <w:rStyle w:val="FootnoteAnchor"/>
          <w:rtl w:val="true"/>
        </w:rPr>
        <w:footnoteReference w:id="1133"/>
      </w:r>
      <w:r>
        <w:rPr>
          <w:rFonts w:ascii="Amiri" w:hAnsi="Amiri" w:eastAsia="Amiri" w:cs="Amiri"/>
          <w:color w:val="111111"/>
          <w:sz w:val="28"/>
          <w:sz w:val="28"/>
          <w:szCs w:val="28"/>
          <w:rtl w:val="true"/>
          <w:lang w:bidi="ar-SA"/>
        </w:rPr>
        <w:t xml:space="preserve">في المعتبر والدروس من إلزامه إذن بذلك ليس بوجه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نصّ جماعة منهم بعدمها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العموم فيها بالنسبة إلى الأوقات فقد عرفت ما فيها من الضعف في السند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والمسبب عن التغيير إنّما هو حصول النجاسة لا بقاؤها ليرتفع بارتفاعه كالملاقاة بالنسبة إلى القليل ، فلا ترتفع النجاسة عنه بمجرّد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بين زوال التغيير من قبل نفسه أو بتصفيق الرياح أو بمخالطة بعض الأجسام غير الماء أو الماء مع عدم بلوغه حدّ الكر ، ويأتي على القول بطهر القليل بإتمامه كرا احتمال طهره في الصورة الأخيرة ، بل حكي القول به عن ظاهر إطلاق المبسوط ، والمراسم ، والوسيلة ، والجامع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بتوارد الاستصحابين ، والأصل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عرفت ضعفه لإطلاق </w:t>
      </w:r>
      <w:r>
        <w:rPr>
          <w:rStyle w:val="FootnoteAnchor"/>
          <w:rtl w:val="true"/>
        </w:rPr>
        <w:footnoteReference w:id="1135"/>
      </w:r>
      <w:r>
        <w:rPr>
          <w:rFonts w:ascii="Amiri" w:hAnsi="Amiri" w:eastAsia="Amiri" w:cs="Amiri"/>
          <w:color w:val="111111"/>
          <w:sz w:val="28"/>
          <w:sz w:val="28"/>
          <w:szCs w:val="28"/>
          <w:rtl w:val="true"/>
          <w:lang w:bidi="ar-SA"/>
        </w:rPr>
        <w:t>الرواية المذكورة بناء على أنّ المراد بالكر ما فوق القليل سواء كان بمقدار الكر أو زاد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لظهور الرواية إن حملت على ذلك في القلة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نصّ في السرائر </w:t>
      </w:r>
      <w:r>
        <w:rPr>
          <w:rStyle w:val="FootnoteAnchor"/>
          <w:rtl w:val="true"/>
        </w:rPr>
        <w:footnoteReference w:id="1136"/>
      </w:r>
      <w:r>
        <w:rPr>
          <w:rFonts w:ascii="IRNazanin" w:hAnsi="IRNazanin" w:eastAsia="IRNazanin"/>
          <w:color w:val="111111"/>
          <w:sz w:val="28"/>
          <w:sz w:val="28"/>
          <w:szCs w:val="28"/>
          <w:rtl w:val="true"/>
          <w:lang w:bidi="fa-IR"/>
        </w:rPr>
        <w:t>هنا بعدم الالحاق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ولو تغيّر بعض الكثير وكان الباقي كرّا طهر بمجرد زوال التغيير على ما ذهبنا إليه ، وعلى اعتبار الامتزاج فلا بدّ من تمويج الباقي ليحصل الامتزاج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جمد الماء كان حكمه حكم نحوه من الجوامد فإن تنجّس حينئذ اختص النجاسة بمحل الملاقاة سواء كان بقدر الكر أو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العلّامة رحمه‌اللّه بعدم انفعاله مع بلوغه قدر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كما مرّت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تطهيره كتطهير نحوه من 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تنجّس مائعا ثم جمد لم يمكن تطهيره إلّا بالميعان ؛ لعدم إمكان إيصال الماء </w:t>
      </w:r>
      <w:r>
        <w:rPr>
          <w:rStyle w:val="FootnoteAnchor"/>
          <w:rtl w:val="true"/>
        </w:rPr>
        <w:footnoteReference w:id="1137"/>
      </w:r>
      <w:r>
        <w:rPr>
          <w:rFonts w:ascii="Amiri" w:hAnsi="Amiri" w:eastAsia="Amiri" w:cs="Amiri"/>
          <w:color w:val="111111"/>
          <w:sz w:val="28"/>
          <w:sz w:val="28"/>
          <w:szCs w:val="28"/>
          <w:rtl w:val="true"/>
          <w:lang w:bidi="ar-SA"/>
        </w:rPr>
        <w:t>إلى جميع أجزائه إلّا بذلك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على مذهب العلّامة تطهيره بالاتصال بالماء المعصوم بناء على الاكتفاء في التطهير بمجرّد الاتّصال ، فتأمّل</w:t>
      </w:r>
      <w:r>
        <w:rPr>
          <w:rFonts w:eastAsia="Amiri" w:cs="Amiri" w:ascii="Amiri" w:hAnsi="Amiri"/>
          <w:color w:val="111111"/>
          <w:sz w:val="28"/>
          <w:szCs w:val="28"/>
          <w:rtl w:val="true"/>
          <w:lang w:bidi="ar-SA"/>
        </w:rPr>
        <w:t xml:space="preserve">. </w:t>
      </w:r>
      <w:bookmarkStart w:id="202" w:name="pg15827_173754"/>
    </w:p>
    <w:p>
      <w:pPr>
        <w:pStyle w:val="Heading4"/>
        <w:numPr>
          <w:ilvl w:val="3"/>
          <w:numId w:val="1"/>
        </w:numPr>
        <w:rPr/>
      </w:pPr>
      <w:bookmarkStart w:id="203" w:name="__RefHeading___Toc14099733_2142443653"/>
      <w:bookmarkStart w:id="204" w:name="_Toc73"/>
      <w:bookmarkEnd w:id="202"/>
      <w:bookmarkEnd w:id="203"/>
      <w:r>
        <w:rPr>
          <w:rtl w:val="true"/>
        </w:rPr>
        <w:t>تبصرة</w:t>
      </w:r>
      <w:r>
        <w:rPr>
          <w:rtl w:val="true"/>
        </w:rPr>
        <w:t xml:space="preserve">: [ </w:t>
      </w:r>
      <w:r>
        <w:rPr>
          <w:rtl w:val="true"/>
        </w:rPr>
        <w:t xml:space="preserve">في كيفية تطهير البئر ، والكلام في النزح </w:t>
      </w:r>
      <w:r>
        <w:rPr>
          <w:rtl w:val="true"/>
        </w:rPr>
        <w:t>]</w:t>
      </w:r>
      <w:bookmarkEnd w:id="204"/>
    </w:p>
    <w:p>
      <w:pPr>
        <w:pStyle w:val="BookText"/>
        <w:rPr/>
      </w:pPr>
      <w:r>
        <w:rPr>
          <w:rFonts w:ascii="Amiri" w:hAnsi="Amiri" w:eastAsia="Amiri" w:cs="Amiri"/>
          <w:color w:val="111111"/>
          <w:sz w:val="28"/>
          <w:sz w:val="28"/>
          <w:szCs w:val="28"/>
          <w:rtl w:val="true"/>
          <w:lang w:bidi="ar-SA"/>
        </w:rPr>
        <w:t>يطهر البئر بناء على ما قوّينا من اعتصامها بالمادة كغيرها من المياه النابعة بزوال التغيير ، سواء زال من نفسه أو بمخالطة الماء أو غيره مع طهارة الممازج أو نجاسته وفاقا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بعدم انفعال البئر لا إشكال في طهارتها بذلك لمكان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ذلك من كلام </w:t>
      </w:r>
      <w:r>
        <w:rPr>
          <w:rStyle w:val="FootnoteAnchor"/>
          <w:rtl w:val="true"/>
        </w:rPr>
        <w:footnoteReference w:id="1139"/>
      </w:r>
      <w:r>
        <w:rPr>
          <w:rFonts w:ascii="Amiri" w:hAnsi="Amiri" w:eastAsia="Amiri" w:cs="Amiri"/>
          <w:color w:val="111111"/>
          <w:sz w:val="28"/>
          <w:sz w:val="28"/>
          <w:szCs w:val="28"/>
          <w:rtl w:val="true"/>
          <w:lang w:bidi="ar-SA"/>
        </w:rPr>
        <w:t>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فيه ظاهر ممّا قرّرناه ؛ إذ لا فرق حينئذ بينها وبين غيرها من المياه النابعة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اخترنا هناك طهرها بمجرّد زوال التغيير كيفما كان جرى ذلك في المقام ، واعتبار النزح بخصوصه في صحيحة ابن بزيع من أجل استناد الزوال غالبا إليه خلافا لجماعة منهم العلّامة رحمه‌اللّه </w:t>
      </w:r>
      <w:r>
        <w:rPr>
          <w:rStyle w:val="FootnoteAnchor"/>
          <w:rtl w:val="true"/>
        </w:rPr>
        <w:footnoteReference w:id="1140"/>
      </w:r>
      <w:r>
        <w:rPr>
          <w:rFonts w:ascii="Amiri" w:hAnsi="Amiri" w:eastAsia="Amiri" w:cs="Amiri"/>
          <w:color w:val="111111"/>
          <w:sz w:val="28"/>
          <w:sz w:val="28"/>
          <w:szCs w:val="28"/>
          <w:rtl w:val="true"/>
          <w:lang w:bidi="ar-SA"/>
        </w:rPr>
        <w:t xml:space="preserve">في عدّة من كتبه ، وولده في الايضاح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 بعض أفاضل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بعض المحقّقين حكاية الشهرة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استصحاب النجاسة وإناطة الطهارة في المعتبرة المستفيضة بالنزح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مدفوع بقيام الدليل على الطهارة حسبما أشرنا إليه ، والثاني محمول على الغالب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البناء على الثاني فهل يتوقف طهرها على نزح جميع الماء أو يكتفى بنزح ما يزيل التغيير على بقائه؟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مختار العلّامة رحمه‌اللّه </w:t>
      </w:r>
      <w:r>
        <w:rPr>
          <w:rStyle w:val="FootnoteAnchor"/>
          <w:rtl w:val="true"/>
        </w:rPr>
        <w:footnoteReference w:id="1143"/>
      </w:r>
      <w:r>
        <w:rPr>
          <w:rFonts w:ascii="Amiri" w:hAnsi="Amiri" w:eastAsia="Amiri" w:cs="Amiri"/>
          <w:color w:val="111111"/>
          <w:sz w:val="28"/>
          <w:sz w:val="28"/>
          <w:szCs w:val="28"/>
          <w:rtl w:val="true"/>
          <w:lang w:bidi="ar-SA"/>
        </w:rPr>
        <w:t xml:space="preserve">في التذكرة ، وولده في الايضاح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وقوّاه في القواعد </w:t>
      </w:r>
      <w:r>
        <w:rPr>
          <w:rStyle w:val="FootnoteAnchor"/>
          <w:rtl w:val="true"/>
        </w:rPr>
        <w:footnoteReference w:id="1145"/>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مختار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 به بعض أفاضل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الأول استصحاب النجاسة ، فلا يحكم بزوالها بعد انتفاء علامة الطهارة إلّا بنزح الجميع ؛ إذ هو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طريق الأولويّة ، فإنّه إذا كان ذلك كافيا مع بقاء التغيير فمع زواله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الأظهر تفريعا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لم يحصل العلم به إلّا مع نزح الجميع فلا كلام في لزومه على كلّ من القولين المذكورين </w:t>
      </w:r>
      <w:r>
        <w:rPr>
          <w:rStyle w:val="FootnoteAnchor"/>
          <w:rtl w:val="true"/>
        </w:rPr>
        <w:footnoteReference w:id="1146"/>
      </w:r>
      <w:r>
        <w:rPr>
          <w:rFonts w:ascii="Amiri" w:hAnsi="Amiri" w:eastAsia="Amiri" w:cs="Amiri"/>
          <w:color w:val="111111"/>
          <w:sz w:val="28"/>
          <w:sz w:val="28"/>
          <w:szCs w:val="28"/>
          <w:rtl w:val="true"/>
          <w:lang w:bidi="ar-SA"/>
        </w:rPr>
        <w:t xml:space="preserve">للعلّامة في القواعد والنهاية </w:t>
      </w:r>
      <w:r>
        <w:rPr>
          <w:rStyle w:val="FootnoteAnchor"/>
          <w:rtl w:val="true"/>
        </w:rPr>
        <w:footnoteReference w:id="1147"/>
      </w:r>
      <w:r>
        <w:rPr>
          <w:rFonts w:ascii="Amiri" w:hAnsi="Amiri" w:eastAsia="Amiri" w:cs="Amiri"/>
          <w:color w:val="111111"/>
          <w:sz w:val="28"/>
          <w:sz w:val="28"/>
          <w:szCs w:val="28"/>
          <w:rtl w:val="true"/>
          <w:lang w:bidi="ar-SA"/>
        </w:rPr>
        <w:t>، فقال ببقاء النجاسة مع زوال التغيير من نفسه من دون النزح أو ملاقاة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أوجب حينئذ نزح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بتنجّسها بالملاقاة طهرت بالنزح المقدّر إجماعا ، وبمطهر غيرها من الاتصال بالجاري أو الغيث أو الكر أو ممازجتها بناء على اعتبارها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نصّ في البيان والروضة وجماعة من متأخري المتأخرين ، ويعطيه كلام العلّامة رحمه‌اللّه في جملة من كتبه ؛ لإطلاق ما دلّ على طهوريّة </w:t>
      </w:r>
      <w:r>
        <w:rPr>
          <w:rStyle w:val="FootnoteAnchor"/>
          <w:rtl w:val="true"/>
        </w:rPr>
        <w:footnoteReference w:id="1148"/>
      </w:r>
      <w:r>
        <w:rPr>
          <w:rFonts w:ascii="Amiri" w:hAnsi="Amiri" w:eastAsia="Amiri" w:cs="Amiri"/>
          <w:color w:val="111111"/>
          <w:sz w:val="28"/>
          <w:sz w:val="28"/>
          <w:szCs w:val="28"/>
          <w:rtl w:val="true"/>
          <w:lang w:bidi="ar-SA"/>
        </w:rPr>
        <w:t>الماء ، ولأنّه بعد الامتزاج لا بدّ من القول بطهارة الجميع أو نجاسته ، والثانية باطل لما مرّ ، فتعين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ويسري الحكم إذن إلى مجرد الاتصال لعدم القول بالفصل بعد الاكتفاء به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ظاهر إطلاق الروايات وكلام الأصحاب من ذكر النزح بالخصوص ؛ لابتنائه على ما هو الغالب من عدم التمكّن من غيره أو صعوبته ، فلا دلالة فيها على عدم الاكتفاء به بعد حصوله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عدم وضوح دلالتها على الحصر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ويضعف بما </w:t>
      </w:r>
      <w:r>
        <w:rPr>
          <w:rStyle w:val="FootnoteAnchor"/>
          <w:rtl w:val="true"/>
        </w:rPr>
        <w:footnoteReference w:id="1149"/>
      </w:r>
      <w:r>
        <w:rPr>
          <w:rFonts w:ascii="Amiri" w:hAnsi="Amiri" w:eastAsia="Amiri" w:cs="Amiri"/>
          <w:color w:val="111111"/>
          <w:sz w:val="28"/>
          <w:sz w:val="28"/>
          <w:szCs w:val="28"/>
          <w:rtl w:val="true"/>
          <w:lang w:bidi="ar-SA"/>
        </w:rPr>
        <w:t>ذكرنا ما في المعتبر من عدم الاكتفاء بجريان الماء المتصل بالجاري إليها معلّلا بتعلّق الحكم بالنزح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الشهيد في الذكرى والدروس </w:t>
      </w:r>
      <w:r>
        <w:rPr>
          <w:rStyle w:val="FootnoteAnchor"/>
          <w:rtl w:val="true"/>
        </w:rPr>
        <w:footnoteReference w:id="1150"/>
      </w:r>
      <w:r>
        <w:rPr>
          <w:rFonts w:ascii="Amiri" w:hAnsi="Amiri" w:eastAsia="Amiri" w:cs="Amiri"/>
          <w:color w:val="111111"/>
          <w:sz w:val="28"/>
          <w:sz w:val="28"/>
          <w:szCs w:val="28"/>
          <w:rtl w:val="true"/>
          <w:lang w:bidi="ar-SA"/>
        </w:rPr>
        <w:t>بين وصول الجاري أو الكثير إليها بالتسنيم وغيره ، فحكم في الثاني بالتطهير دون الأوّل لعدم الاتحاد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المحقّق الكركي على طهرها باتصالها بالجاري على وجه لا تسنّمها من علوّ ، وعلّله باتحادها به قال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تسنمها من علوّ فيشكل </w:t>
      </w:r>
      <w:r>
        <w:rPr>
          <w:rStyle w:val="FootnoteAnchor"/>
          <w:rtl w:val="true"/>
        </w:rPr>
        <w:footnoteReference w:id="1152"/>
      </w:r>
      <w:r>
        <w:rPr>
          <w:rFonts w:ascii="Amiri" w:hAnsi="Amiri" w:eastAsia="Amiri" w:cs="Amiri"/>
          <w:color w:val="111111"/>
          <w:sz w:val="28"/>
          <w:sz w:val="28"/>
          <w:szCs w:val="28"/>
          <w:rtl w:val="true"/>
          <w:lang w:bidi="ar-SA"/>
        </w:rPr>
        <w:t>لأنّ الحكم بالطهارة دائر مع النزح ، وكذا القول في ماء المطر والكثير إذا ألقى فيها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أنّه يريد بتعليله بالاتحاد خروج البئر عن اسمه في الأوّل فيسقط النزح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عبارة الشهيد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اتضاح الفرق بين الوجهين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ما ذكره المحقّق رحمه‌اللّه ؛ إذ الظاهر اكتفاؤه بذلك بعد خروجها عن اسم البئر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بذلك بقاء الممايزة بين المائين وعدم حصول الوحدة المعتبرة في التطهير ففيه 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الغض عنه فلا شبهة في اتحاد الممازج معه وهو معتصم بما فوقه اعتصام الواقف بالجاري أو الكر إذا كان ما فوقه كرا ، وهو كاف في المقام ومع زوال التغيير من نفسه أو </w:t>
      </w:r>
    </w:p>
    <w:p>
      <w:pPr>
        <w:pStyle w:val="BookText"/>
        <w:rPr/>
      </w:pPr>
      <w:r>
        <w:rPr>
          <w:rFonts w:ascii="Amiri" w:hAnsi="Amiri" w:eastAsia="Amiri" w:cs="Amiri"/>
          <w:color w:val="111111"/>
          <w:sz w:val="28"/>
          <w:sz w:val="28"/>
          <w:szCs w:val="28"/>
          <w:rtl w:val="true"/>
          <w:lang w:bidi="ar-SA"/>
        </w:rPr>
        <w:t>بتصفيق الرياح ونحوه فلا مجال للقول بطهرها ، وإن قيل باكتفاء زوال التغيير في طهر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فهل يعتبر في تطهيره نزح </w:t>
      </w:r>
      <w:r>
        <w:rPr>
          <w:rStyle w:val="FootnoteAnchor"/>
          <w:rtl w:val="true"/>
        </w:rPr>
        <w:footnoteReference w:id="1153"/>
      </w:r>
      <w:r>
        <w:rPr>
          <w:rFonts w:ascii="Amiri" w:hAnsi="Amiri" w:eastAsia="Amiri" w:cs="Amiri"/>
          <w:color w:val="111111"/>
          <w:sz w:val="28"/>
          <w:sz w:val="28"/>
          <w:szCs w:val="28"/>
          <w:rtl w:val="true"/>
          <w:lang w:bidi="ar-SA"/>
        </w:rPr>
        <w:t xml:space="preserve">الكل أو يكتفى بنزح ما يزيل التغيير على فرض بقائه؟ فيه الخلاف </w:t>
      </w:r>
      <w:r>
        <w:rPr>
          <w:rStyle w:val="FootnoteAnchor"/>
          <w:rtl w:val="true"/>
        </w:rPr>
        <w:footnoteReference w:id="1154"/>
      </w:r>
      <w:r>
        <w:rPr>
          <w:rFonts w:ascii="Amiri" w:hAnsi="Amiri" w:eastAsia="Amiri" w:cs="Amiri"/>
          <w:color w:val="111111"/>
          <w:sz w:val="28"/>
          <w:sz w:val="28"/>
          <w:szCs w:val="28"/>
          <w:rtl w:val="true"/>
          <w:lang w:bidi="ar-SA"/>
        </w:rPr>
        <w:t>المتقدم والأظهر فيه الوجه الثاني حسبما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جرى البئر بعد تنجّسه فإن كان من نفسه وعلى سبيل الندرة احتمل طهر الجميع حينئذ </w:t>
      </w:r>
      <w:r>
        <w:rPr>
          <w:rStyle w:val="FootnoteAnchor"/>
          <w:rtl w:val="true"/>
        </w:rPr>
        <w:footnoteReference w:id="1155"/>
      </w:r>
      <w:r>
        <w:rPr>
          <w:rFonts w:ascii="Amiri" w:hAnsi="Amiri" w:eastAsia="Amiri" w:cs="Amiri"/>
          <w:color w:val="111111"/>
          <w:sz w:val="28"/>
          <w:sz w:val="28"/>
          <w:szCs w:val="28"/>
          <w:rtl w:val="true"/>
          <w:lang w:bidi="ar-SA"/>
        </w:rPr>
        <w:t>بخروجه عن اسم البئر في وجه قويّ ، وإن كان بإجرائه على الأرض فالظاهر خروجه عن اسمه فيطهر به لما دلّ على طهوريّة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فيه كالأوّل بقاء النجاسة إلى حصول النزح أو طهارة ما بقي بعد جريان قدر المنزوح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 في غير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الوجوه الثلاثة في الذكرى من غير ترجيح ، وقطع في الدروس ببقاء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أجريت باستعانة بعض الآلات ففي بقاء حكمها بعد الجريان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القطع بطهارة الباقي بعد خروج المقدار الّذي يجب نزحه</w:t>
      </w:r>
      <w:r>
        <w:rPr>
          <w:rFonts w:eastAsia="Amiri" w:cs="Amiri" w:ascii="Amiri" w:hAnsi="Amiri"/>
          <w:color w:val="111111"/>
          <w:sz w:val="28"/>
          <w:szCs w:val="28"/>
          <w:rtl w:val="true"/>
          <w:lang w:bidi="ar-SA"/>
        </w:rPr>
        <w:t xml:space="preserve">. </w:t>
      </w:r>
      <w:bookmarkStart w:id="205" w:name="pg15827_173758"/>
    </w:p>
    <w:p>
      <w:pPr>
        <w:pStyle w:val="Heading4"/>
        <w:numPr>
          <w:ilvl w:val="3"/>
          <w:numId w:val="1"/>
        </w:numPr>
        <w:rPr/>
      </w:pPr>
      <w:bookmarkStart w:id="206" w:name="__RefHeading___Toc14099735_2142443653"/>
      <w:bookmarkStart w:id="207" w:name="_Toc74"/>
      <w:bookmarkEnd w:id="205"/>
      <w:bookmarkEnd w:id="206"/>
      <w:r>
        <w:rPr>
          <w:rtl w:val="true"/>
        </w:rPr>
        <w:t>تبصرة</w:t>
      </w:r>
      <w:r>
        <w:rPr>
          <w:rtl w:val="true"/>
        </w:rPr>
        <w:t xml:space="preserve">: [ </w:t>
      </w:r>
      <w:r>
        <w:rPr>
          <w:rtl w:val="true"/>
        </w:rPr>
        <w:t xml:space="preserve">في مقدار نزح ماء البئر </w:t>
      </w:r>
      <w:r>
        <w:rPr>
          <w:rtl w:val="true"/>
        </w:rPr>
        <w:t>]</w:t>
      </w:r>
      <w:bookmarkEnd w:id="207"/>
    </w:p>
    <w:p>
      <w:pPr>
        <w:pStyle w:val="BookText"/>
        <w:rPr/>
      </w:pPr>
      <w:r>
        <w:rPr>
          <w:rFonts w:ascii="Amiri" w:hAnsi="Amiri" w:eastAsia="Amiri" w:cs="Amiri"/>
          <w:color w:val="111111"/>
          <w:sz w:val="28"/>
          <w:sz w:val="28"/>
          <w:szCs w:val="28"/>
          <w:rtl w:val="true"/>
          <w:lang w:bidi="ar-SA"/>
        </w:rPr>
        <w:t>يطهر البئر بناء على انفعاله بالملاقاة بنزح مائه أجمع لوقوع الخمر وغيرها من المسكرات المائعة بالأصل والفقاع والمني وكلّ من الدماء الثلاثة وموت البعير على المعروف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الإجماع على الجميع في السرائر والغنية ، وأسند في نهاية الإحكام وجوب نزح </w:t>
      </w:r>
      <w:r>
        <w:rPr>
          <w:rStyle w:val="FootnoteAnchor"/>
          <w:rtl w:val="true"/>
        </w:rPr>
        <w:footnoteReference w:id="1156"/>
      </w:r>
      <w:r>
        <w:rPr>
          <w:rFonts w:ascii="Amiri" w:hAnsi="Amiri" w:eastAsia="Amiri" w:cs="Amiri"/>
          <w:color w:val="111111"/>
          <w:sz w:val="28"/>
          <w:sz w:val="28"/>
          <w:szCs w:val="28"/>
          <w:rtl w:val="true"/>
          <w:lang w:bidi="ar-SA"/>
        </w:rPr>
        <w:t xml:space="preserve">الجميع لما ذكر على القائلين بقبوله الانفعال مؤذنا باتفاقهم عليه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ثبوت الحكم في الخمر بعد الأصل والإجماع المنقول الصحاح المستفيضة 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فيها بعير أو صب فيها خمر فلينزح </w:t>
      </w:r>
      <w:r>
        <w:rPr>
          <w:rStyle w:val="FootnoteAnchor"/>
          <w:rtl w:val="true"/>
        </w:rPr>
        <w:footnoteReference w:id="1158"/>
      </w:r>
      <w:r>
        <w:rPr>
          <w:rFonts w:ascii="Amiri" w:hAnsi="Amiri" w:eastAsia="Amiri" w:cs="Amiri"/>
          <w:color w:val="111111"/>
          <w:sz w:val="28"/>
          <w:sz w:val="28"/>
          <w:szCs w:val="28"/>
          <w:rtl w:val="true"/>
          <w:lang w:bidi="ar-SA"/>
        </w:rPr>
        <w:t xml:space="preserve">الماء كله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مات فيها ثور أو صبّ فيها خمر نزح الماء كلّه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البئر يبول فيها الصبيّ أو يصب فيها بول أو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الماء كله </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واشتمال هذه على نزح الجميع في البول مع اطراحها في ذلك عند موجبي النزح لا </w:t>
      </w:r>
      <w:r>
        <w:rPr>
          <w:rStyle w:val="FootnoteAnchor"/>
          <w:rtl w:val="true"/>
        </w:rPr>
        <w:footnoteReference w:id="1162"/>
      </w:r>
      <w:r>
        <w:rPr>
          <w:rFonts w:ascii="Amiri" w:hAnsi="Amiri" w:eastAsia="Amiri" w:cs="Amiri"/>
          <w:color w:val="111111"/>
          <w:sz w:val="28"/>
          <w:sz w:val="28"/>
          <w:szCs w:val="28"/>
          <w:rtl w:val="true"/>
          <w:lang w:bidi="ar-SA"/>
        </w:rPr>
        <w:t xml:space="preserve">يخرجها من </w:t>
      </w:r>
      <w:r>
        <w:rPr>
          <w:rStyle w:val="FootnoteAnchor"/>
          <w:rtl w:val="true"/>
        </w:rPr>
        <w:footnoteReference w:id="1163"/>
      </w:r>
      <w:r>
        <w:rPr>
          <w:rFonts w:ascii="Amiri" w:hAnsi="Amiri" w:eastAsia="Amiri" w:cs="Amiri"/>
          <w:color w:val="111111"/>
          <w:sz w:val="28"/>
          <w:sz w:val="28"/>
          <w:szCs w:val="28"/>
          <w:rtl w:val="true"/>
          <w:lang w:bidi="ar-SA"/>
        </w:rPr>
        <w:t>الحجيّة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هذه الأخبار يشمل القليل من الخمر وكثيرها إلّا ما سقط فيها على سبيل التقاطر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الحكم في غيره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القطرة فهو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المقنع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ينزح لوقوعها عشرون 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المعتبر </w:t>
      </w:r>
      <w:r>
        <w:rPr>
          <w:rStyle w:val="FootnoteAnchor"/>
          <w:rtl w:val="true"/>
        </w:rPr>
        <w:footnoteReference w:id="1165"/>
      </w:r>
      <w:r>
        <w:rPr>
          <w:rFonts w:ascii="Amiri" w:hAnsi="Amiri" w:eastAsia="Amiri" w:cs="Amiri"/>
          <w:color w:val="111111"/>
          <w:sz w:val="28"/>
          <w:sz w:val="28"/>
          <w:szCs w:val="28"/>
          <w:rtl w:val="true"/>
          <w:lang w:bidi="ar-SA"/>
        </w:rPr>
        <w:t xml:space="preserve">الميل إليه ، وكأنّه لرواية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قطر فيها قطرة دم أو خمر؟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 والخمر والميت ولحم الخنزير في ذلك كلّه واحد ينزح منه عشرون دلوا </w:t>
      </w:r>
      <w:r>
        <w:rPr>
          <w:rFonts w:eastAsia="Amiri" w:cs="Amiri" w:ascii="Amiri" w:hAnsi="Amiri"/>
          <w:color w:val="111111"/>
          <w:sz w:val="28"/>
          <w:szCs w:val="28"/>
          <w:rtl w:val="true"/>
          <w:lang w:bidi="ar-SA"/>
        </w:rPr>
        <w:t xml:space="preserve">»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عدم دلالة الأخبار الأول على حال القطرة لورودها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ضعف الرواية ، فلا تقاوم الأصل مع اعتضاده بالشهرة والإجماع بل قد يدّعى شمول الصبّ له أيضا خصوصا إذا لم يكن وقوعها على نحو التقاطر ؛ مضافا إلى أنّ ظاهر الرواية عدم الفرق بين القطرة من الخمر وما فوقها ما لم يغيّر الماء ، ولا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كردويه عن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فيها قطرة دم أو نبيذ مسكر أو بول أو خمر؟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ثلاثون دلوا </w:t>
      </w:r>
      <w:r>
        <w:rPr>
          <w:rFonts w:eastAsia="Amiri" w:cs="Amiri" w:ascii="Amiri" w:hAnsi="Amiri"/>
          <w:color w:val="111111"/>
          <w:sz w:val="28"/>
          <w:szCs w:val="28"/>
          <w:rtl w:val="true"/>
          <w:lang w:bidi="ar-SA"/>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مطرح بين القائلين بوجوب النزح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يستأنس به لمذهب الصدوق رحمه‌اللّه من جهة </w:t>
      </w:r>
    </w:p>
    <w:p>
      <w:pPr>
        <w:pStyle w:val="BookText"/>
        <w:rPr/>
      </w:pPr>
      <w:r>
        <w:rPr>
          <w:rFonts w:ascii="IRNazanin" w:hAnsi="IRNazanin" w:eastAsia="IRNazanin"/>
          <w:color w:val="111111"/>
          <w:sz w:val="28"/>
          <w:sz w:val="28"/>
          <w:szCs w:val="28"/>
          <w:rtl w:val="true"/>
          <w:lang w:bidi="fa-IR"/>
        </w:rPr>
        <w:t xml:space="preserve">اشتماله على عدم وجوب </w:t>
      </w:r>
      <w:r>
        <w:rPr>
          <w:rStyle w:val="FootnoteAnchor"/>
          <w:rtl w:val="true"/>
        </w:rPr>
        <w:footnoteReference w:id="1168"/>
      </w:r>
      <w:r>
        <w:rPr>
          <w:rFonts w:ascii="Amiri" w:hAnsi="Amiri" w:eastAsia="Amiri" w:cs="Amiri"/>
          <w:color w:val="111111"/>
          <w:sz w:val="28"/>
          <w:sz w:val="28"/>
          <w:szCs w:val="28"/>
          <w:rtl w:val="true"/>
          <w:lang w:bidi="ar-SA"/>
        </w:rPr>
        <w:t xml:space="preserve">نزح الجميع </w:t>
      </w:r>
      <w:r>
        <w:rPr>
          <w:rStyle w:val="FootnoteAnchor"/>
          <w:rtl w:val="true"/>
        </w:rPr>
        <w:footnoteReference w:id="1169"/>
      </w:r>
      <w:r>
        <w:rPr>
          <w:rFonts w:ascii="Amiri" w:hAnsi="Amiri" w:eastAsia="Amiri" w:cs="Amiri"/>
          <w:color w:val="111111"/>
          <w:sz w:val="28"/>
          <w:sz w:val="28"/>
          <w:szCs w:val="28"/>
          <w:rtl w:val="true"/>
          <w:lang w:bidi="ar-SA"/>
        </w:rPr>
        <w:t>للقطرة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w:t>
      </w:r>
      <w:r>
        <w:rPr>
          <w:rStyle w:val="FootnoteAnchor"/>
          <w:rtl w:val="true"/>
        </w:rPr>
        <w:footnoteReference w:id="1170"/>
      </w:r>
      <w:r>
        <w:rPr>
          <w:rFonts w:ascii="Amiri" w:hAnsi="Amiri" w:eastAsia="Amiri" w:cs="Amiri"/>
          <w:color w:val="111111"/>
          <w:sz w:val="28"/>
          <w:sz w:val="28"/>
          <w:szCs w:val="28"/>
          <w:rtl w:val="true"/>
          <w:lang w:bidi="ar-SA"/>
        </w:rPr>
        <w:t>شرح الجعفريّة وجود القول بنزح العشرين للخمر مطلقا ، وكذا القول بنزح الثلاثين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شيئا من القولين في كلام غيره بل لم نجد القول بنزح الثلاثين لها أصلا ولو في القطرة ، وإنّما وردت به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المذكور في الروايات المذكورة خصوص الخمر ، فإن قلنا بشمولها لغير المتّخذ من العنب كما يعطيه كلام بعض أهل اللغة ويستفاد من جملة من الأخبار دلّت على حكم سائر المسكرات ، وإلّا فالوجه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الأصل والإجماع المعتضدين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جملة من الأخبار أنها بمنزلة الخمر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فعل فعل الخمر فهو حمر </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أسكر كثيره فالجرعة منه حرام </w:t>
      </w:r>
      <w:r>
        <w:rPr>
          <w:rFonts w:eastAsia="Amiri" w:cs="Amiri" w:ascii="Amiri" w:hAnsi="Amiri"/>
          <w:color w:val="111111"/>
          <w:sz w:val="28"/>
          <w:szCs w:val="28"/>
          <w:rtl w:val="true"/>
          <w:lang w:bidi="ar-SA"/>
        </w:rPr>
        <w:t xml:space="preserve">» </w:t>
      </w:r>
      <w:r>
        <w:rPr>
          <w:rStyle w:val="FootnoteAnchor"/>
          <w:rtl w:val="true"/>
        </w:rPr>
        <w:footnoteReference w:id="1172"/>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 ويجري نحو ذلك في الفقاع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الإجماعات المستفيضة الدالة على أنها بمنزلة الخمر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المني فلم نقف فيه على نصّ فالمستند فيه الأصل ، والاجماعان المذكوران ، مع تأيّده بالشهرة المعلومة والمنقولة في كلام جماعة كالشهيدين والمحقق الكركي وجماعة من القدماء والمتأخرين كأبي علي والفاضلين والآبي وصاحبي المدارك والذخيرة وغيرهم ، صرّحوا بعدم عثورهم فيه على النص ، ولذا ألحقه في ظاهر المعتبر بما </w:t>
      </w:r>
      <w:r>
        <w:rPr>
          <w:rStyle w:val="FootnoteAnchor"/>
          <w:rtl w:val="true"/>
        </w:rPr>
        <w:footnoteReference w:id="1174"/>
      </w:r>
      <w:r>
        <w:rPr>
          <w:rFonts w:ascii="Amiri" w:hAnsi="Amiri" w:eastAsia="Amiri" w:cs="Amiri"/>
          <w:color w:val="111111"/>
          <w:sz w:val="28"/>
          <w:sz w:val="28"/>
          <w:szCs w:val="28"/>
          <w:rtl w:val="true"/>
          <w:lang w:bidi="ar-SA"/>
        </w:rPr>
        <w:t>لا نصّ فيه ، وتبعه في ذلك جماعة ممّن تأخر عنه ، وهو ظاهر اللمعة حيث ترك ذكره في المقام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الإجماع المحكي وكلمات الأصحاب عموم الحكم لمني الإنسان وغيره من </w:t>
      </w:r>
    </w:p>
    <w:p>
      <w:pPr>
        <w:pStyle w:val="BookText"/>
        <w:rPr/>
      </w:pPr>
      <w:r>
        <w:rPr>
          <w:rFonts w:ascii="Amiri" w:hAnsi="Amiri" w:eastAsia="Amiri" w:cs="Amiri"/>
          <w:color w:val="111111"/>
          <w:sz w:val="28"/>
          <w:sz w:val="28"/>
          <w:szCs w:val="28"/>
          <w:rtl w:val="true"/>
          <w:lang w:bidi="ar-SA"/>
        </w:rPr>
        <w:t xml:space="preserve">ذوات الأنفس السائلة ، فما نسب </w:t>
      </w:r>
      <w:r>
        <w:rPr>
          <w:rStyle w:val="FootnoteAnchor"/>
          <w:rtl w:val="true"/>
        </w:rPr>
        <w:footnoteReference w:id="1175"/>
      </w:r>
      <w:r>
        <w:rPr>
          <w:rFonts w:ascii="Amiri" w:hAnsi="Amiri" w:eastAsia="Amiri" w:cs="Amiri"/>
          <w:color w:val="111111"/>
          <w:sz w:val="28"/>
          <w:sz w:val="28"/>
          <w:szCs w:val="28"/>
          <w:rtl w:val="true"/>
          <w:lang w:bidi="ar-SA"/>
        </w:rPr>
        <w:t>إلى بعض الأصحاب من التفصيل في ذلك وإلحاق الثاني ممّا لا نصّ فيه لا وجه له بعد اشتراكها في عدم النصّ وشمول الإجماع لها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الدماء الثلاثة فقد نصّ على نزح الجميع لها الشيخ رحمه‌اللّه والديلمي والحلبي والقاضي وابن زهرة والطوسي والحلي والعجلي والعلّامة رحمه‌اللّه في جملة من كتبه والشهيد وابن فهد والمحقق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في جامع المقاصد إلى الأصحاب ، ولم نقف فيها أيضا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جماعة من الأصحاب بعدم العثور فيها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رحمه‌اللّه وتبعه الأصحاب معترفين بعدم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فالدليل عليه الأصل </w:t>
      </w:r>
      <w:r>
        <w:rPr>
          <w:rStyle w:val="FootnoteAnchor"/>
          <w:rtl w:val="true"/>
        </w:rPr>
        <w:footnoteReference w:id="1176"/>
      </w:r>
      <w:r>
        <w:rPr>
          <w:rFonts w:ascii="Amiri" w:hAnsi="Amiri" w:eastAsia="Amiri" w:cs="Amiri"/>
          <w:color w:val="111111"/>
          <w:sz w:val="28"/>
          <w:sz w:val="28"/>
          <w:szCs w:val="28"/>
          <w:rtl w:val="true"/>
          <w:lang w:bidi="ar-SA"/>
        </w:rPr>
        <w:t>والإجماع المنقول المعتضد بفتوى الجماعة والشهرة المنقولة عليه في الشرائع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w:t>
      </w:r>
      <w:r>
        <w:rPr>
          <w:rStyle w:val="FootnoteAnchor"/>
          <w:rtl w:val="true"/>
        </w:rPr>
        <w:footnoteReference w:id="1177"/>
      </w:r>
      <w:r>
        <w:rPr>
          <w:rFonts w:ascii="Amiri" w:hAnsi="Amiri" w:eastAsia="Amiri" w:cs="Amiri"/>
          <w:color w:val="111111"/>
          <w:sz w:val="28"/>
          <w:sz w:val="28"/>
          <w:szCs w:val="28"/>
          <w:rtl w:val="true"/>
          <w:lang w:bidi="ar-SA"/>
        </w:rPr>
        <w:t xml:space="preserve">يعلّل بغلظ </w:t>
      </w:r>
      <w:r>
        <w:rPr>
          <w:rStyle w:val="FootnoteAnchor"/>
          <w:rtl w:val="true"/>
        </w:rPr>
        <w:footnoteReference w:id="1178"/>
      </w:r>
      <w:r>
        <w:rPr>
          <w:rFonts w:ascii="Amiri" w:hAnsi="Amiri" w:eastAsia="Amiri" w:cs="Amiri"/>
          <w:color w:val="111111"/>
          <w:sz w:val="28"/>
          <w:sz w:val="28"/>
          <w:szCs w:val="28"/>
          <w:rtl w:val="true"/>
          <w:lang w:bidi="ar-SA"/>
        </w:rPr>
        <w:t>حكمها بالنسبة إلى غيرها من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الشيخ في النهاية على ذكر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الصدوقان والمفيد والسيد رحمهم‌اللّه بين هذه الدماء وغيرها ، بل أطلقوا القول في بيان ما ينزح للدم إلا أنّ بينهم اختلافا في التقدير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ذلك إلحاقها بسائر الدماء كما هو نصّ المحقق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أنه لا إطلاق فيما ورد في الدم بحيث يشملها سوى ما ورد في القطرات ، وهو لا يفيد حكم غيرها فلم </w:t>
      </w:r>
      <w:r>
        <w:rPr>
          <w:rStyle w:val="FootnoteAnchor"/>
          <w:rtl w:val="true"/>
        </w:rPr>
        <w:footnoteReference w:id="1180"/>
      </w:r>
      <w:r>
        <w:rPr>
          <w:rFonts w:ascii="Amiri" w:hAnsi="Amiri" w:eastAsia="Amiri" w:cs="Amiri"/>
          <w:color w:val="111111"/>
          <w:sz w:val="28"/>
          <w:sz w:val="28"/>
          <w:szCs w:val="28"/>
          <w:rtl w:val="true"/>
          <w:lang w:bidi="ar-SA"/>
        </w:rPr>
        <w:t>، يشملها إطلاق رواية زرارة المتقدمة ، لكنّها ضعيفة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فإلحاق </w:t>
      </w:r>
      <w:r>
        <w:rPr>
          <w:rStyle w:val="FootnoteAnchor"/>
          <w:rtl w:val="true"/>
        </w:rPr>
        <w:footnoteReference w:id="1181"/>
      </w:r>
      <w:r>
        <w:rPr>
          <w:rFonts w:ascii="Amiri" w:hAnsi="Amiri" w:eastAsia="Amiri" w:cs="Amiri"/>
          <w:color w:val="111111"/>
          <w:sz w:val="28"/>
          <w:sz w:val="28"/>
          <w:szCs w:val="28"/>
          <w:rtl w:val="true"/>
          <w:lang w:bidi="ar-SA"/>
        </w:rPr>
        <w:t>غيرها بما لا نصّ فيه بعد الغضّ عن الإجماع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نزحها لموت البعير فيدلّ عليه بعد الأصل </w:t>
      </w:r>
      <w:r>
        <w:rPr>
          <w:rStyle w:val="FootnoteAnchor"/>
          <w:rtl w:val="true"/>
        </w:rPr>
        <w:footnoteReference w:id="1182"/>
      </w:r>
      <w:r>
        <w:rPr>
          <w:rFonts w:ascii="Amiri" w:hAnsi="Amiri" w:eastAsia="Amiri" w:cs="Amiri"/>
          <w:color w:val="111111"/>
          <w:sz w:val="28"/>
          <w:sz w:val="28"/>
          <w:szCs w:val="28"/>
          <w:rtl w:val="true"/>
          <w:lang w:bidi="ar-SA"/>
        </w:rPr>
        <w:t xml:space="preserve">والإجماعين المنقولين والمحكي عن كشف الأساس </w:t>
      </w:r>
      <w:r>
        <w:rPr>
          <w:rStyle w:val="FootnoteAnchor"/>
          <w:rtl w:val="true"/>
        </w:rPr>
        <w:footnoteReference w:id="1183"/>
      </w:r>
      <w:r>
        <w:rPr>
          <w:rFonts w:ascii="Amiri" w:hAnsi="Amiri" w:eastAsia="Amiri" w:cs="Amiri"/>
          <w:color w:val="111111"/>
          <w:sz w:val="28"/>
          <w:sz w:val="28"/>
          <w:szCs w:val="28"/>
          <w:rtl w:val="true"/>
          <w:lang w:bidi="ar-SA"/>
        </w:rPr>
        <w:t>صحيحة الحلبي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يقاومها رواية عمرو بن سعيد بن هلال الحاكمة بنزح الكر للجمل ؛ لضعفها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تأيّد الصحيحة </w:t>
      </w:r>
      <w:r>
        <w:rPr>
          <w:rStyle w:val="FootnoteAnchor"/>
          <w:rtl w:val="true"/>
        </w:rPr>
        <w:footnoteReference w:id="1184"/>
      </w:r>
      <w:r>
        <w:rPr>
          <w:rFonts w:ascii="Amiri" w:hAnsi="Amiri" w:eastAsia="Amiri" w:cs="Amiri"/>
          <w:color w:val="111111"/>
          <w:sz w:val="28"/>
          <w:sz w:val="28"/>
          <w:szCs w:val="28"/>
          <w:rtl w:val="true"/>
          <w:lang w:bidi="ar-SA"/>
        </w:rPr>
        <w:t>بالشهرة المقطوعة واعتضادها بالأصل والحائطة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نصّ عليه جماعة منهم في المقام وفي الوصايا تعميمه للذكر والأنثى من الإبل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 عليه جماعة من أهل اللغة بل حكي اتفاق أئمة اللغة عليه إلّا أنّه قد يقال باشتهاره عرفا في الذكر ، ولذا صرّح الغزالي بعدم دخول الناقة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الأزهري </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شموله للنوعين في كلام العرب ولا يعرفه إلّا خواص أهل العلم باللغة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توجيه قول الشافعي حيث حكم بانصراف البعير في الوصيّة إلى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شموله للناقة من محتملات اللغة الّتي لا يعرفها إلّا الخواص ، والوصيّة مبنية على عرف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لذا فسّره في القاموس </w:t>
      </w:r>
      <w:r>
        <w:rPr>
          <w:rStyle w:val="FootnoteAnchor"/>
          <w:rtl w:val="true"/>
        </w:rPr>
        <w:footnoteReference w:id="1187"/>
      </w:r>
      <w:r>
        <w:rPr>
          <w:rFonts w:ascii="Amiri" w:hAnsi="Amiri" w:eastAsia="Amiri" w:cs="Amiri"/>
          <w:color w:val="111111"/>
          <w:sz w:val="28"/>
          <w:sz w:val="28"/>
          <w:szCs w:val="28"/>
          <w:rtl w:val="true"/>
          <w:lang w:bidi="ar-SA"/>
        </w:rPr>
        <w:t xml:space="preserve">بالجمل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الناقة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ينقدح الاشكال في المسألة إلّا أنّ الأظهر وفاقا لجماعة من علمائنا من غير </w:t>
      </w:r>
    </w:p>
    <w:p>
      <w:pPr>
        <w:pStyle w:val="BookText"/>
        <w:rPr/>
      </w:pPr>
      <w:r>
        <w:rPr>
          <w:rFonts w:ascii="Amiri" w:hAnsi="Amiri" w:eastAsia="Amiri" w:cs="Amiri"/>
          <w:color w:val="111111"/>
          <w:sz w:val="28"/>
          <w:sz w:val="28"/>
          <w:szCs w:val="28"/>
          <w:rtl w:val="true"/>
          <w:lang w:bidi="ar-SA"/>
        </w:rPr>
        <w:t xml:space="preserve">خلاف يعرف منهم </w:t>
      </w:r>
      <w:r>
        <w:rPr>
          <w:rStyle w:val="FootnoteAnchor"/>
          <w:rtl w:val="true"/>
        </w:rPr>
        <w:footnoteReference w:id="1188"/>
      </w:r>
      <w:r>
        <w:rPr>
          <w:rFonts w:ascii="Amiri" w:hAnsi="Amiri" w:eastAsia="Amiri" w:cs="Amiri"/>
          <w:color w:val="111111"/>
          <w:sz w:val="28"/>
          <w:sz w:val="28"/>
          <w:szCs w:val="28"/>
          <w:rtl w:val="true"/>
          <w:lang w:bidi="ar-SA"/>
        </w:rPr>
        <w:t>هو التعميم ؛ لعدم وضوح غلبة توجب صرف اللفظ عن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حكى الغزالي عن طوائف من أصحابه القول بشموله في الوصيّة للناقة ، ولو سلّم الغلبة فحصولها في زمن صدور الرواية غير معلوم ، فيبنى على المعنى الأصلي حتّى يتبيّن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الغزالي أيضا عن أئمّة اللسان أن البعير </w:t>
      </w:r>
      <w:r>
        <w:rPr>
          <w:rStyle w:val="FootnoteAnchor"/>
          <w:rtl w:val="true"/>
        </w:rPr>
        <w:footnoteReference w:id="1189"/>
      </w:r>
      <w:r>
        <w:rPr>
          <w:rFonts w:ascii="Amiri" w:hAnsi="Amiri" w:eastAsia="Amiri" w:cs="Amiri"/>
          <w:color w:val="111111"/>
          <w:sz w:val="28"/>
          <w:sz w:val="28"/>
          <w:szCs w:val="28"/>
          <w:rtl w:val="true"/>
          <w:lang w:bidi="ar-SA"/>
        </w:rPr>
        <w:t>كالإنسان من الآدمي ، وظاهر ذلك شموله للكبير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يظهر ذلك من فقه اللغة للثعالبي كما حكي ، ولذا حكم جماعة من أصحابنا كالطوسي والفاضلين والشهيدين رحمهم‌اللّه بالتعميم إلّا أنّ </w:t>
      </w:r>
      <w:r>
        <w:rPr>
          <w:rStyle w:val="FootnoteAnchor"/>
          <w:rtl w:val="true"/>
        </w:rPr>
        <w:footnoteReference w:id="1190"/>
      </w:r>
      <w:r>
        <w:rPr>
          <w:rFonts w:ascii="Amiri" w:hAnsi="Amiri" w:eastAsia="Amiri" w:cs="Amiri"/>
          <w:color w:val="111111"/>
          <w:sz w:val="28"/>
          <w:sz w:val="28"/>
          <w:szCs w:val="28"/>
          <w:rtl w:val="true"/>
          <w:lang w:bidi="ar-SA"/>
        </w:rPr>
        <w:t xml:space="preserve">المصرّح به في كلام </w:t>
      </w:r>
      <w:r>
        <w:rPr>
          <w:rStyle w:val="FootnoteAnchor"/>
          <w:rtl w:val="true"/>
        </w:rPr>
        <w:footnoteReference w:id="1191"/>
      </w:r>
      <w:r>
        <w:rPr>
          <w:rFonts w:ascii="Amiri" w:hAnsi="Amiri" w:eastAsia="Amiri" w:cs="Amiri"/>
          <w:color w:val="111111"/>
          <w:sz w:val="28"/>
          <w:sz w:val="28"/>
          <w:szCs w:val="28"/>
          <w:rtl w:val="true"/>
          <w:lang w:bidi="ar-SA"/>
        </w:rPr>
        <w:t xml:space="preserve">جماعة </w:t>
      </w:r>
      <w:r>
        <w:rPr>
          <w:rStyle w:val="FootnoteAnchor"/>
          <w:rtl w:val="true"/>
        </w:rPr>
        <w:footnoteReference w:id="1192"/>
      </w:r>
      <w:r>
        <w:rPr>
          <w:rFonts w:ascii="Amiri" w:hAnsi="Amiri" w:eastAsia="Amiri" w:cs="Amiri"/>
          <w:color w:val="111111"/>
          <w:sz w:val="28"/>
          <w:sz w:val="28"/>
          <w:szCs w:val="28"/>
          <w:rtl w:val="true"/>
          <w:lang w:bidi="ar-SA"/>
        </w:rPr>
        <w:t xml:space="preserve">من أئمّة اللغة اختصاصه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يقال للجمل البازل والجذع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العين </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البازل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فبملاحظة ذلك مع عدم وضوح تعميمه للصغير في العرف يتقوى اختصاصه بالكبير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بالجد </w:t>
      </w:r>
      <w:r>
        <w:rPr>
          <w:rStyle w:val="FootnoteAnchor"/>
          <w:rtl w:val="true"/>
        </w:rPr>
        <w:footnoteReference w:id="1197"/>
      </w:r>
      <w:r>
        <w:rPr>
          <w:rFonts w:ascii="Amiri" w:hAnsi="Amiri" w:eastAsia="Amiri" w:cs="Amiri"/>
          <w:color w:val="111111"/>
          <w:sz w:val="28"/>
          <w:sz w:val="28"/>
          <w:szCs w:val="28"/>
          <w:rtl w:val="true"/>
          <w:lang w:bidi="ar-SA"/>
        </w:rPr>
        <w:t>وما فوقه لنقل اولئك الأجلّة ، فيكون ما دونه داخلا في غير المنصوص</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ذكر وجوب نزح الجميع لأمور أخر غير ما ذكرنا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 وبه قال الصدوق رحمه‌اللّه والفاضلان والشهيدان </w:t>
      </w:r>
      <w:r>
        <w:rPr>
          <w:rStyle w:val="FootnoteAnchor"/>
          <w:rtl w:val="true"/>
        </w:rPr>
        <w:footnoteReference w:id="1198"/>
      </w:r>
      <w:r>
        <w:rPr>
          <w:rFonts w:ascii="Amiri" w:hAnsi="Amiri" w:eastAsia="Amiri" w:cs="Amiri"/>
          <w:color w:val="111111"/>
          <w:sz w:val="28"/>
          <w:sz w:val="28"/>
          <w:szCs w:val="28"/>
          <w:rtl w:val="true"/>
          <w:lang w:bidi="ar-SA"/>
        </w:rPr>
        <w:t>وأكثر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جماعة إلى الأكثر ، وهو الأقوى ؛ لصحيحة ابن سنان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كتب الأصحاب كالمقنعة والمبسوط والمراسم والمهذّب والكافي والغنية والوسيلة والاصباح والسرائر نزح الكر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ظاهر الغنية </w:t>
      </w:r>
      <w:r>
        <w:rPr>
          <w:rStyle w:val="FootnoteAnchor"/>
          <w:rtl w:val="true"/>
        </w:rPr>
        <w:footnoteReference w:id="119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كشف اللثام إلى ظاهر الباقين بعد نقل قول الصدوق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لما يعطيه ظاهر رواية عمرو بن سعيد الآتية من ثبوت الحكم لما يشبه الحمار في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ضعف الرواية سندا ودلالة وعدم انجبارها بالشهرة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تقاوم الصحيحة المذكورة مع اعتضادها بالأصل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و </w:t>
      </w:r>
      <w:r>
        <w:rPr>
          <w:rStyle w:val="FootnoteAnchor"/>
          <w:rtl w:val="true"/>
        </w:rPr>
        <w:footnoteReference w:id="1200"/>
      </w:r>
      <w:r>
        <w:rPr>
          <w:rFonts w:ascii="Amiri" w:hAnsi="Amiri" w:eastAsia="Amiri" w:cs="Amiri"/>
          <w:color w:val="111111"/>
          <w:sz w:val="28"/>
          <w:sz w:val="28"/>
          <w:szCs w:val="28"/>
          <w:rtl w:val="true"/>
          <w:lang w:bidi="ar-SA"/>
        </w:rPr>
        <w:t>قد ألحقها بالثور في المدارك وغيره لزيادة نحو الثور في الصحيحة المتقدمة في التهذيب ، وهو يشمل البقرة قطعا ، والمشهور فيه نزح الكر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واستوجه </w:t>
      </w:r>
      <w:r>
        <w:rPr>
          <w:rStyle w:val="FootnoteAnchor"/>
          <w:rtl w:val="true"/>
        </w:rPr>
        <w:footnoteReference w:id="1201"/>
      </w:r>
      <w:r>
        <w:rPr>
          <w:rFonts w:ascii="Amiri" w:hAnsi="Amiri" w:eastAsia="Amiri" w:cs="Amiri"/>
          <w:color w:val="111111"/>
          <w:sz w:val="28"/>
          <w:sz w:val="28"/>
          <w:szCs w:val="28"/>
          <w:rtl w:val="true"/>
          <w:lang w:bidi="ar-SA"/>
        </w:rPr>
        <w:t>المحقق إلحاقها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مثل البعير في الجسم أو كان أكبر منه كالفيل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في المهذّب ، وكأنه لتنقيح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أنّه لا منقح 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إذا غلا واشتدّ ، فقد ذكر في الذكرى </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دخوله بعد الاشتداد في حكم الخمر لشبهه به إن قلنا بنجاسته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قطع جماعة من المتأخرين بعدم إلحاقه بها ؛ قال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لا نقول به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يلحق به العصير العنبي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المنع من إلحاقه بها تلك المثابة من الظهور لما يظهر من الأخبار من كونه بمنزلة الخمر ، فيكون عموم المنزلة قاضيا بثبوت أحكام الخمر له ، ومن جملتها الحكم المذكور إلا أن اندراج ذلك الحكم فيما ذكر محلّ </w:t>
      </w:r>
      <w:r>
        <w:rPr>
          <w:rStyle w:val="FootnoteAnchor"/>
          <w:rtl w:val="true"/>
        </w:rPr>
        <w:footnoteReference w:id="1203"/>
      </w:r>
      <w:r>
        <w:rPr>
          <w:rFonts w:ascii="Amiri" w:hAnsi="Amiri" w:eastAsia="Amiri" w:cs="Amiri"/>
          <w:color w:val="111111"/>
          <w:sz w:val="28"/>
          <w:sz w:val="28"/>
          <w:szCs w:val="28"/>
          <w:rtl w:val="true"/>
          <w:lang w:bidi="ar-SA"/>
        </w:rPr>
        <w:t>تأمّل ؛ إذ لا يستفاد من ذلك إلّا المشاركة في الأحكام الظاهرة واندراج ذلك فيها غير ظاهر ، فالظاهر عدم فهم المشاركة في الحكم المذكور وإن احتمله على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والجنب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بإلحاق الأوّل في المهذب وحكى إلحاق الثاني عن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نعرف المستند في الأمرين إلّا أنّه ذكر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روى بعض الأصحاب فيها </w:t>
      </w:r>
      <w:r>
        <w:rPr>
          <w:rStyle w:val="FootnoteAnchor"/>
          <w:rtl w:val="true"/>
        </w:rPr>
        <w:footnoteReference w:id="120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وروث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أوجب الحلبي فيها </w:t>
      </w:r>
      <w:r>
        <w:rPr>
          <w:rStyle w:val="FootnoteAnchor"/>
          <w:rtl w:val="true"/>
        </w:rPr>
        <w:footnoteReference w:id="1205"/>
      </w:r>
      <w:r>
        <w:rPr>
          <w:rFonts w:ascii="Amiri" w:hAnsi="Amiri" w:eastAsia="Amiri" w:cs="Amiri"/>
          <w:color w:val="111111"/>
          <w:sz w:val="28"/>
          <w:sz w:val="28"/>
          <w:szCs w:val="28"/>
          <w:rtl w:val="true"/>
          <w:lang w:bidi="ar-SA"/>
        </w:rPr>
        <w:t>نزح الجميع عدا بول الرجل والصبي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مستنده في البول إطلاق صحيحة ابن عمّار الماضية بعد تخصيصها بغير بول الرجل وترك العمل بها في بول الصبيّ من جهة النصّ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اختصاص الرواية بصورة الصب فلا يشمل وقوعه على نحو التقاطر ، مضافا إلى احتمال انصراف البول فيها إلى بول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الروث فلا يعرف مستنده فيه إلّا أن يدّعى اشتراكه للبول في الحكم أو يقول به من جهة عدم النص ، فلا يتّجه إذن ذكره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الكلب والخنزير 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به عن البصروي ، وكأنه يقول به أيضا مع الموت للأولويّة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فيه إذن إطلاق موثقة عمّار عن بئر يقع فيها كلب أو فارة أو خنزير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w:t>
      </w:r>
    </w:p>
    <w:p>
      <w:pPr>
        <w:pStyle w:val="BookText"/>
        <w:rPr/>
      </w:pP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واشتمالها على الفأرة مع ترك العمل بها في خصوصها لا يوجب ترك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ما حكاه في المنتهى من الإجماع على عدم وجوب نزح الجميع بذلك </w:t>
      </w:r>
      <w:r>
        <w:rPr>
          <w:rStyle w:val="FootnoteAnchor"/>
          <w:rtl w:val="true"/>
        </w:rPr>
        <w:footnoteReference w:id="1207"/>
      </w:r>
      <w:r>
        <w:rPr>
          <w:rFonts w:ascii="IRNazanin" w:hAnsi="IRNazanin" w:eastAsia="IRNazanin"/>
          <w:color w:val="111111"/>
          <w:sz w:val="28"/>
          <w:sz w:val="28"/>
          <w:szCs w:val="28"/>
          <w:rtl w:val="true"/>
          <w:lang w:bidi="fa-IR"/>
        </w:rPr>
        <w:t xml:space="preserve">قال </w:t>
      </w:r>
      <w:r>
        <w:rPr>
          <w:rStyle w:val="FootnoteAnchor"/>
          <w:rtl w:val="true"/>
        </w:rPr>
        <w:footnoteReference w:id="120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أحدا من أصحابنا لم يوجب نزح الجميع بموت الكلب والفأرة والخنزير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الرواية معارضة بما هو أصحّ منها خصوصا في الكلب لورود أخبار كثيرة فيه بخلاف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لذلك ذهب بعضهم فيما حكاه البعض </w:t>
      </w:r>
      <w:r>
        <w:rPr>
          <w:rStyle w:val="FootnoteAnchor"/>
          <w:rtl w:val="true"/>
        </w:rPr>
        <w:footnoteReference w:id="1209"/>
      </w:r>
      <w:r>
        <w:rPr>
          <w:rFonts w:ascii="Amiri" w:hAnsi="Amiri" w:eastAsia="Amiri" w:cs="Amiri"/>
          <w:color w:val="111111"/>
          <w:sz w:val="28"/>
          <w:sz w:val="28"/>
          <w:szCs w:val="28"/>
          <w:rtl w:val="true"/>
          <w:lang w:bidi="ar-SA"/>
        </w:rPr>
        <w:t>إلى وجوب نزح الجميع لموت الخنزير عملا بالموثقة في خصوصه مع حملها على صورة الموت ، ويحتمل أن يكون حكمه به من جهة إدخاله في نحو الثور المذكور في الصحيحة المتقدّمة</w:t>
      </w:r>
      <w:r>
        <w:rPr>
          <w:rFonts w:eastAsia="Amiri" w:cs="Amiri" w:ascii="Amiri" w:hAnsi="Amiri"/>
          <w:color w:val="111111"/>
          <w:sz w:val="28"/>
          <w:szCs w:val="28"/>
          <w:rtl w:val="true"/>
          <w:lang w:bidi="ar-SA"/>
        </w:rPr>
        <w:t xml:space="preserve">. </w:t>
      </w:r>
      <w:bookmarkStart w:id="208" w:name="pg15827_173767"/>
    </w:p>
    <w:p>
      <w:pPr>
        <w:pStyle w:val="Heading4"/>
        <w:numPr>
          <w:ilvl w:val="3"/>
          <w:numId w:val="1"/>
        </w:numPr>
        <w:rPr/>
      </w:pPr>
      <w:bookmarkStart w:id="209" w:name="__RefHeading___Toc14099737_2142443653"/>
      <w:bookmarkStart w:id="210" w:name="_Toc75"/>
      <w:bookmarkEnd w:id="208"/>
      <w:bookmarkEnd w:id="209"/>
      <w:r>
        <w:rPr>
          <w:rtl w:val="true"/>
        </w:rPr>
        <w:t>تبصرة</w:t>
      </w:r>
      <w:r>
        <w:rPr>
          <w:rtl w:val="true"/>
        </w:rPr>
        <w:t xml:space="preserve">: [ </w:t>
      </w:r>
      <w:r>
        <w:rPr>
          <w:rtl w:val="true"/>
        </w:rPr>
        <w:t xml:space="preserve">في تراوح الرجال ونزح ماء البئر </w:t>
      </w:r>
      <w:r>
        <w:rPr>
          <w:rtl w:val="true"/>
        </w:rPr>
        <w:t>]</w:t>
      </w:r>
      <w:bookmarkEnd w:id="210"/>
    </w:p>
    <w:p>
      <w:pPr>
        <w:pStyle w:val="BookText"/>
        <w:rPr/>
      </w:pPr>
      <w:r>
        <w:rPr>
          <w:rFonts w:ascii="Amiri" w:hAnsi="Amiri" w:eastAsia="Amiri" w:cs="Amiri"/>
          <w:color w:val="111111"/>
          <w:sz w:val="28"/>
          <w:sz w:val="28"/>
          <w:szCs w:val="28"/>
          <w:rtl w:val="true"/>
          <w:lang w:bidi="ar-SA"/>
        </w:rPr>
        <w:t>إذا تعذر نزح الجميع تراوح عليها أربعة رجال يوما إلى الليل بلا خلاف فيه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الغنية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فيه مخالفا من القائلين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لموثقة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غلب عليه الماء فلينزف يوما إلى الليل ثمّ يقام عليه قوم يتراوحون اثنين اثنين فينزحون </w:t>
      </w:r>
      <w:r>
        <w:rPr>
          <w:rStyle w:val="FootnoteAnchor"/>
          <w:rtl w:val="true"/>
        </w:rPr>
        <w:footnoteReference w:id="1211"/>
      </w:r>
      <w:r>
        <w:rPr>
          <w:rFonts w:ascii="Amiri" w:hAnsi="Amiri" w:eastAsia="Amiri" w:cs="Amiri"/>
          <w:color w:val="111111"/>
          <w:sz w:val="28"/>
          <w:sz w:val="28"/>
          <w:szCs w:val="28"/>
          <w:rtl w:val="true"/>
          <w:lang w:bidi="ar-SA"/>
        </w:rPr>
        <w:t xml:space="preserve">يوما إلى الليل وقد طهرت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والطعن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جماعة من الفطحيّة في إسنادها واشتمالها على ما هو متروك بين الأصحاب ، بل ورد التراوح في خصوصها ، فلا يعمّ بل لا يفيد شيئا من المدّعى فلا يثبت منها الحكم فيما بنوا فيها على وجوب التراوح وباقتضائها وجوب النزح في يومين ولا 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حقّق في محلّه من حجّية الموثّقات ، ولو سلّم فهي منجبرة بالشهرة العظيمة القريبة عن </w:t>
      </w:r>
      <w:r>
        <w:rPr>
          <w:rStyle w:val="FootnoteAnchor"/>
          <w:rtl w:val="true"/>
        </w:rPr>
        <w:footnoteReference w:id="1212"/>
      </w:r>
      <w:r>
        <w:rPr>
          <w:rFonts w:ascii="Amiri" w:hAnsi="Amiri" w:eastAsia="Amiri" w:cs="Amiri"/>
          <w:color w:val="111111"/>
          <w:sz w:val="28"/>
          <w:sz w:val="28"/>
          <w:szCs w:val="28"/>
          <w:rtl w:val="true"/>
          <w:lang w:bidi="ar-SA"/>
        </w:rPr>
        <w:t>الإجماع ، بل الإجماع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1213"/>
      </w:r>
      <w:r>
        <w:rPr>
          <w:rFonts w:ascii="Amiri" w:hAnsi="Amiri" w:eastAsia="Amiri" w:cs="Amiri"/>
          <w:color w:val="111111"/>
          <w:sz w:val="28"/>
          <w:sz w:val="28"/>
          <w:szCs w:val="28"/>
          <w:rtl w:val="true"/>
          <w:lang w:bidi="ar-SA"/>
        </w:rPr>
        <w:t xml:space="preserve">بعد نقل الخبر ورواية الفقيه </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والخبران وإن ضعّفا لكن لا نعرف من الأصحاب خلافا في العمل 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متروكيّتها في البعض لا يفيد تركها في الباقي كما حقّق في محلّه وأنّ المستفاد منها </w:t>
      </w:r>
    </w:p>
    <w:p>
      <w:pPr>
        <w:pStyle w:val="BookText"/>
        <w:rPr/>
      </w:pPr>
      <w:r>
        <w:rPr>
          <w:rFonts w:ascii="Amiri" w:hAnsi="Amiri" w:eastAsia="Amiri" w:cs="Amiri"/>
          <w:color w:val="111111"/>
          <w:sz w:val="28"/>
          <w:sz w:val="28"/>
          <w:szCs w:val="28"/>
          <w:rtl w:val="true"/>
          <w:lang w:bidi="ar-SA"/>
        </w:rPr>
        <w:t xml:space="preserve">تفريع وجوب التراوح على وجوب نزح الجميع ، فيثبت فيما يثبت ذلك فيه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يستشكل فيه بأنّه مع طرح الرواية في موردها لا يتجه العمل بها في غيرها وإن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للترتيب الذكري ، وهو وإن كان خلاف الظاهر إلّا أنّه بعد فهم الأصحاب منها الحكم المذكور لا مندوحة في حملها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اتفاقهم على فهمه منها بعض الأجلّاء </w:t>
      </w:r>
      <w:r>
        <w:rPr>
          <w:rStyle w:val="FootnoteAnchor"/>
          <w:rtl w:val="true"/>
        </w:rPr>
        <w:footnoteReference w:id="1216"/>
      </w:r>
      <w:r>
        <w:rPr>
          <w:rFonts w:ascii="Amiri" w:hAnsi="Amiri" w:eastAsia="Amiri" w:cs="Amiri"/>
          <w:color w:val="111111"/>
          <w:sz w:val="28"/>
          <w:sz w:val="28"/>
          <w:szCs w:val="28"/>
          <w:rtl w:val="true"/>
          <w:lang w:bidi="ar-SA"/>
        </w:rPr>
        <w:t xml:space="preserve">أو أنّها من زيادة النسّاخ أو من كلام الراوي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سقوطها في بعض نسخ الحديث ، ونقلها المحقّق في المعتبر خاليا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الحكم المذكور أيضا ما في رواية الفقيه </w:t>
      </w:r>
      <w:r>
        <w:rPr>
          <w:rStyle w:val="FootnoteAnchor"/>
          <w:rtl w:val="true"/>
        </w:rPr>
        <w:footnoteReference w:id="1217"/>
      </w:r>
      <w:r>
        <w:rPr>
          <w:rFonts w:ascii="Amiri" w:hAnsi="Amiri" w:eastAsia="Amiri" w:cs="Amiri"/>
          <w:color w:val="111111"/>
          <w:sz w:val="28"/>
          <w:sz w:val="28"/>
          <w:szCs w:val="28"/>
          <w:rtl w:val="true"/>
          <w:lang w:bidi="ar-SA"/>
        </w:rPr>
        <w:t>وإن كان كثيرا وصعب نزحه فالواجب عليه أن يكترى عليه أربعة رجال يستقون منها على التراوح من الغداة إلى الليل ومع بناء الحكم على الاستحباب كما هو الأقوى فلا شبهة في الاقتفاء بما عرفت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يلحق بالتعذر إمكانه مع المشقّة الشديدة ، ولذا وقع في كلام جماعة </w:t>
      </w:r>
      <w:r>
        <w:rPr>
          <w:rStyle w:val="FootnoteAnchor"/>
          <w:rtl w:val="true"/>
        </w:rPr>
        <w:footnoteReference w:id="1218"/>
      </w:r>
      <w:r>
        <w:rPr>
          <w:rFonts w:ascii="Amiri" w:hAnsi="Amiri" w:eastAsia="Amiri" w:cs="Amiri"/>
          <w:color w:val="111111"/>
          <w:sz w:val="28"/>
          <w:sz w:val="28"/>
          <w:szCs w:val="28"/>
          <w:rtl w:val="true"/>
          <w:lang w:bidi="ar-SA"/>
        </w:rPr>
        <w:t xml:space="preserve">كالمقنعة والتهذيب منه </w:t>
      </w:r>
      <w:r>
        <w:rPr>
          <w:rStyle w:val="FootnoteAnchor"/>
          <w:rtl w:val="true"/>
        </w:rPr>
        <w:footnoteReference w:id="1219"/>
      </w:r>
      <w:r>
        <w:rPr>
          <w:rFonts w:ascii="Amiri" w:hAnsi="Amiri" w:eastAsia="Amiri" w:cs="Amiri"/>
          <w:color w:val="111111"/>
          <w:sz w:val="28"/>
          <w:sz w:val="28"/>
          <w:szCs w:val="28"/>
          <w:rtl w:val="true"/>
          <w:lang w:bidi="ar-SA"/>
        </w:rPr>
        <w:t>فهم اعتبار الصعوبة بل لا يبعد شمول التعذّر لمثله ، فتتوافق العبارات فلو أمكن نزح جميعه يوما وليلة أو يومين ونحوهما وجب على الأقوى ولو لم يظهر من الأمارات ما يدلّ على نشفه بما يزيد على التراوح قوي الاكتفاء به ، ويحتمل لزوم استعلام الحال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الماء </w:t>
      </w:r>
      <w:r>
        <w:rPr>
          <w:rStyle w:val="FootnoteAnchor"/>
          <w:rtl w:val="true"/>
        </w:rPr>
        <w:footnoteReference w:id="1220"/>
      </w:r>
      <w:r>
        <w:rPr>
          <w:rFonts w:ascii="Amiri" w:hAnsi="Amiri" w:eastAsia="Amiri" w:cs="Amiri"/>
          <w:color w:val="111111"/>
          <w:sz w:val="28"/>
          <w:sz w:val="28"/>
          <w:szCs w:val="28"/>
          <w:rtl w:val="true"/>
          <w:lang w:bidi="ar-SA"/>
        </w:rPr>
        <w:t xml:space="preserve">غالبا في بعض الأحيان جرى فيه الحكم في ذلك الوقت ولا يجب مراعاة وقت النقص ليمكن النزف على إشكال فيه مع قرب ذلك الوقت وعدم حصوله سعة </w:t>
      </w:r>
      <w:r>
        <w:rPr>
          <w:rStyle w:val="FootnoteAnchor"/>
          <w:rtl w:val="true"/>
        </w:rPr>
        <w:footnoteReference w:id="1221"/>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التأخير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أمكن نزح الجميع بسدّ </w:t>
      </w:r>
      <w:r>
        <w:rPr>
          <w:rStyle w:val="FootnoteAnchor"/>
          <w:rtl w:val="true"/>
        </w:rPr>
        <w:footnoteReference w:id="1222"/>
      </w:r>
      <w:r>
        <w:rPr>
          <w:rFonts w:ascii="IRNazanin" w:hAnsi="IRNazanin" w:eastAsia="IRNazanin"/>
          <w:color w:val="111111"/>
          <w:sz w:val="28"/>
          <w:sz w:val="28"/>
          <w:szCs w:val="28"/>
          <w:rtl w:val="true"/>
          <w:lang w:bidi="fa-IR"/>
        </w:rPr>
        <w:t xml:space="preserve">المنبع </w:t>
      </w:r>
      <w:r>
        <w:rPr>
          <w:rStyle w:val="FootnoteAnchor"/>
          <w:rtl w:val="true"/>
        </w:rPr>
        <w:footnoteReference w:id="1223"/>
      </w:r>
      <w:r>
        <w:rPr>
          <w:rFonts w:ascii="Amiri" w:hAnsi="Amiri" w:eastAsia="Amiri" w:cs="Amiri"/>
          <w:color w:val="111111"/>
          <w:sz w:val="28"/>
          <w:sz w:val="28"/>
          <w:szCs w:val="28"/>
          <w:rtl w:val="true"/>
          <w:lang w:bidi="ar-SA"/>
        </w:rPr>
        <w:t>لم يجب ، فالمقصود إمكان نزحه مع بقائه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نزح الجميع لا على النحو المعتاد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 نشفه بغير </w:t>
      </w:r>
      <w:r>
        <w:rPr>
          <w:rStyle w:val="FootnoteAnchor"/>
          <w:rtl w:val="true"/>
        </w:rPr>
        <w:footnoteReference w:id="1224"/>
      </w:r>
      <w:r>
        <w:rPr>
          <w:rFonts w:ascii="Amiri" w:hAnsi="Amiri" w:eastAsia="Amiri" w:cs="Amiri"/>
          <w:color w:val="111111"/>
          <w:sz w:val="28"/>
          <w:sz w:val="28"/>
          <w:szCs w:val="28"/>
          <w:rtl w:val="true"/>
          <w:lang w:bidi="ar-SA"/>
        </w:rPr>
        <w:t>نزحه كما إذا أمكن إجراؤه ببعض الآلات حتى ينشف أو إجراؤه إلى موضع آخر أسفل منها حتّى ينفذ ماؤها فالظاهر عدم لزومه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25"/>
      </w:r>
      <w:r>
        <w:rPr>
          <w:rFonts w:ascii="Amiri" w:hAnsi="Amiri" w:eastAsia="Amiri" w:cs="Amiri"/>
          <w:color w:val="111111"/>
          <w:sz w:val="28"/>
          <w:sz w:val="28"/>
          <w:szCs w:val="28"/>
          <w:rtl w:val="true"/>
          <w:lang w:bidi="ar-SA"/>
        </w:rPr>
        <w:t xml:space="preserve">لا يعتبر فيه وقوع التراوح بنيّة التطهير كما هو الشأن في غيره من المطهّرات ، فلو اتّفق حصول التراوح لأمر آخر ثمّ ثبتت </w:t>
      </w:r>
      <w:r>
        <w:rPr>
          <w:rStyle w:val="FootnoteAnchor"/>
          <w:rtl w:val="true"/>
        </w:rPr>
        <w:footnoteReference w:id="1226"/>
      </w:r>
      <w:r>
        <w:rPr>
          <w:rFonts w:ascii="Amiri" w:hAnsi="Amiri" w:eastAsia="Amiri" w:cs="Amiri"/>
          <w:color w:val="111111"/>
          <w:sz w:val="28"/>
          <w:sz w:val="28"/>
          <w:szCs w:val="28"/>
          <w:rtl w:val="true"/>
          <w:lang w:bidi="ar-SA"/>
        </w:rPr>
        <w:t>الحاجة إليه لأجل التطهير كفى ، ولا حاجة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التراوح المذكور في الرواية وكلام الأصحاب أن يمتح اثنان ويستريح الآخران إلى أن يتعبا فيقومان مقامهما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w:t>
      </w:r>
      <w:r>
        <w:rPr>
          <w:rStyle w:val="FootnoteAnchor"/>
          <w:rtl w:val="true"/>
        </w:rPr>
        <w:footnoteReference w:id="1227"/>
      </w:r>
      <w:r>
        <w:rPr>
          <w:rFonts w:ascii="Amiri" w:hAnsi="Amiri" w:eastAsia="Amiri" w:cs="Amiri"/>
          <w:color w:val="111111"/>
          <w:sz w:val="28"/>
          <w:sz w:val="28"/>
          <w:szCs w:val="28"/>
          <w:rtl w:val="true"/>
          <w:lang w:bidi="ar-SA"/>
        </w:rPr>
        <w:t xml:space="preserve">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أحدهما فوق البئر يمتح بالدلو والآخر فيها يملأها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خلاف ظاهر الرواية وما يعطيه ظواهر إطلاقاتهم وصريح بعضهم </w:t>
      </w:r>
      <w:r>
        <w:rPr>
          <w:rStyle w:val="FootnoteAnchor"/>
          <w:rtl w:val="true"/>
        </w:rPr>
        <w:footnoteReference w:id="1228"/>
      </w:r>
      <w:r>
        <w:rPr>
          <w:rFonts w:ascii="Amiri" w:hAnsi="Amiri" w:eastAsia="Amiri" w:cs="Amiri"/>
          <w:color w:val="111111"/>
          <w:sz w:val="28"/>
          <w:sz w:val="28"/>
          <w:szCs w:val="28"/>
          <w:rtl w:val="true"/>
          <w:lang w:bidi="ar-SA"/>
        </w:rPr>
        <w:t>مع أنّه لا فائدة في إملاء الآخر مع كثرة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يحتاج إليه من جهة قلّة الماء ، والغالب في المقام خلافه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للنصّ على شي‌ء منها والأحوط اختيار ما ينزح به أكثر من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يومي إلى تجويز كلّ من الوجهين ،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النزح على الإملاء قوي اعتبار ثالث معهما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تناوبا على التعاقب من غير إعياء ولا فصل يعتدّ به ففيه وجوه ؛ ثانيها </w:t>
      </w:r>
      <w:r>
        <w:rPr>
          <w:rStyle w:val="FootnoteAnchor"/>
          <w:rtl w:val="true"/>
        </w:rPr>
        <w:footnoteReference w:id="1230"/>
      </w:r>
      <w:r>
        <w:rPr>
          <w:rFonts w:ascii="Amiri" w:hAnsi="Amiri" w:eastAsia="Amiri" w:cs="Amiri"/>
          <w:color w:val="111111"/>
          <w:sz w:val="28"/>
          <w:sz w:val="28"/>
          <w:szCs w:val="28"/>
          <w:rtl w:val="true"/>
          <w:lang w:bidi="ar-SA"/>
        </w:rPr>
        <w:t>المنع مع حصول التعويق ، ولا بدّ من اجتماع اثنين منها في العمل فلا يجزي نزحهم منفردين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ثلاثة منهم عليه ففيه وجهان من الأولويّة والخروج عن مدلول النصّ مع تعب المشترك ، فقد يوجب قصوره في العمل عند نوبته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أقوى ، ويجب اشتغال كلّ منهما بعد الأخيرين من غير تراخ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اشتراكهما </w:t>
      </w:r>
      <w:r>
        <w:rPr>
          <w:rStyle w:val="FootnoteAnchor"/>
          <w:rtl w:val="true"/>
        </w:rPr>
        <w:footnoteReference w:id="1231"/>
      </w:r>
      <w:r>
        <w:rPr>
          <w:rFonts w:ascii="Amiri" w:hAnsi="Amiri" w:eastAsia="Amiri" w:cs="Amiri"/>
          <w:color w:val="111111"/>
          <w:sz w:val="28"/>
          <w:sz w:val="28"/>
          <w:szCs w:val="28"/>
          <w:rtl w:val="true"/>
          <w:lang w:bidi="ar-SA"/>
        </w:rPr>
        <w:t xml:space="preserve">في الرشا </w:t>
      </w:r>
      <w:r>
        <w:rPr>
          <w:rStyle w:val="FootnoteAnchor"/>
          <w:rtl w:val="true"/>
        </w:rPr>
        <w:footnoteReference w:id="1232"/>
      </w:r>
      <w:r>
        <w:rPr>
          <w:rFonts w:ascii="Amiri" w:hAnsi="Amiri" w:eastAsia="Amiri" w:cs="Amiri"/>
          <w:color w:val="111111"/>
          <w:sz w:val="28"/>
          <w:sz w:val="28"/>
          <w:szCs w:val="28"/>
          <w:rtl w:val="true"/>
          <w:lang w:bidi="ar-SA"/>
        </w:rPr>
        <w:t xml:space="preserve">والدلو ، فلا يجزي بانفراد كلّ عن الآخر وإن اجتمعا في النزح وجهان أوجههما الأوّل وقوفا إلى التعارف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قال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ما دون الأربعة في ظاهر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نصّ الشهيدان والمحقّق الكركي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في المنتهى إجزاء الأقل إذا سدّ مسدّ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 به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التذكرة الاكتفاء بالقويّين إذا نهضا بعمل الأربعة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والأظهر الأوّل وقوفا مع ظاهر النصّ </w:t>
      </w:r>
      <w:r>
        <w:rPr>
          <w:rStyle w:val="FootnoteAnchor"/>
          <w:rtl w:val="true"/>
        </w:rPr>
        <w:footnoteReference w:id="1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الزيادة على الأربعة فالظاهر جوازه عملا بإطلاق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يخالفه ظاهر كلام الأصحاب إن لم يدل بالفحوى على جوازه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كلامهم مبنيّ على بيان أقل الواجب ولو اجتمع حينئذ على النزح ما يزيد على الاثنين ففي جوازه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الجواز مع عدم لزوم التعويق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الجمهور اعتبار كونهم رجالا فلا يجزي الصبيان ولا النساء والخناثى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 وغيره حكاية الشهرة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نصّ الشهيدان والمحقّق الكركي والسيوري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وقوفا مع النصّ 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الرجال كما يعطيه ظاهر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ظاهر الآية وقول زهير ، ونصّ عليه بعض أهل اللغة ولا أقل من الشك في التعميم فيقتصر على محلّ اليقين مضافا إلى التصريح به في رواية الفقيه وجوّز في التذكرة نزح من عدا الرجال لصدق القوم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بعد حكاية ذلك عن بعض الأصحاب أنّه حسن مع عدم قصور نزحهم </w:t>
      </w:r>
      <w:r>
        <w:rPr>
          <w:rStyle w:val="FootnoteAnchor"/>
          <w:rtl w:val="true"/>
        </w:rPr>
        <w:footnoteReference w:id="1235"/>
      </w:r>
      <w:r>
        <w:rPr>
          <w:rFonts w:ascii="IRNazanin" w:hAnsi="IRNazanin" w:eastAsia="IRNazanin"/>
          <w:color w:val="111111"/>
          <w:sz w:val="28"/>
          <w:sz w:val="28"/>
          <w:szCs w:val="28"/>
          <w:rtl w:val="true"/>
          <w:lang w:bidi="fa-IR"/>
        </w:rPr>
        <w:t>عن نزح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تقييده يعطي استناده في ذلك إلى تنقيح المناط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w:t>
      </w:r>
      <w:r>
        <w:rPr>
          <w:rStyle w:val="FootnoteAnchor"/>
          <w:rtl w:val="true"/>
        </w:rPr>
        <w:footnoteReference w:id="1236"/>
      </w:r>
      <w:r>
        <w:rPr>
          <w:rFonts w:ascii="Amiri" w:hAnsi="Amiri" w:eastAsia="Amiri" w:cs="Amiri"/>
          <w:color w:val="111111"/>
          <w:sz w:val="28"/>
          <w:sz w:val="28"/>
          <w:szCs w:val="28"/>
          <w:rtl w:val="true"/>
          <w:lang w:bidi="ar-SA"/>
        </w:rPr>
        <w:t>البناء على قضاء الفحوى بجوازه ففي جواز الاستقاء بالحيوانات كالبقر مع قيامه بعمل الرجلين وزيادة ؛ وجهان أظهر هما ذلك بعد البناء المذكور سيّما إذا كان البئر مما يستقى منها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انضمّ الصبيّ أو المرأة إلى الرجلين ففي الاجتزاء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الجواز مع استقلالهما بالنزح ليكون الانضمام تقوية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الرجال بين الأقوياء والضعفاء والشباب والشياب والأصحاء والمرضى إلّا إذا منع الضعف عن الاشتغال بالنحو المعتاد ، ولا بين الفحل والخصي والمجبوب ، و </w:t>
      </w:r>
      <w:r>
        <w:rPr>
          <w:rStyle w:val="FootnoteAnchor"/>
          <w:rtl w:val="true"/>
        </w:rPr>
        <w:footnoteReference w:id="1237"/>
      </w:r>
      <w:r>
        <w:rPr>
          <w:rFonts w:ascii="Amiri" w:hAnsi="Amiri" w:eastAsia="Amiri" w:cs="Amiri"/>
          <w:color w:val="111111"/>
          <w:sz w:val="28"/>
          <w:sz w:val="28"/>
          <w:szCs w:val="28"/>
          <w:rtl w:val="true"/>
          <w:lang w:bidi="ar-SA"/>
        </w:rPr>
        <w:t xml:space="preserve">لا بين </w:t>
      </w:r>
    </w:p>
    <w:p>
      <w:pPr>
        <w:pStyle w:val="BookText"/>
        <w:rPr/>
      </w:pPr>
      <w:r>
        <w:rPr>
          <w:rFonts w:ascii="Amiri" w:hAnsi="Amiri" w:eastAsia="Amiri" w:cs="Amiri"/>
          <w:color w:val="111111"/>
          <w:sz w:val="28"/>
          <w:sz w:val="28"/>
          <w:szCs w:val="28"/>
          <w:rtl w:val="true"/>
          <w:lang w:bidi="ar-SA"/>
        </w:rPr>
        <w:t>العاقل والمجنون والمسلم والكافر إذا لم يقض نزحه بنجاسته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وقوع التراوح في يوم كامل فلا يجوز النقص عنه ولو بشي‌ء يسير ، ولا التلفيق منه مرتين </w:t>
      </w:r>
      <w:r>
        <w:rPr>
          <w:rStyle w:val="FootnoteAnchor"/>
          <w:rtl w:val="true"/>
        </w:rPr>
        <w:footnoteReference w:id="1238"/>
      </w:r>
      <w:r>
        <w:rPr>
          <w:rFonts w:ascii="Amiri" w:hAnsi="Amiri" w:eastAsia="Amiri" w:cs="Amiri"/>
          <w:color w:val="111111"/>
          <w:sz w:val="28"/>
          <w:sz w:val="28"/>
          <w:szCs w:val="28"/>
          <w:rtl w:val="true"/>
          <w:lang w:bidi="ar-SA"/>
        </w:rPr>
        <w:t xml:space="preserve">من الليل أو من يوم آخر ، ولا الليل </w:t>
      </w:r>
      <w:r>
        <w:rPr>
          <w:rStyle w:val="FootnoteAnchor"/>
          <w:rtl w:val="true"/>
        </w:rPr>
        <w:footnoteReference w:id="1239"/>
      </w:r>
      <w:r>
        <w:rPr>
          <w:rFonts w:ascii="Amiri" w:hAnsi="Amiri" w:eastAsia="Amiri" w:cs="Amiri"/>
          <w:color w:val="111111"/>
          <w:sz w:val="28"/>
          <w:sz w:val="28"/>
          <w:szCs w:val="28"/>
          <w:rtl w:val="true"/>
          <w:lang w:bidi="ar-SA"/>
        </w:rPr>
        <w:t>وإن كان أطول من النهار ، ولا نصف النهار مع اجتماع النجاسة على دلو من يتراوح كلّ أربعة على دلو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قصيره وطويله ومتوسّطه ، فيتخير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هو يوم الصائم أو من طلوع الشمس إلى غروب القرص أو يوم الأجير فينصرف إلى المتعارف في الإجارة؟ وجوه أوجهها الأوّل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منهم الفاضلان والشهيدان والسيوري وابن فهد والصيمري والمحقّق الكركي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هنا هو الشرعي من طلوع الفجر الثاني إلى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في أنّ المراد باليوم من طلوع الفجر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بعد كحايد جملة من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 هذه الألفاظ متقاربة فيكون النزح من طلوع الفجر إلى غروب الشمس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بعد نقل جملة من العبائر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 أرادوا به يوم القوم ، فليكن من طلوع الفجر إلى غروب الشمس ؛ لأنّه المفهوم من اليوم مع تحديده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الشرعي هو الظاهر من عبارات الأصحاب كما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نصّ عليه الشهيد وابن فهد والمحقق الكركي رحمه‌اللّه وغيرهم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خلافا في أن المراد باليوم من طلوع الفجر إلى الغروب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 نصّ المحقّق والصيمري والسيوري والشهيد رحمه‌اللّه في الذكرى إلّا أنّه صرّح الشهيد </w:t>
      </w:r>
      <w:r>
        <w:rPr>
          <w:rStyle w:val="FootnoteAnchor"/>
          <w:rtl w:val="true"/>
        </w:rPr>
        <w:footnoteReference w:id="1244"/>
      </w:r>
      <w:r>
        <w:rPr>
          <w:rFonts w:ascii="Amiri" w:hAnsi="Amiri" w:eastAsia="Amiri" w:cs="Amiri"/>
          <w:color w:val="111111"/>
          <w:sz w:val="28"/>
          <w:sz w:val="28"/>
          <w:szCs w:val="28"/>
          <w:rtl w:val="true"/>
          <w:lang w:bidi="ar-SA"/>
        </w:rPr>
        <w:t>بكون آخره مغيب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المفيد والديلمي والحلبي وابن زهرة والحلي رحمه‌اللّه بالتراوح من أول النهار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عليه في الغنية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باقي تعبيراتهم عنه ككونه من الغدوة إلى الليل كما عبّر عنه الصدوق والسيد ، أو من الغدوة إلى العشاء كما عبّر عنه الشيخ والطوسي رحمه‌اللّه ، أو من الغدوة إلى الرواح كما في الاصباح ، أو يوما إلى الليل كما في بعض كتب العلّامة والشهيد وقد عرفت تنزيل جماعة منهم عباراتهم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الأردبيلي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الاكتفاء باليوم العرفي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تلميذه في المعالم حيث تنظّر فيما حكيناه عن الشهيد من الحمل على يوم القوم ما يقتضي عدم الاجتزاء باليوم الّذي يفوت من أوّله جزء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وعباراتهم لا تدلّ عليه بل ظاهرها ما هو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الرواية محتمل أيضا لصدق اسم اليوم وإن فات منه بعض الأجزاء إذا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واستجود ذلك بعض المتأخّرين كشارح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في المدارك الاكتفاء فيه من أوّله بما ينصرف إليه الإطلاق في الإجارة والنذر ونحوهما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ينزل عليه بعض عبارات القدماء أيضا حيث إنّ الغدوة ينتهي آخرها إلى طلوع الشمس ، فيكون النزح من الغدوة صادقا مع الشروع من عند طلوع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وبملاحظة جميع ذلك تبيّن أن التدقيق المذكور لا يخلو من إشكال إلّا أنّه بعد ملاحظة كلام الأكثر المؤيّد بفهم الجماعة يتقوّى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تعيين آخره في الرواية بالبلوغ إلى الليل يشير إلى اعتبار التدقيق المذكور أيضا ، فيكون مبدؤه من أوّل النهار على وجه الحقيقة حسبما ذكروه ؛ إذ لو لا ما ذكروه من التدقيق في أوّله لما اعتبر ذلك في آخره ؛ مضافا إلى قضاء الاستصحاب ببقاء النجاسة في الماء إلى أن يعلم المزيل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تمهيد مقدماته قبل الفجر لئلا يتأخّر الشروع عنه </w:t>
      </w:r>
      <w:r>
        <w:rPr>
          <w:rStyle w:val="FootnoteAnchor"/>
          <w:rtl w:val="true"/>
        </w:rPr>
        <w:footnoteReference w:id="1247"/>
      </w:r>
      <w:r>
        <w:rPr>
          <w:rFonts w:ascii="Amiri" w:hAnsi="Amiri" w:eastAsia="Amiri" w:cs="Amiri"/>
          <w:color w:val="111111"/>
          <w:sz w:val="28"/>
          <w:sz w:val="28"/>
          <w:szCs w:val="28"/>
          <w:rtl w:val="true"/>
          <w:lang w:bidi="ar-SA"/>
        </w:rPr>
        <w:t>على ما نصّ عليه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 في الذكرى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جماعة من المتأخّرين عدم لزوم التدقيق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الأردبيلي </w:t>
      </w:r>
      <w:r>
        <w:rPr>
          <w:rStyle w:val="FootnoteAnchor"/>
          <w:rtl w:val="true"/>
        </w:rPr>
        <w:footnoteReference w:id="1248"/>
      </w:r>
      <w:r>
        <w:rPr>
          <w:rFonts w:ascii="Amiri" w:hAnsi="Amiri" w:eastAsia="Amiri" w:cs="Amiri"/>
          <w:color w:val="111111"/>
          <w:sz w:val="28"/>
          <w:sz w:val="28"/>
          <w:szCs w:val="28"/>
          <w:rtl w:val="true"/>
          <w:lang w:bidi="ar-SA"/>
        </w:rPr>
        <w:t xml:space="preserve">إنه لا يبعد دخول زمان أو ليتأهب </w:t>
      </w:r>
      <w:r>
        <w:rPr>
          <w:rStyle w:val="FootnoteAnchor"/>
          <w:rtl w:val="true"/>
        </w:rPr>
        <w:footnoteReference w:id="1249"/>
      </w:r>
      <w:r>
        <w:rPr>
          <w:rFonts w:ascii="Amiri" w:hAnsi="Amiri" w:eastAsia="Amiri" w:cs="Amiri"/>
          <w:color w:val="111111"/>
          <w:sz w:val="28"/>
          <w:sz w:val="28"/>
          <w:szCs w:val="28"/>
          <w:rtl w:val="true"/>
          <w:lang w:bidi="ar-SA"/>
        </w:rPr>
        <w:t xml:space="preserve">إذا كان قليلا ، ومع البناء على الأول فالظاهر </w:t>
      </w:r>
      <w:r>
        <w:rPr>
          <w:rStyle w:val="FootnoteAnchor"/>
          <w:rtl w:val="true"/>
        </w:rPr>
        <w:footnoteReference w:id="1250"/>
      </w:r>
      <w:r>
        <w:rPr>
          <w:rFonts w:ascii="Amiri" w:hAnsi="Amiri" w:eastAsia="Amiri" w:cs="Amiri"/>
          <w:color w:val="111111"/>
          <w:sz w:val="28"/>
          <w:sz w:val="28"/>
          <w:szCs w:val="28"/>
          <w:rtl w:val="true"/>
          <w:lang w:bidi="ar-SA"/>
        </w:rPr>
        <w:t>الاكتفاء بالشروع بإدخال الرشاء أوّل الوقت ، فلا يجب تقديمه على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يعتبر إدخال جزء من أوّل النهار وآخره بحصول اليقين بالاستيعاب عند جماعة من الأصحاب كالشهيدين والمحقق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الاكتفاء بصدق الاستيعاب في العرف ، فلا يحتاج إلى التدقيق المذكور وإن افتقر إليه عند الجمود على الحقيقة اللغوية ، فلا يجوز إخلاء بعض الوقت عن الفعل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حصل بعض العوائق المتعلّقة بالتراوح كوصل الحبل بعد قطعه ونحوه من الأفعال اليسيرة لم يمنع من التتابع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توقّف على فعل كثير كتبديل الحبل وشرائه من السوق أو رفع </w:t>
      </w:r>
      <w:r>
        <w:rPr>
          <w:rStyle w:val="FootnoteAnchor"/>
          <w:rtl w:val="true"/>
        </w:rPr>
        <w:footnoteReference w:id="1251"/>
      </w:r>
      <w:r>
        <w:rPr>
          <w:rFonts w:ascii="Amiri" w:hAnsi="Amiri" w:eastAsia="Amiri" w:cs="Amiri"/>
          <w:color w:val="111111"/>
          <w:sz w:val="28"/>
          <w:sz w:val="28"/>
          <w:szCs w:val="28"/>
          <w:rtl w:val="true"/>
          <w:lang w:bidi="ar-SA"/>
        </w:rPr>
        <w:t>الدلو إذا طالت به المدّة قوي لزوم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عند جماعة منهم الشهيد وابن فهد والمحقق الكركي الصلاة جماعة والاجتماع في الأكل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الشهيد الثاني على الأول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الوجه في الأول ما دلّ بعمومه على رجحان الجماعة والصلاة في أوّل الوقت ، فلا يترك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جريان العادة به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ويضعفان بأنّه لو بنى على ذلك لجرى في غير الجماعة من سائر المستحبّات كأداء الرواتب وقراءة القرآن وقضاء حوائج الإخوان ونحوها ، وأن المتعارف إنّما يثبت في الأجير ، فلا دخل له في الأحكام الشرعيّة إلّا أن يقال بحصول عرف في مثله يوجب انصراف اللفظ إليه ، وهو محلّ تأمل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211" w:name="pg15827_173776"/>
    </w:p>
    <w:p>
      <w:pPr>
        <w:pStyle w:val="Heading4"/>
        <w:numPr>
          <w:ilvl w:val="3"/>
          <w:numId w:val="1"/>
        </w:numPr>
        <w:rPr/>
      </w:pPr>
      <w:bookmarkStart w:id="212" w:name="__RefHeading___Toc14099739_2142443653"/>
      <w:bookmarkStart w:id="213" w:name="_Toc76"/>
      <w:bookmarkEnd w:id="211"/>
      <w:bookmarkEnd w:id="212"/>
      <w:r>
        <w:rPr>
          <w:rtl w:val="true"/>
        </w:rPr>
        <w:t>تبصرة</w:t>
      </w:r>
      <w:r>
        <w:rPr>
          <w:rtl w:val="true"/>
        </w:rPr>
        <w:t xml:space="preserve">: [ </w:t>
      </w:r>
      <w:r>
        <w:rPr>
          <w:rtl w:val="true"/>
        </w:rPr>
        <w:t xml:space="preserve">في نزح الماء للدوابّ </w:t>
      </w:r>
      <w:r>
        <w:rPr>
          <w:rtl w:val="true"/>
        </w:rPr>
        <w:t>]</w:t>
      </w:r>
      <w:bookmarkEnd w:id="213"/>
    </w:p>
    <w:p>
      <w:pPr>
        <w:pStyle w:val="BookText"/>
        <w:rPr/>
      </w:pPr>
      <w:r>
        <w:rPr>
          <w:rFonts w:ascii="Amiri" w:hAnsi="Amiri" w:eastAsia="Amiri" w:cs="Amiri"/>
          <w:color w:val="111111"/>
          <w:sz w:val="28"/>
          <w:sz w:val="28"/>
          <w:szCs w:val="28"/>
          <w:rtl w:val="true"/>
          <w:lang w:bidi="ar-SA"/>
        </w:rPr>
        <w:t xml:space="preserve">تبصرة </w:t>
      </w:r>
      <w:r>
        <w:rPr>
          <w:rStyle w:val="FootnoteAnchor"/>
          <w:rtl w:val="true"/>
        </w:rPr>
        <w:footnoteReference w:id="1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نزح الماء للدوابّ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كما عن جماعة </w:t>
      </w:r>
      <w:r>
        <w:rPr>
          <w:rStyle w:val="FootnoteAnchor"/>
          <w:rtl w:val="true"/>
        </w:rPr>
        <w:footnoteReference w:id="1256"/>
      </w:r>
      <w:r>
        <w:rPr>
          <w:rFonts w:ascii="Amiri" w:hAnsi="Amiri" w:eastAsia="Amiri" w:cs="Amiri"/>
          <w:color w:val="111111"/>
          <w:sz w:val="28"/>
          <w:sz w:val="28"/>
          <w:szCs w:val="28"/>
          <w:rtl w:val="true"/>
          <w:lang w:bidi="ar-SA"/>
        </w:rPr>
        <w:t>نزح الكرّ للدوابّ الثلاث أعني الفرس والبغل والحمار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النهاية إلى القائلين بانفعال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في الغنية على ثبوت الحكم في الخيل وشبهها في الجسم ، ونقل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المهذّب البارع والروض الشهرة في الحمار والبغل ، وعزا إلى الاخير حكاية عمل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الشهرة في جامع المقاصد والمدارك بالنسبة إلى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الحكم رواية عمرو بن سعيد بن هلال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عمّا يقع في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الفارة إلى السنّور إلى الشاة ففي ذلك كلّه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 الحمار والجمل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 من ماء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وإن ضعف إسنادها بعمرو لجهالته إلّا أنّ في بعض الأخبار ما يفيد نحو ركون إليه مع تقدّم عبد اللّه بن المغيرة الذي هو من أصحاب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تأيّده بالشهرة العظيمة بالنسبة إلى الحمار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w:t>
      </w:r>
      <w:r>
        <w:rPr>
          <w:rStyle w:val="FootnoteAnchor"/>
          <w:rtl w:val="true"/>
        </w:rPr>
        <w:footnoteReference w:id="1259"/>
      </w:r>
      <w:r>
        <w:rPr>
          <w:rFonts w:ascii="Amiri" w:hAnsi="Amiri" w:eastAsia="Amiri" w:cs="Amiri"/>
          <w:color w:val="111111"/>
          <w:sz w:val="28"/>
          <w:sz w:val="28"/>
          <w:szCs w:val="28"/>
          <w:rtl w:val="true"/>
          <w:lang w:bidi="ar-SA"/>
        </w:rPr>
        <w:t xml:space="preserve">وإن ضعف منه فالشهرة يؤيدها ، فإنّي لا أعرف من </w:t>
      </w:r>
    </w:p>
    <w:p>
      <w:pPr>
        <w:pStyle w:val="BookText"/>
        <w:rPr/>
      </w:pPr>
      <w:r>
        <w:rPr>
          <w:rFonts w:ascii="IRNazanin" w:hAnsi="IRNazanin" w:eastAsia="IRNazanin"/>
          <w:color w:val="111111"/>
          <w:sz w:val="28"/>
          <w:sz w:val="28"/>
          <w:szCs w:val="28"/>
          <w:rtl w:val="true"/>
          <w:lang w:bidi="fa-IR"/>
        </w:rPr>
        <w:t>الأصحاب رادّا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260"/>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عملوا بها في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الظاهري </w:t>
      </w:r>
      <w:r>
        <w:rPr>
          <w:rStyle w:val="FootnoteAnchor"/>
          <w:rtl w:val="true"/>
        </w:rPr>
        <w:footnoteReference w:id="1262"/>
      </w:r>
      <w:r>
        <w:rPr>
          <w:rFonts w:ascii="Amiri" w:hAnsi="Amiri" w:eastAsia="Amiri" w:cs="Amiri"/>
          <w:color w:val="111111"/>
          <w:sz w:val="28"/>
          <w:sz w:val="28"/>
          <w:szCs w:val="28"/>
          <w:rtl w:val="true"/>
          <w:lang w:bidi="ar-SA"/>
        </w:rPr>
        <w:t xml:space="preserve">يجزيها </w:t>
      </w:r>
      <w:r>
        <w:rPr>
          <w:rStyle w:val="FootnoteAnchor"/>
          <w:rtl w:val="true"/>
        </w:rPr>
        <w:footnoteReference w:id="1263"/>
      </w:r>
      <w:r>
        <w:rPr>
          <w:rFonts w:ascii="Amiri" w:hAnsi="Amiri" w:eastAsia="Amiri" w:cs="Amiri"/>
          <w:color w:val="111111"/>
          <w:sz w:val="28"/>
          <w:sz w:val="28"/>
          <w:szCs w:val="28"/>
          <w:rtl w:val="true"/>
          <w:lang w:bidi="ar-SA"/>
        </w:rPr>
        <w:t>وفي المقام لا نعلم فيه خلافا لأحد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يظهر فيه 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واشتمالها على المحلّ مع إعراض الأصحاب عن العمل بها فيه ومعارضتها بالصحيحة المتقدّمة لا يوجب طرحها بالنسبة إلى غيره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الشيخ رحمه‌اللّه أن يكون الجواب مختصّا بالحمار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 وإلغاز في العبارة لا يناسب منصب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إنّما يفيد ثبوت الحكم في الحمار ، فلا ينبغي التأمل في الحكم بالنسبة إليه فاحتمال إلحاقه بالثور لاندراجها في نحوه كما في المدارك ليس على ما ينبغي وإن اتجه البناء عليه على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البغل فيمكن أن يحتجّ عليه بالخبر المذكور بناء على ما في المعتبر حيث ذكر فيها البغل أيضا سيّما بعد ما ذكره من أنه لا يعرف رادّا لها ، فإنّ في حكاية الثقة كفاية لتقدم الزيادة على النقيصة ، وكأنّه أخذها من بعض الأصول القديمة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عزا إلى المهذب البارع </w:t>
      </w:r>
      <w:r>
        <w:rPr>
          <w:rStyle w:val="FootnoteAnchor"/>
          <w:rtl w:val="true"/>
        </w:rPr>
        <w:footnoteReference w:id="1264"/>
      </w:r>
      <w:r>
        <w:rPr>
          <w:rFonts w:ascii="IRNazanin" w:hAnsi="IRNazanin" w:eastAsia="IRNazanin"/>
          <w:color w:val="111111"/>
          <w:sz w:val="28"/>
          <w:sz w:val="28"/>
          <w:szCs w:val="28"/>
          <w:rtl w:val="true"/>
          <w:lang w:bidi="fa-IR"/>
        </w:rPr>
        <w:t xml:space="preserve">والروض </w:t>
      </w:r>
      <w:r>
        <w:rPr>
          <w:rStyle w:val="FootnoteAnchor"/>
          <w:rtl w:val="true"/>
        </w:rPr>
        <w:footnoteReference w:id="1265"/>
      </w:r>
      <w:r>
        <w:rPr>
          <w:rFonts w:ascii="Amiri" w:hAnsi="Amiri" w:eastAsia="Amiri" w:cs="Amiri"/>
          <w:color w:val="111111"/>
          <w:sz w:val="28"/>
          <w:sz w:val="28"/>
          <w:szCs w:val="28"/>
          <w:rtl w:val="true"/>
          <w:lang w:bidi="ar-SA"/>
        </w:rPr>
        <w:t>والروضة وغيرها وجود البغل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موجود أيضا في بعض نسخ التهذيب على ما حكاه بعض الأجلّة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كشف اللثام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البغل موجود في موضع من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فبملاحظة ذلك كلّه مع اشتهار القول به والإجماع المتقدم لا يبعد القول بثبوت الحكم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اقتصر </w:t>
      </w:r>
      <w:r>
        <w:rPr>
          <w:rStyle w:val="FootnoteAnchor"/>
          <w:rtl w:val="true"/>
        </w:rPr>
        <w:footnoteReference w:id="1267"/>
      </w:r>
      <w:r>
        <w:rPr>
          <w:rFonts w:ascii="Amiri" w:hAnsi="Amiri" w:eastAsia="Amiri" w:cs="Amiri"/>
          <w:color w:val="111111"/>
          <w:sz w:val="28"/>
          <w:sz w:val="28"/>
          <w:szCs w:val="28"/>
          <w:rtl w:val="true"/>
          <w:lang w:bidi="ar-SA"/>
        </w:rPr>
        <w:t xml:space="preserve">جماعة منهم الشهيد في الذكرى </w:t>
      </w:r>
      <w:r>
        <w:rPr>
          <w:rStyle w:val="FootnoteAnchor"/>
          <w:rtl w:val="true"/>
        </w:rPr>
        <w:footnoteReference w:id="1268"/>
      </w:r>
      <w:r>
        <w:rPr>
          <w:rFonts w:ascii="Amiri" w:hAnsi="Amiri" w:eastAsia="Amiri" w:cs="Amiri"/>
          <w:color w:val="111111"/>
          <w:sz w:val="28"/>
          <w:sz w:val="28"/>
          <w:szCs w:val="28"/>
          <w:rtl w:val="true"/>
          <w:lang w:bidi="ar-SA"/>
        </w:rPr>
        <w:t xml:space="preserve">والمسالك </w:t>
      </w:r>
      <w:r>
        <w:rPr>
          <w:rStyle w:val="FootnoteAnchor"/>
          <w:rtl w:val="true"/>
        </w:rPr>
        <w:footnoteReference w:id="1269"/>
      </w:r>
      <w:r>
        <w:rPr>
          <w:rFonts w:ascii="Amiri" w:hAnsi="Amiri" w:eastAsia="Amiri" w:cs="Amiri"/>
          <w:color w:val="111111"/>
          <w:sz w:val="28"/>
          <w:sz w:val="28"/>
          <w:szCs w:val="28"/>
          <w:rtl w:val="true"/>
          <w:lang w:bidi="ar-SA"/>
        </w:rPr>
        <w:t>في الحكم المذكور على الحمار والبغل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الفرس فلم نقف على مستند فيه ، وقد يحتج عليه بأنّ المنساق من الرواية المذكورة ثبوت الحكم لما بلغ في الجثة إلى الحمار والبغل ، فذكر </w:t>
      </w:r>
      <w:r>
        <w:rPr>
          <w:rStyle w:val="FootnoteAnchor"/>
          <w:rtl w:val="true"/>
        </w:rPr>
        <w:footnoteReference w:id="1270"/>
      </w:r>
      <w:r>
        <w:rPr>
          <w:rFonts w:ascii="Amiri" w:hAnsi="Amiri" w:eastAsia="Amiri" w:cs="Amiri"/>
          <w:color w:val="111111"/>
          <w:sz w:val="28"/>
          <w:sz w:val="28"/>
          <w:szCs w:val="28"/>
          <w:rtl w:val="true"/>
          <w:lang w:bidi="ar-SA"/>
        </w:rPr>
        <w:t>الحمار والجمل ليس لإرادتهما بالخصوص بل المقصود سؤاله عمّا بلغ في الجثّة إلى ذلك ، فيحتمل إذن عدم ذكره مخصوص الجمل في السؤال فتقيّد إذن بما دل على وجوب نزح الجميع له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ذلك حملا للرواية من جهة اشتمالها على ذكر الجمل ، وهو كما ترى بعيد عن مقتضى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يخلو الرواية عن إيماء إليه إلّا أنّ الاحتجاج بها بمجرّد ذلك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عليها في المنتهى </w:t>
      </w:r>
      <w:r>
        <w:rPr>
          <w:rStyle w:val="FootnoteAnchor"/>
          <w:rtl w:val="true"/>
        </w:rPr>
        <w:footnoteReference w:id="1271"/>
      </w:r>
      <w:r>
        <w:rPr>
          <w:rFonts w:ascii="Amiri" w:hAnsi="Amiri" w:eastAsia="Amiri" w:cs="Amiri"/>
          <w:color w:val="111111"/>
          <w:sz w:val="28"/>
          <w:sz w:val="28"/>
          <w:szCs w:val="28"/>
          <w:rtl w:val="true"/>
          <w:lang w:bidi="ar-SA"/>
        </w:rPr>
        <w:t xml:space="preserve">بصحيحة الفضلاء عن الصادقين عليهما‌السلام في البئر يقع فيها الدابّة والفأرة والكلب والطير فيموت ،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ثمّ </w:t>
      </w:r>
      <w:r>
        <w:rPr>
          <w:rStyle w:val="FootnoteAnchor"/>
          <w:rtl w:val="true"/>
        </w:rPr>
        <w:footnoteReference w:id="1272"/>
      </w:r>
      <w:r>
        <w:rPr>
          <w:rFonts w:ascii="Amiri" w:hAnsi="Amiri" w:eastAsia="Amiri" w:cs="Amiri"/>
          <w:color w:val="111111"/>
          <w:sz w:val="28"/>
          <w:sz w:val="28"/>
          <w:szCs w:val="28"/>
          <w:rtl w:val="true"/>
          <w:lang w:bidi="ar-SA"/>
        </w:rPr>
        <w:t xml:space="preserve">ينزح منها دلاء ثم اشرب وتوضأ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تكلف للاحتجاج بما لا يخفى وهنه ؛ إذ ليس في تلك الصحيحة إيماء إلى ذلك حتّى يتمّ فيه التقريب ببعض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في المدارك </w:t>
      </w:r>
      <w:r>
        <w:rPr>
          <w:rStyle w:val="FootnoteAnchor"/>
          <w:rtl w:val="true"/>
        </w:rPr>
        <w:footnoteReference w:id="1273"/>
      </w:r>
      <w:r>
        <w:rPr>
          <w:rFonts w:ascii="Amiri" w:hAnsi="Amiri" w:eastAsia="Amiri" w:cs="Amiri"/>
          <w:color w:val="111111"/>
          <w:sz w:val="28"/>
          <w:sz w:val="28"/>
          <w:szCs w:val="28"/>
          <w:rtl w:val="true"/>
          <w:lang w:bidi="ar-SA"/>
        </w:rPr>
        <w:t>العمل بتلك الصحيحة والاكتفاء بنزح الدلاء للدواب الثلاث ، واحتمل أيضا إلحاقها بنحو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إضراب القائلين بالنجاسة عن العمل بها يقضي بعدم التعويل عليها بناء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الدابة فيها على الدوابّ الصغار كما يشير إليه عطف الفأرة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المعتبر </w:t>
      </w:r>
      <w:r>
        <w:rPr>
          <w:rStyle w:val="FootnoteAnchor"/>
          <w:rtl w:val="true"/>
        </w:rPr>
        <w:footnoteReference w:id="1274"/>
      </w:r>
      <w:r>
        <w:rPr>
          <w:rFonts w:ascii="Amiri" w:hAnsi="Amiri" w:eastAsia="Amiri" w:cs="Amiri"/>
          <w:color w:val="111111"/>
          <w:sz w:val="28"/>
          <w:sz w:val="28"/>
          <w:szCs w:val="28"/>
          <w:rtl w:val="true"/>
          <w:lang w:bidi="ar-SA"/>
        </w:rPr>
        <w:t>تقريب إلحاق الفرس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الدالّ على أن أكثر ما ينزح لما يموت في البئر السبعون فلا يجب الزيادة عليه بشي‌ء من الحيوانات الّا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 في كلام جماعة من الأصحاب ثبوت الحكم المذكور في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في المقنعة والمراسم والاصباح والوسيلة والسرائر بزيادة ما أشبهها في الجسم ، وقد حكى الشهرة عليه جماعة منهم المحقق الكركي والشهيد الثاني وصاحب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 عليها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نقف على مستنده في شي‌ء من الأخبار إلّا أن يستفاد ذلك من الرواية المتقدمة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إلحاق البقرة بالثور ؛ إذ هي أبين من غيرها في الاندراج في نحوه الواردة في الصحيحة المتقدمة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w:t>
      </w:r>
      <w:r>
        <w:rPr>
          <w:rStyle w:val="FootnoteAnchor"/>
          <w:rtl w:val="true"/>
        </w:rPr>
        <w:footnoteReference w:id="1275"/>
      </w:r>
      <w:r>
        <w:rPr>
          <w:rFonts w:ascii="Amiri" w:hAnsi="Amiri" w:eastAsia="Amiri" w:cs="Amiri"/>
          <w:color w:val="111111"/>
          <w:sz w:val="28"/>
          <w:sz w:val="28"/>
          <w:szCs w:val="28"/>
          <w:rtl w:val="true"/>
          <w:lang w:bidi="ar-SA"/>
        </w:rPr>
        <w:t xml:space="preserve">ورد في صحيحة </w:t>
      </w:r>
      <w:r>
        <w:rPr>
          <w:rStyle w:val="FootnoteAnchor"/>
          <w:rtl w:val="true"/>
        </w:rPr>
        <w:footnoteReference w:id="1276"/>
      </w:r>
      <w:r>
        <w:rPr>
          <w:rFonts w:ascii="Amiri" w:hAnsi="Amiri" w:eastAsia="Amiri" w:cs="Amiri"/>
          <w:color w:val="111111"/>
          <w:sz w:val="28"/>
          <w:sz w:val="28"/>
          <w:szCs w:val="28"/>
          <w:rtl w:val="true"/>
          <w:lang w:bidi="ar-SA"/>
        </w:rPr>
        <w:t>محمّد بن مسلم نزح العشرين للميتة إذا كانت لها 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دلالة على الاكتفاء به للخالي من الرائحة بالأولى فقد يجعل ذلك أصلا في جميع الميتات </w:t>
      </w:r>
    </w:p>
    <w:p>
      <w:pPr>
        <w:pStyle w:val="BookText"/>
        <w:rPr/>
      </w:pPr>
      <w:r>
        <w:rPr>
          <w:rFonts w:ascii="Amiri" w:hAnsi="Amiri" w:eastAsia="Amiri" w:cs="Amiri"/>
          <w:color w:val="111111"/>
          <w:sz w:val="28"/>
          <w:sz w:val="28"/>
          <w:szCs w:val="28"/>
          <w:rtl w:val="true"/>
          <w:lang w:bidi="ar-SA"/>
        </w:rPr>
        <w:t>إلّا ما خرج بالدليل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الروضة </w:t>
      </w:r>
      <w:r>
        <w:rPr>
          <w:rStyle w:val="FootnoteAnchor"/>
          <w:rtl w:val="true"/>
        </w:rPr>
        <w:footnoteReference w:id="1277"/>
      </w:r>
      <w:r>
        <w:rPr>
          <w:rFonts w:ascii="Amiri" w:hAnsi="Amiri" w:eastAsia="Amiri" w:cs="Amiri"/>
          <w:color w:val="111111"/>
          <w:sz w:val="28"/>
          <w:sz w:val="28"/>
          <w:szCs w:val="28"/>
          <w:rtl w:val="true"/>
          <w:lang w:bidi="ar-SA"/>
        </w:rPr>
        <w:t>أن إلحاق الفرس والبقرة بما لا نصّ فيه أولى</w:t>
      </w:r>
      <w:r>
        <w:rPr>
          <w:rFonts w:eastAsia="Amiri" w:cs="Amiri" w:ascii="Amiri" w:hAnsi="Amiri"/>
          <w:color w:val="111111"/>
          <w:sz w:val="28"/>
          <w:szCs w:val="28"/>
          <w:rtl w:val="true"/>
          <w:lang w:bidi="ar-SA"/>
        </w:rPr>
        <w:t xml:space="preserve">. </w:t>
      </w:r>
      <w:bookmarkStart w:id="214" w:name="pg15827_173781"/>
    </w:p>
    <w:p>
      <w:pPr>
        <w:pStyle w:val="Heading4"/>
        <w:numPr>
          <w:ilvl w:val="3"/>
          <w:numId w:val="1"/>
        </w:numPr>
        <w:rPr/>
      </w:pPr>
      <w:bookmarkStart w:id="215" w:name="__RefHeading___Toc14099741_2142443653"/>
      <w:bookmarkStart w:id="216" w:name="_Toc77"/>
      <w:bookmarkEnd w:id="214"/>
      <w:bookmarkEnd w:id="215"/>
      <w:r>
        <w:rPr>
          <w:rtl w:val="true"/>
        </w:rPr>
        <w:t>تبصرة</w:t>
      </w:r>
      <w:r>
        <w:rPr>
          <w:rtl w:val="true"/>
        </w:rPr>
        <w:t xml:space="preserve">: [ </w:t>
      </w:r>
      <w:r>
        <w:rPr>
          <w:rtl w:val="true"/>
        </w:rPr>
        <w:t xml:space="preserve">في النزح لموت الإنسان </w:t>
      </w:r>
      <w:r>
        <w:rPr>
          <w:rtl w:val="true"/>
        </w:rPr>
        <w:t>]</w:t>
      </w:r>
      <w:bookmarkEnd w:id="216"/>
    </w:p>
    <w:p>
      <w:pPr>
        <w:pStyle w:val="BookText"/>
        <w:rPr/>
      </w:pPr>
      <w:r>
        <w:rPr>
          <w:rFonts w:ascii="Amiri" w:hAnsi="Amiri" w:eastAsia="Amiri" w:cs="Amiri"/>
          <w:color w:val="111111"/>
          <w:sz w:val="28"/>
          <w:sz w:val="28"/>
          <w:szCs w:val="28"/>
          <w:rtl w:val="true"/>
          <w:lang w:bidi="ar-SA"/>
        </w:rPr>
        <w:t xml:space="preserve">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 السبعين لموت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الغنية حكاية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المنتهى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إجماع القائلين بالتنجيس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المعتبر والمدارك </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إلى مذهب الأصحاب مؤذنا بالاتفاق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في المختار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أطبق عليه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المعتبر </w:t>
      </w:r>
      <w:r>
        <w:rPr>
          <w:rStyle w:val="FootnoteAnchor"/>
          <w:rtl w:val="true"/>
        </w:rPr>
        <w:footnoteReference w:id="1281"/>
      </w:r>
      <w:r>
        <w:rPr>
          <w:rFonts w:ascii="Amiri" w:hAnsi="Amiri" w:eastAsia="Amiri" w:cs="Amiri"/>
          <w:color w:val="111111"/>
          <w:sz w:val="28"/>
          <w:sz w:val="28"/>
          <w:szCs w:val="28"/>
          <w:rtl w:val="true"/>
          <w:lang w:bidi="ar-SA"/>
        </w:rPr>
        <w:t xml:space="preserve">والذكرى والروض اتفاق الأصحاب على العمل بمدلول الرواية الدالّة عليه ، وهي موثقة الفطحية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ما سوى ذلك ممّا يقع في بئر الماء فيموت فيه فأكبره </w:t>
      </w:r>
      <w:r>
        <w:rPr>
          <w:rStyle w:val="FootnoteAnchor"/>
          <w:rtl w:val="true"/>
        </w:rPr>
        <w:footnoteReference w:id="1282"/>
      </w:r>
      <w:r>
        <w:rPr>
          <w:rFonts w:ascii="Amiri" w:hAnsi="Amiri" w:eastAsia="Amiri" w:cs="Amiri"/>
          <w:color w:val="111111"/>
          <w:sz w:val="28"/>
          <w:sz w:val="28"/>
          <w:szCs w:val="28"/>
          <w:rtl w:val="true"/>
          <w:lang w:bidi="ar-SA"/>
        </w:rPr>
        <w:t xml:space="preserve">الإنسان ينزح منها سبعون دلوا </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 كونها معتبرة في نفسها منجبرة بعمل الأصحاب والإجماعات المنقولة ، فالحكم المذكور ممّا لا ينبغي التأمل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واستشكال صاحب المدارك </w:t>
      </w:r>
      <w:r>
        <w:rPr>
          <w:rStyle w:val="FootnoteAnchor"/>
          <w:rtl w:val="true"/>
        </w:rPr>
        <w:footnoteReference w:id="1284"/>
      </w:r>
      <w:r>
        <w:rPr>
          <w:rFonts w:ascii="Amiri" w:hAnsi="Amiri" w:eastAsia="Amiri" w:cs="Amiri"/>
          <w:color w:val="111111"/>
          <w:sz w:val="28"/>
          <w:sz w:val="28"/>
          <w:szCs w:val="28"/>
          <w:rtl w:val="true"/>
          <w:lang w:bidi="ar-SA"/>
        </w:rPr>
        <w:t xml:space="preserve">فيه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تم اتفاق الأصحاب فهو الحجة وإلّا </w:t>
      </w:r>
    </w:p>
    <w:p>
      <w:pPr>
        <w:pStyle w:val="BookText"/>
        <w:rPr/>
      </w:pPr>
      <w:r>
        <w:rPr>
          <w:rFonts w:ascii="Amiri" w:hAnsi="Amiri" w:eastAsia="Amiri" w:cs="Amiri"/>
          <w:color w:val="111111"/>
          <w:sz w:val="28"/>
          <w:sz w:val="28"/>
          <w:szCs w:val="28"/>
          <w:rtl w:val="true"/>
          <w:lang w:bidi="ar-SA"/>
        </w:rPr>
        <w:t xml:space="preserve">فللتوقّف في هذا الحكم مجال ؛ ممّا لا وجه له بحيث </w:t>
      </w:r>
      <w:r>
        <w:rPr>
          <w:rStyle w:val="FootnoteAnchor"/>
          <w:rtl w:val="true"/>
        </w:rPr>
        <w:footnoteReference w:id="1285"/>
      </w:r>
      <w:r>
        <w:rPr>
          <w:rFonts w:ascii="Amiri" w:hAnsi="Amiri" w:eastAsia="Amiri" w:cs="Amiri"/>
          <w:color w:val="111111"/>
          <w:sz w:val="28"/>
          <w:sz w:val="28"/>
          <w:szCs w:val="28"/>
          <w:rtl w:val="true"/>
          <w:lang w:bidi="ar-SA"/>
        </w:rPr>
        <w:t>يصدق موته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الوارد في الرواية وكلمات الأصحاب 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للذكر والأنثى والصغير والكبير ، والظاهر شموله للسقط إذا ولج </w:t>
      </w:r>
      <w:r>
        <w:rPr>
          <w:rStyle w:val="FootnoteAnchor"/>
          <w:rtl w:val="true"/>
        </w:rPr>
        <w:footnoteReference w:id="1286"/>
      </w:r>
      <w:r>
        <w:rPr>
          <w:rFonts w:ascii="Amiri" w:hAnsi="Amiri" w:eastAsia="Amiri" w:cs="Amiri"/>
          <w:color w:val="111111"/>
          <w:sz w:val="28"/>
          <w:sz w:val="28"/>
          <w:szCs w:val="28"/>
          <w:rtl w:val="true"/>
          <w:lang w:bidi="ar-SA"/>
        </w:rPr>
        <w:t>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قبل ولوجه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إطلاقه يعمّ المسلم والكافر لكن في شمول الحكم لهما </w:t>
      </w:r>
      <w:r>
        <w:rPr>
          <w:rStyle w:val="FootnoteAnchor"/>
          <w:rtl w:val="true"/>
        </w:rPr>
        <w:footnoteReference w:id="1287"/>
      </w:r>
      <w:r>
        <w:rPr>
          <w:rFonts w:ascii="Amiri" w:hAnsi="Amiri" w:eastAsia="Amiri" w:cs="Amiri"/>
          <w:color w:val="111111"/>
          <w:sz w:val="28"/>
          <w:sz w:val="28"/>
          <w:szCs w:val="28"/>
          <w:rtl w:val="true"/>
          <w:lang w:bidi="ar-SA"/>
        </w:rPr>
        <w:t>قولان ، فظاهر الأكثر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نصّ جماعة منهم الفاضلان والشهيد الثانى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w:t>
      </w:r>
      <w:r>
        <w:rPr>
          <w:rStyle w:val="FootnoteAnchor"/>
          <w:rtl w:val="true"/>
        </w:rPr>
        <w:footnoteReference w:id="1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الروض إسناده الى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الحلي رحمه‌اللّه إلى اختصاص الحكم بالمسلم ، وألحق الكافر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بعض محققي </w:t>
      </w:r>
      <w:r>
        <w:rPr>
          <w:rStyle w:val="FootnoteAnchor"/>
          <w:rtl w:val="true"/>
        </w:rPr>
        <w:footnoteReference w:id="1289"/>
      </w:r>
      <w:r>
        <w:rPr>
          <w:rFonts w:ascii="Amiri" w:hAnsi="Amiri" w:eastAsia="Amiri" w:cs="Amiri"/>
          <w:color w:val="111111"/>
          <w:sz w:val="28"/>
          <w:sz w:val="28"/>
          <w:szCs w:val="28"/>
          <w:rtl w:val="true"/>
          <w:lang w:bidi="ar-SA"/>
        </w:rPr>
        <w:t>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إذ المفهوم من الرواية هو نزح السبعين باعتبار موت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في الكافر جهة أخرى غير الموت ، وهي ممّا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 الطاهر والنجس مع أن ظاهرهم الإطلاق على اختصاصه بالأوّل ، فلو كان متنجّسا بالمني أو البول أو الدم أو غيرها جرى عندهم في الجميع ما ينزح لتلك النجاسات إلّا </w:t>
      </w:r>
      <w:r>
        <w:rPr>
          <w:rStyle w:val="FootnoteAnchor"/>
          <w:rtl w:val="true"/>
        </w:rPr>
        <w:footnoteReference w:id="1290"/>
      </w:r>
      <w:r>
        <w:rPr>
          <w:rFonts w:ascii="Amiri" w:hAnsi="Amiri" w:eastAsia="Amiri" w:cs="Amiri"/>
          <w:color w:val="111111"/>
          <w:sz w:val="28"/>
          <w:sz w:val="28"/>
          <w:szCs w:val="28"/>
          <w:rtl w:val="true"/>
          <w:lang w:bidi="ar-SA"/>
        </w:rPr>
        <w:t xml:space="preserve">أن يقال بالتداخل ، فإذا قيل بذلك بالنظر إلى النجاسة العارضة فالقول به في النجاسة الأصليّة أولى ؛ حملا </w:t>
      </w:r>
      <w:r>
        <w:rPr>
          <w:rStyle w:val="FootnoteAnchor"/>
          <w:rtl w:val="true"/>
        </w:rPr>
        <w:footnoteReference w:id="1291"/>
      </w:r>
      <w:r>
        <w:rPr>
          <w:rFonts w:ascii="Amiri" w:hAnsi="Amiri" w:eastAsia="Amiri" w:cs="Amiri"/>
          <w:color w:val="111111"/>
          <w:sz w:val="28"/>
          <w:sz w:val="28"/>
          <w:szCs w:val="28"/>
          <w:rtl w:val="true"/>
          <w:lang w:bidi="ar-SA"/>
        </w:rPr>
        <w:t>له على الشائع في محلّ صدور الرواية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أنّه لا يبعد انصراف الإنسان في المقام إلى المسلم ، ولا أقل من الشكّ في شموله لغيره ، فاستناد الأكثر إلى إطلاق الرواية ليس على ما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وأضعف منه الاستناد إلى زوال الكفر بالموت لزوال الاعتقاد الفاسد ؛ نظرا إلى ظهور عدم زوال أحكام الكفر بمجرّد الموت ، فمجرّد زوال الاعتقاد لخروج الروح لا يقضي بجريان أحكام المسلم على البدن ، بل من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يغسل ولا يكفن ولا يدفن مقابر المسلمين ولا يحكم بطهارة ما لا يحلّ فيه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صاحب المدارك </w:t>
      </w:r>
      <w:r>
        <w:rPr>
          <w:rStyle w:val="FootnoteAnchor"/>
          <w:rtl w:val="true"/>
        </w:rPr>
        <w:footnoteReference w:id="1292"/>
      </w:r>
      <w:r>
        <w:rPr>
          <w:rFonts w:ascii="Amiri" w:hAnsi="Amiri" w:eastAsia="Amiri" w:cs="Amiri"/>
          <w:color w:val="111111"/>
          <w:sz w:val="28"/>
          <w:sz w:val="28"/>
          <w:szCs w:val="28"/>
          <w:rtl w:val="true"/>
          <w:lang w:bidi="ar-SA"/>
        </w:rPr>
        <w:t xml:space="preserve">عن المحقق الكركي رحمه‌اللّه والشهيد الثاني في الروض التفصيل </w:t>
      </w:r>
      <w:r>
        <w:rPr>
          <w:rStyle w:val="FootnoteAnchor"/>
          <w:rtl w:val="true"/>
        </w:rPr>
        <w:footnoteReference w:id="1293"/>
      </w:r>
      <w:r>
        <w:rPr>
          <w:rFonts w:ascii="Amiri" w:hAnsi="Amiri" w:eastAsia="Amiri" w:cs="Amiri"/>
          <w:color w:val="111111"/>
          <w:sz w:val="28"/>
          <w:sz w:val="28"/>
          <w:szCs w:val="28"/>
          <w:rtl w:val="true"/>
          <w:lang w:bidi="ar-SA"/>
        </w:rPr>
        <w:t xml:space="preserve">بين وقوع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أو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وموته فيها بغير ذلك ، فحكما في الأول بالاكتفاء بالسبعين أخذا بإطلاق الخبر المتقدم ، وأوجبا نزح الجميع في الثاني لثبوت ذلك قبل الموت فلا يرتفع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وهنه ؛ إذ لو سلّم اندراج الكافر في الرواية فإنّما يندرج في الصورة الثانية دون الأوّل </w:t>
      </w:r>
      <w:r>
        <w:rPr>
          <w:rStyle w:val="FootnoteAnchor"/>
          <w:rtl w:val="true"/>
        </w:rPr>
        <w:footnoteReference w:id="1294"/>
      </w:r>
      <w:r>
        <w:rPr>
          <w:rFonts w:ascii="Amiri" w:hAnsi="Amiri" w:eastAsia="Amiri" w:cs="Amiri"/>
          <w:color w:val="111111"/>
          <w:sz w:val="28"/>
          <w:sz w:val="28"/>
          <w:szCs w:val="28"/>
          <w:rtl w:val="true"/>
          <w:lang w:bidi="ar-SA"/>
        </w:rPr>
        <w:t>؛ إذ المفروض فيها وقوع الإنسان في البئر وموته فيها ، فلا يندرج فيها ما إذا مات في الخارج ثمّ وقع فيها ولو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ففي تسرية الحكم إليه ولو في المسلم إشكال لخروجه عن مدلول الرواية إلّا أن يقال بدلالتها عليه بالفحوى ؛ إذ المناط ملاقاة الميّت حال نجاسته فلا يفرق الحال بين موته في البئر أو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بعض المتأخرين </w:t>
      </w:r>
      <w:r>
        <w:rPr>
          <w:rStyle w:val="FootnoteAnchor"/>
          <w:rtl w:val="true"/>
        </w:rPr>
        <w:footnoteReference w:id="1295"/>
      </w:r>
      <w:r>
        <w:rPr>
          <w:rFonts w:ascii="Amiri" w:hAnsi="Amiri" w:eastAsia="Amiri" w:cs="Amiri"/>
          <w:color w:val="111111"/>
          <w:sz w:val="28"/>
          <w:sz w:val="28"/>
          <w:szCs w:val="28"/>
          <w:rtl w:val="true"/>
          <w:lang w:bidi="ar-SA"/>
        </w:rPr>
        <w:t>بجريان الحكم في الصورتين ولا يخلو عن تأمّل وإن كان الأظهر ذلك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بعد تسليم الإطلاق يندرج فيه الكافر أيضا ، فلا يتّجه التفصيل المذكور</w:t>
      </w:r>
      <w:r>
        <w:rPr>
          <w:rFonts w:eastAsia="Amiri" w:cs="Amiri" w:ascii="Amiri" w:hAnsi="Amiri"/>
          <w:color w:val="111111"/>
          <w:sz w:val="28"/>
          <w:szCs w:val="28"/>
          <w:rtl w:val="true"/>
          <w:lang w:bidi="ar-SA"/>
        </w:rPr>
        <w:t xml:space="preserve">. </w:t>
      </w:r>
      <w:bookmarkStart w:id="217" w:name="pg15827_173784"/>
    </w:p>
    <w:p>
      <w:pPr>
        <w:pStyle w:val="Heading4"/>
        <w:numPr>
          <w:ilvl w:val="3"/>
          <w:numId w:val="1"/>
        </w:numPr>
        <w:rPr/>
      </w:pPr>
      <w:bookmarkStart w:id="218" w:name="__RefHeading___Toc14099743_2142443653"/>
      <w:bookmarkStart w:id="219" w:name="_Toc78"/>
      <w:bookmarkEnd w:id="217"/>
      <w:bookmarkEnd w:id="218"/>
      <w:r>
        <w:rPr>
          <w:rtl w:val="true"/>
        </w:rPr>
        <w:t>تبصرة</w:t>
      </w:r>
      <w:r>
        <w:rPr>
          <w:rtl w:val="true"/>
        </w:rPr>
        <w:t xml:space="preserve">: [ </w:t>
      </w:r>
      <w:r>
        <w:rPr>
          <w:rtl w:val="true"/>
        </w:rPr>
        <w:t xml:space="preserve">في ثبوت نزح الخمسين </w:t>
      </w:r>
      <w:r>
        <w:rPr>
          <w:rtl w:val="true"/>
        </w:rPr>
        <w:t>]</w:t>
      </w:r>
      <w:bookmarkEnd w:id="219"/>
    </w:p>
    <w:p>
      <w:pPr>
        <w:pStyle w:val="BookText"/>
        <w:rPr/>
      </w:pPr>
      <w:r>
        <w:rPr>
          <w:rFonts w:ascii="Amiri" w:hAnsi="Amiri" w:eastAsia="Amiri" w:cs="Amiri"/>
          <w:color w:val="111111"/>
          <w:sz w:val="28"/>
          <w:sz w:val="28"/>
          <w:szCs w:val="28"/>
          <w:rtl w:val="true"/>
          <w:lang w:bidi="ar-SA"/>
        </w:rPr>
        <w:t xml:space="preserve">يثبت نزح الخمسين في المشهور لأمرين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العذرة الذائبة ذهب إليه الشيخان والديلمي والحلبي والقاضي والطوسي والحلي رحمهم‌اللّه وغيرهم وهما عليه في الغنية </w:t>
      </w:r>
      <w:r>
        <w:rPr>
          <w:rStyle w:val="FootnoteAnchor"/>
          <w:rtl w:val="true"/>
        </w:rPr>
        <w:footnoteReference w:id="1296"/>
      </w:r>
      <w:r>
        <w:rPr>
          <w:rFonts w:ascii="Amiri" w:hAnsi="Amiri" w:eastAsia="Amiri" w:cs="Amiri"/>
          <w:color w:val="111111"/>
          <w:sz w:val="28"/>
          <w:sz w:val="28"/>
          <w:szCs w:val="28"/>
          <w:rtl w:val="true"/>
          <w:lang w:bidi="ar-SA"/>
        </w:rPr>
        <w:t xml:space="preserve">إجماع الفرقة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الفاضل المجلسي في الحديقة في العذرة اليابسة بثلاث دلاء وعن ابن بابويه أنّه ينزح لها من أربعين إلى خمسين وذهب جماعة من المتأخرين إلى التخيير بين الأربعين والخمسين ونفى عنه الخلاف في ظاهر السرائر </w:t>
      </w:r>
      <w:r>
        <w:rPr>
          <w:rStyle w:val="FootnoteAnchor"/>
          <w:rtl w:val="true"/>
        </w:rPr>
        <w:footnoteReference w:id="1297"/>
      </w:r>
      <w:r>
        <w:rPr>
          <w:rFonts w:ascii="Amiri" w:hAnsi="Amiri" w:eastAsia="Amiri" w:cs="Amiri"/>
          <w:color w:val="111111"/>
          <w:sz w:val="28"/>
          <w:sz w:val="28"/>
          <w:szCs w:val="28"/>
          <w:rtl w:val="true"/>
          <w:lang w:bidi="ar-SA"/>
        </w:rPr>
        <w:t xml:space="preserve">، وهذه 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وينزح لعذرة بني آدم الرطبة أو اليابسة المذابة المتقطّعة خمسون دلوا فإن كانت يابسة غير مذابة ولا متقطّعة فعشر دلاء بغير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الشهرة عليه جماعة منهم الشهيد في الذكرى والمحقق الكركي والعلّامة المجلسي رحمه‌اللّه </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المسألة روايتا أبي بصير وعلي بن أبي حمزة عن العذرة تقع في البئر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عشر دلاء فإن ذابت فأربعون أو خمسون دلوا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احتجّ بها على كلّ من المذاهب المذكورة وهي كما ترى واضحة الدلالة على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قرّر الاحتجاج بها على الأوّل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الترديد فيها بين الوجهين من الراوي ، ولا أقلّ من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فلا بدّ من العمل على الأكثر استصحابا بالنجاسة إلى حصول اليقين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بعد الاحتمال المذكور عن العبارة ولا موجب للصرف عن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كثيرا في الكلام الفصيح للإضراب فيحتمل إرادته في المقام ، ومعه لا بدّ من العمل بالثاني لتحصيل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أظهر من الأول لبعد الاحتمال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مجيئه للإضراب في الكلام الفصيح فهو في غاية الندرة ، فكيف يحصل الشكّ من جهته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الإضراب ممّا يومي إلى حصول السهو في الأوّل حيث أعرض عنه بعد ذكره وهو لا يناسب كلام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رحمه‌اللّه في المختلف </w:t>
      </w:r>
      <w:r>
        <w:rPr>
          <w:rStyle w:val="FootnoteAnchor"/>
          <w:rtl w:val="true"/>
        </w:rPr>
        <w:footnoteReference w:id="1300"/>
      </w:r>
      <w:r>
        <w:rPr>
          <w:rFonts w:ascii="Amiri" w:hAnsi="Amiri" w:eastAsia="Amiri" w:cs="Amiri"/>
          <w:color w:val="111111"/>
          <w:sz w:val="28"/>
          <w:sz w:val="28"/>
          <w:szCs w:val="28"/>
          <w:rtl w:val="true"/>
          <w:lang w:bidi="ar-SA"/>
        </w:rPr>
        <w:t>، وأشار إليه الشيخ في التهذيب في الرواية الواردة في الكلب كما سيجي‌ء ، وهي أنه مع العمل بالأكثر يحصل اليقين بالبراءة بخلاف البناء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ضعيف ، بل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يوجّه ذلك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كما يحتمل التخيير كذا يحتمل الترديد ؛ إذ هو أيضا </w:t>
      </w:r>
      <w:r>
        <w:rPr>
          <w:rStyle w:val="FootnoteAnchor"/>
          <w:rtl w:val="true"/>
        </w:rPr>
        <w:footnoteReference w:id="1301"/>
      </w:r>
      <w:r>
        <w:rPr>
          <w:rFonts w:ascii="Amiri" w:hAnsi="Amiri" w:eastAsia="Amiri" w:cs="Amiri"/>
          <w:color w:val="111111"/>
          <w:sz w:val="28"/>
          <w:sz w:val="28"/>
          <w:szCs w:val="28"/>
          <w:rtl w:val="true"/>
          <w:lang w:bidi="ar-SA"/>
        </w:rPr>
        <w:t xml:space="preserve">من معانيه فلا يقضي بعض المصالح كإرادة </w:t>
      </w:r>
      <w:r>
        <w:rPr>
          <w:rStyle w:val="FootnoteAnchor"/>
          <w:rtl w:val="true"/>
        </w:rPr>
        <w:footnoteReference w:id="1302"/>
      </w:r>
      <w:r>
        <w:rPr>
          <w:rFonts w:ascii="Amiri" w:hAnsi="Amiri" w:eastAsia="Amiri" w:cs="Amiri"/>
          <w:color w:val="111111"/>
          <w:sz w:val="28"/>
          <w:sz w:val="28"/>
          <w:szCs w:val="28"/>
          <w:rtl w:val="true"/>
          <w:lang w:bidi="ar-SA"/>
        </w:rPr>
        <w:t>الإبهام وحينئذ فلا بدّ من الأخذ بأكثر الأمرين ، وهو أيضا بمكان من البعد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بأن الرواية قد دلّت على حصول الطهر بكلّ من الوجهين المذكورين إلّا أنّها ضعيفة لا يتم الاحتجاج بها إلّا مع حصول الجابر ، وهو حاصل بالنسبة إلى الأخير دون </w:t>
      </w:r>
    </w:p>
    <w:p>
      <w:pPr>
        <w:pStyle w:val="BookText"/>
        <w:rPr/>
      </w:pPr>
      <w:r>
        <w:rPr>
          <w:rFonts w:ascii="Amiri" w:hAnsi="Amiri" w:eastAsia="Amiri" w:cs="Amiri"/>
          <w:color w:val="111111"/>
          <w:sz w:val="28"/>
          <w:sz w:val="28"/>
          <w:szCs w:val="28"/>
          <w:rtl w:val="true"/>
          <w:lang w:bidi="ar-SA"/>
        </w:rPr>
        <w:t>الأول فيتعيّن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يوجّه المشهور مضافا إلى الأصل والشهرة والإجماع المنقول ، وقيام أحد الاحتمالات المذكورة وإن لم يخل الجميع عن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أن الرواية صحيحة على ما في الإستبصار ؛ إذ الموجود فيه عبد اللّه بن يحيى مكان عبد اللّه بن بحر المجهول المذكور </w:t>
      </w:r>
      <w:r>
        <w:rPr>
          <w:rStyle w:val="FootnoteAnchor"/>
          <w:rtl w:val="true"/>
        </w:rPr>
        <w:footnoteReference w:id="1303"/>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مانع من التعويل على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لا معوّل على الاستبصار بعد مخالفته للتهذيب ؛ إذ لا أقل من الشك لبعد وقوع الرواية على الوجهين مع اتحاد الراوي أو المروي عنه فيهما ، بل قد يرجّح عبد اللّه بن بحر بأنه هو الراوي عن أبي بصير كما نص عليه في ترجمته ، والرواية هنا عن أبي بصير وإن كانت بتوسط ابن مسكان مضافا إلى اشتراك عبد اللّه بن يحيى بين الكاهلي الممدوح وابن يحيى بن زكريا بن سنان الذي يروي عنه أحمد بن أبي عبد اللّه البرقي ، وهو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الأنسب برواية الحسين عن </w:t>
      </w:r>
      <w:r>
        <w:rPr>
          <w:rFonts w:eastAsia="Amiri" w:cs="Amiri" w:ascii="Amiri" w:hAnsi="Amiri"/>
          <w:color w:val="111111"/>
          <w:sz w:val="28"/>
          <w:szCs w:val="28"/>
          <w:rtl w:val="true"/>
          <w:lang w:bidi="ar-SA"/>
        </w:rPr>
        <w:t xml:space="preserve">...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العذرة يختص بفضلة الإنسان كما حكي عن عدة من كتب اللغة منها تهذيب اللغة والغريين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نص جماعة من الأصحاب منهم الحلي قاطعا به والشهيد متظهّرا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الاعتبار ؛ إذ العذرة في الأصل اسم لأفنية الدور ، ولما كان يضعفونها في الأفنية سمّوها باسم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المعتبر </w:t>
      </w:r>
      <w:r>
        <w:rPr>
          <w:rStyle w:val="FootnoteAnchor"/>
          <w:rtl w:val="true"/>
        </w:rPr>
        <w:footnoteReference w:id="1305"/>
      </w:r>
      <w:r>
        <w:rPr>
          <w:rFonts w:ascii="Amiri" w:hAnsi="Amiri" w:eastAsia="Amiri" w:cs="Amiri"/>
          <w:color w:val="111111"/>
          <w:sz w:val="28"/>
          <w:sz w:val="28"/>
          <w:szCs w:val="28"/>
          <w:rtl w:val="true"/>
          <w:lang w:bidi="ar-SA"/>
        </w:rPr>
        <w:t>انها والخبر مترادفان ويعمّان فضلة كل حيوان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أطلقها الشيخ في التهذيب على فضلة غير الإنسان فيقوم الاحتمال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الأول لما عرفت ، ويشهد له ظاهر إطلاقات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 إن أوجبنا الزيادة عليها لما لا نص فيه ، فهل يعم الحكم عذرة الانسان مطلقا أو يختص بالمسلم؟ وجهان ؛ من إطلاق النص ومن أن المفهوم عنه خصوص نجاسة العذرة ، والمفروض حصول النجاسة هناك من جهة أخرى فلا يكفي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ولا ينقص النجاسة العينية عن النجاسة العارضية في المحل ، ولو كان المحل متنجسا بالعارض فلا ينبغي التأمل في عدم الاكتفاء بذلك ، فكيف مع ملاقاته لنجس العين مع الرطوبة ،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في الذكرى </w:t>
      </w:r>
      <w:r>
        <w:rPr>
          <w:rStyle w:val="FootnoteAnchor"/>
          <w:rtl w:val="true"/>
        </w:rPr>
        <w:footnoteReference w:id="1306"/>
      </w:r>
      <w:r>
        <w:rPr>
          <w:rFonts w:ascii="Amiri" w:hAnsi="Amiri" w:eastAsia="Amiri" w:cs="Amiri"/>
          <w:color w:val="111111"/>
          <w:sz w:val="28"/>
          <w:sz w:val="28"/>
          <w:szCs w:val="28"/>
          <w:rtl w:val="true"/>
          <w:lang w:bidi="ar-SA"/>
        </w:rPr>
        <w:t xml:space="preserve">بعدم الفرق بين فضلة المسلم والكافر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احتماله لزيادة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والموجود في النص خصوص الذوبان وظاهره تفرّق أجزائها وشيوعها في الماء سواء استهلكت فيه أولا ، فاعتبار والاستهلاك كما في كلام البعض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جماعة منهم المفيد بالذائبة الرطبة وعزي الى الأكثر ، وهو خروج عن مدلول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علّل بحصول الذوبان مع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فائدة إذن في الالحاق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 نهاية الإحكام والبيان اعتبار الرطوبة خاصة من دون ذكر للذوبان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يستفاد ذلك من الشيخ في الإستبصار وعزاه في النهاية إلى القائلين بالانفعال مؤذنا باتفاقهم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ذلك على تفسير الذائبة بها أو دعوى حصول الذوبان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الدعويين 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الكثير على المعروف بين الأصحاب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في الغنية عليه الاجماع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السرائر </w:t>
      </w:r>
      <w:r>
        <w:rPr>
          <w:rStyle w:val="FootnoteAnchor"/>
          <w:rtl w:val="true"/>
        </w:rPr>
        <w:footnoteReference w:id="1307"/>
      </w:r>
      <w:r>
        <w:rPr>
          <w:rFonts w:ascii="Amiri" w:hAnsi="Amiri" w:eastAsia="Amiri" w:cs="Amiri"/>
          <w:color w:val="111111"/>
          <w:sz w:val="28"/>
          <w:sz w:val="28"/>
          <w:szCs w:val="28"/>
          <w:rtl w:val="true"/>
          <w:lang w:bidi="ar-SA"/>
        </w:rPr>
        <w:t xml:space="preserve">أنه لا خلاف فيه الا من المفيد وعن جماعة منهم الشهيدان </w:t>
      </w:r>
      <w:r>
        <w:rPr>
          <w:rStyle w:val="FootnoteAnchor"/>
          <w:rtl w:val="true"/>
        </w:rPr>
        <w:footnoteReference w:id="1308"/>
      </w:r>
      <w:r>
        <w:rPr>
          <w:rFonts w:ascii="Amiri" w:hAnsi="Amiri" w:eastAsia="Amiri" w:cs="Amiri"/>
          <w:color w:val="111111"/>
          <w:sz w:val="28"/>
          <w:sz w:val="28"/>
          <w:szCs w:val="28"/>
          <w:rtl w:val="true"/>
          <w:lang w:bidi="ar-SA"/>
        </w:rPr>
        <w:t>حكاية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جماعة منهم المحقق الكركي إلى الشيخ والأتباع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منهم الصدوق في الفقيه والشيخ في الاستبصار والفاضلان في غير واحد من كتبهما والآبي أن المنزوح له من ثلاثين إلى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واستحسنه الشهيد في الذكرى وقوّاه ابن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في المقنعة </w:t>
      </w:r>
      <w:r>
        <w:rPr>
          <w:rStyle w:val="FootnoteAnchor"/>
          <w:rtl w:val="true"/>
        </w:rPr>
        <w:footnoteReference w:id="1309"/>
      </w:r>
      <w:r>
        <w:rPr>
          <w:rFonts w:ascii="Amiri" w:hAnsi="Amiri" w:eastAsia="Amiri" w:cs="Amiri"/>
          <w:color w:val="111111"/>
          <w:sz w:val="28"/>
          <w:sz w:val="28"/>
          <w:szCs w:val="28"/>
          <w:rtl w:val="true"/>
          <w:lang w:bidi="ar-SA"/>
        </w:rPr>
        <w:t>أنّ فيه عشر 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أن في الدم نزح ما بين الواحد إلى العشرين من غير تفصيل بين الكثير والقليل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 كلامه على اختلاف ذلك باختلافه في القلة والكثرة والمروي صحيحا في المقام في شاة ذبحت فوقعت في البئر وأوداجها تشخب دما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ينزح منها ما بين ثلاثين إلى 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 بها الجماعة المذكور من القدماء والمتأخرين ، فالاقوى البناء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مخالفتها للأكثر أو المشهور إن سلّم لا يوجب طرحها مع عدم وضوح معارض لها سوى مجرد الشهرة الخالية عن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المعزى إلى الأكثرين إطلاق الدم الكثير ، وقد يستظهر منه الرجوع إلى العرف وجعله بعضهم ظاهر كلام الأصحاب ، وهو قضية ما حكيناه من إجماع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ونفى الخلاف المذكور في السرائر ، وقد نص عليه الشهيد الثاني في الروض</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القطب </w:t>
      </w:r>
      <w:r>
        <w:rPr>
          <w:rStyle w:val="FootnoteAnchor"/>
          <w:rtl w:val="true"/>
        </w:rPr>
        <w:footnoteReference w:id="1310"/>
      </w:r>
      <w:r>
        <w:rPr>
          <w:rFonts w:ascii="Amiri" w:hAnsi="Amiri" w:eastAsia="Amiri" w:cs="Amiri"/>
          <w:color w:val="111111"/>
          <w:sz w:val="28"/>
          <w:sz w:val="28"/>
          <w:szCs w:val="28"/>
          <w:rtl w:val="true"/>
          <w:lang w:bidi="ar-SA"/>
        </w:rPr>
        <w:t xml:space="preserve">الراوندي أنه يعتبر بينه ملاحظة حال البئر في الغزارة والنزارة فيختلف </w:t>
      </w:r>
    </w:p>
    <w:p>
      <w:pPr>
        <w:pStyle w:val="BookText"/>
        <w:rPr/>
      </w:pPr>
      <w:r>
        <w:rPr>
          <w:rFonts w:ascii="Amiri" w:hAnsi="Amiri" w:eastAsia="Amiri" w:cs="Amiri"/>
          <w:color w:val="111111"/>
          <w:sz w:val="28"/>
          <w:sz w:val="28"/>
          <w:szCs w:val="28"/>
          <w:rtl w:val="true"/>
          <w:lang w:bidi="ar-SA"/>
        </w:rPr>
        <w:t>فيه الحال باختلاف الأحوال فيعتبر حال الدم والبئر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القطب الراوندي عن العلامة ، وربما يرجع الاول إلى ذلك لاختلاف العرف باختلاف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ظاهر كلام الأكثر ؛ إذ الموجود في كلامهم وقوع الدم الكثير في البئر فيحتمل عبائرهم ملاحظة حال البئر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ذلك إنما يتم في كلمات الأصحاب ، وليس في الروايات ما يفيد إناطة الحكم به ، وإنما المستند في المقام صحيحة علي بن جعفر ، والمذكور فيه دم الشاة ، وجعلوا ذلك مناطا للكثرة وليس في تلك الرواية استنصال عن حال البئر ، فيفيد إذن إناطة الحكم بنفس الدم ، وهو المستفاد من كلام جماعة حيث فسّروه بدم الشاة ونحوها ، فالبناء عليه هو الأظهر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الحكم بدم ظاهر العين أو يعم الجميع ما عدا الدعاء الثلاثة؟ وجهان ، واستوجه الثاني في الروضة ، ونفى عنه البعد في الروض ؛ أخذا بالإطلاق وقوّى المحقق الكركي الأول ، وبه جزم بعض المتأخرين ، وهو الأظهر ؛ لما عرفت من اختلاف الجهة وأنه لا إطلاق في المقام ليمكن الاستناد إليه في ذلك ، والصحيحة المتقدمة إنما وردت في دم الشاة ، فإلحاق نجس العين بها يحتاج إلى الدليل ، والإجماع على عدم الفرق غير ثابت في المقام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يحتج للمفيد بصحيحة ابن بزيع </w:t>
      </w:r>
      <w:r>
        <w:rPr>
          <w:rStyle w:val="FootnoteAnchor"/>
          <w:rtl w:val="true"/>
        </w:rPr>
        <w:footnoteReference w:id="1311"/>
      </w:r>
      <w:r>
        <w:rPr>
          <w:rFonts w:ascii="Amiri" w:hAnsi="Amiri" w:eastAsia="Amiri" w:cs="Amiri"/>
          <w:color w:val="111111"/>
          <w:sz w:val="28"/>
          <w:sz w:val="28"/>
          <w:szCs w:val="28"/>
          <w:rtl w:val="true"/>
          <w:lang w:bidi="ar-SA"/>
        </w:rPr>
        <w:t>الواردة في قطرات البول والدم ، وقد ذكر الشيخ لها تقريبا في الاحتجاج ، وهو في غاية البعد مع أن إرادة الكثير من القطران لا يتّجه أصلا ، ولم نقف على حجة المشهور ولا على مختار السيد</w:t>
      </w:r>
      <w:r>
        <w:rPr>
          <w:rFonts w:eastAsia="Amiri" w:cs="Amiri" w:ascii="Amiri" w:hAnsi="Amiri"/>
          <w:color w:val="111111"/>
          <w:sz w:val="28"/>
          <w:szCs w:val="28"/>
          <w:rtl w:val="true"/>
          <w:lang w:bidi="ar-SA"/>
        </w:rPr>
        <w:t xml:space="preserve">. </w:t>
      </w:r>
      <w:bookmarkStart w:id="220" w:name="pg15827_173790"/>
    </w:p>
    <w:p>
      <w:pPr>
        <w:pStyle w:val="Heading4"/>
        <w:numPr>
          <w:ilvl w:val="3"/>
          <w:numId w:val="1"/>
        </w:numPr>
        <w:rPr/>
      </w:pPr>
      <w:bookmarkStart w:id="221" w:name="__RefHeading___Toc14099745_2142443653"/>
      <w:bookmarkStart w:id="222" w:name="_Toc79"/>
      <w:bookmarkEnd w:id="220"/>
      <w:bookmarkEnd w:id="221"/>
      <w:r>
        <w:rPr>
          <w:rtl w:val="true"/>
        </w:rPr>
        <w:t>تبصرة</w:t>
      </w:r>
      <w:r>
        <w:rPr>
          <w:rtl w:val="true"/>
        </w:rPr>
        <w:t xml:space="preserve">: </w:t>
      </w:r>
      <w:r>
        <w:rPr>
          <w:rtl w:val="true"/>
        </w:rPr>
        <w:t>في نزح الأربعين دلوا</w:t>
      </w:r>
      <w:bookmarkEnd w:id="222"/>
    </w:p>
    <w:p>
      <w:pPr>
        <w:pStyle w:val="BookText"/>
        <w:rPr/>
      </w:pPr>
      <w:r>
        <w:rPr>
          <w:rFonts w:ascii="Amiri" w:hAnsi="Amiri" w:eastAsia="Amiri" w:cs="Amiri"/>
          <w:color w:val="111111"/>
          <w:sz w:val="28"/>
          <w:sz w:val="28"/>
          <w:szCs w:val="28"/>
          <w:rtl w:val="true"/>
          <w:lang w:bidi="ar-SA"/>
        </w:rPr>
        <w:t xml:space="preserve">ينزح في المشهور أربعون دلوا 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 وبه قال الشيخان </w:t>
      </w:r>
      <w:r>
        <w:rPr>
          <w:rStyle w:val="FootnoteAnchor"/>
          <w:rtl w:val="true"/>
        </w:rPr>
        <w:footnoteReference w:id="1312"/>
      </w:r>
      <w:r>
        <w:rPr>
          <w:rFonts w:ascii="Amiri" w:hAnsi="Amiri" w:eastAsia="Amiri" w:cs="Amiri"/>
          <w:color w:val="111111"/>
          <w:sz w:val="28"/>
          <w:sz w:val="28"/>
          <w:szCs w:val="28"/>
          <w:rtl w:val="true"/>
          <w:lang w:bidi="ar-SA"/>
        </w:rPr>
        <w:t xml:space="preserve">والديلمي والقاضي والجعفي والحلي </w:t>
      </w:r>
      <w:r>
        <w:rPr>
          <w:rStyle w:val="FootnoteAnchor"/>
          <w:rtl w:val="true"/>
        </w:rPr>
        <w:footnoteReference w:id="131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الغنية </w:t>
      </w:r>
      <w:r>
        <w:rPr>
          <w:rStyle w:val="FootnoteAnchor"/>
          <w:rtl w:val="true"/>
        </w:rPr>
        <w:footnoteReference w:id="1314"/>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الصدوقين </w:t>
      </w:r>
      <w:r>
        <w:rPr>
          <w:rStyle w:val="FootnoteAnchor"/>
          <w:rtl w:val="true"/>
        </w:rPr>
        <w:footnoteReference w:id="1315"/>
      </w:r>
      <w:r>
        <w:rPr>
          <w:rFonts w:ascii="Amiri" w:hAnsi="Amiri" w:eastAsia="Amiri" w:cs="Amiri"/>
          <w:color w:val="111111"/>
          <w:sz w:val="28"/>
          <w:sz w:val="28"/>
          <w:szCs w:val="28"/>
          <w:rtl w:val="true"/>
          <w:lang w:bidi="ar-SA"/>
        </w:rPr>
        <w:t>أنه ينزح له من ثلاثين إلى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بعض الأفاضل </w:t>
      </w:r>
      <w:r>
        <w:rPr>
          <w:rStyle w:val="FootnoteAnchor"/>
          <w:rtl w:val="true"/>
        </w:rPr>
        <w:footnoteReference w:id="1316"/>
      </w:r>
      <w:r>
        <w:rPr>
          <w:rFonts w:ascii="Amiri" w:hAnsi="Amiri" w:eastAsia="Amiri" w:cs="Amiri"/>
          <w:color w:val="111111"/>
          <w:sz w:val="28"/>
          <w:sz w:val="28"/>
          <w:szCs w:val="28"/>
          <w:rtl w:val="true"/>
          <w:lang w:bidi="ar-SA"/>
        </w:rPr>
        <w:t>فيه ينزح الدلاء الصادقة عنده على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فيه مختلفة أيضا ، ففي صحيحة أبي مريم </w:t>
      </w:r>
      <w:r>
        <w:rPr>
          <w:rStyle w:val="FootnoteAnchor"/>
          <w:rtl w:val="true"/>
        </w:rPr>
        <w:footnoteReference w:id="1317"/>
      </w:r>
      <w:r>
        <w:rPr>
          <w:rFonts w:ascii="Amiri" w:hAnsi="Amiri" w:eastAsia="Amiri" w:cs="Amiri"/>
          <w:color w:val="111111"/>
          <w:sz w:val="28"/>
          <w:sz w:val="28"/>
          <w:szCs w:val="28"/>
          <w:rtl w:val="true"/>
          <w:lang w:bidi="ar-SA"/>
        </w:rPr>
        <w:t>وموثقة حمّاد نزح الجميع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فقدرت أن تنوح ماءها فافعل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عامل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ابن أبي حمزة المروية في المعتبر </w:t>
      </w:r>
      <w:r>
        <w:rPr>
          <w:rStyle w:val="FootnoteAnchor"/>
          <w:rtl w:val="true"/>
        </w:rPr>
        <w:footnoteReference w:id="1319"/>
      </w:r>
      <w:r>
        <w:rPr>
          <w:rFonts w:ascii="Amiri" w:hAnsi="Amiri" w:eastAsia="Amiri" w:cs="Amiri"/>
          <w:color w:val="111111"/>
          <w:sz w:val="28"/>
          <w:sz w:val="28"/>
          <w:szCs w:val="28"/>
          <w:rtl w:val="true"/>
          <w:lang w:bidi="ar-SA"/>
        </w:rPr>
        <w:t>عن كتاب الحسين بن سعيد نزح الأربعين 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حجة المشهور بعد انجبار ضعفها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1320"/>
      </w:r>
      <w:r>
        <w:rPr>
          <w:rFonts w:ascii="Amiri" w:hAnsi="Amiri" w:eastAsia="Amiri" w:cs="Amiri"/>
          <w:color w:val="111111"/>
          <w:sz w:val="28"/>
          <w:sz w:val="28"/>
          <w:szCs w:val="28"/>
          <w:rtl w:val="true"/>
          <w:lang w:bidi="ar-SA"/>
        </w:rPr>
        <w:t>نزح الثلاثين أو الأربعين للسنور وما هو أكبر منه ، فيندرج فيه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وكأنها حجة الصدوقين إلا أنها لا تنطبق على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العشرين أو الثلاثين أو الأربعين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الشيخ </w:t>
      </w:r>
      <w:r>
        <w:rPr>
          <w:rStyle w:val="FootnoteAnchor"/>
          <w:rtl w:val="true"/>
        </w:rPr>
        <w:footnoteReference w:id="1322"/>
      </w:r>
      <w:r>
        <w:rPr>
          <w:rFonts w:ascii="Amiri" w:hAnsi="Amiri" w:eastAsia="Amiri" w:cs="Amiri"/>
          <w:color w:val="111111"/>
          <w:sz w:val="28"/>
          <w:sz w:val="28"/>
          <w:szCs w:val="28"/>
          <w:rtl w:val="true"/>
          <w:lang w:bidi="ar-SA"/>
        </w:rPr>
        <w:t>بهذين الخبرين على المشهور أخذا بالزائد للإجماع على الاكتفاء به دون ما نقص عنه ، وهذا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يوجه به ما عرفته في المسألة السابقة من الوجود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يعتضد بهما المشهور بعد دلالة الرواية المذكورة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الشحام نزح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مع عدم التفسخ وتغير طعم الماء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الشيخ على خروجه حيا ، وهي كما ترى صريحة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علي بن يقطين </w:t>
      </w:r>
      <w:r>
        <w:rPr>
          <w:rStyle w:val="FootnoteAnchor"/>
          <w:rtl w:val="true"/>
        </w:rPr>
        <w:footnoteReference w:id="1324"/>
      </w:r>
      <w:r>
        <w:rPr>
          <w:rFonts w:ascii="Amiri" w:hAnsi="Amiri" w:eastAsia="Amiri" w:cs="Amiri"/>
          <w:color w:val="111111"/>
          <w:sz w:val="28"/>
          <w:sz w:val="28"/>
          <w:szCs w:val="28"/>
          <w:rtl w:val="true"/>
          <w:lang w:bidi="ar-SA"/>
        </w:rPr>
        <w:t xml:space="preserve">وصحيحة الفضلاء ورواية البقباق </w:t>
      </w:r>
      <w:r>
        <w:rPr>
          <w:rStyle w:val="FootnoteAnchor"/>
          <w:rtl w:val="true"/>
        </w:rPr>
        <w:footnoteReference w:id="1325"/>
      </w:r>
      <w:r>
        <w:rPr>
          <w:rFonts w:ascii="Amiri" w:hAnsi="Amiri" w:eastAsia="Amiri" w:cs="Amiri"/>
          <w:color w:val="111111"/>
          <w:sz w:val="28"/>
          <w:sz w:val="28"/>
          <w:szCs w:val="28"/>
          <w:rtl w:val="true"/>
          <w:lang w:bidi="ar-SA"/>
        </w:rPr>
        <w:t>إطلاق نزح الدلاء ، وهي حجة من ذهب إلى الاكتفاء بالثلاثة أخذا بأقل الجمع بناء على استظهار عدم الفرق بين جموع القلة والكثرة في المخاطبات العرفية كما هو الظاهر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بما ذكرنا قوّة القول المشهور بناء على القول بالانفعال ، والأمر فيها كنظائرها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 وبه قال الشيخان </w:t>
      </w:r>
      <w:r>
        <w:rPr>
          <w:rStyle w:val="FootnoteAnchor"/>
          <w:rtl w:val="true"/>
        </w:rPr>
        <w:footnoteReference w:id="1326"/>
      </w:r>
      <w:r>
        <w:rPr>
          <w:rFonts w:ascii="Amiri" w:hAnsi="Amiri" w:eastAsia="Amiri" w:cs="Amiri"/>
          <w:color w:val="111111"/>
          <w:sz w:val="28"/>
          <w:sz w:val="28"/>
          <w:szCs w:val="28"/>
          <w:rtl w:val="true"/>
          <w:lang w:bidi="ar-SA"/>
        </w:rPr>
        <w:t xml:space="preserve">والديلمي والقاضي والحلبي </w:t>
      </w:r>
      <w:r>
        <w:rPr>
          <w:rStyle w:val="FootnoteAnchor"/>
          <w:rtl w:val="true"/>
        </w:rPr>
        <w:footnoteReference w:id="1327"/>
      </w:r>
      <w:r>
        <w:rPr>
          <w:rFonts w:ascii="Amiri" w:hAnsi="Amiri" w:eastAsia="Amiri" w:cs="Amiri"/>
          <w:color w:val="111111"/>
          <w:sz w:val="28"/>
          <w:sz w:val="28"/>
          <w:szCs w:val="28"/>
          <w:rtl w:val="true"/>
          <w:lang w:bidi="ar-SA"/>
        </w:rPr>
        <w:t xml:space="preserve">والطوسي </w:t>
      </w:r>
      <w:r>
        <w:rPr>
          <w:rStyle w:val="FootnoteAnchor"/>
          <w:rtl w:val="true"/>
        </w:rPr>
        <w:footnoteReference w:id="1328"/>
      </w:r>
      <w:r>
        <w:rPr>
          <w:rFonts w:ascii="Amiri" w:hAnsi="Amiri" w:eastAsia="Amiri" w:cs="Amiri"/>
          <w:color w:val="111111"/>
          <w:sz w:val="28"/>
          <w:sz w:val="28"/>
          <w:szCs w:val="28"/>
          <w:rtl w:val="true"/>
          <w:lang w:bidi="ar-SA"/>
        </w:rPr>
        <w:t xml:space="preserve">والحلي </w:t>
      </w:r>
      <w:r>
        <w:rPr>
          <w:rStyle w:val="FootnoteAnchor"/>
          <w:rtl w:val="true"/>
        </w:rPr>
        <w:footnoteReference w:id="132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1330"/>
      </w:r>
      <w:r>
        <w:rPr>
          <w:rFonts w:ascii="Amiri" w:hAnsi="Amiri" w:eastAsia="Amiri" w:cs="Amiri"/>
          <w:color w:val="111111"/>
          <w:sz w:val="28"/>
          <w:sz w:val="28"/>
          <w:szCs w:val="28"/>
          <w:rtl w:val="true"/>
          <w:lang w:bidi="ar-SA"/>
        </w:rPr>
        <w:t>حكاية الاجماع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والد الصدوق </w:t>
      </w:r>
      <w:r>
        <w:rPr>
          <w:rStyle w:val="FootnoteAnchor"/>
          <w:rtl w:val="true"/>
        </w:rPr>
        <w:footnoteReference w:id="1331"/>
      </w:r>
      <w:r>
        <w:rPr>
          <w:rFonts w:ascii="Amiri" w:hAnsi="Amiri" w:eastAsia="Amiri" w:cs="Amiri"/>
          <w:color w:val="111111"/>
          <w:sz w:val="28"/>
          <w:sz w:val="28"/>
          <w:szCs w:val="28"/>
          <w:rtl w:val="true"/>
          <w:lang w:bidi="ar-SA"/>
        </w:rPr>
        <w:t>نحو ما ذهب إليه في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الصدوق في المقنع </w:t>
      </w:r>
      <w:r>
        <w:rPr>
          <w:rStyle w:val="FootnoteAnchor"/>
          <w:rtl w:val="true"/>
        </w:rPr>
        <w:footnoteReference w:id="1332"/>
      </w:r>
      <w:r>
        <w:rPr>
          <w:rFonts w:ascii="Amiri" w:hAnsi="Amiri" w:eastAsia="Amiri" w:cs="Amiri"/>
          <w:color w:val="111111"/>
          <w:sz w:val="28"/>
          <w:sz w:val="28"/>
          <w:szCs w:val="28"/>
          <w:rtl w:val="true"/>
          <w:lang w:bidi="ar-SA"/>
        </w:rPr>
        <w:t xml:space="preserve">والهداية </w:t>
      </w:r>
      <w:r>
        <w:rPr>
          <w:rStyle w:val="FootnoteAnchor"/>
          <w:rtl w:val="true"/>
        </w:rPr>
        <w:footnoteReference w:id="1333"/>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334"/>
      </w:r>
      <w:r>
        <w:rPr>
          <w:rFonts w:ascii="Amiri" w:hAnsi="Amiri" w:eastAsia="Amiri" w:cs="Amiri"/>
          <w:color w:val="111111"/>
          <w:sz w:val="28"/>
          <w:sz w:val="28"/>
          <w:szCs w:val="28"/>
          <w:rtl w:val="true"/>
          <w:lang w:bidi="ar-SA"/>
        </w:rPr>
        <w:t>بالاكتفاء فيه بالسبع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بعض المتأخرين فيه بالدلاء الثلاثة ، ويدل على المشهور رواية ابن أبي حمزة المروية في المعتبر </w:t>
      </w:r>
      <w:r>
        <w:rPr>
          <w:rStyle w:val="FootnoteAnchor"/>
          <w:rtl w:val="true"/>
        </w:rPr>
        <w:footnoteReference w:id="1335"/>
      </w:r>
      <w:r>
        <w:rPr>
          <w:rFonts w:ascii="Amiri" w:hAnsi="Amiri" w:eastAsia="Amiri" w:cs="Amiri"/>
          <w:color w:val="111111"/>
          <w:sz w:val="28"/>
          <w:sz w:val="28"/>
          <w:szCs w:val="28"/>
          <w:rtl w:val="true"/>
          <w:lang w:bidi="ar-SA"/>
        </w:rPr>
        <w:t xml:space="preserve">عن السنّور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وللكلب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منجبرة بالشهرة والأصل ؛ إذ لا قائل ظاهرا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موثقة سماعة ورواية علي بن أبي حمزة ما مرّ في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بهما على المشهور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مرّ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الوجه في ما ذهب إليه </w:t>
      </w:r>
      <w:r>
        <w:rPr>
          <w:rStyle w:val="FootnoteAnchor"/>
          <w:rtl w:val="true"/>
        </w:rPr>
        <w:footnoteReference w:id="1336"/>
      </w:r>
      <w:r>
        <w:rPr>
          <w:rFonts w:ascii="Amiri" w:hAnsi="Amiri" w:eastAsia="Amiri" w:cs="Amiri"/>
          <w:color w:val="111111"/>
          <w:sz w:val="28"/>
          <w:sz w:val="28"/>
          <w:szCs w:val="28"/>
          <w:rtl w:val="true"/>
          <w:lang w:bidi="ar-SA"/>
        </w:rPr>
        <w:t>الصدوقان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مذهب الصدوق رواية عمرو بن سعيد بن هلال ، وفيها أنه ينزح لها سبع دلالة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ضعيفة لا يقاوم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حكمه في المختلف بجودة سند هذه الرواية قائلا بأن عمرا إن قيل إنه كان فطحيا فهو ثقة ، وهذا بناء منه على كونه عمرو بن سعيد المدائنى ، وهو فاسد قطعا لوضوح المغايرة بينهما إذ المدائني من أصحاب الرضا عليه‌السلام فكيف يروي عن الباقر عليه‌السلام ، ويروي عنه عمر بن يزيد الذي هو من أصحاب الصادق عليه‌السلام ، مضافا إلى التصريح بكونه ابن هلال ، وهو غير موثق في الرجال إلّا أنه يظهر من بعض الروايات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الأفاضل بدلالة حديث </w:t>
      </w:r>
      <w:r>
        <w:rPr>
          <w:rStyle w:val="FootnoteAnchor"/>
          <w:rtl w:val="true"/>
        </w:rPr>
        <w:footnoteReference w:id="1338"/>
      </w:r>
      <w:r>
        <w:rPr>
          <w:rFonts w:ascii="Amiri" w:hAnsi="Amiri" w:eastAsia="Amiri" w:cs="Amiri"/>
          <w:color w:val="111111"/>
          <w:sz w:val="28"/>
          <w:sz w:val="28"/>
          <w:szCs w:val="28"/>
          <w:rtl w:val="true"/>
          <w:lang w:bidi="ar-SA"/>
        </w:rPr>
        <w:t>على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الشحّام نحو ما في الكلب وهي أصح ما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يميل ظاهر المختلف إلى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إعراض جمهور الأصحاب عنها على القول بالانفعال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علي بن يقطين إطلاق نزح الدلاء ، وهي حجة من اكتفى فيه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بناء على القول بالطهارة هو أدنى مراتب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وما أشبهها ، ففي المقنعة </w:t>
      </w:r>
      <w:r>
        <w:rPr>
          <w:rStyle w:val="FootnoteAnchor"/>
          <w:rtl w:val="true"/>
        </w:rPr>
        <w:footnoteReference w:id="1339"/>
      </w:r>
      <w:r>
        <w:rPr>
          <w:rFonts w:ascii="Amiri" w:hAnsi="Amiri" w:eastAsia="Amiri" w:cs="Amiri"/>
          <w:color w:val="111111"/>
          <w:sz w:val="28"/>
          <w:sz w:val="28"/>
          <w:szCs w:val="28"/>
          <w:rtl w:val="true"/>
          <w:lang w:bidi="ar-SA"/>
        </w:rPr>
        <w:t>الحكم بنزح الأربعين لموت الشاة والكلب والخنزير والسنور والغزال والثعلب وشبهه في قدر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نحوه عن الشيخ في النهاية والمبسوط والديلمي والقاضي والطوسي والحلي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الغنية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يوجب نزح أربعين هو موت الشاة أو الكلب أو الخنزير أو السنور أو ما كان مثل ذلك في مقدار الجسم ، ثم ادّعى الإجماع عليه بعد ذلك ، فيندرج فيه نحو السؤر أيضا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يندرج ذلك في العبارة المتقدمة المنقولة عن الجماعة بناء على تعلق ضمير الشبه </w:t>
      </w:r>
    </w:p>
    <w:p>
      <w:pPr>
        <w:pStyle w:val="BookText"/>
        <w:rPr/>
      </w:pPr>
      <w:r>
        <w:rPr>
          <w:rFonts w:ascii="Amiri" w:hAnsi="Amiri" w:eastAsia="Amiri" w:cs="Amiri"/>
          <w:color w:val="111111"/>
          <w:sz w:val="28"/>
          <w:sz w:val="28"/>
          <w:szCs w:val="28"/>
          <w:rtl w:val="true"/>
          <w:lang w:bidi="ar-SA"/>
        </w:rPr>
        <w:t>بكل من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سعيد </w:t>
      </w:r>
      <w:r>
        <w:rPr>
          <w:rStyle w:val="FootnoteAnchor"/>
          <w:rtl w:val="true"/>
        </w:rPr>
        <w:footnoteReference w:id="1341"/>
      </w:r>
      <w:r>
        <w:rPr>
          <w:rFonts w:ascii="Amiri" w:hAnsi="Amiri" w:eastAsia="Amiri" w:cs="Amiri"/>
          <w:color w:val="111111"/>
          <w:sz w:val="28"/>
          <w:sz w:val="28"/>
          <w:szCs w:val="28"/>
          <w:rtl w:val="true"/>
          <w:lang w:bidi="ar-SA"/>
        </w:rPr>
        <w:t>الاقتصار على الشاة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والآبي الاقتصار على الكلب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الروضة أيضا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الحكم رواية ابن أبي حمزة المتقدمة المروية في المعتبر حملا لشبه الكلب على ما يشبهه في المقدار كما فسّره به الشيخ ، واستفادة شبه السنور منها غير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برواية ابن أبي حمزة المتقدمة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الأظهر الوقوف على ما أفاده النصّ من جريان الحكم في السنور والكلب وشبهه فيندرج فيه الثعلب والارنب والغزال والشاة ونحوها أخذا بظاهر الخبر المذكور المعتضد بعمل الجماعة بل الشهرة كما هو الظاهر والمحكي في الذكرى </w:t>
      </w:r>
      <w:r>
        <w:rPr>
          <w:rStyle w:val="FootnoteAnchor"/>
          <w:rtl w:val="true"/>
        </w:rPr>
        <w:footnoteReference w:id="1342"/>
      </w:r>
      <w:r>
        <w:rPr>
          <w:rFonts w:ascii="Amiri" w:hAnsi="Amiri" w:eastAsia="Amiri" w:cs="Amiri"/>
          <w:color w:val="111111"/>
          <w:sz w:val="28"/>
          <w:sz w:val="28"/>
          <w:szCs w:val="28"/>
          <w:rtl w:val="true"/>
          <w:lang w:bidi="ar-SA"/>
        </w:rPr>
        <w:t>وغيره والاجماع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الفقيه </w:t>
      </w:r>
      <w:r>
        <w:rPr>
          <w:rStyle w:val="FootnoteAnchor"/>
          <w:rtl w:val="true"/>
        </w:rPr>
        <w:footnoteReference w:id="1343"/>
      </w:r>
      <w:r>
        <w:rPr>
          <w:rFonts w:ascii="Amiri" w:hAnsi="Amiri" w:eastAsia="Amiri" w:cs="Amiri"/>
          <w:color w:val="111111"/>
          <w:sz w:val="28"/>
          <w:sz w:val="28"/>
          <w:szCs w:val="28"/>
          <w:rtl w:val="true"/>
          <w:lang w:bidi="ar-SA"/>
        </w:rPr>
        <w:t xml:space="preserve">أنه ينزح للشاة وما أشبهها سبعة </w:t>
      </w:r>
      <w:r>
        <w:rPr>
          <w:rStyle w:val="FootnoteAnchor"/>
          <w:rtl w:val="true"/>
        </w:rPr>
        <w:footnoteReference w:id="1344"/>
      </w:r>
      <w:r>
        <w:rPr>
          <w:rFonts w:ascii="Amiri" w:hAnsi="Amiri" w:eastAsia="Amiri" w:cs="Amiri"/>
          <w:color w:val="111111"/>
          <w:sz w:val="28"/>
          <w:sz w:val="28"/>
          <w:szCs w:val="28"/>
          <w:rtl w:val="true"/>
          <w:lang w:bidi="ar-SA"/>
        </w:rPr>
        <w:t>إلى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في كشف الرموز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الصدوق في المقنع </w:t>
      </w:r>
      <w:r>
        <w:rPr>
          <w:rStyle w:val="FootnoteAnchor"/>
          <w:rtl w:val="true"/>
        </w:rPr>
        <w:footnoteReference w:id="1345"/>
      </w:r>
      <w:r>
        <w:rPr>
          <w:rFonts w:ascii="Amiri" w:hAnsi="Amiri" w:eastAsia="Amiri" w:cs="Amiri"/>
          <w:color w:val="111111"/>
          <w:sz w:val="28"/>
          <w:sz w:val="28"/>
          <w:szCs w:val="28"/>
          <w:rtl w:val="true"/>
          <w:lang w:bidi="ar-SA"/>
        </w:rPr>
        <w:t>نزح العشرين للخنزير ، ولم أقف على مستنده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جماعة على اندراج الخنزير في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إطلاقه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في المدار لإلحاقه بنحو الثور ، فينزح له الجميع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الرجل ، على المعروف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الذكر البالغ كما هو المفهوم منه بحسب العرب ، ويستفاد من أهل اللغة وإن احتمل في القاموس صدق الرجل عليه من </w:t>
      </w:r>
    </w:p>
    <w:p>
      <w:pPr>
        <w:pStyle w:val="BookText"/>
        <w:rPr/>
      </w:pPr>
      <w:r>
        <w:rPr>
          <w:rFonts w:ascii="Amiri" w:hAnsi="Amiri" w:eastAsia="Amiri" w:cs="Amiri"/>
          <w:color w:val="111111"/>
          <w:sz w:val="28"/>
          <w:sz w:val="28"/>
          <w:szCs w:val="28"/>
          <w:rtl w:val="true"/>
          <w:lang w:bidi="ar-SA"/>
        </w:rPr>
        <w:t>حين ميلاده ؛ إذ هو وجه ضعيف لا عبرة به مع عدم مساعدة العرف وظاهر كلام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على الحكم المذكور </w:t>
      </w:r>
      <w:r>
        <w:rPr>
          <w:rStyle w:val="FootnoteAnchor"/>
          <w:rtl w:val="true"/>
        </w:rPr>
        <w:footnoteReference w:id="1346"/>
      </w:r>
      <w:r>
        <w:rPr>
          <w:rFonts w:ascii="Amiri" w:hAnsi="Amiri" w:eastAsia="Amiri" w:cs="Amiri"/>
          <w:color w:val="111111"/>
          <w:sz w:val="28"/>
          <w:sz w:val="28"/>
          <w:szCs w:val="28"/>
          <w:rtl w:val="true"/>
          <w:lang w:bidi="ar-SA"/>
        </w:rPr>
        <w:t>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الغنية حكاية الإجماع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السرائر </w:t>
      </w:r>
      <w:r>
        <w:rPr>
          <w:rStyle w:val="FootnoteAnchor"/>
          <w:rtl w:val="true"/>
        </w:rPr>
        <w:footnoteReference w:id="1347"/>
      </w:r>
      <w:r>
        <w:rPr>
          <w:rFonts w:ascii="Amiri" w:hAnsi="Amiri" w:eastAsia="Amiri" w:cs="Amiri"/>
          <w:color w:val="111111"/>
          <w:sz w:val="28"/>
          <w:sz w:val="28"/>
          <w:szCs w:val="28"/>
          <w:rtl w:val="true"/>
          <w:lang w:bidi="ar-SA"/>
        </w:rPr>
        <w:t>انه مما 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المعتبر </w:t>
      </w:r>
      <w:r>
        <w:rPr>
          <w:rStyle w:val="FootnoteAnchor"/>
          <w:rtl w:val="true"/>
        </w:rPr>
        <w:footnoteReference w:id="1348"/>
      </w:r>
      <w:r>
        <w:rPr>
          <w:rFonts w:ascii="Amiri" w:hAnsi="Amiri" w:eastAsia="Amiri" w:cs="Amiri"/>
          <w:color w:val="111111"/>
          <w:sz w:val="28"/>
          <w:sz w:val="28"/>
          <w:szCs w:val="28"/>
          <w:rtl w:val="true"/>
          <w:lang w:bidi="ar-SA"/>
        </w:rPr>
        <w:t>ان روايته مجبورة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المنتهى </w:t>
      </w:r>
      <w:r>
        <w:rPr>
          <w:rStyle w:val="FootnoteAnchor"/>
          <w:rtl w:val="true"/>
        </w:rPr>
        <w:footnoteReference w:id="1349"/>
      </w:r>
      <w:r>
        <w:rPr>
          <w:rFonts w:ascii="IRNazanin" w:hAnsi="IRNazanin" w:eastAsia="IRNazanin"/>
          <w:color w:val="111111"/>
          <w:sz w:val="28"/>
          <w:sz w:val="28"/>
          <w:szCs w:val="28"/>
          <w:rtl w:val="true"/>
          <w:lang w:bidi="fa-IR"/>
        </w:rPr>
        <w:t>ان الأصحاب قبولها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وحكاية الشهرة عليه مستفيضة حكاه المحقق والشهيدان </w:t>
      </w:r>
      <w:r>
        <w:rPr>
          <w:rStyle w:val="FootnoteAnchor"/>
          <w:rtl w:val="true"/>
        </w:rPr>
        <w:footnoteReference w:id="1350"/>
      </w:r>
      <w:r>
        <w:rPr>
          <w:rFonts w:ascii="IRNazanin" w:hAnsi="IRNazanin" w:eastAsia="IRNazanin"/>
          <w:color w:val="111111"/>
          <w:sz w:val="28"/>
          <w:sz w:val="28"/>
          <w:szCs w:val="28"/>
          <w:rtl w:val="true"/>
          <w:lang w:bidi="fa-IR"/>
        </w:rPr>
        <w:t xml:space="preserve">وابن فهد </w:t>
      </w:r>
      <w:r>
        <w:rPr>
          <w:rStyle w:val="FootnoteAnchor"/>
          <w:rtl w:val="true"/>
        </w:rPr>
        <w:footnoteReference w:id="1351"/>
      </w:r>
      <w:r>
        <w:rPr>
          <w:rFonts w:ascii="Amiri" w:hAnsi="Amiri" w:eastAsia="Amiri" w:cs="Amiri"/>
          <w:color w:val="111111"/>
          <w:sz w:val="28"/>
          <w:sz w:val="28"/>
          <w:szCs w:val="28"/>
          <w:rtl w:val="true"/>
          <w:lang w:bidi="ar-SA"/>
        </w:rPr>
        <w:t xml:space="preserve">وصاحب الذخيرة </w:t>
      </w:r>
      <w:r>
        <w:rPr>
          <w:rStyle w:val="FootnoteAnchor"/>
          <w:rtl w:val="true"/>
        </w:rPr>
        <w:footnoteReference w:id="135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الحكم رواية ابن أبي حمزة ، عن الصادق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الرجل؟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أربعون دلوا </w:t>
      </w:r>
      <w:r>
        <w:rPr>
          <w:rFonts w:eastAsia="Amiri" w:cs="Amiri" w:ascii="Amiri" w:hAnsi="Amiri"/>
          <w:color w:val="111111"/>
          <w:sz w:val="28"/>
          <w:szCs w:val="28"/>
          <w:rtl w:val="true"/>
          <w:lang w:bidi="ar-SA"/>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وضعفها منجبر بعمل الأصحاب والإجماع المحكي كما عرفت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يعم بول المسلم والكافر؟ وجهان ؛ من ظاهر الإطلاق وأن المتيقّن منها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ثبوت الحكم من جهة كونه بول الرجل دون جهة أخرى ، ويزيد بول الكافر ولذا لو لاقى البول نجاسة خارجية لم يكتف فيه مجرد ذلك أخذا بإطلاق المذكور فنجاسة المخرج بالمعارض ليس بأقوى من نجاسة بالأصل مضافا إلى ملاقاته لسائر أعضاء الكافر ، فظاهر إطلاق كثير من الأصحاب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صريح جماعة منهم كالحلي </w:t>
      </w:r>
      <w:r>
        <w:rPr>
          <w:rStyle w:val="FootnoteAnchor"/>
          <w:rtl w:val="true"/>
        </w:rPr>
        <w:footnoteReference w:id="1354"/>
      </w:r>
      <w:r>
        <w:rPr>
          <w:rFonts w:ascii="IRNazanin" w:hAnsi="IRNazanin" w:eastAsia="IRNazanin"/>
          <w:color w:val="111111"/>
          <w:sz w:val="28"/>
          <w:sz w:val="28"/>
          <w:szCs w:val="28"/>
          <w:rtl w:val="true"/>
          <w:lang w:bidi="fa-IR"/>
        </w:rPr>
        <w:t xml:space="preserve">والسرائر </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والعلامة </w:t>
      </w:r>
      <w:r>
        <w:rPr>
          <w:rStyle w:val="FootnoteAnchor"/>
          <w:rtl w:val="true"/>
        </w:rPr>
        <w:footnoteReference w:id="1356"/>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1357"/>
      </w:r>
      <w:r>
        <w:rPr>
          <w:rFonts w:ascii="Amiri" w:hAnsi="Amiri" w:eastAsia="Amiri" w:cs="Amiri"/>
          <w:color w:val="111111"/>
          <w:sz w:val="28"/>
          <w:sz w:val="28"/>
          <w:szCs w:val="28"/>
          <w:rtl w:val="true"/>
          <w:lang w:bidi="ar-SA"/>
        </w:rPr>
        <w:t>في عدة من كتبهما وابن فهد في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الذخيرة </w:t>
      </w:r>
      <w:r>
        <w:rPr>
          <w:rStyle w:val="FootnoteAnchor"/>
          <w:rtl w:val="true"/>
        </w:rPr>
        <w:footnoteReference w:id="1358"/>
      </w:r>
      <w:r>
        <w:rPr>
          <w:rFonts w:ascii="IRNazanin" w:hAnsi="IRNazanin" w:eastAsia="IRNazanin"/>
          <w:color w:val="111111"/>
          <w:sz w:val="28"/>
          <w:sz w:val="28"/>
          <w:szCs w:val="28"/>
          <w:rtl w:val="true"/>
          <w:lang w:bidi="fa-IR"/>
        </w:rPr>
        <w:t>أن ظاهر الأصحاب عدم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المتأخرين احتمال الفرق أو النجاسة الكفر تأثير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صاحب المعالم </w:t>
      </w:r>
      <w:r>
        <w:rPr>
          <w:rStyle w:val="FootnoteAnchor"/>
          <w:rtl w:val="true"/>
        </w:rPr>
        <w:footnoteReference w:id="1360"/>
      </w:r>
      <w:r>
        <w:rPr>
          <w:rFonts w:ascii="Amiri" w:hAnsi="Amiri" w:eastAsia="Amiri" w:cs="Amiri"/>
          <w:color w:val="111111"/>
          <w:sz w:val="28"/>
          <w:sz w:val="28"/>
          <w:szCs w:val="28"/>
          <w:rtl w:val="true"/>
          <w:lang w:bidi="ar-SA"/>
        </w:rPr>
        <w:t>أن التحقيق اعتبار الحيثيّة بعدم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على نحو ما استظهرناه وفي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في بول المرأة قولان فعن جماعة من الأصحاب منهم الفاضلان والشهيدان عدم الإلحاق لاختصاص 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القاضي وابن أبي المجد الحلبي والحلي والعلامة في التحرير ونهاية الإحكام أنه كبول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الغنية حكاية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 في السرائر إلى تواتر الأخبار في اثبات الحكم للإنسان ، وهو غريب ؛ إذ لا أثر له في الأخبار ، وقد نص عليه المحقق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الشهيدين والمحقق الكركي وغيرهما إلحاق بول المرأة بما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المحقق في المعتبر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الثلاثين لبول المرأة والصبيّة ؛ أخذا برواية كريه </w:t>
      </w:r>
      <w:r>
        <w:rPr>
          <w:rStyle w:val="FootnoteAnchor"/>
          <w:rtl w:val="true"/>
        </w:rPr>
        <w:footnoteReference w:id="1362"/>
      </w:r>
      <w:r>
        <w:rPr>
          <w:rFonts w:ascii="Amiri" w:hAnsi="Amiri" w:eastAsia="Amiri" w:cs="Amiri"/>
          <w:color w:val="111111"/>
          <w:sz w:val="28"/>
          <w:sz w:val="28"/>
          <w:szCs w:val="28"/>
          <w:rtl w:val="true"/>
          <w:lang w:bidi="ar-SA"/>
        </w:rPr>
        <w:t>واحتمله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الإلحاق بما لا نص فيه في كشف اللثام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يبعد الإلحاق بما لا نص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ورد في صحيحة ابن عمار </w:t>
      </w:r>
      <w:r>
        <w:rPr>
          <w:rStyle w:val="FootnoteAnchor"/>
          <w:rtl w:val="true"/>
        </w:rPr>
        <w:footnoteReference w:id="1364"/>
      </w:r>
      <w:r>
        <w:rPr>
          <w:rFonts w:ascii="Amiri" w:hAnsi="Amiri" w:eastAsia="Amiri" w:cs="Amiri"/>
          <w:color w:val="111111"/>
          <w:sz w:val="28"/>
          <w:sz w:val="28"/>
          <w:szCs w:val="28"/>
          <w:rtl w:val="true"/>
          <w:lang w:bidi="ar-SA"/>
        </w:rPr>
        <w:t>إطلاق نزح الجميع لبول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صحيحة ابن بزيع </w:t>
      </w:r>
      <w:r>
        <w:rPr>
          <w:rStyle w:val="FootnoteAnchor"/>
          <w:rtl w:val="true"/>
        </w:rPr>
        <w:footnoteReference w:id="1365"/>
      </w:r>
      <w:r>
        <w:rPr>
          <w:rFonts w:ascii="IRNazanin" w:hAnsi="IRNazanin" w:eastAsia="IRNazanin"/>
          <w:color w:val="111111"/>
          <w:sz w:val="28"/>
          <w:sz w:val="28"/>
          <w:szCs w:val="28"/>
          <w:rtl w:val="true"/>
          <w:lang w:bidi="fa-IR"/>
        </w:rPr>
        <w:t xml:space="preserve">المتقدم أنه </w:t>
      </w:r>
      <w:r>
        <w:rPr>
          <w:rStyle w:val="FootnoteAnchor"/>
          <w:rtl w:val="true"/>
        </w:rPr>
        <w:footnoteReference w:id="136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دلاء لقطرات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الروايتان شاملتان لبول المرأة والصبية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كردويه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الثلثين لوقوع القطرة من البول </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شاملة للجميع إلا أن الأخيرة لضعفها لا يمكن التعويل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الأولان فيمكن حمل المطلق فيها على المقيد فيقال بالاكتفاء في القطرات بالدلاء وفي غيرها يحكم لوجوب نزح الجميع بعد إخراج بول الرجل عنه للنص المتلقّى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بأن الأخبار المذكورة غير معمول بها في ظاهر كلام الأصحاب ، فالبناء عليها مع اعراضهم عنها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لا يبعد إرجاعهما إلى 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بوجوب نزح الجميع فيما لا نص فيه إنما يقول بوجوبه في انصباب بول المرأة من تلك الجهة لا لورود الخصوصية في الصحيحة ، فهي مطرحة على القول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بناء على إلحاق بول المرأة والصبية بما لا نص فيه يجي‌ء الاشكال في بول الخنثى ، وقد نص في الروض </w:t>
      </w:r>
      <w:r>
        <w:rPr>
          <w:rStyle w:val="FootnoteAnchor"/>
          <w:rtl w:val="true"/>
        </w:rPr>
        <w:footnoteReference w:id="1368"/>
      </w:r>
      <w:r>
        <w:rPr>
          <w:rFonts w:ascii="Amiri" w:hAnsi="Amiri" w:eastAsia="Amiri" w:cs="Amiri"/>
          <w:color w:val="111111"/>
          <w:sz w:val="28"/>
          <w:sz w:val="28"/>
          <w:szCs w:val="28"/>
          <w:rtl w:val="true"/>
          <w:lang w:bidi="ar-SA"/>
        </w:rPr>
        <w:t>بأنه ينزح له أكثر الأمرين من القدر لبول الرجل وما لا نص فيه ، وهو الوجه لدورانه بين الأمرين ، فيجب الأخذ بالأكثر استصحابا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واستوجهه في جامع المقاصد ، واحتمل في الروضة </w:t>
      </w:r>
      <w:r>
        <w:rPr>
          <w:rStyle w:val="FootnoteAnchor"/>
          <w:rtl w:val="true"/>
        </w:rPr>
        <w:footnoteReference w:id="1369"/>
      </w:r>
      <w:r>
        <w:rPr>
          <w:rFonts w:ascii="Amiri" w:hAnsi="Amiri" w:eastAsia="Amiri" w:cs="Amiri"/>
          <w:color w:val="111111"/>
          <w:sz w:val="28"/>
          <w:sz w:val="28"/>
          <w:szCs w:val="28"/>
          <w:rtl w:val="true"/>
          <w:lang w:bidi="ar-SA"/>
        </w:rPr>
        <w:t>الاكتفاء بالأقل من جهة الأصل ، وهو ضعيف على القول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إنما يتجه على القول بالتعبّد في وجه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جعل فيه وجوب أكثر الأمرين معلّقا على القول بنزح الثلاثين أو الأربعين لما لا نص فيه ، وهم كما ترى</w:t>
      </w:r>
      <w:r>
        <w:rPr>
          <w:rFonts w:eastAsia="Amiri" w:cs="Amiri" w:ascii="Amiri" w:hAnsi="Amiri"/>
          <w:color w:val="111111"/>
          <w:sz w:val="28"/>
          <w:szCs w:val="28"/>
          <w:rtl w:val="true"/>
          <w:lang w:bidi="ar-SA"/>
        </w:rPr>
        <w:t xml:space="preserve">. </w:t>
      </w:r>
      <w:bookmarkStart w:id="223" w:name="pg15827_173798"/>
    </w:p>
    <w:p>
      <w:pPr>
        <w:pStyle w:val="Heading4"/>
        <w:numPr>
          <w:ilvl w:val="3"/>
          <w:numId w:val="1"/>
        </w:numPr>
        <w:rPr/>
      </w:pPr>
      <w:bookmarkStart w:id="224" w:name="__RefHeading___Toc14099747_2142443653"/>
      <w:bookmarkStart w:id="225" w:name="_Toc80"/>
      <w:bookmarkEnd w:id="223"/>
      <w:bookmarkEnd w:id="224"/>
      <w:r>
        <w:rPr>
          <w:rtl w:val="true"/>
        </w:rPr>
        <w:t>تبصرة</w:t>
      </w:r>
      <w:r>
        <w:rPr>
          <w:rtl w:val="true"/>
        </w:rPr>
        <w:t xml:space="preserve">: </w:t>
      </w:r>
      <w:r>
        <w:rPr>
          <w:rtl w:val="true"/>
        </w:rPr>
        <w:t>في نزح الثلاثين دلوا</w:t>
      </w:r>
      <w:bookmarkEnd w:id="225"/>
    </w:p>
    <w:p>
      <w:pPr>
        <w:pStyle w:val="BookText"/>
        <w:rPr/>
      </w:pPr>
      <w:r>
        <w:rPr>
          <w:rFonts w:ascii="Amiri" w:hAnsi="Amiri" w:eastAsia="Amiri" w:cs="Amiri"/>
          <w:color w:val="111111"/>
          <w:sz w:val="28"/>
          <w:sz w:val="28"/>
          <w:szCs w:val="28"/>
          <w:rtl w:val="true"/>
          <w:lang w:bidi="ar-SA"/>
        </w:rPr>
        <w:t xml:space="preserve">ينزح ثلاثون دلوا لماء </w:t>
      </w:r>
      <w:r>
        <w:rPr>
          <w:rStyle w:val="FootnoteAnchor"/>
          <w:rtl w:val="true"/>
        </w:rPr>
        <w:footnoteReference w:id="1370"/>
      </w:r>
      <w:r>
        <w:rPr>
          <w:rFonts w:ascii="Amiri" w:hAnsi="Amiri" w:eastAsia="Amiri" w:cs="Amiri"/>
          <w:color w:val="111111"/>
          <w:sz w:val="28"/>
          <w:sz w:val="28"/>
          <w:szCs w:val="28"/>
          <w:rtl w:val="true"/>
          <w:lang w:bidi="ar-SA"/>
        </w:rPr>
        <w:t xml:space="preserve">المطر المخالط للبول والعذرة وخرء الكلاب عند كثير من الأصحاب كما في الذخيرة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عليه في الشرائع </w:t>
      </w:r>
      <w:r>
        <w:rPr>
          <w:rStyle w:val="FootnoteAnchor"/>
          <w:rtl w:val="true"/>
        </w:rPr>
        <w:footnoteReference w:id="1372"/>
      </w:r>
      <w:r>
        <w:rPr>
          <w:rFonts w:ascii="IRNazanin" w:hAnsi="IRNazanin" w:eastAsia="IRNazanin"/>
          <w:color w:val="111111"/>
          <w:sz w:val="28"/>
          <w:sz w:val="28"/>
          <w:szCs w:val="28"/>
          <w:rtl w:val="true"/>
          <w:lang w:bidi="fa-IR"/>
        </w:rPr>
        <w:t xml:space="preserve">والقواعد </w:t>
      </w:r>
      <w:r>
        <w:rPr>
          <w:rStyle w:val="FootnoteAnchor"/>
          <w:rtl w:val="true"/>
        </w:rPr>
        <w:footnoteReference w:id="1373"/>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رواية كردويه والموجود فيها مضافا إلى المذكورات أبوال الدوابّ وأرواثها ، فعلى القول بطهارتها يكون وجودها كعدمها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بنجاستها فينبغي ضمهما إليها في المقام وكأنهم اقتصروا على الثلاثة المذكورة لذهابهم إلى طهارتهم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بشمولهما لأبوال وأرواث سائر الدوابّ التي لا يؤكل لحمها فيعمّ الأبوال والأرواث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بعد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المذكورة بإسناده عن الحسين بن سعيد عن محمد بن أبي عمير عن كردويه قد رواه الشيخ في الكتابين </w:t>
      </w:r>
      <w:r>
        <w:rPr>
          <w:rStyle w:val="FootnoteAnchor"/>
          <w:rtl w:val="true"/>
        </w:rPr>
        <w:footnoteReference w:id="1374"/>
      </w:r>
      <w:r>
        <w:rPr>
          <w:rFonts w:ascii="Amiri" w:hAnsi="Amiri" w:eastAsia="Amiri" w:cs="Amiri"/>
          <w:color w:val="111111"/>
          <w:sz w:val="28"/>
          <w:sz w:val="28"/>
          <w:szCs w:val="28"/>
          <w:rtl w:val="true"/>
          <w:lang w:bidi="ar-SA"/>
        </w:rPr>
        <w:t xml:space="preserve">والصدوق في الفقيه </w:t>
      </w:r>
      <w:r>
        <w:rPr>
          <w:rStyle w:val="FootnoteAnchor"/>
          <w:rtl w:val="true"/>
        </w:rPr>
        <w:footnoteReference w:id="1375"/>
      </w:r>
      <w:r>
        <w:rPr>
          <w:rFonts w:ascii="Amiri" w:hAnsi="Amiri" w:eastAsia="Amiri" w:cs="Amiri"/>
          <w:color w:val="111111"/>
          <w:sz w:val="28"/>
          <w:sz w:val="28"/>
          <w:szCs w:val="28"/>
          <w:rtl w:val="true"/>
          <w:lang w:bidi="ar-SA"/>
        </w:rPr>
        <w:t xml:space="preserve">باختلاف يسير عنه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 xml:space="preserve">الحسن عليه‌السلام عن بئر يدخلها ماء المطر فيه البول والعذرة وأبوال الدواب وأرواثها وخرء الكلاب؟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ينزح منها ثلاثون 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منجرة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بكردويه فإنه مهمل في الرجال ، ولذا استجود في الذخيرة الرجوع إلى ما دل عليه الأخبار والصحيحة للنجاسات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ذلك عن الحلي حيث قال بأن النجاسة المخالطة على حكمها من نزح الجميع أو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بانجبارها لعمل الجماعة بل ذكر بعض الأفاضل أن الخبر تلقّوه الأصحاب بالقبول عاملين بمضمونه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للصدوق </w:t>
      </w:r>
      <w:r>
        <w:rPr>
          <w:rStyle w:val="FootnoteAnchor"/>
          <w:rtl w:val="true"/>
        </w:rPr>
        <w:footnoteReference w:id="1377"/>
      </w:r>
      <w:r>
        <w:rPr>
          <w:rFonts w:ascii="Amiri" w:hAnsi="Amiri" w:eastAsia="Amiri" w:cs="Amiri"/>
          <w:color w:val="111111"/>
          <w:sz w:val="28"/>
          <w:sz w:val="28"/>
          <w:szCs w:val="28"/>
          <w:rtl w:val="true"/>
          <w:lang w:bidi="ar-SA"/>
        </w:rPr>
        <w:t xml:space="preserve">طريقا إلى كردويه ، وهو يومي إلى جلالته ، ورواية ابن أبي عمير عنه يومي إلى الاعتماد عليه أيضا بل الظاهر </w:t>
      </w:r>
      <w:r>
        <w:rPr>
          <w:rStyle w:val="FootnoteAnchor"/>
          <w:rtl w:val="true"/>
        </w:rPr>
        <w:footnoteReference w:id="1378"/>
      </w:r>
      <w:r>
        <w:rPr>
          <w:rFonts w:ascii="Amiri" w:hAnsi="Amiri" w:eastAsia="Amiri" w:cs="Amiri"/>
          <w:color w:val="111111"/>
          <w:sz w:val="28"/>
          <w:sz w:val="28"/>
          <w:szCs w:val="28"/>
          <w:rtl w:val="true"/>
          <w:lang w:bidi="ar-SA"/>
        </w:rPr>
        <w:t>من جهة تقدّمه بل صحيحة على ما اختاره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ويومي إلى ذلك تكريرها في الاصول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فالتعويل عليها بعد ما ذكرنا بناء على القول بتنجس البئر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البول فيها يعم بول الرجل والمرأة والطفل ، ولا يفيد ذلك النص على حكم بول المرأة ليخرج بذلك عما لا نص فيه ؛ إذا الاكتفاء بذلك مع دخوله في ماء المطر لا يفيد الاكتفاء به مع انفراده على أن البول يستهلك في الماء فلا يبقى له عين ، بل قد لا ينجس الماء في المقام لاعتصام ماء المطر عن الانفعال إلا أن إطلاق الرواية يعم ما اذا كان امتزاج البول به قبل الانقطاع أو بعده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ضعف ما قد يستشكل في الرواية من أن بعضا من المذكورات له قدر </w:t>
      </w:r>
    </w:p>
    <w:p>
      <w:pPr>
        <w:pStyle w:val="BookText"/>
        <w:rPr/>
      </w:pPr>
      <w:r>
        <w:rPr>
          <w:rFonts w:ascii="Amiri" w:hAnsi="Amiri" w:eastAsia="Amiri" w:cs="Amiri"/>
          <w:color w:val="111111"/>
          <w:sz w:val="28"/>
          <w:sz w:val="28"/>
          <w:szCs w:val="28"/>
          <w:rtl w:val="true"/>
          <w:lang w:bidi="ar-SA"/>
        </w:rPr>
        <w:t>مخصوص يريد وحده ذلك ، فالمنزوح لبول الرجل أربعون دلوا وللعذرة مع الذوبان خمسون ، فكيف يكتفي مع اجتماعها بالثلاثين ؛ إذ لا مانع من أن يكون اختلاطها بماء المطر موجبا لوهن حكمها مضافا إلى أن حكم البئر مبنيّ على التعبد فأيّ مانع من ثبوت الحكم المذكور في الصورة المفروضة؟</w:t>
      </w:r>
    </w:p>
    <w:p>
      <w:pPr>
        <w:pStyle w:val="BookText"/>
        <w:rPr/>
      </w:pPr>
      <w:r>
        <w:rPr>
          <w:rFonts w:ascii="Amiri" w:hAnsi="Amiri" w:eastAsia="Amiri" w:cs="Amiri"/>
          <w:color w:val="111111"/>
          <w:sz w:val="28"/>
          <w:sz w:val="28"/>
          <w:szCs w:val="28"/>
          <w:rtl w:val="true"/>
          <w:lang w:bidi="ar-SA"/>
        </w:rPr>
        <w:t>وقد يدفع ذلك أيضا بأن الحكم هنا مبنيّ على استهلاك تلك النجاسات في الماء ، فلا بقاء لعينها حتى يرد لانتقال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 أن الاستهلاك في المقام إنما يتصور في البول وحصوله في غيره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حصوله نادرا لا وجه لحمل الإطلاق على الفرض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 من ترك الاستفصال المنزل منزلة العموم في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الأصحاب حمل الرواية على ما إذا حصل هناك ظنّ بحصول تلك النجاسات في الماء دون ما إذا علم بها فيكون الأمر بالنزح لزوال النفرة الحاصلة من أجل المظنة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خالط الماء أحد المذكورات الثلاث اكتفى بالثلثين عند الشهيد أخذا بمفهوم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الروض عن بعض الأصحاب اختصاص الحكم بصورة الإجماع ، فلا يعمّ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الروض </w:t>
      </w:r>
      <w:r>
        <w:rPr>
          <w:rStyle w:val="FootnoteAnchor"/>
          <w:rtl w:val="true"/>
        </w:rPr>
        <w:footnoteReference w:id="1379"/>
      </w:r>
      <w:r>
        <w:rPr>
          <w:rFonts w:ascii="Amiri" w:hAnsi="Amiri" w:eastAsia="Amiri" w:cs="Amiri"/>
          <w:color w:val="111111"/>
          <w:sz w:val="28"/>
          <w:sz w:val="28"/>
          <w:szCs w:val="28"/>
          <w:rtl w:val="true"/>
          <w:lang w:bidi="ar-SA"/>
        </w:rPr>
        <w:t>التفصيل بين ما إذا لم يكن له مقدارا وكان ، وكان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أقل كبول الرضيع الداخل في إطلاق البول المذكور في الرواية أو عمومه فالظاهر الاكتفاء به لأن مصاحبته لماء المطر إن لم يضعف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جريان حكم النجاسة في المتنجس بها محل تأمل ، فضعف حكم البول من حيث امتزاجه بالماء لا يقضي ضعف حكم الماء المتنجس به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إن قلنا بجريان حكمه في المتنجس به صح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وسيجي‌ء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المذكورات في البئر من دون الامتزاج بالماء لم يجر فيه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وقع واحد منها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تنجس ماء المطر بالنجاسات المفروضة من دون امتزاجه بها لو تنجس بواحد منها كذلك فالظاهر الاكتفاء بالثلاثين لدلالة الفحوى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امتزجت بغير ماء المطر ففي جريان الحكم فيه تأمل من خروجه عن مورد النص أنه بمعناه ؛ إذ لا يظهر فرق بين المياه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الثاني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ماء المطر في الرواية المذكورة على ما في الفقيه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خالطت الماء المضاف أو غيره من المائعات فالظاهر عدم جريان الحكم المذكور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ثم إن قوله عليه‌السلام </w:t>
      </w:r>
      <w:r>
        <w:rPr>
          <w:rFonts w:eastAsia="Amiri" w:cs="Amiri" w:ascii="Amiri" w:hAnsi="Amiri"/>
          <w:color w:val="111111"/>
          <w:sz w:val="28"/>
          <w:szCs w:val="28"/>
          <w:rtl w:val="true"/>
          <w:lang w:bidi="ar-SA"/>
        </w:rPr>
        <w:t xml:space="preserve">... </w:t>
      </w:r>
      <w:r>
        <w:rPr>
          <w:rStyle w:val="FootnoteAnchor"/>
          <w:rtl w:val="true"/>
        </w:rPr>
        <w:footnoteReference w:id="1381"/>
      </w:r>
      <w:bookmarkStart w:id="226" w:name="pg15827_173802"/>
    </w:p>
    <w:p>
      <w:pPr>
        <w:pStyle w:val="Heading4"/>
        <w:numPr>
          <w:ilvl w:val="3"/>
          <w:numId w:val="1"/>
        </w:numPr>
        <w:rPr/>
      </w:pPr>
      <w:bookmarkStart w:id="227" w:name="__RefHeading___Toc14099749_2142443653"/>
      <w:bookmarkStart w:id="228" w:name="_Toc81"/>
      <w:bookmarkEnd w:id="226"/>
      <w:bookmarkEnd w:id="227"/>
      <w:r>
        <w:rPr>
          <w:rtl w:val="true"/>
        </w:rPr>
        <w:t>تبصرة</w:t>
      </w:r>
      <w:r>
        <w:rPr>
          <w:rtl w:val="true"/>
        </w:rPr>
        <w:t xml:space="preserve">: [ </w:t>
      </w:r>
      <w:r>
        <w:rPr>
          <w:rtl w:val="true"/>
        </w:rPr>
        <w:t xml:space="preserve">في المضاف والأسئار </w:t>
      </w:r>
      <w:r>
        <w:rPr>
          <w:rtl w:val="true"/>
        </w:rPr>
        <w:t>]</w:t>
      </w:r>
      <w:bookmarkEnd w:id="228"/>
    </w:p>
    <w:p>
      <w:pPr>
        <w:pStyle w:val="BookText"/>
        <w:rPr/>
      </w:pPr>
      <w:r>
        <w:rPr>
          <w:rFonts w:ascii="Amiri" w:hAnsi="Amiri" w:eastAsia="Amiri" w:cs="Amiri"/>
          <w:color w:val="111111"/>
          <w:sz w:val="28"/>
          <w:sz w:val="28"/>
          <w:szCs w:val="28"/>
          <w:rtl w:val="true"/>
          <w:lang w:bidi="ar-SA"/>
        </w:rPr>
        <w:t xml:space="preserve">تبصرة </w:t>
      </w:r>
      <w:r>
        <w:rPr>
          <w:rStyle w:val="FootnoteAnchor"/>
          <w:rtl w:val="true"/>
        </w:rPr>
        <w:footnoteReference w:id="1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المضاف والأسئار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بأنّه ما لا يصدق عليه اسم الماء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يرد عليه سائر المائعات لاشتراكها معه في عدم صدق الماء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زاد بعضهم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Style w:val="FootnoteAnchor"/>
          <w:rtl w:val="true"/>
        </w:rPr>
        <w:footnoteReference w:id="1383"/>
      </w:r>
      <w:r>
        <w:rPr>
          <w:rFonts w:ascii="Amiri" w:hAnsi="Amiri" w:eastAsia="Amiri" w:cs="Amiri"/>
          <w:color w:val="111111"/>
          <w:sz w:val="28"/>
          <w:sz w:val="28"/>
          <w:szCs w:val="28"/>
          <w:rtl w:val="true"/>
          <w:lang w:bidi="ar-SA"/>
        </w:rPr>
        <w:t xml:space="preserve">صدقه عليه مع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بأن تقييد النفي بالإطلاق </w:t>
      </w:r>
      <w:r>
        <w:rPr>
          <w:rStyle w:val="FootnoteAnchor"/>
          <w:rtl w:val="true"/>
        </w:rPr>
        <w:footnoteReference w:id="1384"/>
      </w:r>
      <w:r>
        <w:rPr>
          <w:rFonts w:ascii="Amiri" w:hAnsi="Amiri" w:eastAsia="Amiri" w:cs="Amiri"/>
          <w:color w:val="111111"/>
          <w:sz w:val="28"/>
          <w:sz w:val="28"/>
          <w:szCs w:val="28"/>
          <w:rtl w:val="true"/>
          <w:lang w:bidi="ar-SA"/>
        </w:rPr>
        <w:t xml:space="preserve">بنفيه مع انتفائه فيصدق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إرجاعا للنفي إلى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صدق الماء عليه مع الإضافة على سبيل الحقيقة ، فهو لا يوافق ما ادّعوه من مجازيّة الماء فيه ، وجعل التقييد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صدقه عليه على سبيل المجاز فنقول بصحة إطلاق الماء على كثير من سائر المائعات على سبيل المجاز كماء العين وماء الأنف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لفظ الماء مقيّدا بالمضاف أو المجموع المركّب من اللفظين حقيقة فيه بخلاف سائر المائعات ، فإنّ صدق الماء عليها ولو مع الإضافة 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الماء المضاف يصدق حقيقة على كلّ من المياه المضافة قطعا بخلاف غيرها من الماء المطلق وسائر المائعات المذكورة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ذكروه من مجازيّة الماء في المضاف إنّما أرادوا به لفظ الماء مع إطلاقه كما هو قضية </w:t>
      </w:r>
    </w:p>
    <w:p>
      <w:pPr>
        <w:pStyle w:val="BookText"/>
        <w:rPr/>
      </w:pPr>
      <w:r>
        <w:rPr>
          <w:rFonts w:ascii="Amiri" w:hAnsi="Amiri" w:eastAsia="Amiri" w:cs="Amiri"/>
          <w:color w:val="111111"/>
          <w:sz w:val="28"/>
          <w:sz w:val="28"/>
          <w:szCs w:val="28"/>
          <w:rtl w:val="true"/>
          <w:lang w:bidi="ar-SA"/>
        </w:rPr>
        <w:t xml:space="preserve">التبادر وغيره من علائم الحقيقة ، والمجازية </w:t>
      </w:r>
      <w:r>
        <w:rPr>
          <w:rStyle w:val="FootnoteAnchor"/>
          <w:rtl w:val="true"/>
        </w:rPr>
        <w:footnoteReference w:id="1385"/>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كذلك لا يستلزم مجازية مع التقييد مع وجود علائم الحقيقة فيه واستحقاق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للفظ الماء مع أن الاطلاق لا يستدعي استحقاقه مع التقييد بالمضاف ؛ نظرا إلى وجود المطلق فيه لوضوح أن المراد بالمطلق هنا ما كان من دون القيد المذكور ، فاستحقاقه له بشرط لا </w:t>
      </w:r>
      <w:r>
        <w:rPr>
          <w:rStyle w:val="FootnoteAnchor"/>
          <w:rtl w:val="true"/>
        </w:rPr>
        <w:footnoteReference w:id="1387"/>
      </w:r>
      <w:r>
        <w:rPr>
          <w:rFonts w:ascii="Amiri" w:hAnsi="Amiri" w:eastAsia="Amiri" w:cs="Amiri"/>
          <w:color w:val="111111"/>
          <w:sz w:val="28"/>
          <w:sz w:val="28"/>
          <w:szCs w:val="28"/>
          <w:rtl w:val="true"/>
          <w:lang w:bidi="ar-SA"/>
        </w:rPr>
        <w:t>يقضي باستحقاقه مع الشرط إذ هو فرع وضع اللفظ ، وهو ما يختلف باختلاف القيود والاعتبارات المأخوذة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استحقاقه للماء مع القيد هو استحقاقه للفظ الماء المضاف إلى خصوصيّة ما انضمّ إلى الماء كماء الورد وماء الزعفران وماء اللحم ونحوها حسبما مرّ ، فالمقصود في الحد هو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إنّما يتمّ مع دعوى كون ذلك حقيقة فيه ، وإلّا جاء الإشكال المذكور ، ولا بعد فيه أيضا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الحمل على الأعم بحيث يشمل لفظ الماء المضاف هو الأولى كما هو واضح ؛ نظرا إلى الإطلاق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الممتزج والمعتصر والمجمّد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وخصّه في الشرائع بالأولين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وجه ؛ إذ في الصعيد نحو من المزج أو الاعتصار ، إذ لو جمد في الاعتصار حقيقة لزم خروج ما يخرج من الأجسام من دون عصره كالماء الخارج من اللحم أو البقول بسبب النار ونحوها من الأقسام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انحصاره في الأقسام المذكورة غير معلوم ، ولو قلنا بجواز خروج الماء من الإطلاق لطول المكث كان رابعا للأقسام</w:t>
      </w:r>
      <w:r>
        <w:rPr>
          <w:rFonts w:eastAsia="Amiri" w:cs="Amiri" w:ascii="Amiri" w:hAnsi="Amiri"/>
          <w:color w:val="111111"/>
          <w:sz w:val="28"/>
          <w:szCs w:val="28"/>
          <w:rtl w:val="true"/>
          <w:lang w:bidi="ar-SA"/>
        </w:rPr>
        <w:t xml:space="preserve">. </w:t>
      </w:r>
      <w:bookmarkStart w:id="229" w:name="pg15827_173804"/>
    </w:p>
    <w:p>
      <w:pPr>
        <w:pStyle w:val="Heading4"/>
        <w:numPr>
          <w:ilvl w:val="3"/>
          <w:numId w:val="1"/>
        </w:numPr>
        <w:rPr/>
      </w:pPr>
      <w:bookmarkStart w:id="230" w:name="__RefHeading___Toc14099751_2142443653"/>
      <w:bookmarkStart w:id="231" w:name="_Toc82"/>
      <w:bookmarkEnd w:id="229"/>
      <w:bookmarkEnd w:id="230"/>
      <w:r>
        <w:rPr>
          <w:rtl w:val="true"/>
        </w:rPr>
        <w:t>تبصرة</w:t>
      </w:r>
      <w:r>
        <w:rPr>
          <w:rtl w:val="true"/>
        </w:rPr>
        <w:t xml:space="preserve">: [ </w:t>
      </w:r>
      <w:r>
        <w:rPr>
          <w:rtl w:val="true"/>
        </w:rPr>
        <w:t xml:space="preserve">في امتزاج المضاف بالمطلق </w:t>
      </w:r>
      <w:r>
        <w:rPr>
          <w:rtl w:val="true"/>
        </w:rPr>
        <w:t>]</w:t>
      </w:r>
      <w:bookmarkEnd w:id="231"/>
    </w:p>
    <w:p>
      <w:pPr>
        <w:pStyle w:val="BookText"/>
        <w:rPr/>
      </w:pPr>
      <w:r>
        <w:rPr>
          <w:rFonts w:ascii="Amiri" w:hAnsi="Amiri" w:eastAsia="Amiri" w:cs="Amiri"/>
          <w:color w:val="111111"/>
          <w:sz w:val="28"/>
          <w:sz w:val="28"/>
          <w:szCs w:val="28"/>
          <w:rtl w:val="true"/>
          <w:lang w:bidi="ar-SA"/>
        </w:rPr>
        <w:t xml:space="preserve">لو امتزج المضاف بالمطلق لوحظ صدق الاسم سواء اختلفا في الأوصاف أو </w:t>
      </w:r>
      <w:r>
        <w:rPr>
          <w:rStyle w:val="FootnoteAnchor"/>
          <w:rtl w:val="true"/>
        </w:rPr>
        <w:footnoteReference w:id="1389"/>
      </w:r>
      <w:r>
        <w:rPr>
          <w:rFonts w:ascii="Amiri" w:hAnsi="Amiri" w:eastAsia="Amiri" w:cs="Amiri"/>
          <w:color w:val="111111"/>
          <w:sz w:val="28"/>
          <w:sz w:val="28"/>
          <w:szCs w:val="28"/>
          <w:rtl w:val="true"/>
          <w:lang w:bidi="ar-SA"/>
        </w:rPr>
        <w:t>اتفقا مع انسلاب صفة المضاف أو زيادة صفة مما ثلة لصفة المضاف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 إذ لا تقييد في الشرع ، فيدور الحكم مدار الاسم كما هو الشأن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في الأوّل موضع وفاق قد حكي الإجماع عليه من جماعة على ما ذكره صاحب المدارك </w:t>
      </w:r>
      <w:r>
        <w:rPr>
          <w:rStyle w:val="FootnoteAnchor"/>
          <w:rtl w:val="true"/>
        </w:rPr>
        <w:footnoteReference w:id="1390"/>
      </w:r>
      <w:r>
        <w:rPr>
          <w:rFonts w:ascii="IRNazanin" w:hAnsi="IRNazanin" w:eastAsia="IRNazanin"/>
          <w:color w:val="111111"/>
          <w:sz w:val="28"/>
          <w:sz w:val="28"/>
          <w:szCs w:val="28"/>
          <w:rtl w:val="true"/>
          <w:lang w:bidi="fa-IR"/>
        </w:rPr>
        <w:t xml:space="preserve">وأخوه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فقد نصّ جماعة بما قلناه منهم العلّامة والشهيد وصاحب المدارك والذخيرة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قضيّة إطلاق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فيه الشيخ والقاضي حيث حكم الأوّل في مسلوب الصفة من المضاف إذا خالط الماء أنّ العبرة في الخروج من الإطلاق بأكثرية المضاف للأصل والاحتياط إلا أنه احتياط ما يجمع بين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الثاني بأنّ العبرة بأكثرية الماء للأصل والاحتياط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النافع للسيد نور الدين حكاية الشهرة على اعتبار الأكثر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قول الشيخ مع المساواة ، وعن العلامة تقدير المخالفة في الصفة كالحكومة في الحر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حينئذ أوسط الأوصاف أو أضعفها؟ وجهان ؛ والأوّل محكيّ عن الشهيدين والمحقق الكركي ، والثاني عن صاحب المعالم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ويعلّل الأوّل بالأغلبيّة والثاني بأنّه لو بقي شي‌ء من الأشدّ لم يقدر الزائد قطعا فلا يقيد أيضا مع زوال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إطلاق </w:t>
      </w:r>
      <w:r>
        <w:rPr>
          <w:rStyle w:val="FootnoteAnchor"/>
          <w:rtl w:val="true"/>
        </w:rPr>
        <w:footnoteReference w:id="1392"/>
      </w:r>
      <w:r>
        <w:rPr>
          <w:rFonts w:ascii="Amiri" w:hAnsi="Amiri" w:eastAsia="Amiri" w:cs="Amiri"/>
          <w:color w:val="111111"/>
          <w:sz w:val="28"/>
          <w:sz w:val="28"/>
          <w:szCs w:val="28"/>
          <w:rtl w:val="true"/>
          <w:lang w:bidi="ar-SA"/>
        </w:rPr>
        <w:t>المذكور مبني على التحقيق في صدق الاسم أو في بيان الحكم في صورة الشك ، وإلّا فالرجوع في مثله إلى صدق الاسم بعد تحققه مما لا ينبغي الريب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والقول بدوران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 xml:space="preserve">) </w:t>
      </w:r>
      <w:r>
        <w:rPr>
          <w:rStyle w:val="FootnoteAnchor"/>
          <w:rtl w:val="true"/>
        </w:rPr>
        <w:footnoteReference w:id="1393"/>
      </w:r>
      <w:r>
        <w:rPr>
          <w:rFonts w:ascii="Amiri" w:hAnsi="Amiri" w:eastAsia="Amiri" w:cs="Amiri"/>
          <w:color w:val="111111"/>
          <w:sz w:val="28"/>
          <w:sz w:val="28"/>
          <w:szCs w:val="28"/>
          <w:rtl w:val="true"/>
          <w:lang w:bidi="ar-SA"/>
        </w:rPr>
        <w:t>على أكثرية الماء أو المضاف ضعيف جدّا ، وكذا اعتبار التقدير في الاستكشاف ؛ لتفاوت الحال في الخروج عن الاسم بين وجود الصفة وعدمها ، أو اشتدادها وعدمها فلا يمكن استكشاف الحال بالتقدير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أن يقال له </w:t>
      </w:r>
      <w:r>
        <w:rPr>
          <w:rStyle w:val="FootnoteAnchor"/>
          <w:rtl w:val="true"/>
        </w:rPr>
        <w:footnoteReference w:id="1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الحال بعد مراجعة العرف فلا إشكال ، ومع الشك يتقوى البناء على بقاء طهارته واعتصامه عن الانفعال إن كان معتصما بالكثرة أو غيرها ؛ استصحابا لطهارته ، والحكم عدم طهوريّته لتعارض الأصل من الجانبين ، وقضية الأصل بقاء الحدث أو الخبث الحاصلين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أصالة بقاء كلّ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مرّ على المضاف مرّ عليه المطلق أيضا وهو كاف في الإزالة والرفع كما ذكره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الوهن ؛ لوضوح أنّ الماءين بعد امتزاجهما لا يبقى كلّ منهما على الحالة </w:t>
      </w:r>
      <w:r>
        <w:rPr>
          <w:rStyle w:val="FootnoteAnchor"/>
          <w:rtl w:val="true"/>
        </w:rPr>
        <w:footnoteReference w:id="1395"/>
      </w:r>
      <w:r>
        <w:rPr>
          <w:rFonts w:ascii="Amiri" w:hAnsi="Amiri" w:eastAsia="Amiri" w:cs="Amiri"/>
          <w:color w:val="111111"/>
          <w:sz w:val="28"/>
          <w:sz w:val="28"/>
          <w:szCs w:val="28"/>
          <w:rtl w:val="true"/>
          <w:lang w:bidi="ar-SA"/>
        </w:rPr>
        <w:t xml:space="preserve">السابقة ثمّ </w:t>
      </w:r>
      <w:r>
        <w:rPr>
          <w:rStyle w:val="FootnoteAnchor"/>
          <w:rtl w:val="true"/>
        </w:rPr>
        <w:footnoteReference w:id="1396"/>
      </w:r>
      <w:r>
        <w:rPr>
          <w:rFonts w:ascii="Amiri" w:hAnsi="Amiri" w:eastAsia="Amiri" w:cs="Amiri"/>
          <w:color w:val="111111"/>
          <w:sz w:val="28"/>
          <w:sz w:val="28"/>
          <w:szCs w:val="28"/>
          <w:rtl w:val="true"/>
          <w:lang w:bidi="ar-SA"/>
        </w:rPr>
        <w:t xml:space="preserve">إنّه لو وجد من المطلق ما لا يكفيه للطهارة وتمّمه </w:t>
      </w:r>
      <w:r>
        <w:rPr>
          <w:rStyle w:val="FootnoteAnchor"/>
          <w:rtl w:val="true"/>
        </w:rPr>
        <w:footnoteReference w:id="1397"/>
      </w:r>
      <w:r>
        <w:rPr>
          <w:rFonts w:ascii="Amiri" w:hAnsi="Amiri" w:eastAsia="Amiri" w:cs="Amiri"/>
          <w:color w:val="111111"/>
          <w:sz w:val="28"/>
          <w:sz w:val="28"/>
          <w:szCs w:val="28"/>
          <w:rtl w:val="true"/>
          <w:lang w:bidi="ar-SA"/>
        </w:rPr>
        <w:t>من المضاف بما لا يسلبه الإطلاق جاز الوضوء به حسبما عرفت ، وقد نصّ عليه جماعة منهم الشيخ والفاضلان ، وعن غير واحد من الأفاضل حكاية الاتفاق عليه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يجب عليه ذلك مع انحصار الأمر فيه ولا يسوغ له التيمّم مع المكنة منه؟ قولان ؛ والأشهر فيه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نصّ عليه العلامة والشهيدان وصاحب المدارك والذخيرة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في المبسوط إلى انتفاء الوجوب ، وتبعه صاحب الدلائل ، وربّما يميل إليه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المعتبر التردّد فيه ، والظاهر الأوّل لتمكنه من الطهارة الاختياريّة ، فلا ينتقل إلى الاضطرارية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وجدان الماء المذكور في الآية هو التمكن منه لا وجوده عنده كما قد يتوهّم ؛ إذ ذاك ممّا لا يشترط فيه قطعا ، ولذا يجب الطلب والتحصيل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الظاهر أنّه لا تأمّل في وجوب إذابة الثلج ونحوه مع انحصار الأمر فيه مع أنّه من قبيل إيجاد الماء لخروجه بالجمود عن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للشيخ بأنّ المزج لا يقتضي بإيجاد حقيقة الماء وإنّما يوجب الاشتباه على الحسّ ، فمع عدم العلم بعدم استيفاء الماء للأعضاء لا يصحّ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الوجه في حكم الشيخ عند العلّامة والشهيد الثاني في الروض حيث حكما بالتناقض بين حكميه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بعدم وجوب المزج مع الانحصار والقول بصحة الوضوء مع المزج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وأجاب عنه في الإيضاح بأنّ حكم الشيخ في المقام مبنيّ على توقّف وجوب الوضوء على وجود الماء والتمكّن منه ، فلا يجب إيجاده </w:t>
      </w:r>
      <w:r>
        <w:rPr>
          <w:rStyle w:val="FootnoteAnchor"/>
          <w:rtl w:val="true"/>
        </w:rPr>
        <w:footnoteReference w:id="1398"/>
      </w:r>
      <w:r>
        <w:rPr>
          <w:rFonts w:ascii="Amiri" w:hAnsi="Amiri" w:eastAsia="Amiri" w:cs="Amiri"/>
          <w:color w:val="111111"/>
          <w:sz w:val="28"/>
          <w:sz w:val="28"/>
          <w:szCs w:val="28"/>
          <w:rtl w:val="true"/>
          <w:lang w:bidi="ar-SA"/>
        </w:rPr>
        <w:t>أو لا يجب تحصيل مقدمة الواجب المشروط ، فلا منافاة بين عدم وجوب المزج ووجوب الوضوء مع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الدلائل أنّ المتأخرين أطبقوا على فساد التعليل المذكور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واضح ؛ إذ لو جعل المكنة من الماء شرطا في وجوب الوضوء كما ذكرناه ممنوع ولا يترتب عليه عدم وجوب الإكمال ؛ إذا المفروض حصول المكنة في المقام ، إذ التمكّن من إيجاده تمكن منه وإن جعل وجود الماء شرطا فيه فهو ممنوع ، ولو استند فيه إلى ظاهر الآية فقد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وظاهرها اعتبار الوجدان ولا يقول أحد باعتباره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لو قيل باشتراط مجرد الوجود فيه مع وضوح فساده فهو حاصل في المقام لوجود الماء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w:t>
      </w:r>
      <w:r>
        <w:rPr>
          <w:rStyle w:val="FootnoteAnchor"/>
          <w:rtl w:val="true"/>
        </w:rPr>
        <w:footnoteReference w:id="1399"/>
      </w:r>
      <w:r>
        <w:rPr>
          <w:rFonts w:ascii="Amiri" w:hAnsi="Amiri" w:eastAsia="Amiri" w:cs="Amiri"/>
          <w:color w:val="111111"/>
          <w:sz w:val="28"/>
          <w:sz w:val="28"/>
          <w:szCs w:val="28"/>
          <w:rtl w:val="true"/>
          <w:lang w:bidi="ar-SA"/>
        </w:rPr>
        <w:t xml:space="preserve">ما في كلام بعض الأفاضل </w:t>
      </w:r>
      <w:r>
        <w:rPr>
          <w:rStyle w:val="FootnoteAnchor"/>
          <w:rtl w:val="true"/>
        </w:rPr>
        <w:footnoteReference w:id="1400"/>
      </w:r>
      <w:r>
        <w:rPr>
          <w:rFonts w:ascii="Amiri" w:hAnsi="Amiri" w:eastAsia="Amiri" w:cs="Amiri"/>
          <w:color w:val="111111"/>
          <w:sz w:val="28"/>
          <w:sz w:val="28"/>
          <w:szCs w:val="28"/>
          <w:rtl w:val="true"/>
          <w:lang w:bidi="ar-SA"/>
        </w:rPr>
        <w:t xml:space="preserve">من أنّ وجوب الطهارة </w:t>
      </w:r>
      <w:r>
        <w:rPr>
          <w:rStyle w:val="FootnoteAnchor"/>
          <w:rtl w:val="true"/>
        </w:rPr>
        <w:footnoteReference w:id="1401"/>
      </w:r>
      <w:r>
        <w:rPr>
          <w:rFonts w:ascii="Amiri" w:hAnsi="Amiri" w:eastAsia="Amiri" w:cs="Amiri"/>
          <w:color w:val="111111"/>
          <w:sz w:val="28"/>
          <w:sz w:val="28"/>
          <w:szCs w:val="28"/>
          <w:rtl w:val="true"/>
          <w:lang w:bidi="ar-SA"/>
        </w:rPr>
        <w:t>المائية مشروط بالنسبة إلى إيجاد الماء وإن لم يكن مشروطا بالنسبة إلى تحصيله والوصول إليه ؛ لما عرفت من انتفاء الدليل عليه وعدم ظهور الآية ، بل الظاهر من الأخبار خلافه كما سبق في مباحث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ونظير المسألة ما لو تمكّن من استخلاص المطلق من المضاف كتميّز الماء من الطين عند امتزاجه وخروجه عن اسم الماء ، فلا يجب ذلك بناء على التعليل الأخير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فرق بين كون الممزوج من المضاف أو غيره من المائعات بل الجوامد إذا توقف عليه الاستعمال كما إذا نقص الماء من الكرّ بحسب الوزن فتوقف تمكّنه من استعماله على خلطه بشي‌ء من التراب ، فيتمكّن من استعماله بعد الاعتصام</w:t>
      </w:r>
      <w:r>
        <w:rPr>
          <w:rFonts w:eastAsia="Amiri" w:cs="Amiri" w:ascii="Amiri" w:hAnsi="Amiri"/>
          <w:color w:val="111111"/>
          <w:sz w:val="28"/>
          <w:szCs w:val="28"/>
          <w:rtl w:val="true"/>
          <w:lang w:bidi="ar-SA"/>
        </w:rPr>
        <w:t xml:space="preserve">. </w:t>
      </w:r>
      <w:bookmarkStart w:id="232" w:name="pg15827_173808"/>
    </w:p>
    <w:p>
      <w:pPr>
        <w:pStyle w:val="Heading4"/>
        <w:numPr>
          <w:ilvl w:val="3"/>
          <w:numId w:val="1"/>
        </w:numPr>
        <w:rPr/>
      </w:pPr>
      <w:bookmarkStart w:id="233" w:name="__RefHeading___Toc14099753_2142443653"/>
      <w:bookmarkStart w:id="234" w:name="_Toc83"/>
      <w:bookmarkEnd w:id="232"/>
      <w:bookmarkEnd w:id="233"/>
      <w:r>
        <w:rPr>
          <w:rtl w:val="true"/>
        </w:rPr>
        <w:t>تبصرة</w:t>
      </w:r>
      <w:r>
        <w:rPr>
          <w:rtl w:val="true"/>
        </w:rPr>
        <w:t xml:space="preserve">: [ </w:t>
      </w:r>
      <w:r>
        <w:rPr>
          <w:rtl w:val="true"/>
        </w:rPr>
        <w:t xml:space="preserve">في تنجس المضاف </w:t>
      </w:r>
      <w:r>
        <w:rPr>
          <w:rtl w:val="true"/>
        </w:rPr>
        <w:t>]</w:t>
      </w:r>
      <w:bookmarkEnd w:id="234"/>
    </w:p>
    <w:p>
      <w:pPr>
        <w:pStyle w:val="BookText"/>
        <w:rPr/>
      </w:pPr>
      <w:r>
        <w:rPr>
          <w:rFonts w:ascii="Amiri" w:hAnsi="Amiri" w:eastAsia="Amiri" w:cs="Amiri"/>
          <w:color w:val="111111"/>
          <w:sz w:val="28"/>
          <w:sz w:val="28"/>
          <w:szCs w:val="28"/>
          <w:rtl w:val="true"/>
          <w:lang w:bidi="ar-SA"/>
        </w:rPr>
        <w:t>لا خلاف بين الأصحاب في طهارة المضاف في نفسه وانفعاله بالملاقاة ولو كان كثيرا أضعاف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حكى الإجماع على انفعاله بالملاقاة جماعة من الأصحاب منهم الفاضلان والشهيدان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القاعدة المسلّمة من تنجيس النجس ملاقيه </w:t>
      </w:r>
      <w:r>
        <w:rPr>
          <w:rStyle w:val="FootnoteAnchor"/>
          <w:rtl w:val="true"/>
        </w:rPr>
        <w:footnoteReference w:id="1402"/>
      </w:r>
      <w:r>
        <w:rPr>
          <w:rFonts w:ascii="Amiri" w:hAnsi="Amiri" w:eastAsia="Amiri" w:cs="Amiri"/>
          <w:color w:val="111111"/>
          <w:sz w:val="28"/>
          <w:sz w:val="28"/>
          <w:szCs w:val="28"/>
          <w:rtl w:val="true"/>
          <w:lang w:bidi="ar-SA"/>
        </w:rPr>
        <w:t>مع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عليه في المقام غير واحد من الأخبار كخبر السكوني عن الصادق عليه‌السلام أنّ أمير المؤمنين عليه‌السلام سئل عن قدر طبخت فإذا في القدر فأرة؟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مرقها ويغسل اللحم ويؤكل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زكريا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قطرة نبيذ أو خمر مسكر قطرت في قدر فيه لحم كثير ومرق كثير؟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يهراق المرق أو يطعم أهل الذمة أو الكلب ، واللحم اغسله وكله </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 إسناد الخبرين أو دلالتهما بعد وضوح الحال وموضوعيّة الحكم واعتضادهما بالاتفاق المعلوم والمنقول ليس في محلّها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الحكم في الساكن المتساوي السطوح ظاهر ، وكذا في مختلفها مع الوقوف وإن حكم بتعدّدهما في بادي الرأي كالحوضين الموصول بينهما بساقية ولو كانت دقيقة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ويأتي على قول من زعم من شذوذ من المتأخرين من عدم سراية النجاسة في الماء القليل المتفرّق مع اتصال بعضه بالبعض إلى ما تباعد عن محل الملاقاة جريانه في المقام لا طراد العلّة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إلى ضعفه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جاريا متدافعا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تساوى سطوحه أو اختلف ، اتحد الماء في بادي الرأي أو 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محل الملاقاة وما دونه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فوقه فإن كان علوّه على سبيل التسنيم لم ينجس قطعا ، وقد حكى بعض الأجلّة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الأصل ؛ إذ قضية الانفعال بالنجاسة تنجّس ما لاقى النجاسة في محل الملاقاة ؛ إذ لا معنى لتأثير النجاسة في غير ما يلاقيه ، ونجاسة الجميع في </w:t>
      </w:r>
      <w:r>
        <w:rPr>
          <w:rStyle w:val="FootnoteAnchor"/>
          <w:rtl w:val="true"/>
        </w:rPr>
        <w:footnoteReference w:id="1405"/>
      </w:r>
      <w:r>
        <w:rPr>
          <w:rFonts w:ascii="Amiri" w:hAnsi="Amiri" w:eastAsia="Amiri" w:cs="Amiri"/>
          <w:color w:val="111111"/>
          <w:sz w:val="28"/>
          <w:sz w:val="28"/>
          <w:szCs w:val="28"/>
          <w:rtl w:val="true"/>
          <w:lang w:bidi="ar-SA"/>
        </w:rPr>
        <w:t>المائعات إنّما يأتي من جهة السراية ، ولما كانت النجاسة من جهتها على خلاف الأصل فلا بدّ فيه من الاقتصار على محلّ الإجماع ، وهو الميعان مع استواء السطوح أو كونه ما دون محلّ الملاقاة فيبقى ذلك مندرجا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إذا كانت الرطوبة من دون الميعان ، فإنّه يختص النجاسة بمحل الملاقاة ولا تسري منه إلى 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الأصل سراية النجاسة مع الرطوبة ، فإنّه إذا تنجّس </w:t>
      </w:r>
      <w:r>
        <w:rPr>
          <w:rStyle w:val="FootnoteAnchor"/>
          <w:rtl w:val="true"/>
        </w:rPr>
        <w:footnoteReference w:id="1406"/>
      </w:r>
      <w:r>
        <w:rPr>
          <w:rFonts w:ascii="Amiri" w:hAnsi="Amiri" w:eastAsia="Amiri" w:cs="Amiri"/>
          <w:color w:val="111111"/>
          <w:sz w:val="28"/>
          <w:sz w:val="28"/>
          <w:szCs w:val="28"/>
          <w:rtl w:val="true"/>
          <w:lang w:bidi="ar-SA"/>
        </w:rPr>
        <w:t xml:space="preserve">محل الملاقاة تنجّس ما يلاقيه به لكونه ملاقيا للنجس بالرطوبة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 فما دلّ على تنجيس النجس بالملاقاة دالّ عليه ، فلا حاجة إلى ملاحظة نصّ أو إجماع في خصوص السراية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 </w:t>
      </w:r>
      <w:r>
        <w:rPr>
          <w:rStyle w:val="FootnoteAnchor"/>
          <w:rtl w:val="true"/>
        </w:rPr>
        <w:footnoteReference w:id="1407"/>
      </w:r>
      <w:r>
        <w:rPr>
          <w:rFonts w:ascii="Amiri" w:hAnsi="Amiri" w:eastAsia="Amiri" w:cs="Amiri"/>
          <w:color w:val="111111"/>
          <w:sz w:val="28"/>
          <w:sz w:val="28"/>
          <w:szCs w:val="28"/>
          <w:rtl w:val="true"/>
          <w:lang w:bidi="ar-SA"/>
        </w:rPr>
        <w:t xml:space="preserve">بين سبق حصول النجاسة على الملاقاة ولحوقه ، والذي قام الدليل على كونه سببا للتنجيس إنّما هو الأوّل ؛ إذ هو مورد الإجماع ، وأما الملاقاة السابقة فلا يوجب </w:t>
      </w:r>
    </w:p>
    <w:p>
      <w:pPr>
        <w:pStyle w:val="BookText"/>
        <w:rPr/>
      </w:pPr>
      <w:r>
        <w:rPr>
          <w:rFonts w:ascii="Amiri" w:hAnsi="Amiri" w:eastAsia="Amiri" w:cs="Amiri"/>
          <w:color w:val="111111"/>
          <w:sz w:val="28"/>
          <w:sz w:val="28"/>
          <w:szCs w:val="28"/>
          <w:rtl w:val="true"/>
          <w:lang w:bidi="ar-SA"/>
        </w:rPr>
        <w:t>تنجيس الغير لخروجه عن مورد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أنّه لا يصدق عرفا ملاقاة سائر الأجزاء للنجاسة وإن صحّ كونه ملاقيا بالتدقيق المفروض فلا عبرة به بعد خروجه عنه في ظاهر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هناك لفظ يدلّ على اعتبار الملاقاة في التنجيس ليقال فيه بالرجوع فيه إلى العرف ، فلا يندرج فيه الصورة المفروضة ؛ إذ من الواضح أنّ العقل لا مسرح له في باب النجاسات ، والذي قام عليه الإجماع في تأثير النجاسة مع الملاقاة هو الصورة الأولى وهو الّذي ينصرف إليه إطلاقات </w:t>
      </w:r>
      <w:r>
        <w:rPr>
          <w:rStyle w:val="FootnoteAnchor"/>
          <w:rtl w:val="true"/>
        </w:rPr>
        <w:footnoteReference w:id="1408"/>
      </w:r>
      <w:r>
        <w:rPr>
          <w:rFonts w:ascii="Amiri" w:hAnsi="Amiri" w:eastAsia="Amiri" w:cs="Amiri"/>
          <w:color w:val="111111"/>
          <w:sz w:val="28"/>
          <w:sz w:val="28"/>
          <w:szCs w:val="28"/>
          <w:rtl w:val="true"/>
          <w:lang w:bidi="ar-SA"/>
        </w:rPr>
        <w:t xml:space="preserve">الملاقاة دون الصورة الأخيرة ، وصدق الملاقاة هناك بملاحظة تدقيق العقل لا يقضي بالنجاسة كما </w:t>
      </w:r>
      <w:r>
        <w:rPr>
          <w:rStyle w:val="FootnoteAnchor"/>
          <w:rtl w:val="true"/>
        </w:rPr>
        <w:footnoteReference w:id="1409"/>
      </w:r>
      <w:r>
        <w:rPr>
          <w:rFonts w:ascii="Amiri" w:hAnsi="Amiri" w:eastAsia="Amiri" w:cs="Amiri"/>
          <w:color w:val="111111"/>
          <w:sz w:val="28"/>
          <w:sz w:val="28"/>
          <w:szCs w:val="28"/>
          <w:rtl w:val="true"/>
          <w:lang w:bidi="ar-SA"/>
        </w:rPr>
        <w:t xml:space="preserve">عرفت ، فيلزم البناء على مقتضى الأصل لخروجه عن موارد </w:t>
      </w:r>
      <w:r>
        <w:rPr>
          <w:rStyle w:val="FootnoteAnchor"/>
          <w:rtl w:val="true"/>
        </w:rPr>
        <w:footnoteReference w:id="1410"/>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قد دلّ الإجماع وغيره على سراية النجاسة في الصورة المفروضة مع الميعان فيقتصر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الأدلة ما يفيد إطلاق تنجيس النجاسة بالملاقاة على نحو يشمل المفروض من نصّ أو إجماع ؛ أمّا الأوّل فظاهر ، وأمّا الثاني فلعدم استفادته من كلمات الأصحاب بل ملاحظة إطباقهم على بطلان السراية في غير المائع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حكم جماعة به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علّله كثير منهم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أقوى شاهد على عدم الاكتفاء بالملاقاة السابقة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بما قرّرنا أن سراية النجاسة عن محلّ الملاقاة على خلاف الأصل ، فلا بدّ من الاقتصار فيه على مورد الدليل ويحكم في غيره على مقتضى الأصل ومنه ما </w:t>
      </w:r>
      <w:r>
        <w:rPr>
          <w:rStyle w:val="FootnoteAnchor"/>
          <w:rtl w:val="true"/>
        </w:rPr>
        <w:footnoteReference w:id="1411"/>
      </w:r>
      <w:r>
        <w:rPr>
          <w:rFonts w:ascii="Amiri" w:hAnsi="Amiri" w:eastAsia="Amiri" w:cs="Amiri"/>
          <w:color w:val="111111"/>
          <w:sz w:val="28"/>
          <w:sz w:val="28"/>
          <w:szCs w:val="28"/>
          <w:rtl w:val="true"/>
          <w:lang w:bidi="ar-SA"/>
        </w:rPr>
        <w:t>على محلّ الملاقاة كما هو المفروض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انفعال المضاف بالملاقاة يدلّ على انفعال جميعه مع ملاقاة النجاسة لبعضه ، فإذا فرض اتحاده في العرف ففي ذلك بانفعال جميعه ؛ أخذا بإطلاق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الإطلاق المذكور في شي‌ء من الأخبار ليقوم </w:t>
      </w:r>
      <w:r>
        <w:rPr>
          <w:rStyle w:val="FootnoteAnchor"/>
          <w:rtl w:val="true"/>
        </w:rPr>
        <w:footnoteReference w:id="1412"/>
      </w:r>
      <w:r>
        <w:rPr>
          <w:rFonts w:ascii="Amiri" w:hAnsi="Amiri" w:eastAsia="Amiri" w:cs="Amiri"/>
          <w:color w:val="111111"/>
          <w:sz w:val="28"/>
          <w:sz w:val="28"/>
          <w:szCs w:val="28"/>
          <w:rtl w:val="true"/>
          <w:lang w:bidi="ar-SA"/>
        </w:rPr>
        <w:t>حجة على المطلوب ، وما ورد في كلمات الأصحاب محمول على غير تلك الصورة لتصريح جماعة منهم بعدم التسرية ، فلو لا انعقاد الإجماع على انتفاء النجاسة في المقام فلا أقلّ من عدم قيام الإجماع على خلافه ، فلا يتمّ الاحتجاج بالإجماع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قضيّة ما دلّ على تنجّس القليل بالملاقاة إنّما يدلّ على نجاسة الكلّ به من دون حاجة إلى ملاحظة قاعدة السراية ، فيثبت ذلك في المضاف بالأولى ؛ إذ لا يزيد حكمه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المناقشة في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السراية إلى العالي منتفية في الماء إجماعا بل ضرورة ، فكيف يمكن الاحتجاج بالأولويّة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الحكم في الأصل على أنّه ليس في أدلّة انفعال القليل إطلاق بيّن يدل عليه بل معظم ما دل عليه أخبار حاكمة بنجاسته في موارد مخصوصة </w:t>
      </w:r>
      <w:r>
        <w:rPr>
          <w:rStyle w:val="FootnoteAnchor"/>
          <w:rtl w:val="true"/>
        </w:rPr>
        <w:footnoteReference w:id="1413"/>
      </w:r>
      <w:r>
        <w:rPr>
          <w:rFonts w:ascii="Amiri" w:hAnsi="Amiri" w:eastAsia="Amiri" w:cs="Amiri"/>
          <w:color w:val="111111"/>
          <w:sz w:val="28"/>
          <w:sz w:val="28"/>
          <w:szCs w:val="28"/>
          <w:rtl w:val="true"/>
          <w:lang w:bidi="ar-SA"/>
        </w:rPr>
        <w:t>كذلك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بما ذكرنا صحّة احتجاج صاحب المدارك </w:t>
      </w:r>
      <w:r>
        <w:rPr>
          <w:rStyle w:val="FootnoteAnchor"/>
          <w:rtl w:val="true"/>
        </w:rPr>
        <w:footnoteReference w:id="1414"/>
      </w:r>
      <w:r>
        <w:rPr>
          <w:rFonts w:ascii="Amiri" w:hAnsi="Amiri" w:eastAsia="Amiri" w:cs="Amiri"/>
          <w:color w:val="111111"/>
          <w:sz w:val="28"/>
          <w:sz w:val="28"/>
          <w:szCs w:val="28"/>
          <w:rtl w:val="true"/>
          <w:lang w:bidi="ar-SA"/>
        </w:rPr>
        <w:t xml:space="preserve">في المقام للأصل السالم عن المعارضة </w:t>
      </w:r>
      <w:r>
        <w:rPr>
          <w:rStyle w:val="FootnoteAnchor"/>
          <w:rtl w:val="true"/>
        </w:rPr>
        <w:footnoteReference w:id="1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واتّضح فساد ما قد يتسارع إلى بعض الأفهام من الحكم بسراية النجاسة في المقام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ولو كان العلو على غير نحو التسنيم ففي طهارة العالي وجهان </w:t>
      </w:r>
      <w:r>
        <w:rPr>
          <w:rStyle w:val="FootnoteAnchor"/>
          <w:rtl w:val="true"/>
        </w:rPr>
        <w:footnoteReference w:id="1416"/>
      </w:r>
      <w:r>
        <w:rPr>
          <w:rFonts w:ascii="Amiri" w:hAnsi="Amiri" w:eastAsia="Amiri" w:cs="Amiri"/>
          <w:color w:val="111111"/>
          <w:sz w:val="28"/>
          <w:sz w:val="28"/>
          <w:szCs w:val="28"/>
          <w:rtl w:val="true"/>
          <w:lang w:bidi="ar-SA"/>
        </w:rPr>
        <w:t xml:space="preserve">لا يبعد القول </w:t>
      </w:r>
      <w:r>
        <w:rPr>
          <w:rStyle w:val="FootnoteAnchor"/>
          <w:rtl w:val="true"/>
        </w:rPr>
        <w:footnoteReference w:id="1417"/>
      </w:r>
      <w:r>
        <w:rPr>
          <w:rFonts w:ascii="IRNazanin" w:hAnsi="IRNazanin" w:eastAsia="IRNazanin"/>
          <w:color w:val="111111"/>
          <w:sz w:val="28"/>
          <w:sz w:val="28"/>
          <w:szCs w:val="28"/>
          <w:rtl w:val="true"/>
          <w:lang w:bidi="fa-IR"/>
        </w:rPr>
        <w:t xml:space="preserve">به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الانحدار التام </w:t>
      </w:r>
      <w:r>
        <w:rPr>
          <w:rStyle w:val="FootnoteAnchor"/>
          <w:rtl w:val="true"/>
        </w:rPr>
        <w:footnoteReference w:id="1418"/>
      </w:r>
      <w:r>
        <w:rPr>
          <w:rFonts w:ascii="Amiri" w:hAnsi="Amiri" w:eastAsia="Amiri" w:cs="Amiri"/>
          <w:color w:val="111111"/>
          <w:sz w:val="28"/>
          <w:sz w:val="28"/>
          <w:szCs w:val="28"/>
          <w:rtl w:val="true"/>
          <w:lang w:bidi="ar-SA"/>
        </w:rPr>
        <w:t xml:space="preserve">على ما مرّ نظيره في الماء </w:t>
      </w:r>
      <w:r>
        <w:rPr>
          <w:rStyle w:val="FootnoteAnchor"/>
          <w:rtl w:val="true"/>
        </w:rPr>
        <w:footnoteReference w:id="1419"/>
      </w:r>
      <w:r>
        <w:rPr>
          <w:rFonts w:ascii="Amiri" w:hAnsi="Amiri" w:eastAsia="Amiri" w:cs="Amiri"/>
          <w:color w:val="111111"/>
          <w:sz w:val="28"/>
          <w:sz w:val="28"/>
          <w:szCs w:val="28"/>
          <w:rtl w:val="true"/>
          <w:lang w:bidi="ar-SA"/>
        </w:rPr>
        <w:t>لو كان الدفع من السافل إلى العالي كالفوارة ، ففي ثبوت السراية وجهان</w:t>
      </w:r>
      <w:r>
        <w:rPr>
          <w:rFonts w:eastAsia="Amiri" w:cs="Amiri" w:ascii="Amiri" w:hAnsi="Amiri"/>
          <w:color w:val="111111"/>
          <w:sz w:val="28"/>
          <w:szCs w:val="28"/>
          <w:rtl w:val="true"/>
          <w:lang w:bidi="ar-SA"/>
        </w:rPr>
        <w:t xml:space="preserve">. </w:t>
      </w:r>
      <w:bookmarkStart w:id="235" w:name="pg15827_173813"/>
    </w:p>
    <w:p>
      <w:pPr>
        <w:pStyle w:val="Heading4"/>
        <w:numPr>
          <w:ilvl w:val="3"/>
          <w:numId w:val="1"/>
        </w:numPr>
        <w:rPr/>
      </w:pPr>
      <w:bookmarkStart w:id="236" w:name="__RefHeading___Toc14099755_2142443653"/>
      <w:bookmarkStart w:id="237" w:name="_Toc84"/>
      <w:bookmarkEnd w:id="235"/>
      <w:bookmarkEnd w:id="236"/>
      <w:r>
        <w:rPr>
          <w:rtl w:val="true"/>
        </w:rPr>
        <w:t>تبصرة</w:t>
      </w:r>
      <w:r>
        <w:rPr>
          <w:rtl w:val="true"/>
        </w:rPr>
        <w:t xml:space="preserve">: [ </w:t>
      </w:r>
      <w:r>
        <w:rPr>
          <w:rtl w:val="true"/>
        </w:rPr>
        <w:t xml:space="preserve">في الاختلاف في طهورية المضاف أحيانا </w:t>
      </w:r>
      <w:r>
        <w:rPr>
          <w:rtl w:val="true"/>
        </w:rPr>
        <w:t>]</w:t>
      </w:r>
      <w:bookmarkEnd w:id="237"/>
    </w:p>
    <w:p>
      <w:pPr>
        <w:pStyle w:val="BookText"/>
        <w:rPr/>
      </w:pPr>
      <w:r>
        <w:rPr>
          <w:rFonts w:ascii="Amiri" w:hAnsi="Amiri" w:eastAsia="Amiri" w:cs="Amiri"/>
          <w:color w:val="111111"/>
          <w:sz w:val="28"/>
          <w:sz w:val="28"/>
          <w:szCs w:val="28"/>
          <w:rtl w:val="true"/>
          <w:lang w:bidi="ar-SA"/>
        </w:rPr>
        <w:t>المعروف من المذهب ان المضاف كسائر المائعات لا طهورية فيها عن الحدث ولا الخبث في حال الاختيار ولا الاضطرار ، وقد وقع هناك خلاف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فقد خالف فيه الصدوق في ظاهر الهداية </w:t>
      </w:r>
      <w:r>
        <w:rPr>
          <w:rStyle w:val="FootnoteAnchor"/>
          <w:rtl w:val="true"/>
        </w:rPr>
        <w:footnoteReference w:id="1420"/>
      </w:r>
      <w:r>
        <w:rPr>
          <w:rFonts w:ascii="Amiri" w:hAnsi="Amiri" w:eastAsia="Amiri" w:cs="Amiri"/>
          <w:color w:val="111111"/>
          <w:sz w:val="28"/>
          <w:sz w:val="28"/>
          <w:szCs w:val="28"/>
          <w:rtl w:val="true"/>
          <w:lang w:bidi="ar-SA"/>
        </w:rPr>
        <w:t xml:space="preserve">والفقيه بالنسبة إلى خصوص ماء الورد </w:t>
      </w:r>
      <w:r>
        <w:rPr>
          <w:rStyle w:val="FootnoteAnchor"/>
          <w:rtl w:val="true"/>
        </w:rPr>
        <w:footnoteReference w:id="1421"/>
      </w:r>
      <w:r>
        <w:rPr>
          <w:rFonts w:ascii="Amiri" w:hAnsi="Amiri" w:eastAsia="Amiri" w:cs="Amiri"/>
          <w:color w:val="111111"/>
          <w:sz w:val="28"/>
          <w:sz w:val="28"/>
          <w:szCs w:val="28"/>
          <w:rtl w:val="true"/>
          <w:lang w:bidi="ar-SA"/>
        </w:rPr>
        <w:t>إلى قوم من أصحاب الحديث ، والظاهر اختصاص الخلاف بماء الورد دون غيره من أنواع المضاف</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له ما في المعتبر </w:t>
      </w:r>
      <w:r>
        <w:rPr>
          <w:rStyle w:val="FootnoteAnchor"/>
          <w:rtl w:val="true"/>
        </w:rPr>
        <w:footnoteReference w:id="1422"/>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الناس جميعا على أنّه لا يجوز الوضوء بغير ماء الورد من المائعات ، ولم نجد من وافقه ممّن سبقه أو تأخر عنه سوى صاحب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جدا للأصل والإجماع على الظاهر المصرّح به في التهذيب </w:t>
      </w:r>
      <w:r>
        <w:rPr>
          <w:rStyle w:val="FootnoteAnchor"/>
          <w:rtl w:val="true"/>
        </w:rPr>
        <w:footnoteReference w:id="1423"/>
      </w:r>
      <w:r>
        <w:rPr>
          <w:rFonts w:ascii="IRNazanin" w:hAnsi="IRNazanin" w:eastAsia="IRNazanin"/>
          <w:color w:val="111111"/>
          <w:sz w:val="28"/>
          <w:sz w:val="28"/>
          <w:szCs w:val="28"/>
          <w:rtl w:val="true"/>
          <w:lang w:bidi="fa-IR"/>
        </w:rPr>
        <w:t xml:space="preserve">والإستبصار </w:t>
      </w:r>
      <w:r>
        <w:rPr>
          <w:rStyle w:val="FootnoteAnchor"/>
          <w:rtl w:val="true"/>
        </w:rPr>
        <w:footnoteReference w:id="1424"/>
      </w:r>
      <w:r>
        <w:rPr>
          <w:rFonts w:ascii="Amiri" w:hAnsi="Amiri" w:eastAsia="Amiri" w:cs="Amiri"/>
          <w:color w:val="111111"/>
          <w:sz w:val="28"/>
          <w:sz w:val="28"/>
          <w:szCs w:val="28"/>
          <w:rtl w:val="true"/>
          <w:lang w:bidi="ar-SA"/>
        </w:rPr>
        <w:t xml:space="preserve">والغنية </w:t>
      </w:r>
      <w:r>
        <w:rPr>
          <w:rStyle w:val="FootnoteAnchor"/>
          <w:rtl w:val="true"/>
        </w:rPr>
        <w:footnoteReference w:id="1425"/>
      </w:r>
      <w:r>
        <w:rPr>
          <w:rFonts w:ascii="IRNazanin" w:hAnsi="IRNazanin" w:eastAsia="IRNazanin"/>
          <w:color w:val="111111"/>
          <w:sz w:val="28"/>
          <w:sz w:val="28"/>
          <w:szCs w:val="28"/>
          <w:rtl w:val="true"/>
          <w:lang w:bidi="fa-IR"/>
        </w:rPr>
        <w:t xml:space="preserve">والشرائع </w:t>
      </w:r>
      <w:r>
        <w:rPr>
          <w:rStyle w:val="FootnoteAnchor"/>
          <w:rtl w:val="true"/>
        </w:rPr>
        <w:footnoteReference w:id="1426"/>
      </w:r>
      <w:r>
        <w:rPr>
          <w:rFonts w:ascii="IRNazanin" w:hAnsi="IRNazanin" w:eastAsia="IRNazanin"/>
          <w:color w:val="111111"/>
          <w:sz w:val="28"/>
          <w:sz w:val="28"/>
          <w:szCs w:val="28"/>
          <w:rtl w:val="true"/>
          <w:lang w:bidi="fa-IR"/>
        </w:rPr>
        <w:t xml:space="preserve">والنافع </w:t>
      </w:r>
      <w:r>
        <w:rPr>
          <w:rStyle w:val="FootnoteAnchor"/>
          <w:rtl w:val="true"/>
        </w:rPr>
        <w:footnoteReference w:id="1427"/>
      </w:r>
      <w:r>
        <w:rPr>
          <w:rFonts w:ascii="IRNazanin" w:hAnsi="IRNazanin" w:eastAsia="IRNazanin"/>
          <w:color w:val="111111"/>
          <w:sz w:val="28"/>
          <w:sz w:val="28"/>
          <w:szCs w:val="28"/>
          <w:rtl w:val="true"/>
          <w:lang w:bidi="fa-IR"/>
        </w:rPr>
        <w:t xml:space="preserve">والمنتهى </w:t>
      </w:r>
      <w:r>
        <w:rPr>
          <w:rStyle w:val="FootnoteAnchor"/>
          <w:rtl w:val="true"/>
        </w:rPr>
        <w:footnoteReference w:id="1428"/>
      </w:r>
      <w:r>
        <w:rPr>
          <w:rFonts w:ascii="Amiri" w:hAnsi="Amiri" w:eastAsia="Amiri" w:cs="Amiri"/>
          <w:color w:val="111111"/>
          <w:sz w:val="28"/>
          <w:sz w:val="28"/>
          <w:szCs w:val="28"/>
          <w:rtl w:val="true"/>
          <w:lang w:bidi="ar-SA"/>
        </w:rPr>
        <w:t xml:space="preserve">والتذكرة والسرائر </w:t>
      </w:r>
      <w:r>
        <w:rPr>
          <w:rStyle w:val="FootnoteAnchor"/>
          <w:rtl w:val="true"/>
        </w:rPr>
        <w:footnoteReference w:id="1429"/>
      </w:r>
      <w:r>
        <w:rPr>
          <w:rFonts w:ascii="Amiri" w:hAnsi="Amiri" w:eastAsia="Amiri" w:cs="Amiri"/>
          <w:color w:val="111111"/>
          <w:sz w:val="28"/>
          <w:sz w:val="28"/>
          <w:szCs w:val="28"/>
          <w:rtl w:val="true"/>
          <w:lang w:bidi="ar-SA"/>
        </w:rPr>
        <w:t>والطالبيّة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ونفى عنه الخلاف بين الطائفة في المبسوط وبين المحصّلين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1430"/>
      </w:r>
      <w:r>
        <w:rPr>
          <w:rFonts w:ascii="Amiri" w:hAnsi="Amiri" w:eastAsia="Amiri" w:cs="Amiri"/>
          <w:color w:val="111111"/>
          <w:sz w:val="28"/>
          <w:sz w:val="28"/>
          <w:szCs w:val="28"/>
          <w:rtl w:val="true"/>
          <w:lang w:bidi="ar-SA"/>
        </w:rPr>
        <w:t xml:space="preserve">الذكرى </w:t>
      </w:r>
      <w:r>
        <w:rPr>
          <w:rStyle w:val="FootnoteAnchor"/>
          <w:rtl w:val="true"/>
        </w:rPr>
        <w:footnoteReference w:id="1431"/>
      </w:r>
      <w:r>
        <w:rPr>
          <w:rFonts w:ascii="IRNazanin" w:hAnsi="IRNazanin" w:eastAsia="IRNazanin"/>
          <w:color w:val="111111"/>
          <w:sz w:val="28"/>
          <w:sz w:val="28"/>
          <w:szCs w:val="28"/>
          <w:rtl w:val="true"/>
          <w:lang w:bidi="fa-IR"/>
        </w:rPr>
        <w:t>أن الصدوق مسبوق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الروض </w:t>
      </w:r>
      <w:r>
        <w:rPr>
          <w:rStyle w:val="FootnoteAnchor"/>
          <w:rtl w:val="true"/>
        </w:rPr>
        <w:footnoteReference w:id="1432"/>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بالإجماع ملحوق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على عدم دفعه والقول به شاذّ لا يعوّل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غاية المرام وكشف الالتباس الإجماع عليه ممّن عدا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التهذيب للفاضل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أطبق أصحابنا إلّا الصدوق على عدم جواز الطهارة بالماء المضاف ، وظاهر </w:t>
      </w:r>
      <w:r>
        <w:rPr>
          <w:rStyle w:val="FootnoteAnchor"/>
          <w:rtl w:val="true"/>
        </w:rPr>
        <w:footnoteReference w:id="1433"/>
      </w:r>
      <w:r>
        <w:rPr>
          <w:rFonts w:ascii="Amiri" w:hAnsi="Amiri" w:eastAsia="Amiri" w:cs="Amiri"/>
          <w:color w:val="111111"/>
          <w:sz w:val="28"/>
          <w:sz w:val="28"/>
          <w:szCs w:val="28"/>
          <w:rtl w:val="true"/>
          <w:lang w:bidi="ar-SA"/>
        </w:rPr>
        <w:t xml:space="preserve">الآية الشريفة الحاكمة بانتقال الحكم إلى التيمّم مع عدم وجدان الماء الصادق مع وجدانه ، وقوله عليه‌السلام في خبر أبي بصير وقد سأله عن الماء باللبن </w:t>
      </w:r>
      <w:r>
        <w:rPr>
          <w:rStyle w:val="FootnoteAnchor"/>
          <w:rtl w:val="true"/>
        </w:rPr>
        <w:footnoteReference w:id="143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إنّما هو الماء والصعيد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اعتضاده بالشهرة العظيمة بل الإجماع محققة كما عرفت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الحكم بطهورية الماء المطلق في معرض الامتنان ، ولو تمّ </w:t>
      </w:r>
      <w:r>
        <w:rPr>
          <w:rStyle w:val="FootnoteAnchor"/>
          <w:rtl w:val="true"/>
        </w:rPr>
        <w:footnoteReference w:id="1435"/>
      </w:r>
      <w:r>
        <w:rPr>
          <w:rFonts w:ascii="Amiri" w:hAnsi="Amiri" w:eastAsia="Amiri" w:cs="Amiri"/>
          <w:color w:val="111111"/>
          <w:sz w:val="28"/>
          <w:sz w:val="28"/>
          <w:szCs w:val="28"/>
          <w:rtl w:val="true"/>
          <w:lang w:bidi="ar-SA"/>
        </w:rPr>
        <w:t xml:space="preserve">الحكم لغير المطلق لأشير </w:t>
      </w:r>
      <w:r>
        <w:rPr>
          <w:rStyle w:val="FootnoteAnchor"/>
          <w:rtl w:val="true"/>
        </w:rPr>
        <w:footnoteReference w:id="1436"/>
      </w:r>
      <w:r>
        <w:rPr>
          <w:rFonts w:ascii="Amiri" w:hAnsi="Amiri" w:eastAsia="Amiri" w:cs="Amiri"/>
          <w:color w:val="111111"/>
          <w:sz w:val="28"/>
          <w:sz w:val="28"/>
          <w:szCs w:val="28"/>
          <w:rtl w:val="true"/>
          <w:lang w:bidi="ar-SA"/>
        </w:rPr>
        <w:t xml:space="preserve">إليه بحسب المقام ليكون الامتنان أكمل </w:t>
      </w:r>
      <w:r>
        <w:rPr>
          <w:rStyle w:val="FootnoteAnchor"/>
          <w:rtl w:val="true"/>
        </w:rPr>
        <w:footnoteReference w:id="1437"/>
      </w:r>
      <w:r>
        <w:rPr>
          <w:rFonts w:ascii="Amiri" w:hAnsi="Amiri" w:eastAsia="Amiri" w:cs="Amiri"/>
          <w:color w:val="111111"/>
          <w:sz w:val="28"/>
          <w:sz w:val="28"/>
          <w:szCs w:val="28"/>
          <w:rtl w:val="true"/>
          <w:lang w:bidi="ar-SA"/>
        </w:rPr>
        <w:t xml:space="preserve">، وإن ظاهر إطلاق الغسل في الآية والأخبار قد ينصرف إلى ما يكون بالماء إما لأخذه في مفهوم الغسل أو لأنّه الفرد الغالب ، فتعيّن للاستعمال ، وكان مستند الصدوق في ذلك رواية يونس ، عن أبي الحسن عليه‌السلام في الرجل يغتسل بماء الورد ويتوضأ للصلاة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مضافا إلى إطلاقات الغسل الواردة في الآية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أيضا باندراج ماء الورد في المطلق والإضافة فيه لأدنى الملابسة كماء الحوض وماء النهر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الرواية تارة بضعفها في الإسناد ؛ لاشتماله على سهل ، والمشهور بين أصحاب الرجال ضعفه </w:t>
      </w:r>
      <w:r>
        <w:rPr>
          <w:rStyle w:val="FootnoteAnchor"/>
          <w:rtl w:val="true"/>
        </w:rPr>
        <w:footnoteReference w:id="1439"/>
      </w:r>
      <w:r>
        <w:rPr>
          <w:rFonts w:ascii="Amiri" w:hAnsi="Amiri" w:eastAsia="Amiri" w:cs="Amiri"/>
          <w:color w:val="111111"/>
          <w:sz w:val="28"/>
          <w:sz w:val="28"/>
          <w:szCs w:val="28"/>
          <w:rtl w:val="true"/>
          <w:lang w:bidi="ar-SA"/>
        </w:rPr>
        <w:t>، وقد نصّ عليه جماعة من الأصحاب ، ونصّ أنّه فاسد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يظهر ذلك من رواياته </w:t>
      </w:r>
      <w:r>
        <w:rPr>
          <w:rStyle w:val="FootnoteAnchor"/>
          <w:rtl w:val="true"/>
        </w:rPr>
        <w:footnoteReference w:id="1440"/>
      </w:r>
      <w:r>
        <w:rPr>
          <w:rFonts w:ascii="Amiri" w:hAnsi="Amiri" w:eastAsia="Amiri" w:cs="Amiri"/>
          <w:color w:val="111111"/>
          <w:sz w:val="28"/>
          <w:sz w:val="28"/>
          <w:szCs w:val="28"/>
          <w:rtl w:val="true"/>
          <w:lang w:bidi="ar-SA"/>
        </w:rPr>
        <w:t>، وكأنّهم عنوا به الغلوّ والارتفاع في القول على ما هو دأبهم من رمي كثير من الأجلاء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المدارك </w:t>
      </w:r>
      <w:r>
        <w:rPr>
          <w:rStyle w:val="FootnoteAnchor"/>
          <w:rtl w:val="true"/>
        </w:rPr>
        <w:footnoteReference w:id="1441"/>
      </w:r>
      <w:r>
        <w:rPr>
          <w:rFonts w:ascii="Amiri" w:hAnsi="Amiri" w:eastAsia="Amiri" w:cs="Amiri"/>
          <w:color w:val="111111"/>
          <w:sz w:val="28"/>
          <w:sz w:val="28"/>
          <w:szCs w:val="28"/>
          <w:rtl w:val="true"/>
          <w:lang w:bidi="ar-SA"/>
        </w:rPr>
        <w:t xml:space="preserve">من الحكم بكونه عامي المذهب غريب ؛ إذ لم نجد له أثرا في شي‌ء من كتب الأخبار بل ظاهرهم عدم التأمل </w:t>
      </w:r>
      <w:r>
        <w:rPr>
          <w:rStyle w:val="FootnoteAnchor"/>
          <w:rtl w:val="true"/>
        </w:rPr>
        <w:footnoteReference w:id="1442"/>
      </w:r>
      <w:r>
        <w:rPr>
          <w:rFonts w:ascii="Amiri" w:hAnsi="Amiri" w:eastAsia="Amiri" w:cs="Amiri"/>
          <w:color w:val="111111"/>
          <w:sz w:val="28"/>
          <w:sz w:val="28"/>
          <w:szCs w:val="28"/>
          <w:rtl w:val="true"/>
          <w:lang w:bidi="ar-SA"/>
        </w:rPr>
        <w:t>في كونه من الأصحاب كما يظهر من رواياته ، وإكثار ثقة الإسلام عنه حتّى أنّه عقد له عدة على نحو عدة البرقي وابن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وغيره ممّا ذكر في محلّه وغيره إشارة إلى الاعتماد عليه إلّا أن ذلك كلّه لا يخرجه عن حدّ الضعف فلا يجوز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فيه أيضا من جهة الاشتمال على العبدي عن يونس ؛ نظرا إلى استثنائهم ذلك من رجال نوادر الحكمة ، وهو إن لم يثبت عندنا إلّا أنّه يوجب وهنا في الخبر سيّما في المقام ، وأخرى بشذوذها ومتروكيّتها بين الأصحاب وإعراضهم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كتابي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خبر شاذّ شديد الشذوذ ، وقد أجمعت العصابة على ترك العمل بظاهره ، مضافا إلى معارضته لظاهر الآية وغيرها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Style w:val="FootnoteAnchor"/>
          <w:rtl w:val="true"/>
        </w:rPr>
        <w:footnoteReference w:id="1443"/>
      </w:r>
      <w:r>
        <w:rPr>
          <w:rFonts w:ascii="Amiri" w:hAnsi="Amiri" w:eastAsia="Amiri" w:cs="Amiri"/>
          <w:color w:val="111111"/>
          <w:sz w:val="28"/>
          <w:sz w:val="28"/>
          <w:szCs w:val="28"/>
          <w:rtl w:val="true"/>
          <w:lang w:bidi="ar-SA"/>
        </w:rPr>
        <w:t xml:space="preserve">بأنّ المراد بها ماء ألقي فيه الورد دون المصعّد ؛ اكتفاء بأدنى الملابسة أو يقرء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الواو ، والمقصود السؤال عن المياه التي تكون مورودة للدوابّ وسائر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إلى الإطلاقات قد عرفت ما فيه ، فهي إن لم تكن شاهدة للمشهور فلا تشهد على خلافه سيّما مع الإطباق على عدم جواز استعمال غير ماء الورد إلى العرف </w:t>
      </w:r>
      <w:r>
        <w:rPr>
          <w:rStyle w:val="FootnoteAnchor"/>
          <w:rtl w:val="true"/>
        </w:rPr>
        <w:footnoteReference w:id="1444"/>
      </w:r>
      <w:r>
        <w:rPr>
          <w:rFonts w:ascii="Amiri" w:hAnsi="Amiri" w:eastAsia="Amiri" w:cs="Amiri"/>
          <w:color w:val="111111"/>
          <w:sz w:val="28"/>
          <w:sz w:val="28"/>
          <w:szCs w:val="28"/>
          <w:rtl w:val="true"/>
          <w:lang w:bidi="ar-SA"/>
        </w:rPr>
        <w:t>من المياه المضافة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والاستناد إلى اندراجه في المطلق أوهن الوجوه المذكورة ؛ لوضوح فساده بعد 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خالف فيه السيد ، وعزاه في السرائر إليه وإلى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النقل عن المفيد ، فحكى عنه في المختلف ذهابه إلى المشهور ، والمحكي عنه في كلام جماعة من المتأخرين كصاحب المدارك وأخيه القول بجواز الإزالة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الروض وغيره حكاية الإجماع ممّن تقدّم على السيد وتأخّر عنه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إشارة إلى موافقته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السيّد في عدّة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الخلاف والمعتبر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بجواز إزالة الخبث لمطلق 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فالقول به ضعيف منقرض قد أطبق المتأخرون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الفتوى على عدم إزالة الخبث به والقول به شاذّ لا يعوّل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التهذيب للفاضل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 بل الإجماع على جواز إزالة النجاسة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المشهور الأصل وورود الأمر بالغسل بالماء في عدّة من الأخبار الظاهرة في تعيينه في الغسل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يجزي من البول إلا الماء </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 xml:space="preserve">مع عدم القول بالفصل ،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w:t>
      </w:r>
    </w:p>
    <w:p>
      <w:pPr>
        <w:pStyle w:val="BookText"/>
        <w:rPr/>
      </w:pPr>
      <w:r>
        <w:rPr>
          <w:rFonts w:ascii="Amiri" w:hAnsi="Amiri" w:eastAsia="Amiri" w:cs="Amiri"/>
          <w:color w:val="111111"/>
          <w:sz w:val="28"/>
          <w:sz w:val="28"/>
          <w:szCs w:val="28"/>
          <w:rtl w:val="true"/>
          <w:lang w:bidi="ar-SA"/>
        </w:rPr>
        <w:t xml:space="preserve">يطهر من غير ماء </w:t>
      </w:r>
      <w:r>
        <w:rPr>
          <w:rFonts w:eastAsia="Amiri" w:cs="Amiri" w:ascii="Amiri" w:hAnsi="Amiri"/>
          <w:color w:val="111111"/>
          <w:sz w:val="28"/>
          <w:szCs w:val="28"/>
          <w:rtl w:val="true"/>
          <w:lang w:bidi="ar-SA"/>
        </w:rPr>
        <w:t xml:space="preserve">» </w:t>
      </w:r>
      <w:r>
        <w:rPr>
          <w:rStyle w:val="FootnoteAnchor"/>
          <w:rtl w:val="true"/>
        </w:rPr>
        <w:footnoteReference w:id="1446"/>
      </w:r>
      <w:r>
        <w:rPr>
          <w:rFonts w:ascii="Amiri" w:hAnsi="Amiri" w:eastAsia="Amiri" w:cs="Amiri"/>
          <w:color w:val="111111"/>
          <w:sz w:val="28"/>
          <w:sz w:val="28"/>
          <w:szCs w:val="28"/>
          <w:rtl w:val="true"/>
          <w:lang w:bidi="ar-SA"/>
        </w:rPr>
        <w:t xml:space="preserve">، وفي الصحيح أو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أجنب في ثوبه وليس معه ثوب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يصلّي فيه وإذا وجد الماء </w:t>
      </w:r>
      <w:r>
        <w:rPr>
          <w:rStyle w:val="FootnoteAnchor"/>
          <w:rtl w:val="true"/>
        </w:rPr>
        <w:footnoteReference w:id="1447"/>
      </w:r>
      <w:r>
        <w:rPr>
          <w:rFonts w:ascii="Amiri" w:hAnsi="Amiri" w:eastAsia="Amiri" w:cs="Amiri"/>
          <w:color w:val="111111"/>
          <w:sz w:val="28"/>
          <w:sz w:val="28"/>
          <w:szCs w:val="28"/>
          <w:rtl w:val="true"/>
          <w:lang w:bidi="ar-SA"/>
        </w:rPr>
        <w:t xml:space="preserve">غسّله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اعتضاده بالاحتياط غالبا ، والشهرة العظيمة القريبة من الإجماع </w:t>
      </w:r>
      <w:r>
        <w:rPr>
          <w:rStyle w:val="FootnoteAnchor"/>
          <w:rtl w:val="true"/>
        </w:rPr>
        <w:footnoteReference w:id="1449"/>
      </w:r>
      <w:r>
        <w:rPr>
          <w:rFonts w:ascii="Amiri" w:hAnsi="Amiri" w:eastAsia="Amiri" w:cs="Amiri"/>
          <w:color w:val="111111"/>
          <w:sz w:val="28"/>
          <w:sz w:val="28"/>
          <w:szCs w:val="28"/>
          <w:rtl w:val="true"/>
          <w:lang w:bidi="ar-SA"/>
        </w:rPr>
        <w:t>، وإطلاق الأمر بالتطهير والغسل الشامل لذلك ، وأن الغرض إزالة الخبث ، وهو حاصل به من غير خصوصيّة فيه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حسنة الحكم بن الحكيم الصيرفي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أبول فلا أصيب الماء وقد أصاب يدي شي‌ء من البول فأمسحه بالحائط والتراب ، ثمّ تعرق يدي فأمسح وجهي أو بعض جسدي أو تصيب ثوبي؟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رواية غياث بن ابراهيم ، عن أبي عبد اللّه ، عن أبيه ، عن على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يغسل الدم بالبصاق </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ووهن الجميع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فلاشتهار خلافه ، فلو لم يكن منعقدا على عدمه فليس منعقدا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في المسائل المصريّة الوجه في دعواه الإجماع في المقام حيث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أضاف علم الهدى إزالة النجاسة بالمائعات إلى مذهبنا ولا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أنّه ذكر في الخلاف أنّه إنّما أضاف ذلك إلى مذهبنا لأن من أصلنا العمل بدليل الأصل العقل ما لم يثبت إلينا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الشرع ما يمنع استعمال المائعات في الإزالة ولا ما يوجبها ، ونحن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لا نفرّق بين الماء والخلّ في الإزالة بل ربّما كان غير الماء أبلغ حكما </w:t>
      </w:r>
      <w:r>
        <w:rPr>
          <w:rStyle w:val="FootnoteAnchor"/>
          <w:rtl w:val="true"/>
        </w:rPr>
        <w:footnoteReference w:id="1453"/>
      </w:r>
      <w:r>
        <w:rPr>
          <w:rFonts w:ascii="Amiri" w:hAnsi="Amiri" w:eastAsia="Amiri" w:cs="Amiri"/>
          <w:color w:val="111111"/>
          <w:sz w:val="28"/>
          <w:sz w:val="28"/>
          <w:szCs w:val="28"/>
          <w:rtl w:val="true"/>
          <w:lang w:bidi="ar-SA"/>
        </w:rPr>
        <w:t>بدليل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صريح في كون الإجماع المدّعى تخريجيّا </w:t>
      </w:r>
      <w:r>
        <w:rPr>
          <w:rStyle w:val="FootnoteAnchor"/>
          <w:rtl w:val="true"/>
        </w:rPr>
        <w:footnoteReference w:id="1454"/>
      </w:r>
      <w:r>
        <w:rPr>
          <w:rFonts w:ascii="Amiri" w:hAnsi="Amiri" w:eastAsia="Amiri" w:cs="Amiri"/>
          <w:color w:val="111111"/>
          <w:sz w:val="28"/>
          <w:sz w:val="28"/>
          <w:szCs w:val="28"/>
          <w:rtl w:val="true"/>
          <w:lang w:bidi="ar-SA"/>
        </w:rPr>
        <w:t>مبنيّا على الوجه المذكور ، فظهر فساده بفساد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لو صحّ ما ذكره لم يصحّ </w:t>
      </w:r>
      <w:r>
        <w:rPr>
          <w:rStyle w:val="FootnoteAnchor"/>
          <w:rtl w:val="true"/>
        </w:rPr>
        <w:footnoteReference w:id="1455"/>
      </w:r>
      <w:r>
        <w:rPr>
          <w:rFonts w:ascii="Amiri" w:hAnsi="Amiri" w:eastAsia="Amiri" w:cs="Amiri"/>
          <w:color w:val="111111"/>
          <w:sz w:val="28"/>
          <w:sz w:val="28"/>
          <w:szCs w:val="28"/>
          <w:rtl w:val="true"/>
          <w:lang w:bidi="ar-SA"/>
        </w:rPr>
        <w:t>الاستناد إلى الإجماع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الوجه في ضعف الإسناد إلى أكثر إجماعاته المنقولة في المسائل الخلافية ، والإطلاقات لا حجة فيها بعد انصرافها إلى المتعارف إن سلّم حصول العقل </w:t>
      </w:r>
      <w:r>
        <w:rPr>
          <w:rStyle w:val="FootnoteAnchor"/>
          <w:rtl w:val="true"/>
        </w:rPr>
        <w:footnoteReference w:id="1456"/>
      </w:r>
      <w:r>
        <w:rPr>
          <w:rFonts w:ascii="Amiri" w:hAnsi="Amiri" w:eastAsia="Amiri" w:cs="Amiri"/>
          <w:color w:val="111111"/>
          <w:sz w:val="28"/>
          <w:sz w:val="28"/>
          <w:szCs w:val="28"/>
          <w:rtl w:val="true"/>
          <w:lang w:bidi="ar-SA"/>
        </w:rPr>
        <w:t>على الحقيقة من غير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أورده السيد من أنّه لو قيل باختصاص الغسل بما يغسل به في المعتاد لما جاز الغسل بما لم تجر العادة بالغسل به من المياه كماء النفط وماء الكبريت ونحوهما ، وهو خلاف الإجماع ؛ مدفوع بأنّه لو سلّم ذلك فالإجماع على جوازه كاف في ذلك ، وهو الحجة فيه دون الإطلاق ، مع حصول الفرق البيّن بين المقامين ؛ إذ ندرة الوجوه </w:t>
      </w:r>
      <w:r>
        <w:rPr>
          <w:rStyle w:val="FootnoteAnchor"/>
          <w:rtl w:val="true"/>
        </w:rPr>
        <w:footnoteReference w:id="1457"/>
      </w:r>
      <w:r>
        <w:rPr>
          <w:rFonts w:ascii="Amiri" w:hAnsi="Amiri" w:eastAsia="Amiri" w:cs="Amiri"/>
          <w:color w:val="111111"/>
          <w:sz w:val="28"/>
          <w:sz w:val="28"/>
          <w:szCs w:val="28"/>
          <w:rtl w:val="true"/>
          <w:lang w:bidi="ar-SA"/>
        </w:rPr>
        <w:t>غير الفرد حسب ما قرر في محلّه على ان غاية الأمر فيه الاستناد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حملها على الأخبار المقيدة حسبما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إزالة العين غير كاف في حصول الطهارة وإلّا لجازت التطهير بغير المائعات ، بل وحصل ذلك بمجرد تخفيف النجاسة المائعة كالبول إذا زال به العين ، ولا قائل به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والاستناد فيه إلى الحسنة المذكورة بيّن الوهن ؛ إذ لو حملت دلالتها على حصول الطهر بذلك فهي متروكة بين الأصحاب ، مع أنّها لم تشتمل على كون الازالة بالمائع من المضاف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دلّ عليه من ازالة البول من الجسد بالحائط أو التراب لم يقل به أحد منّا كما نصّ عليه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غياث ضعيفة جدّا ، متروكة بين الأصحاب ، معارضة بما عرفت ؛ فهي لا تنهض حجة في نفسها فضلا عن الاعتماد عليها مع متروكيتها ومعارضتها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الخبرين المذكورين منظور المفيد حيث ذكر في مسائل خلافه أن جواز </w:t>
      </w:r>
      <w:r>
        <w:rPr>
          <w:rStyle w:val="FootnoteAnchor"/>
          <w:rtl w:val="true"/>
        </w:rPr>
        <w:footnoteReference w:id="1458"/>
      </w:r>
      <w:r>
        <w:rPr>
          <w:rFonts w:ascii="Amiri" w:hAnsi="Amiri" w:eastAsia="Amiri" w:cs="Amiri"/>
          <w:color w:val="111111"/>
          <w:sz w:val="28"/>
          <w:sz w:val="28"/>
          <w:szCs w:val="28"/>
          <w:rtl w:val="true"/>
          <w:lang w:bidi="ar-SA"/>
        </w:rPr>
        <w:t>الإزالة به مروي عن الأئمّة عليهم‌السلام فيما حكاه المحقّق في المسائل المصريّة ؛ إذ لم ينقل أحد من الأصحاب فيه رواية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فقد خالف فيه العماني وفصّل بين الحالين ، فمنع من استعماله مع الاختيار وجوّزه في حال الاضطرار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المقنع عن الصدوق تجويزه رفع الحدث بماء الورد في السفر وفيه عدم المطلق إلّا أنّه غير مطابق للموجود في كتبه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فلم نجد مستند التفصيل ، وقد يستند فيه بالجمع بين الأخبار وحمل الخبر المذكور </w:t>
      </w:r>
      <w:r>
        <w:rPr>
          <w:rStyle w:val="FootnoteAnchor"/>
          <w:rtl w:val="true"/>
        </w:rPr>
        <w:footnoteReference w:id="1459"/>
      </w:r>
      <w:r>
        <w:rPr>
          <w:rFonts w:ascii="Amiri" w:hAnsi="Amiri" w:eastAsia="Amiri" w:cs="Amiri"/>
          <w:color w:val="111111"/>
          <w:sz w:val="28"/>
          <w:sz w:val="28"/>
          <w:szCs w:val="28"/>
          <w:rtl w:val="true"/>
          <w:lang w:bidi="ar-SA"/>
        </w:rPr>
        <w:t>على صورة الاضطرار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ووهنه ظاهر ؛ إذ هي مع عدم مكافأته لغيره وخلوّ الجمع المذكور عن الشاهد غير واف لمقصوده</w:t>
      </w:r>
      <w:r>
        <w:rPr>
          <w:rFonts w:eastAsia="Amiri" w:cs="Amiri" w:ascii="Amiri" w:hAnsi="Amiri"/>
          <w:color w:val="111111"/>
          <w:sz w:val="28"/>
          <w:szCs w:val="28"/>
          <w:rtl w:val="true"/>
          <w:lang w:bidi="ar-SA"/>
        </w:rPr>
        <w:t xml:space="preserve">. </w:t>
      </w:r>
      <w:bookmarkStart w:id="238" w:name="pg15827_173820"/>
    </w:p>
    <w:p>
      <w:pPr>
        <w:pStyle w:val="Heading4"/>
        <w:numPr>
          <w:ilvl w:val="3"/>
          <w:numId w:val="1"/>
        </w:numPr>
        <w:rPr/>
      </w:pPr>
      <w:bookmarkStart w:id="239" w:name="__RefHeading___Toc14099757_2142443653"/>
      <w:bookmarkStart w:id="240" w:name="_Toc85"/>
      <w:bookmarkEnd w:id="238"/>
      <w:bookmarkEnd w:id="239"/>
      <w:r>
        <w:rPr>
          <w:rtl w:val="true"/>
        </w:rPr>
        <w:t>تبصرة</w:t>
      </w:r>
      <w:r>
        <w:rPr>
          <w:rtl w:val="true"/>
        </w:rPr>
        <w:t xml:space="preserve">: [ </w:t>
      </w:r>
      <w:r>
        <w:rPr>
          <w:rtl w:val="true"/>
        </w:rPr>
        <w:t xml:space="preserve">في كيفية تطهير المضاف المتنجّس </w:t>
      </w:r>
      <w:r>
        <w:rPr>
          <w:rtl w:val="true"/>
        </w:rPr>
        <w:t>]</w:t>
      </w:r>
      <w:bookmarkEnd w:id="240"/>
    </w:p>
    <w:p>
      <w:pPr>
        <w:pStyle w:val="BookText"/>
        <w:rPr/>
      </w:pPr>
      <w:r>
        <w:rPr>
          <w:rFonts w:ascii="Amiri" w:hAnsi="Amiri" w:eastAsia="Amiri" w:cs="Amiri"/>
          <w:color w:val="111111"/>
          <w:sz w:val="28"/>
          <w:sz w:val="28"/>
          <w:szCs w:val="28"/>
          <w:rtl w:val="true"/>
          <w:lang w:bidi="ar-SA"/>
        </w:rPr>
        <w:t>إذا تنجّس المضاف اعتبر في طهره خروجه عن الإضافة إلى الإطلاق ، وملاقاته للمطهّر على نحو ما مرّ في تطهير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ما دام مضافا غير قابل للتطهير لسراية النجاسة إلى جميع أعماقه </w:t>
      </w:r>
      <w:r>
        <w:rPr>
          <w:rStyle w:val="FootnoteAnchor"/>
          <w:rtl w:val="true"/>
        </w:rPr>
        <w:footnoteReference w:id="1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وملاقاة المطهّر لجميع أجزائه من المستحيل مع بقاء الإضافة وبقاء الماء على المائية ؛ إذ مع عدم حصول المزج التام لا يمكن وصول الماء إلى جميع أجزاء المضاف ، ومع حصول الامتزاج التام لو سلّم حصول ملاقاته لجميع الأجزاء إمّا أن ينقلب المضاف مطلقا أو يخرج الماء من الإطلاق ، والأوّل خروج عن محلّ البحث ، والثاني لا يقضي بالتطهير لخروج الماء حينئذ من الإطلاق القاضي بخروجه عن الطهورية ، فلا يكون طهورا حال إفادته التطهير ، وحينئذ ينجس </w:t>
      </w:r>
      <w:r>
        <w:rPr>
          <w:rStyle w:val="FootnoteAnchor"/>
          <w:rtl w:val="true"/>
        </w:rPr>
        <w:footnoteReference w:id="1461"/>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المطلق أنّ المطلق متّصف بعد الطهارة بالطهوريّة فيطهر ما يلاقيه وهكذا ، بخلاف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اكتفينا هناك بمجرد الاتصال بخلاف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فائدة حينئذ لمراعاة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خرج عن الإضافة وصار مطلقا كان بحكمه ، فيطهر بما يطهر به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وبقاء حقيقته السابقة وتأثيره في المطلق لا يمنع من قبول الطهارة ، ولا يقضى بتنجيس الماء ؛ لما عرفت من ضعف القول بتنجس الماء بتغيّره بالمتنجّس ، وإنّما يختصّ ذلك بعين النجاسة كما مرّ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لا فرق بين خروجه عن الإضافة بنفسه أو بتصفيق الرياح أو العلاج أو </w:t>
      </w:r>
    </w:p>
    <w:p>
      <w:pPr>
        <w:pStyle w:val="BookText"/>
        <w:rPr/>
      </w:pPr>
      <w:r>
        <w:rPr>
          <w:rFonts w:ascii="Amiri" w:hAnsi="Amiri" w:eastAsia="Amiri" w:cs="Amiri"/>
          <w:color w:val="111111"/>
          <w:sz w:val="28"/>
          <w:sz w:val="28"/>
          <w:szCs w:val="28"/>
          <w:rtl w:val="true"/>
          <w:lang w:bidi="ar-SA"/>
        </w:rPr>
        <w:t>امتزاجه بالماء النجس أو الطاهر القليل أو المعتصم المطهّر ، غير أنّه في الأخير يطهر بمجرّد خروجه عن الإضافة ، وفي الأقسام المتقدّمة يفتقر إلى ملاقاة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طهره بما ذكرناه قد ذهب إليه العلّامة في التذكرة والنهاية ، وهو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في المسألة أقوال 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خروج المضاف عن إضافته وبقاء إطلاق الماء وعدم خروجه عن صفته من جهة اختلاطه بالمضاف وامتزاجه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ظاهر المحقق في المعتبر والعلامة في التحرير إلّا أن الشيخ اعتبر الزيادة على الكر ، ولم يعتبره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أخذ ذلك من جهة الاحتياط في بقاء مقدار الكر على الإطلاق مع بقاء الأوصاف ؛ إذ لا أقلّ من اتّصاف بعض الماء بأوصاف المضاف عند ممازجته وإن زال عنه بعد ذلك ؛ إذ من الواضح انتفاء المزية فيما زاد على الكر بالنسبة إليه ، فجعل ذلك قولا آخر في المسألة من جهة اعتبار الزيادة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بالاكتفاء بمجرّد الاتصال وإن بقي الاسم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الروضة وعزاه إلى العلامة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تطهيره بممازجة الكر وإن تغيّر الماء وخرج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 والقواعد ، وابن فهد في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يفصّل فيه بين ما إذا وضع المضاف في الماء </w:t>
      </w:r>
      <w:r>
        <w:rPr>
          <w:rStyle w:val="FootnoteAnchor"/>
          <w:rtl w:val="true"/>
        </w:rPr>
        <w:footnoteReference w:id="1462"/>
      </w:r>
      <w:r>
        <w:rPr>
          <w:rFonts w:ascii="Amiri" w:hAnsi="Amiri" w:eastAsia="Amiri" w:cs="Amiri"/>
          <w:color w:val="111111"/>
          <w:sz w:val="28"/>
          <w:sz w:val="28"/>
          <w:szCs w:val="28"/>
          <w:rtl w:val="true"/>
          <w:lang w:bidi="ar-SA"/>
        </w:rPr>
        <w:t>أو وضع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قيل بطهره بذلك فانّما يقال به في الثاني دون الأول ؛ إذ لا مجال للقول بطهر المحلّ من دون ملاقاة المطهر أصلا أو ملاقاته لبعضه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المحقق الكركي أنه أوجب أن يكون تصوير المسألة في إلقاء المضاف النجس فيه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كلام العلّامة قاض بخلافه ، بل عبارة الموجز الحاوي صريحة في خلافه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 بإلقاء كر عليه ، وإن بقي التغيير بالإضافة ، فمع ما علّل به التفصيل أن خروج الماء عن الاطلاق إما أن يكون بعد حصول امتزاجه بالجميع أو البعض دون الباقي أو لا يعلم شي‌ء من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يتعيّن عند البناء على الطهارة ، وعلى الثاني لا ينبغي التأمل في النجاسة ؛ إذ لا مطهر لبقيّة أجزاء المضاف ؛ إذ المفروض عدم وصول الماء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خروج الماء عن حقيقته تنجّس الجميع من جهة 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والاكتفاء في طهره </w:t>
      </w:r>
      <w:r>
        <w:rPr>
          <w:rStyle w:val="FootnoteAnchor"/>
          <w:rtl w:val="true"/>
        </w:rPr>
        <w:footnoteReference w:id="1463"/>
      </w:r>
      <w:r>
        <w:rPr>
          <w:rFonts w:ascii="Amiri" w:hAnsi="Amiri" w:eastAsia="Amiri" w:cs="Amiri"/>
          <w:color w:val="111111"/>
          <w:sz w:val="28"/>
          <w:sz w:val="28"/>
          <w:szCs w:val="28"/>
          <w:rtl w:val="true"/>
          <w:lang w:bidi="ar-SA"/>
        </w:rPr>
        <w:t>بمزجه بذلك على خروجه عن اسم الماء ممّا لا وجه له أصلا ، وكأنّ ذلك من كلام القائل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إن قيل بطهر المضاف أخذا بأصالة البقاء على المائية فلا مانع أيضا من القول بطهر المحلّ به ؛ إذ لا فاصل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أنه لو خصّص الحكم بما ذكره المحقق المذكور لم يصحّ الإطلاق ، وإن حمل على الوجه المذكور فلا حاجة إلى ما ذكر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أطلق في المقام لظهور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والوجه في قول الشيخ ظاهر ممّا قلناه ، وإنّما اعتبر عدم تغيّر الماء بأوصاف المضاف بناء على ما ذهب إليه من تنجيس الماء بتغيّره بالمتنجس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الوجه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ملاقاة المطهّر كاف </w:t>
      </w:r>
      <w:r>
        <w:rPr>
          <w:rStyle w:val="FootnoteAnchor"/>
          <w:rtl w:val="true"/>
        </w:rPr>
        <w:footnoteReference w:id="1464"/>
      </w:r>
      <w:r>
        <w:rPr>
          <w:rFonts w:ascii="Amiri" w:hAnsi="Amiri" w:eastAsia="Amiri" w:cs="Amiri"/>
          <w:color w:val="111111"/>
          <w:sz w:val="28"/>
          <w:sz w:val="28"/>
          <w:szCs w:val="28"/>
          <w:rtl w:val="true"/>
          <w:lang w:bidi="ar-SA"/>
        </w:rPr>
        <w:t>في التطهير والمفروض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وقد يرجع إلى الأخير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الثالث أن بلوغ الكر سبب لعدم الانفعال إلّا مع التغيير بالنجاسة ، فلا يؤثّر المضاف بالتنجيس وإن غلب عليه فيطهر </w:t>
      </w:r>
      <w:r>
        <w:rPr>
          <w:rStyle w:val="FootnoteAnchor"/>
          <w:rtl w:val="true"/>
        </w:rPr>
        <w:footnoteReference w:id="1465"/>
      </w:r>
      <w:r>
        <w:rPr>
          <w:rFonts w:ascii="Amiri" w:hAnsi="Amiri" w:eastAsia="Amiri" w:cs="Amiri"/>
          <w:color w:val="111111"/>
          <w:sz w:val="28"/>
          <w:sz w:val="28"/>
          <w:szCs w:val="28"/>
          <w:rtl w:val="true"/>
          <w:lang w:bidi="ar-SA"/>
        </w:rPr>
        <w:t xml:space="preserve">المضاف بملاقاته ؛ أخذا بعموم ما قضى بطهوريته </w:t>
      </w:r>
    </w:p>
    <w:p>
      <w:pPr>
        <w:pStyle w:val="BookText"/>
        <w:rPr/>
      </w:pPr>
      <w:r>
        <w:rPr>
          <w:rFonts w:ascii="Amiri" w:hAnsi="Amiri" w:eastAsia="Amiri" w:cs="Amiri"/>
          <w:color w:val="111111"/>
          <w:sz w:val="28"/>
          <w:sz w:val="28"/>
          <w:szCs w:val="28"/>
          <w:rtl w:val="true"/>
          <w:lang w:bidi="ar-SA"/>
        </w:rPr>
        <w:t>لما يلاقيه ، ومن جهة الاتّفاق على اتحاد حكمهما بعد الامتزاج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ظاهر أيضا ؛ إذ </w:t>
      </w:r>
      <w:r>
        <w:rPr>
          <w:rStyle w:val="FootnoteAnchor"/>
          <w:rtl w:val="true"/>
        </w:rPr>
        <w:footnoteReference w:id="1466"/>
      </w:r>
      <w:r>
        <w:rPr>
          <w:rFonts w:ascii="Amiri" w:hAnsi="Amiri" w:eastAsia="Amiri" w:cs="Amiri"/>
          <w:color w:val="111111"/>
          <w:sz w:val="28"/>
          <w:sz w:val="28"/>
          <w:szCs w:val="28"/>
          <w:rtl w:val="true"/>
          <w:lang w:bidi="ar-SA"/>
        </w:rPr>
        <w:t>الحكم المذكور إنّما ثبت للماء المطلق ، فبعد خروجه عنه واندراجها في المضاف لا بقاء للحكم المذكور ، فلا وجه للحكم بتطهيره لما يلاقيه ؛ إذ هو فرع طهارته في نفسه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خلافه ممّا بيّنّاه</w:t>
      </w:r>
      <w:r>
        <w:rPr>
          <w:rFonts w:eastAsia="Amiri" w:cs="Amiri" w:ascii="Amiri" w:hAnsi="Amiri"/>
          <w:color w:val="111111"/>
          <w:sz w:val="28"/>
          <w:szCs w:val="28"/>
          <w:rtl w:val="true"/>
          <w:lang w:bidi="ar-SA"/>
        </w:rPr>
        <w:t xml:space="preserve">. </w:t>
      </w:r>
      <w:bookmarkStart w:id="241" w:name="pg15827_173824"/>
    </w:p>
    <w:p>
      <w:pPr>
        <w:pStyle w:val="Heading4"/>
        <w:numPr>
          <w:ilvl w:val="3"/>
          <w:numId w:val="1"/>
        </w:numPr>
        <w:rPr/>
      </w:pPr>
      <w:bookmarkStart w:id="242" w:name="__RefHeading___Toc14099759_2142443653"/>
      <w:bookmarkStart w:id="243" w:name="_Toc86"/>
      <w:bookmarkEnd w:id="241"/>
      <w:bookmarkEnd w:id="242"/>
      <w:r>
        <w:rPr>
          <w:rtl w:val="true"/>
        </w:rPr>
        <w:t>تبصرة</w:t>
      </w:r>
      <w:r>
        <w:rPr>
          <w:rtl w:val="true"/>
        </w:rPr>
        <w:t xml:space="preserve">: [ </w:t>
      </w:r>
      <w:r>
        <w:rPr>
          <w:rtl w:val="true"/>
        </w:rPr>
        <w:t xml:space="preserve">في تحديد السؤر </w:t>
      </w:r>
      <w:r>
        <w:rPr>
          <w:rtl w:val="true"/>
        </w:rPr>
        <w:t>]</w:t>
      </w:r>
      <w:bookmarkEnd w:id="243"/>
    </w:p>
    <w:p>
      <w:pPr>
        <w:pStyle w:val="BookText"/>
        <w:rPr/>
      </w:pPr>
      <w:r>
        <w:rPr>
          <w:rFonts w:ascii="Amiri" w:hAnsi="Amiri" w:eastAsia="Amiri" w:cs="Amiri"/>
          <w:color w:val="111111"/>
          <w:sz w:val="28"/>
          <w:sz w:val="28"/>
          <w:szCs w:val="28"/>
          <w:rtl w:val="true"/>
          <w:lang w:bidi="ar-SA"/>
        </w:rPr>
        <w:t xml:space="preserve">اختلف الأصحاب في تعبير السؤر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باشره جسم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الشهيد في الذكرى ، والمحقق الكركي في الجعفريّة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لغة ما يبقى بعد الشرب ، وشرعا ماء قليل باشره جسم حيوان وإن لم يشرب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الحدّ المذكور في تعليق الشرائع والروضة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بقيّة المشروب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الالتباس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بقيّة ما يشرب منه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المهذب البارع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ماء قليل فضل من شرب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 أخصّ حدوده بناء على أصل الشرب على ما يستلزم الملاقاة والورود كما هو الغالب بل الظاهر خروجه عن اسم السؤر من دونه كما إذا صبّ الماء من الآنية في فيه ، فالظاهر حمل الحدّ عليه كما أن الحدّ الأول أعم تفاسيره بناء على ما هو الظاهر من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يشمل الماء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 القطيفي في شرح النافع بأنه بقية المشروب من المائعات في أصحّ الأقوال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وفسره في السرائر </w:t>
      </w:r>
      <w:r>
        <w:rPr>
          <w:rStyle w:val="FootnoteAnchor"/>
          <w:rtl w:val="true"/>
        </w:rPr>
        <w:footnoteReference w:id="1469"/>
      </w:r>
      <w:r>
        <w:rPr>
          <w:rFonts w:ascii="Amiri" w:hAnsi="Amiri" w:eastAsia="Amiri" w:cs="Amiri"/>
          <w:color w:val="111111"/>
          <w:sz w:val="28"/>
          <w:sz w:val="28"/>
          <w:szCs w:val="28"/>
          <w:rtl w:val="true"/>
          <w:lang w:bidi="ar-SA"/>
        </w:rPr>
        <w:t xml:space="preserve">وغيره بأنّه ما شرب منه </w:t>
      </w:r>
      <w:r>
        <w:rPr>
          <w:rStyle w:val="FootnoteAnchor"/>
          <w:rtl w:val="true"/>
        </w:rPr>
        <w:footnoteReference w:id="1470"/>
      </w:r>
      <w:r>
        <w:rPr>
          <w:rFonts w:ascii="Amiri" w:hAnsi="Amiri" w:eastAsia="Amiri" w:cs="Amiri"/>
          <w:color w:val="111111"/>
          <w:sz w:val="28"/>
          <w:sz w:val="28"/>
          <w:szCs w:val="28"/>
          <w:rtl w:val="true"/>
          <w:lang w:bidi="ar-SA"/>
        </w:rPr>
        <w:t xml:space="preserve">الحيوان أو باشره بجسمه من </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المائعات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المدارك وغيره أنّ الأظهر في تعريفه أنه ماء قليل باشره فم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غرر الجامع ، ونصّ أنه معنى السؤر بحسب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Style w:val="FootnoteAnchor"/>
          <w:rtl w:val="true"/>
        </w:rPr>
        <w:footnoteReference w:id="1472"/>
      </w:r>
      <w:r>
        <w:rPr>
          <w:rFonts w:ascii="Amiri" w:hAnsi="Amiri" w:eastAsia="Amiri" w:cs="Amiri"/>
          <w:color w:val="111111"/>
          <w:sz w:val="28"/>
          <w:sz w:val="28"/>
          <w:szCs w:val="28"/>
          <w:rtl w:val="true"/>
          <w:lang w:bidi="ar-SA"/>
        </w:rPr>
        <w:t xml:space="preserve">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المراد هنا ماء قليل لاقاه جزء حيوان خال عن نجاسة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اختلاف أيضا في تفسيره بحسب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الصحاح </w:t>
      </w:r>
      <w:r>
        <w:rPr>
          <w:rStyle w:val="FootnoteAnchor"/>
          <w:rtl w:val="true"/>
        </w:rPr>
        <w:footnoteReference w:id="1473"/>
      </w:r>
      <w:r>
        <w:rPr>
          <w:rFonts w:ascii="Amiri" w:hAnsi="Amiri" w:eastAsia="Amiri" w:cs="Amiri"/>
          <w:color w:val="111111"/>
          <w:sz w:val="28"/>
          <w:sz w:val="28"/>
          <w:szCs w:val="28"/>
          <w:rtl w:val="true"/>
          <w:lang w:bidi="ar-SA"/>
        </w:rPr>
        <w:t xml:space="preserve">والمغرب والنهاية </w:t>
      </w:r>
      <w:r>
        <w:rPr>
          <w:rStyle w:val="FootnoteAnchor"/>
          <w:rtl w:val="true"/>
        </w:rPr>
        <w:footnoteReference w:id="1474"/>
      </w:r>
      <w:r>
        <w:rPr>
          <w:rFonts w:ascii="Amiri" w:hAnsi="Amiri" w:eastAsia="Amiri" w:cs="Amiri"/>
          <w:color w:val="111111"/>
          <w:sz w:val="28"/>
          <w:sz w:val="28"/>
          <w:szCs w:val="28"/>
          <w:rtl w:val="true"/>
          <w:lang w:bidi="ar-SA"/>
        </w:rPr>
        <w:t xml:space="preserve">ومجمع البحرين </w:t>
      </w:r>
      <w:r>
        <w:rPr>
          <w:rStyle w:val="FootnoteAnchor"/>
          <w:rtl w:val="true"/>
        </w:rPr>
        <w:footnoteReference w:id="1475"/>
      </w:r>
      <w:r>
        <w:rPr>
          <w:rFonts w:ascii="Amiri" w:hAnsi="Amiri" w:eastAsia="Amiri" w:cs="Amiri"/>
          <w:color w:val="111111"/>
          <w:sz w:val="28"/>
          <w:sz w:val="28"/>
          <w:szCs w:val="28"/>
          <w:rtl w:val="true"/>
          <w:lang w:bidi="ar-SA"/>
        </w:rPr>
        <w:t>أنّه ما يبقى بعد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في جامع المقاصد والمسالك والروضة وغيره في بيان معناه بحسب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اللغة البقيّة من كلّ شي‌ء أو ما يبقيه المتناول من الطعام والشراب أو من الماء خاصة ، والقلّة معتبرة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جماعة من الأصحاب منهم الشهيد الثاني في الروض المغايرة بين معناه اللغوي والعرفي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الكركي </w:t>
      </w:r>
      <w:r>
        <w:rPr>
          <w:rStyle w:val="FootnoteAnchor"/>
          <w:rtl w:val="true"/>
        </w:rPr>
        <w:footnoteReference w:id="1477"/>
      </w:r>
      <w:r>
        <w:rPr>
          <w:rFonts w:ascii="Amiri" w:hAnsi="Amiri" w:eastAsia="Amiri" w:cs="Amiri"/>
          <w:color w:val="111111"/>
          <w:sz w:val="28"/>
          <w:sz w:val="28"/>
          <w:szCs w:val="28"/>
          <w:rtl w:val="true"/>
          <w:lang w:bidi="ar-SA"/>
        </w:rPr>
        <w:t xml:space="preserve">بعد بيان معناه اللغوي بما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هنا ما باشره جسم حيوان مع قلّته ، فإنّ البحث فيه من جهة طهارته ونجاسته وكراهته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اختصاص له بالشرب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لا يوجب تعميم معنى السؤر ولا اعتبار القلّة الشرعية مع عدم أخذه في معناه اللغوي ؛ لإمكان إثبات بعض أحكام السؤر للكثير أيضا بعد صدق اسمه عليه </w:t>
      </w:r>
    </w:p>
    <w:p>
      <w:pPr>
        <w:pStyle w:val="BookText"/>
        <w:rPr/>
      </w:pPr>
      <w:r>
        <w:rPr>
          <w:rFonts w:ascii="Amiri" w:hAnsi="Amiri" w:eastAsia="Amiri" w:cs="Amiri"/>
          <w:color w:val="111111"/>
          <w:sz w:val="28"/>
          <w:sz w:val="28"/>
          <w:szCs w:val="28"/>
          <w:rtl w:val="true"/>
          <w:lang w:bidi="ar-SA"/>
        </w:rPr>
        <w:t xml:space="preserve">بحسب اللغة ، وجواز اختصاصه ببعض الأحكام من جهة ملاقاة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أخذه فيه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اشتراك غيره له في الحكم لا يقضي بالتعميم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اتّحاد معناه في اللغة والعرف كما هو ظاهر الاستعمالات ، ويومي إليه ملاحظة إطلاقه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به في غرر الجامع ، ويحتمل قويا كون معناه اللغوي الأصلي مطلق التبقية </w:t>
      </w:r>
      <w:r>
        <w:rPr>
          <w:rStyle w:val="FootnoteAnchor"/>
          <w:rtl w:val="true"/>
        </w:rPr>
        <w:footnoteReference w:id="1479"/>
      </w:r>
      <w:r>
        <w:rPr>
          <w:rFonts w:ascii="Amiri" w:hAnsi="Amiri" w:eastAsia="Amiri" w:cs="Amiri"/>
          <w:color w:val="111111"/>
          <w:sz w:val="28"/>
          <w:sz w:val="28"/>
          <w:szCs w:val="28"/>
          <w:rtl w:val="true"/>
          <w:lang w:bidi="ar-SA"/>
        </w:rPr>
        <w:t>كما يومي إليه ملاحظة لفظ 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والاختلاف الواقع في تفسيره إنّما هو في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اختصاصه بالماء أو تعميمه لسائر المائعات أو الجوامد المشتملة على الرطوبة المسرية أو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ينبغي التأمل في شموله لغير الماء من المائعات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w:t>
      </w:r>
      <w:r>
        <w:rPr>
          <w:rStyle w:val="FootnoteAnchor"/>
          <w:rtl w:val="true"/>
        </w:rPr>
        <w:footnoteReference w:id="1480"/>
      </w:r>
      <w:r>
        <w:rPr>
          <w:rFonts w:ascii="Amiri" w:hAnsi="Amiri" w:eastAsia="Amiri" w:cs="Amiri"/>
          <w:color w:val="111111"/>
          <w:sz w:val="28"/>
          <w:sz w:val="28"/>
          <w:szCs w:val="28"/>
          <w:rtl w:val="true"/>
          <w:lang w:bidi="ar-SA"/>
        </w:rPr>
        <w:t>من خصّصه بالماء راعى خصوصيّة المقام لا اختصاص مفهومه عنده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الأظهر صدقه بالنسبة إلى غير المائعات مع حصول الرطوبة المسرية في أحد الملاقيين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صدقه مع اليبوسة وجهان أظهرهما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القلّة في الماء ونحوه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اعتباره فيه كما يظهر من ملاحظة العرف لكن </w:t>
      </w:r>
      <w:r>
        <w:rPr>
          <w:rStyle w:val="FootnoteAnchor"/>
          <w:rtl w:val="true"/>
        </w:rPr>
        <w:footnoteReference w:id="1481"/>
      </w:r>
      <w:r>
        <w:rPr>
          <w:rFonts w:ascii="Amiri" w:hAnsi="Amiri" w:eastAsia="Amiri" w:cs="Amiri"/>
          <w:color w:val="111111"/>
          <w:sz w:val="28"/>
          <w:sz w:val="28"/>
          <w:szCs w:val="28"/>
          <w:rtl w:val="true"/>
          <w:lang w:bidi="ar-SA"/>
        </w:rPr>
        <w:t xml:space="preserve">لا يعتبر فيه خصوص القلّة الشرعيّة ، فقد يصدق مع الكثرة الشرعيّة </w:t>
      </w:r>
      <w:r>
        <w:rPr>
          <w:rStyle w:val="FootnoteAnchor"/>
          <w:rtl w:val="true"/>
        </w:rPr>
        <w:footnoteReference w:id="1482"/>
      </w:r>
      <w:r>
        <w:rPr>
          <w:rFonts w:ascii="Amiri" w:hAnsi="Amiri" w:eastAsia="Amiri" w:cs="Amiri"/>
          <w:color w:val="111111"/>
          <w:sz w:val="28"/>
          <w:sz w:val="28"/>
          <w:szCs w:val="28"/>
          <w:rtl w:val="true"/>
          <w:lang w:bidi="ar-SA"/>
        </w:rPr>
        <w:t>في المقام فكأنّه بنى على دوران الأحكام على القلّة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الشرب والأكل أو الاكتفاء بمجرّد ملاقاة الفم أو أيّ جزء كان من أجزاء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الأظهر الأوّل مع مراعاة ملاقاة الفم أو ما بمنزلة أو غيره من أجزاء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الاكتفاء بمجرد ملاقاة الفم وإن لم يشرب أو يأكل منه وجه قويّ إلّا أنّ الأظهر عدم الاكتفاء في صدق الاسم بمجرّده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أدخله في فضاء الفم ولم يبقه احتمل قويّا صدق اسم السؤر على الباقي ، وأمّا مجرد ملاقاة سائر الأجزاء فالظاهر عدم الاكتفاء في تحقق السؤر به </w:t>
      </w:r>
      <w:r>
        <w:rPr>
          <w:rStyle w:val="FootnoteAnchor"/>
          <w:rtl w:val="true"/>
        </w:rPr>
        <w:footnoteReference w:id="1483"/>
      </w:r>
      <w:r>
        <w:rPr>
          <w:rFonts w:ascii="Amiri" w:hAnsi="Amiri" w:eastAsia="Amiri" w:cs="Amiri"/>
          <w:color w:val="111111"/>
          <w:sz w:val="28"/>
          <w:sz w:val="28"/>
          <w:szCs w:val="28"/>
          <w:rtl w:val="true"/>
          <w:lang w:bidi="ar-SA"/>
        </w:rPr>
        <w:t>كما لا يخفى على من راجع العرف وإن شاركه في الطهارة والنجاسة ؛ لما عرفت من أن الاشتراك في الحكم لا يقضي بالتعميم في الاسم ، وإلا يجري في ملاقاة سائر الأشياء</w:t>
      </w:r>
      <w:r>
        <w:rPr>
          <w:rFonts w:eastAsia="Amiri" w:cs="Amiri" w:ascii="Amiri" w:hAnsi="Amiri"/>
          <w:color w:val="111111"/>
          <w:sz w:val="28"/>
          <w:szCs w:val="28"/>
          <w:rtl w:val="true"/>
          <w:lang w:bidi="ar-SA"/>
        </w:rPr>
        <w:t xml:space="preserve">. </w:t>
      </w:r>
      <w:bookmarkStart w:id="244" w:name="pg15827_173828"/>
    </w:p>
    <w:p>
      <w:pPr>
        <w:pStyle w:val="Heading4"/>
        <w:numPr>
          <w:ilvl w:val="3"/>
          <w:numId w:val="1"/>
        </w:numPr>
        <w:rPr/>
      </w:pPr>
      <w:bookmarkStart w:id="245" w:name="__RefHeading___Toc14099761_2142443653"/>
      <w:bookmarkStart w:id="246" w:name="_Toc87"/>
      <w:bookmarkEnd w:id="244"/>
      <w:bookmarkEnd w:id="245"/>
      <w:r>
        <w:rPr>
          <w:rtl w:val="true"/>
        </w:rPr>
        <w:t>تبصرة</w:t>
      </w:r>
      <w:r>
        <w:rPr>
          <w:rtl w:val="true"/>
        </w:rPr>
        <w:t xml:space="preserve">: [ </w:t>
      </w:r>
      <w:r>
        <w:rPr>
          <w:rtl w:val="true"/>
        </w:rPr>
        <w:t xml:space="preserve">في تبعية السؤر للحيوان في الطهارة والنجاسة </w:t>
      </w:r>
      <w:r>
        <w:rPr>
          <w:rtl w:val="true"/>
        </w:rPr>
        <w:t>]</w:t>
      </w:r>
      <w:bookmarkEnd w:id="246"/>
    </w:p>
    <w:p>
      <w:pPr>
        <w:pStyle w:val="BookText"/>
        <w:rPr/>
      </w:pPr>
      <w:r>
        <w:rPr>
          <w:rFonts w:ascii="Amiri" w:hAnsi="Amiri" w:eastAsia="Amiri" w:cs="Amiri"/>
          <w:color w:val="111111"/>
          <w:sz w:val="28"/>
          <w:sz w:val="28"/>
          <w:szCs w:val="28"/>
          <w:rtl w:val="true"/>
          <w:lang w:bidi="ar-SA"/>
        </w:rPr>
        <w:t xml:space="preserve">الظاهر أن السؤر تابع للحيوان في الطهارة والنجاسة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النجاسة فظاهر بعد الحكم بانفعال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الطهارة فلظهور عدم قابلية الطاهر للتنجيس ؛ إذ هو فرع نجاسة المنجّس كما هو واضح من ملاحظة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عبارة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بنجاسة بعض الأشياء على ما سيأتي مع حكمه بطهارة الحيوان كما يظهر من غيره أيضا في بعض الأسئار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 ويمكن حمله على إرادة مجرّد المنع من الاستعمال وإن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بطهارته يحكم بجواز استعماله في رفع الحدث والخبث وسائر الاستعمالات على المعروف بين الأصحاب ؛ للأصل ، والاستصحاب ، والعمومات ، وخصوص صحيحة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فضل الهرة والشاة والبقر والابل والحمار والخيل والبغال والوحش والسباع ، فلم أترك شيئا إلا سألته 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الكلب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رجس نجس لا تتوضّأ بفضله وأصيب ذلك الماء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ومناقشة بعض الأفاضل ودلالتها بأن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لم أترك شيئا منها الذي خطر ببالي وقت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كيف يحصل لنا العلم بتذكّره للمختلف وقت السؤال ليندرج في العموم المذكور حتّى يتمّ الاحتجاج؟</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 ؛ بأنّ ما ذكره خروج عن ظاهر الكلام وإنّما حملها عليه لعدم إمكان وقوع السؤال عن الجميع بحسب العادة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بأنّه لا مانع من وقوع السؤال عن الجميع الحيوان </w:t>
      </w:r>
      <w:r>
        <w:rPr>
          <w:rStyle w:val="FootnoteAnchor"/>
          <w:rtl w:val="true"/>
        </w:rPr>
        <w:footnoteReference w:id="1486"/>
      </w:r>
      <w:r>
        <w:rPr>
          <w:rFonts w:ascii="Amiri" w:hAnsi="Amiri" w:eastAsia="Amiri" w:cs="Amiri"/>
          <w:color w:val="111111"/>
          <w:sz w:val="28"/>
          <w:sz w:val="28"/>
          <w:szCs w:val="28"/>
          <w:rtl w:val="true"/>
          <w:lang w:bidi="ar-SA"/>
        </w:rPr>
        <w:t>شاملا لكثير من الأنواع ، فيمكن استيفاء جميع الأنواع بذكر عناوين مخصوصة شاملة لها ، فلا مانع من حمل العبارة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وجه لصرفها عن العموم ، فيقيّد حينئذ طهارة جميع الاشياء ما عدا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حينئذ من استثناء الخنزير والكافر وإن قلنا بشموله للإنسان لما دلّ على نجاستهما من الأخبار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أخبار أخر يعرف منها طهارة جملة من الأسئار كالصحيح عن السؤر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تتوضأ من فضلها إنّما هي من السباع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التعليل جريان الحكم في سائر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فضل السؤر إن تتوضأ منه إنّما هي سبع </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وصفه العلّامة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عمّار ، 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عمّا يشرب منه باز أو صقر أو عقاب؟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من الطير يتوضأ ممّا يشرب منه إلّا أن ترى في منقاره دما </w:t>
      </w:r>
      <w:r>
        <w:rPr>
          <w:rFonts w:eastAsia="Amiri" w:cs="Amiri" w:ascii="Amiri" w:hAnsi="Amiri"/>
          <w:color w:val="111111"/>
          <w:sz w:val="28"/>
          <w:szCs w:val="28"/>
          <w:rtl w:val="true"/>
          <w:lang w:bidi="ar-SA"/>
        </w:rPr>
        <w:t xml:space="preserve">.. » </w:t>
      </w:r>
      <w:r>
        <w:rPr>
          <w:rStyle w:val="FootnoteAnchor"/>
          <w:rtl w:val="true"/>
        </w:rPr>
        <w:footnoteReference w:id="1489"/>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الحمامة والدجاج لا بأس به </w:t>
      </w:r>
      <w:r>
        <w:rPr>
          <w:rFonts w:eastAsia="Amiri" w:cs="Amiri" w:ascii="Amiri" w:hAnsi="Amiri"/>
          <w:color w:val="111111"/>
          <w:sz w:val="28"/>
          <w:szCs w:val="28"/>
          <w:rtl w:val="true"/>
          <w:lang w:bidi="ar-SA"/>
        </w:rPr>
        <w:t xml:space="preserve">.. » </w:t>
      </w:r>
      <w:r>
        <w:rPr>
          <w:rStyle w:val="FootnoteAnchor"/>
          <w:rtl w:val="true"/>
        </w:rPr>
        <w:footnoteReference w:id="149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الشهرة بين الأصحاب ، وعدم قيام دليل واضح على المنع كما سيبيّن من ملاحظة ما احتجّوا به على المنع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وقع الكلام في المقام في أمور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يؤكل لحمه من الحيوان عدا الكلب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 جواز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الغنية الإجماع على طهارة سؤر الحيوان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إطلاقه في عدم تحقق المنع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والذخيرة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كشف الالتباس أن عليه عامّة المتأخرين وكثير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 أن عليه 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التهذيب المنع من سؤر ما لا </w:t>
      </w:r>
      <w:r>
        <w:rPr>
          <w:rStyle w:val="FootnoteAnchor"/>
          <w:rtl w:val="true"/>
        </w:rPr>
        <w:footnoteReference w:id="1491"/>
      </w:r>
      <w:r>
        <w:rPr>
          <w:rFonts w:ascii="Amiri" w:hAnsi="Amiri" w:eastAsia="Amiri" w:cs="Amiri"/>
          <w:color w:val="111111"/>
          <w:sz w:val="28"/>
          <w:sz w:val="28"/>
          <w:szCs w:val="28"/>
          <w:rtl w:val="true"/>
          <w:lang w:bidi="ar-SA"/>
        </w:rPr>
        <w:t>يؤكل لحمه ما عدا الطيور والسؤر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في الإستبصار أنّه ذكر الفأرة في مكان 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يستظهر منه اباحة كل ما لا يتيسّر الاحتراز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المبسوط والمهذب المنع من سؤر ما لا يؤكل لحمه من حيوان الحضر غير الآدمي والطيور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لا يمكن التحرّز </w:t>
      </w:r>
      <w:r>
        <w:rPr>
          <w:rStyle w:val="FootnoteAnchor"/>
          <w:rtl w:val="true"/>
        </w:rPr>
        <w:footnoteReference w:id="1492"/>
      </w:r>
      <w:r>
        <w:rPr>
          <w:rFonts w:ascii="Amiri" w:hAnsi="Amiri" w:eastAsia="Amiri" w:cs="Amiri"/>
          <w:color w:val="111111"/>
          <w:sz w:val="28"/>
          <w:sz w:val="28"/>
          <w:szCs w:val="28"/>
          <w:rtl w:val="true"/>
          <w:lang w:bidi="ar-SA"/>
        </w:rPr>
        <w:t xml:space="preserve">عنه كالهرّة والفأرة واتّجه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الحلي التصريح بنجاسة سؤر ما لا يؤكل لحمه من حيوان الحضر عدا الطيور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كانت أو برّية أو حضرية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يمكن التحرّز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على طهارة سؤر جميع حيوانات البرّ حتّى السباع والمسوخ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بالنجاسة المنع من الاستعمال ؛ إذ لا يتصوّر نجاسة الماء من دون ملاقاة للنجاسة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يحتجّ على تفصيل الشيخ في المبسوط ، أمّا بالنسبة إلى المنع من سؤر ما لا يؤكل لحمه من حيوان الحضر ، فإطلاق موثقة الفطحيّة ، 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من ماء يشرب منه الحمام؟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يؤكل لحمه يتوضّأ من سؤره ويشرب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لدلالتها بالمفهوم على عدم جواز الوضوء والشرب لسؤر ما لا يؤكل لحمه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بالمناقشة في عموم الرواية لسائر ما لا يؤكل لحمه ؛ لاحتمال عود </w:t>
      </w:r>
    </w:p>
    <w:p>
      <w:pPr>
        <w:pStyle w:val="BookText"/>
        <w:rPr/>
      </w:pP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الحمام المذكور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بأنّ الدلالة عليه من قبيل مفهوم الوصف ولا حجّة فيه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بأنه لا يفيد انتفاء الحكم عن كلّ أفراد المخالف للمنطوق ؛ إذ رفع الإيجاب الكلي يكفي في تحقّقه السلب الجزئي الصادق مع الحكم بنجاسة سؤر 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يدفع الأوّل بأنّه لا وجه لعود الضمير إلى الحمام ، وإلّا بقي الموصول من دون العائد ، وظاهر الموصول تعميم الحكم لكلّ ما لا يؤكل ، فكيف مع إضافة الكلّ إليه إلّا أن يقال بأن تقدّم الحمام قرينة على كون الموصول للعهد ، فيفيد عموم الحكم لأفراد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لظهور سياقه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العبارة تعليق الحكم عليه ، وهو يؤمي بأنّ المناط فيه مأكولية اللحم فينتفي الحكم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روايته الأخرى ظاهرة في الاشتراط ، رواها الشيخ والصدوق عنه ،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يؤكل لحمه فليتوضّأ من سؤره ويشرب </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يجتر فسؤر حلال ولعابه حلال </w:t>
      </w:r>
      <w:r>
        <w:rPr>
          <w:rFonts w:eastAsia="Amiri" w:cs="Amiri" w:ascii="Amiri" w:hAnsi="Amiri"/>
          <w:color w:val="111111"/>
          <w:sz w:val="28"/>
          <w:szCs w:val="28"/>
          <w:rtl w:val="true"/>
          <w:lang w:bidi="ar-SA"/>
        </w:rPr>
        <w:t xml:space="preserve">»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أظهر دلالة من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المفهوم في مثل هذا المقام التبعيّة للمنطوق في العموم كما هو ظاهر من ملاحظة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تأيّده بمرسلة الوشّاء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يكره سؤر كلّ شي‌ء لا يؤكل لحمه </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ما دلّ على عدم كراهة الإمام عليه‌السلام للحلال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هذه الروايات ليس فيها دلالة واضحة على المنع حتّى يمكن الاستناد </w:t>
      </w:r>
    </w:p>
    <w:p>
      <w:pPr>
        <w:pStyle w:val="BookText"/>
        <w:rPr/>
      </w:pPr>
      <w:r>
        <w:rPr>
          <w:rFonts w:ascii="Amiri" w:hAnsi="Amiri" w:eastAsia="Amiri" w:cs="Amiri"/>
          <w:color w:val="111111"/>
          <w:sz w:val="28"/>
          <w:sz w:val="28"/>
          <w:szCs w:val="28"/>
          <w:rtl w:val="true"/>
          <w:lang w:bidi="ar-SA"/>
        </w:rPr>
        <w:t>إليها في المنع مع ما في الحكم به من العمد والمخالفة للقواعد ، سيّما مع قيام الشهرة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معارضته بما مرّ ، واعتضاد المعارض بالأمثل والعمل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بعد ملاحظة الأخبار المذكورة كما اختاره غير واحد من الأجلّة ، مضافا إلى الخروج عن خلاف من خالف فيه ، وأنكره جماعة من المتأخرين في ظاهر كلامهم ؛ نظرا إلى ضعف الأخبار المذكورة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وهنه بعد 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استثناء حيوان الوحش فلما دلّ على عدم البأس بالمياه المورودة لها كظاهر الصحيحة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ما لا يمكن الاحتراز عنه فالحرج المنفي في الشريعة في الآية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استثناء الطيور كما في كتابي الحديث ما دلّ على عدم البأس بسؤر الطيور كالموثّق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 من الطير يتوضّأ مما يشرب منه </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ورواية أبي بصير المتقدمة ، وعلى استثناء السؤر كما في التهذيب عدّة من الأخبار الدالّة على عدم البأس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w:t>
      </w:r>
      <w:r>
        <w:rPr>
          <w:rStyle w:val="FootnoteAnchor"/>
          <w:rtl w:val="true"/>
        </w:rPr>
        <w:footnoteReference w:id="1498"/>
      </w:r>
      <w:r>
        <w:rPr>
          <w:rFonts w:ascii="Amiri" w:hAnsi="Amiri" w:eastAsia="Amiri" w:cs="Amiri"/>
          <w:color w:val="111111"/>
          <w:sz w:val="28"/>
          <w:sz w:val="28"/>
          <w:szCs w:val="28"/>
          <w:rtl w:val="true"/>
          <w:lang w:bidi="ar-SA"/>
        </w:rPr>
        <w:t>الإشارة إلى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الأخبار المذكورة ليست ببيّنة الدلالة على انتفاء الكراهة ، فلا يبعد البناء على الكراهة في سؤر ما لا يؤكل لحمه من الحيوان على سبيل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هذه الأخبار على بيان الجواز أو يقال بتخفيف الكراهة بالنسبة إليها سيّما السنّور ؛ لاستفاضة الأخبار فيها ، وفي التعليل الوارد فيها إشارة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المبسوط </w:t>
      </w:r>
      <w:r>
        <w:rPr>
          <w:rStyle w:val="FootnoteAnchor"/>
          <w:rtl w:val="true"/>
        </w:rPr>
        <w:footnoteReference w:id="1499"/>
      </w:r>
      <w:r>
        <w:rPr>
          <w:rFonts w:ascii="Amiri" w:hAnsi="Amiri" w:eastAsia="Amiri" w:cs="Amiri"/>
          <w:color w:val="111111"/>
          <w:sz w:val="28"/>
          <w:sz w:val="28"/>
          <w:szCs w:val="28"/>
          <w:rtl w:val="true"/>
          <w:lang w:bidi="ar-SA"/>
        </w:rPr>
        <w:t>والنهاية إلى المنع من سؤر أكل الجيف من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المبسوط المنع من سؤر أكل الجيف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ذلك أيضا عن المهذب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لا مستند له إلّا أن يستند فيه إلى ما دلّ على المنع من سؤر ما لا يؤكل لحمه ، </w:t>
      </w:r>
    </w:p>
    <w:p>
      <w:pPr>
        <w:pStyle w:val="BookText"/>
        <w:rPr/>
      </w:pPr>
      <w:r>
        <w:rPr>
          <w:rFonts w:ascii="Amiri" w:hAnsi="Amiri" w:eastAsia="Amiri" w:cs="Amiri"/>
          <w:color w:val="111111"/>
          <w:sz w:val="28"/>
          <w:sz w:val="28"/>
          <w:szCs w:val="28"/>
          <w:rtl w:val="true"/>
          <w:lang w:bidi="ar-SA"/>
        </w:rPr>
        <w:t>فلا فائدة في خصوصية العنوان مع ما عرفت من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أطلق جماعة من الأصحاب فيه القول بالكراهة كما عن المقنعة والمراسم والمعتبر والشرائع </w:t>
      </w:r>
      <w:r>
        <w:rPr>
          <w:rStyle w:val="FootnoteAnchor"/>
          <w:rtl w:val="true"/>
        </w:rPr>
        <w:footnoteReference w:id="1500"/>
      </w:r>
      <w:r>
        <w:rPr>
          <w:rFonts w:ascii="Amiri" w:hAnsi="Amiri" w:eastAsia="Amiri" w:cs="Amiri"/>
          <w:color w:val="111111"/>
          <w:sz w:val="28"/>
          <w:sz w:val="28"/>
          <w:szCs w:val="28"/>
          <w:rtl w:val="true"/>
          <w:lang w:bidi="ar-SA"/>
        </w:rPr>
        <w:t>والقواعد والدروس واللمعة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 والكفاية حكاية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غير واحد </w:t>
      </w:r>
      <w:r>
        <w:rPr>
          <w:rStyle w:val="FootnoteAnchor"/>
          <w:rtl w:val="true"/>
        </w:rPr>
        <w:footnoteReference w:id="1501"/>
      </w:r>
      <w:r>
        <w:rPr>
          <w:rFonts w:ascii="Amiri" w:hAnsi="Amiri" w:eastAsia="Amiri" w:cs="Amiri"/>
          <w:color w:val="111111"/>
          <w:sz w:val="28"/>
          <w:sz w:val="28"/>
          <w:szCs w:val="28"/>
          <w:rtl w:val="true"/>
          <w:lang w:bidi="ar-SA"/>
        </w:rPr>
        <w:t>من المتأخرين ؛ لعدم العثور على دليل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 إن كان الملحوظ ثبوت الكراهة لخصوصية العنوان ، والّا فما دلّ على كراهة سؤر ما لا يؤكل لحمه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أفواهها في معرض النجاسة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حكم الجماعة فيها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الجلال ، فعن الإسكافي والسيد والقاضي المنع من سؤره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عن الشيخ في المبسوط إلّا أنّه قيّده بجلال الطيور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جماعة من الأصحاب فيه الكراهة منهم الديلمي والفاضلان في غير واحد من كتبهما ، والشهيد في الدروس واللمعة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 والكفاية حكاية الشهرة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نجد مستندا للمنع بل ناقش غير واحد من المتأخرين في ثبوت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محلّه مع ملاحظة خصوصية العنوان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مطلق الكراهة فيمكن الاستناد فيه إلى ما دلّ على كراهة سؤر ما لا يؤكل لحمه ممّا مرّ الّا أنّه يمكن المناقشة فيه بانصرافه إلى ما لا يؤكل لحمه بالأصل أو مطلقا مع استمرار المنع ، دون ما لا يؤكل لحمه لعارض يمكن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يحتج له بالصحيح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تأكلوا لحوم الجلالة وإن أصابك عرقها فاغسله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ذلك محمولا على الكراهة أفاد كراهة سائر الرطوبات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يكتفى في ثبوت الكراهة بفتوى الجماعة المعتضدة بالشهرة المنقولة ، وإطلاق ما عرفت من الأدلّة وهنه مجبور بحكم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بنجاسته لازم كلّ من قال بنجاستها ، فلا خصوصية بالمقام إلّا 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يقول بنجاسة المسوخ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الاقتصاد بأنّها مباحة السؤر نجسة الحكم ، فإن صحّ ذهاب سائر المنجسين إليه ارتفع الخلاف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سؤر ولد الزنا فقد نصّ جماعة بالمنع عنه ، وآخرون بكراهته منهم الفاضلان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بالمنع مبنيّ على القول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يأتي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الكراهة فهي قضية بعض الأخبار الدالّة على المنع بحملها على الكراهة لما دلّ على طهارته كما سيجي‌ء القول فيه ، وخروجا عن خلاف من خالف فيه ، فيقيّد به إطلاق ما دلّ على انتفاء الكراهة في سؤر المؤمن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خلافا في عدّة من الأسئار كسؤر المجسّمة والمشبّهة والمجبّرة وسائر أهل الخلاف بل الفرق المخالفة لأهل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بالمنع مبنيّ على نجاستها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والبناء على الكراهة في جميع من خالف الحق غير بعيد خروجا عن الخلاف ، وأخذا بفحوى ما دلّ على كفر من أنكر الولاية وإن لم يحكم بكفرهم في ظاهر الشريعة</w:t>
      </w:r>
      <w:r>
        <w:rPr>
          <w:rFonts w:eastAsia="Amiri" w:cs="Amiri" w:ascii="Amiri" w:hAnsi="Amiri"/>
          <w:color w:val="111111"/>
          <w:sz w:val="28"/>
          <w:szCs w:val="28"/>
          <w:rtl w:val="true"/>
          <w:lang w:bidi="ar-SA"/>
        </w:rPr>
        <w:t xml:space="preserve">. </w:t>
      </w:r>
      <w:bookmarkStart w:id="247" w:name="pg15827_173835"/>
    </w:p>
    <w:p>
      <w:pPr>
        <w:pStyle w:val="Heading4"/>
        <w:numPr>
          <w:ilvl w:val="3"/>
          <w:numId w:val="1"/>
        </w:numPr>
        <w:rPr/>
      </w:pPr>
      <w:bookmarkStart w:id="248" w:name="__RefHeading___Toc14099763_2142443653"/>
      <w:bookmarkStart w:id="249" w:name="_Toc88"/>
      <w:bookmarkEnd w:id="247"/>
      <w:bookmarkEnd w:id="248"/>
      <w:r>
        <w:rPr>
          <w:rtl w:val="true"/>
        </w:rPr>
        <w:t>تبصرة</w:t>
      </w:r>
      <w:r>
        <w:rPr>
          <w:rtl w:val="true"/>
        </w:rPr>
        <w:t xml:space="preserve">: [ </w:t>
      </w:r>
      <w:r>
        <w:rPr>
          <w:rtl w:val="true"/>
        </w:rPr>
        <w:t xml:space="preserve">في سؤر الحائض </w:t>
      </w:r>
      <w:r>
        <w:rPr>
          <w:rtl w:val="true"/>
        </w:rPr>
        <w:t>]</w:t>
      </w:r>
      <w:bookmarkEnd w:id="249"/>
    </w:p>
    <w:p>
      <w:pPr>
        <w:pStyle w:val="BookText"/>
        <w:rPr/>
      </w:pPr>
      <w:r>
        <w:rPr>
          <w:rFonts w:ascii="Amiri" w:hAnsi="Amiri" w:eastAsia="Amiri" w:cs="Amiri"/>
          <w:color w:val="111111"/>
          <w:sz w:val="28"/>
          <w:sz w:val="28"/>
          <w:szCs w:val="28"/>
          <w:rtl w:val="true"/>
          <w:lang w:bidi="ar-SA"/>
        </w:rPr>
        <w:t>سؤر الحائض الغير المأمونة كما نصّ عليه جماعة منهم المفيد والديلمي والقاضي وابنا سعيد والشهيد وغيرهم حيث حكي عنهم التعبير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النهاية والوسيلة والسرائر والمعتبر وكثير من كتب العلّامة واللمعة وغيرها التعبير بالتهمة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في المصباح والشيخ في المبسوط إطلاق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يوهم عبارة السيد في الجمل </w:t>
      </w:r>
      <w:r>
        <w:rPr>
          <w:rStyle w:val="FootnoteAnchor"/>
          <w:rtl w:val="true"/>
        </w:rPr>
        <w:footnoteReference w:id="1502"/>
      </w:r>
      <w:r>
        <w:rPr>
          <w:rFonts w:ascii="Amiri" w:hAnsi="Amiri" w:eastAsia="Amiri" w:cs="Amiri"/>
          <w:color w:val="111111"/>
          <w:sz w:val="28"/>
          <w:sz w:val="28"/>
          <w:szCs w:val="28"/>
          <w:rtl w:val="true"/>
          <w:lang w:bidi="ar-SA"/>
        </w:rPr>
        <w:t xml:space="preserve">انتفاء الكراهة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بسؤر الجنب والحائض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حمله على إرادة نفي الحرمة كما هو ظاهر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نفي البأس عنه من حيث كونه سؤر الحائض وإن لحقه حكم الكراهة من جهة الاتهام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فثبوت الكراهة في سؤر الحائض في الجملة هو المعروف من المذهب بل الظاهر الإطباق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به متظافرة ، فثبوت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ممّا لا 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يستظهر من المقنع المنع</w:t>
      </w:r>
      <w:r>
        <w:rPr>
          <w:rFonts w:eastAsia="Amiri" w:cs="Amiri" w:ascii="Amiri" w:hAnsi="Amiri"/>
          <w:color w:val="111111"/>
          <w:sz w:val="28"/>
          <w:szCs w:val="28"/>
          <w:rtl w:val="true"/>
          <w:lang w:bidi="ar-SA"/>
        </w:rPr>
        <w:t xml:space="preserve">. </w:t>
      </w:r>
      <w:bookmarkStart w:id="250" w:name="pg15827_173836"/>
    </w:p>
    <w:p>
      <w:pPr>
        <w:pStyle w:val="Heading4"/>
        <w:numPr>
          <w:ilvl w:val="3"/>
          <w:numId w:val="1"/>
        </w:numPr>
        <w:rPr/>
      </w:pPr>
      <w:bookmarkStart w:id="251" w:name="__RefHeading___Toc14099765_2142443653"/>
      <w:bookmarkStart w:id="252" w:name="_Toc89"/>
      <w:bookmarkEnd w:id="250"/>
      <w:bookmarkEnd w:id="251"/>
      <w:r>
        <w:rPr>
          <w:rtl w:val="true"/>
        </w:rPr>
        <w:t>تبصرة</w:t>
      </w:r>
      <w:r>
        <w:rPr>
          <w:rtl w:val="true"/>
        </w:rPr>
        <w:t xml:space="preserve">: [ </w:t>
      </w:r>
      <w:r>
        <w:rPr>
          <w:rtl w:val="true"/>
        </w:rPr>
        <w:t xml:space="preserve">في كراهية سؤر الحائض المتّهمة </w:t>
      </w:r>
      <w:r>
        <w:rPr>
          <w:rtl w:val="true"/>
        </w:rPr>
        <w:t>]</w:t>
      </w:r>
      <w:bookmarkEnd w:id="252"/>
    </w:p>
    <w:p>
      <w:pPr>
        <w:pStyle w:val="BookText"/>
        <w:rPr/>
      </w:pPr>
      <w:r>
        <w:rPr>
          <w:rFonts w:ascii="Amiri" w:hAnsi="Amiri" w:eastAsia="Amiri" w:cs="Amiri"/>
          <w:color w:val="111111"/>
          <w:sz w:val="28"/>
          <w:sz w:val="28"/>
          <w:szCs w:val="28"/>
          <w:rtl w:val="true"/>
          <w:lang w:bidi="ar-SA"/>
        </w:rPr>
        <w:t xml:space="preserve">المعروف كراهة سؤر الحائض المتّهمة وامّا غيرها ففيه قولان من ورود المستفيضة المشتملة على المعتبرة الحاكمة بكراهة سؤرها </w:t>
      </w:r>
      <w:r>
        <w:rPr>
          <w:rStyle w:val="FootnoteAnchor"/>
          <w:rtl w:val="true"/>
        </w:rPr>
        <w:footnoteReference w:id="1504"/>
      </w:r>
      <w:r>
        <w:rPr>
          <w:rFonts w:ascii="Amiri" w:hAnsi="Amiri" w:eastAsia="Amiri" w:cs="Amiri"/>
          <w:color w:val="111111"/>
          <w:sz w:val="28"/>
          <w:sz w:val="28"/>
          <w:szCs w:val="28"/>
          <w:rtl w:val="true"/>
          <w:lang w:bidi="ar-SA"/>
        </w:rPr>
        <w:t>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التقييد </w:t>
      </w:r>
      <w:r>
        <w:rPr>
          <w:rStyle w:val="FootnoteAnchor"/>
          <w:rtl w:val="true"/>
        </w:rPr>
        <w:footnoteReference w:id="1505"/>
      </w:r>
      <w:r>
        <w:rPr>
          <w:rFonts w:ascii="Amiri" w:hAnsi="Amiri" w:eastAsia="Amiri" w:cs="Amiri"/>
          <w:color w:val="111111"/>
          <w:sz w:val="28"/>
          <w:sz w:val="28"/>
          <w:szCs w:val="28"/>
          <w:rtl w:val="true"/>
          <w:lang w:bidi="ar-SA"/>
        </w:rPr>
        <w:t xml:space="preserve">في المأمونة في موثقة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يتوضأ بفضل الحائض؟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مأمونة فلا بأس </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العيص من </w:t>
      </w:r>
      <w:r>
        <w:rPr>
          <w:rStyle w:val="FootnoteAnchor"/>
          <w:rtl w:val="true"/>
        </w:rPr>
        <w:footnoteReference w:id="1507"/>
      </w:r>
      <w:r>
        <w:rPr>
          <w:rFonts w:ascii="Amiri" w:hAnsi="Amiri" w:eastAsia="Amiri" w:cs="Amiri"/>
          <w:color w:val="111111"/>
          <w:sz w:val="28"/>
          <w:sz w:val="28"/>
          <w:szCs w:val="28"/>
          <w:rtl w:val="true"/>
          <w:lang w:bidi="ar-SA"/>
        </w:rPr>
        <w:t xml:space="preserve">سؤر الحائض؟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منه وتوضّأ من سؤر الجنب إذا كانت مأمونة تغسل يدها قبل أن تدخلها الإناء </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حمل المطلقات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يرجّح العمل على تلك الاطلاقات لكثرتها وظهور دلالتها على الإطلاق فتحمل هاتان على شدّة الكراهة مع عدم 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بأنّ في بعض تلك الأخبار ظهورا تامّا في العموم كما في رواية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الرجل من فضل المرأة؟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كانت تعرف الوضوء ولا يتوضّأ من سؤر الحائض </w:t>
      </w:r>
      <w:r>
        <w:rPr>
          <w:rFonts w:eastAsia="Amiri" w:cs="Amiri" w:ascii="Amiri" w:hAnsi="Amiri"/>
          <w:color w:val="111111"/>
          <w:sz w:val="28"/>
          <w:szCs w:val="28"/>
          <w:rtl w:val="true"/>
          <w:lang w:bidi="ar-SA"/>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العيص ، عن سؤر الحائض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توضّأ منه ، وتوضّأ من سؤر الجنب إذا </w:t>
      </w:r>
    </w:p>
    <w:p>
      <w:pPr>
        <w:pStyle w:val="BookText"/>
        <w:rPr/>
      </w:pPr>
      <w:r>
        <w:rPr>
          <w:rFonts w:ascii="Amiri" w:hAnsi="Amiri" w:eastAsia="Amiri" w:cs="Amiri"/>
          <w:color w:val="111111"/>
          <w:sz w:val="28"/>
          <w:sz w:val="28"/>
          <w:szCs w:val="28"/>
          <w:rtl w:val="true"/>
          <w:lang w:bidi="ar-SA"/>
        </w:rPr>
        <w:t xml:space="preserve">كانت مأمونة </w:t>
      </w:r>
      <w:r>
        <w:rPr>
          <w:rFonts w:eastAsia="Amiri" w:cs="Amiri" w:ascii="Amiri" w:hAnsi="Amiri"/>
          <w:color w:val="111111"/>
          <w:sz w:val="28"/>
          <w:szCs w:val="28"/>
          <w:rtl w:val="true"/>
          <w:lang w:bidi="ar-SA"/>
        </w:rPr>
        <w:t xml:space="preserve">»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إطلاق المنع فيه مع تقيّد </w:t>
      </w:r>
      <w:r>
        <w:rPr>
          <w:rStyle w:val="FootnoteAnchor"/>
          <w:rtl w:val="true"/>
        </w:rPr>
        <w:footnoteReference w:id="1511"/>
      </w:r>
      <w:r>
        <w:rPr>
          <w:rFonts w:ascii="Amiri" w:hAnsi="Amiri" w:eastAsia="Amiri" w:cs="Amiri"/>
          <w:color w:val="111111"/>
          <w:sz w:val="28"/>
          <w:sz w:val="28"/>
          <w:szCs w:val="28"/>
          <w:rtl w:val="true"/>
          <w:lang w:bidi="ar-SA"/>
        </w:rPr>
        <w:t>الجواز في الآخر شاهد على إطلاق الحكم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اتّحاد صحيحة العيص لموثّقته السابقة فالظاهر ترجيحها عليها لصحّة إسنادها وروايتها في الكافي الذي هو أضبط كتب الحديث ، فينحصر الشاهد على التقييد في خصوص الموثقة ، فالبناء على تعميم الكراهة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هناك كراهتين إحداهما من جهة الجنابة </w:t>
      </w:r>
      <w:r>
        <w:rPr>
          <w:rStyle w:val="FootnoteAnchor"/>
          <w:rtl w:val="true"/>
        </w:rPr>
        <w:footnoteReference w:id="1512"/>
      </w:r>
      <w:r>
        <w:rPr>
          <w:rFonts w:ascii="Amiri" w:hAnsi="Amiri" w:eastAsia="Amiri" w:cs="Amiri"/>
          <w:color w:val="111111"/>
          <w:sz w:val="28"/>
          <w:sz w:val="28"/>
          <w:szCs w:val="28"/>
          <w:rtl w:val="true"/>
          <w:lang w:bidi="ar-SA"/>
        </w:rPr>
        <w:t>الحاصلة لحدث الحيض ، والأخرى بسبب الاطمئنان على عدم طهارتها ، والقائلون بالتفصيل إنّما يقولون بالكراهة من الجهة الأخرى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المذكور في الأخبار هو خصوص كراهة الوضوء بل نصّ في جملة منها على عدم البأس بالشرب ، فالقول بكراهة سؤرها مطلقا على الخلاف كما هو قضيّة إطلاقهم لا يخلو من إشكال ، بل الظاهر من الأخبار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يتّجه التسرية إلى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تسريته إلى غسل النجاسة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بعموم الكراهة في المتّهمة من جهة إطلاق فتوى الأكثر ، وعدم ظهور انتفاء الكراهة من تلك الجهة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كاف في أدلّة السنن مع تأيّده ببعض الاعتبارات المقربة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من المفصّلين إنّما فصّلوا بين المتّهمة وغيرها ، والروايتان المذكورتان إنّما يفيدان التفصيل بين المأمونة وغيرها ، وهي أخصّ من غير المتّهمة ، فبعد البناء على التفصيل فلا بدّ من البناء عليه كما نصّ عليه آخرون منهم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وفي ثبوت الكراهة مطلقا أو مع الاتّهام في النفساء وجهان ؛ من إطلاقهم اشتراك النفاس والحيض في الأحكام عدا ما استثني ، ومن خروجها عن مدلول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في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الشهيدان وجماعة بالحائض المتّهمة كلّ متّهم بالنجاسة ممّن لا يتوقّى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تصرّف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أبي يعفور الماضية إشارة إليه ، فالقول به غير بعيد ، لكن في تسرية الحكم إلى الشرب وسائر الاستعمالات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عن شرب سؤر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عدمها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تلك الاطلاقات انتفاء الكراهة من جهة الحيض ، والاتّهام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استنباط ذلك من المقام ؛ لما عرفت من دلالة الرواية هنا على اعتبار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يعتبر في سائر المقامات بلا تأمّل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كانت الحائض عرضة للنجاسة اعتبر كونها مأمونة ؛ لعدم اطمينان النفس بطهارتها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يؤيّد ذلك بما دلّ على رجحان الاجتناب في بعض موارد الظن بالنجاسة كطين المطر بعد الثلاثة </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ذلك تسرية الحكم إلى كلّ من يلازم النجاسة مع كونه مأمونا كالمسلوس ونحوه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 يختصّ الكراهة فيما ذكر بخصوص ما يلاقيه من دون تسرية إلى غيره ممّا يلاقي ما يلاقيه وهكذا ، أو يعمّ الجميع؟ وجهان ؛ أقواهما الأوّل لاختصاص الدليل به ، وظهور عدم بناء الشرع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غير التحرز منه</w:t>
      </w:r>
      <w:r>
        <w:rPr>
          <w:rFonts w:eastAsia="Amiri" w:cs="Amiri" w:ascii="Amiri" w:hAnsi="Amiri"/>
          <w:color w:val="111111"/>
          <w:sz w:val="28"/>
          <w:szCs w:val="28"/>
          <w:rtl w:val="true"/>
          <w:lang w:bidi="ar-SA"/>
        </w:rPr>
        <w:t xml:space="preserve">. </w:t>
      </w:r>
      <w:bookmarkStart w:id="253" w:name="pg15827_173839"/>
    </w:p>
    <w:p>
      <w:pPr>
        <w:pStyle w:val="Heading4"/>
        <w:numPr>
          <w:ilvl w:val="3"/>
          <w:numId w:val="1"/>
        </w:numPr>
        <w:rPr/>
      </w:pPr>
      <w:bookmarkStart w:id="254" w:name="__RefHeading___Toc14099767_2142443653"/>
      <w:bookmarkStart w:id="255" w:name="_Toc90"/>
      <w:bookmarkEnd w:id="253"/>
      <w:bookmarkEnd w:id="254"/>
      <w:r>
        <w:rPr>
          <w:rtl w:val="true"/>
        </w:rPr>
        <w:t>فصل</w:t>
      </w:r>
      <w:r>
        <w:rPr>
          <w:rtl w:val="true"/>
        </w:rPr>
        <w:t xml:space="preserve">: </w:t>
      </w:r>
      <w:r>
        <w:rPr>
          <w:rtl w:val="true"/>
        </w:rPr>
        <w:t>في الماء المستعمل في إزالة الأخباث أو رفع الأحداث</w:t>
      </w:r>
      <w:bookmarkEnd w:id="255"/>
    </w:p>
    <w:p>
      <w:pPr>
        <w:pStyle w:val="BookText"/>
        <w:rPr/>
      </w:pPr>
      <w:r>
        <w:rPr>
          <w:rFonts w:ascii="Amiri" w:hAnsi="Amiri" w:eastAsia="Amiri" w:cs="Amiri"/>
          <w:color w:val="111111"/>
          <w:sz w:val="28"/>
          <w:sz w:val="28"/>
          <w:szCs w:val="28"/>
          <w:rtl w:val="true"/>
          <w:lang w:bidi="ar-SA"/>
        </w:rPr>
        <w:t xml:space="preserve">والظاهر أنّ المستعمل في رفع الخبث ما يكون مزيلا للنجاسة أو جزء من المزيل ، فما لا يكون كذلك كالغسلة المندوبة الحاصلة بعد طهر المحلّ كالغسلة </w:t>
      </w:r>
      <w:r>
        <w:rPr>
          <w:rStyle w:val="FootnoteAnchor"/>
          <w:rtl w:val="true"/>
        </w:rPr>
        <w:footnoteReference w:id="1514"/>
      </w:r>
      <w:r>
        <w:rPr>
          <w:rFonts w:ascii="Amiri" w:hAnsi="Amiri" w:eastAsia="Amiri" w:cs="Amiri"/>
          <w:color w:val="111111"/>
          <w:sz w:val="28"/>
          <w:sz w:val="28"/>
          <w:szCs w:val="28"/>
          <w:rtl w:val="true"/>
          <w:lang w:bidi="ar-SA"/>
        </w:rPr>
        <w:t>الثالثة في الاستنجاء لمن يبول ، فلا يندرج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توهّم بعضهم نجاسة الغسالة ولو بعد طهر المحلّ كما سيجي‌ء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لم يؤل بما يرجع إلى ما قلناه فهو مقطوع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ذلك في المستعمل في رفع الحدث كالغسلة الثالثة في الغسل وجه إلّا أنّ ظاهر الإطلاق هناك يعمّ الكلّ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 الغسلة من العضو الأخير لا يبعد القول بخروجه عن محلّ البحث ؛ لارتفاع الحدث قبله</w:t>
      </w:r>
      <w:r>
        <w:rPr>
          <w:rFonts w:eastAsia="Amiri" w:cs="Amiri" w:ascii="Amiri" w:hAnsi="Amiri"/>
          <w:color w:val="111111"/>
          <w:sz w:val="28"/>
          <w:szCs w:val="28"/>
          <w:rtl w:val="true"/>
          <w:lang w:bidi="ar-SA"/>
        </w:rPr>
        <w:t xml:space="preserve">. </w:t>
      </w:r>
      <w:bookmarkStart w:id="256" w:name="pg15827_173840"/>
    </w:p>
    <w:p>
      <w:pPr>
        <w:pStyle w:val="Heading4"/>
        <w:numPr>
          <w:ilvl w:val="3"/>
          <w:numId w:val="1"/>
        </w:numPr>
        <w:rPr/>
      </w:pPr>
      <w:bookmarkStart w:id="257" w:name="__RefHeading___Toc14099769_2142443653"/>
      <w:bookmarkStart w:id="258" w:name="_Toc91"/>
      <w:bookmarkEnd w:id="256"/>
      <w:bookmarkEnd w:id="257"/>
      <w:r>
        <w:rPr>
          <w:rtl w:val="true"/>
        </w:rPr>
        <w:t>تبصرة</w:t>
      </w:r>
      <w:r>
        <w:rPr>
          <w:rtl w:val="true"/>
        </w:rPr>
        <w:t xml:space="preserve">: [ </w:t>
      </w:r>
      <w:r>
        <w:rPr>
          <w:rtl w:val="true"/>
        </w:rPr>
        <w:t xml:space="preserve">في نجاسة الغسالة </w:t>
      </w:r>
      <w:r>
        <w:rPr>
          <w:rtl w:val="true"/>
        </w:rPr>
        <w:t>]</w:t>
      </w:r>
      <w:bookmarkEnd w:id="258"/>
    </w:p>
    <w:p>
      <w:pPr>
        <w:pStyle w:val="BookText"/>
        <w:rPr/>
      </w:pPr>
      <w:r>
        <w:rPr>
          <w:rFonts w:ascii="Amiri" w:hAnsi="Amiri" w:eastAsia="Amiri" w:cs="Amiri"/>
          <w:color w:val="111111"/>
          <w:sz w:val="28"/>
          <w:sz w:val="28"/>
          <w:szCs w:val="28"/>
          <w:rtl w:val="true"/>
          <w:lang w:bidi="ar-SA"/>
        </w:rPr>
        <w:t>لا خلاف بين الأصحاب في نجاسة الغسالة مع تغيرها في أحد الأوصاف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غاية وضوحه قد استفاض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حكاه الفاضلان في المعتبر والمختلف وصاحبا الذخيرة والدلائل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شاع الخلاف بين الأصحاب في حكمها مع عدم تغيّرها ، ولهم فيه أقوال ربّما ينتهي إلى اثني عشر قولا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بالنجاسة مطلقا وعزي </w:t>
      </w:r>
      <w:r>
        <w:rPr>
          <w:rStyle w:val="FootnoteAnchor"/>
          <w:rtl w:val="true"/>
        </w:rPr>
        <w:footnoteReference w:id="1515"/>
      </w:r>
      <w:r>
        <w:rPr>
          <w:rFonts w:ascii="Amiri" w:hAnsi="Amiri" w:eastAsia="Amiri" w:cs="Amiri"/>
          <w:color w:val="111111"/>
          <w:sz w:val="28"/>
          <w:sz w:val="28"/>
          <w:szCs w:val="28"/>
          <w:rtl w:val="true"/>
          <w:lang w:bidi="ar-SA"/>
        </w:rPr>
        <w:t>إلى ظاهر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الشيخ في المبسوط وموضع من الخلاف ، وصاحب الاصباح ، والمحقق في الشرائع والنافع والمعتبر ، والآبي في كشف الرموز ، والعلّامة في عدّة من كتبه كالمنتهى والتذكرة والتحرير والمختلف ، والشهيدين </w:t>
      </w:r>
      <w:r>
        <w:rPr>
          <w:rStyle w:val="FootnoteAnchor"/>
          <w:rtl w:val="true"/>
        </w:rPr>
        <w:footnoteReference w:id="1516"/>
      </w:r>
      <w:r>
        <w:rPr>
          <w:rFonts w:ascii="Amiri" w:hAnsi="Amiri" w:eastAsia="Amiri" w:cs="Amiri"/>
          <w:color w:val="111111"/>
          <w:sz w:val="28"/>
          <w:sz w:val="28"/>
          <w:szCs w:val="28"/>
          <w:rtl w:val="true"/>
          <w:lang w:bidi="ar-SA"/>
        </w:rPr>
        <w:t>في اللمعة والروضة ، وابن فهد في المقتصر ، والسيوري في التنقيح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جماعة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حكى في التحرير </w:t>
      </w:r>
      <w:r>
        <w:rPr>
          <w:rStyle w:val="FootnoteAnchor"/>
          <w:rtl w:val="true"/>
        </w:rPr>
        <w:footnoteReference w:id="1517"/>
      </w:r>
      <w:r>
        <w:rPr>
          <w:rFonts w:ascii="Amiri" w:hAnsi="Amiri" w:eastAsia="Amiri" w:cs="Amiri"/>
          <w:color w:val="111111"/>
          <w:sz w:val="28"/>
          <w:sz w:val="28"/>
          <w:szCs w:val="28"/>
          <w:rtl w:val="true"/>
          <w:lang w:bidi="ar-SA"/>
        </w:rPr>
        <w:t xml:space="preserve">عليه الإجماع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بدن الجنب والحائض نجاسة كان المستعمل نجسا إجماعا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الروض أنّه أشهر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الفاضل الميسي وغيره حكاية الشهرة عليه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يستفاد من المنتهى نفي الخلاف بالنسبة إلى الغسلة الأولى حيث قصر النزاع على </w:t>
      </w:r>
    </w:p>
    <w:p>
      <w:pPr>
        <w:pStyle w:val="BookText"/>
        <w:rPr/>
      </w:pPr>
      <w:r>
        <w:rPr>
          <w:rFonts w:ascii="Amiri" w:hAnsi="Amiri" w:eastAsia="Amiri" w:cs="Amiri"/>
          <w:color w:val="111111"/>
          <w:sz w:val="28"/>
          <w:sz w:val="28"/>
          <w:szCs w:val="28"/>
          <w:rtl w:val="true"/>
          <w:lang w:bidi="ar-SA"/>
        </w:rPr>
        <w:t>الغسلة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في التحرير والتذكرة بعدم الفرق بين الغسلة الأولى وغيرها فيما يعتبر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في اللمعة بأنّها كالمحلّ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إطلاقه اعتبار التعدّد فيما يلاقيه لو اعتبر ذلك في المحلّ قبلها ، فيفرق إذن بين غسالة الغسلة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في الروضة بما يغسل مرّتين لا بخصوص النجاسة ، فلو كان التعدّد لخصوصيّة النجاسة كالولوغ فلا تعدد ؛ إذ لا تسمّى ملاقاة الغسالة ولوغا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يومي </w:t>
      </w:r>
      <w:r>
        <w:rPr>
          <w:rStyle w:val="FootnoteAnchor"/>
          <w:rtl w:val="true"/>
        </w:rPr>
        <w:footnoteReference w:id="1518"/>
      </w:r>
      <w:r>
        <w:rPr>
          <w:rFonts w:ascii="Amiri" w:hAnsi="Amiri" w:eastAsia="Amiri" w:cs="Amiri"/>
          <w:color w:val="111111"/>
          <w:sz w:val="28"/>
          <w:sz w:val="28"/>
          <w:szCs w:val="28"/>
          <w:rtl w:val="true"/>
          <w:lang w:bidi="ar-SA"/>
        </w:rPr>
        <w:t>أنّه إذا اعتبر التعدد في مطلق النجاسة هناك يظهر الفرق بين المسألتين ، وأمّا إذا كان التعدد من جهة نجاسة خاصّة فلا ؛ لعدم اندراج الغسالة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القول باعتبار التعدد في مطلق النجاسة ضعيف ، فلا ثمرة إذن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كلامه حينئذ على عدم الفرق بين الغسلتين ، والاجتزاء بالواحدة في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 على بيان الفرق بين ما إذا اعتبر التعدد في تلك النجاسة مطلقا وما إذا كان بكيفية </w:t>
      </w:r>
      <w:r>
        <w:rPr>
          <w:rStyle w:val="FootnoteAnchor"/>
          <w:rtl w:val="true"/>
        </w:rPr>
        <w:footnoteReference w:id="1519"/>
      </w:r>
      <w:r>
        <w:rPr>
          <w:rFonts w:ascii="Amiri" w:hAnsi="Amiri" w:eastAsia="Amiri" w:cs="Amiri"/>
          <w:color w:val="111111"/>
          <w:sz w:val="28"/>
          <w:sz w:val="28"/>
          <w:szCs w:val="28"/>
          <w:rtl w:val="true"/>
          <w:lang w:bidi="ar-SA"/>
        </w:rPr>
        <w:t xml:space="preserve">ملاقاة تلك النجاسة مدخليّة في التعدّد ، فأراد إخراج الأخير ، ولذا مثّل بالولوغ ؛ إذ مطلق النجاسة الكلّية </w:t>
      </w:r>
      <w:r>
        <w:rPr>
          <w:rStyle w:val="FootnoteAnchor"/>
          <w:rtl w:val="true"/>
        </w:rPr>
        <w:footnoteReference w:id="1520"/>
      </w:r>
      <w:r>
        <w:rPr>
          <w:rFonts w:ascii="Amiri" w:hAnsi="Amiri" w:eastAsia="Amiri" w:cs="Amiri"/>
          <w:color w:val="111111"/>
          <w:sz w:val="28"/>
          <w:sz w:val="28"/>
          <w:szCs w:val="28"/>
          <w:rtl w:val="true"/>
          <w:lang w:bidi="ar-SA"/>
        </w:rPr>
        <w:t>لا يعتبر فيه التعدد بخلاف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في غرر الجامع القول بكونه كالمحلّ قبل أن يغسل رأسا ، سواء كان من الغسلة الأولى أو الثانية وأنه يعتبر في تطهيره ما يعتبر في تلك النجاسة المغسولة من تعدّد الغسل وعدمه إلى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فسّر </w:t>
      </w:r>
      <w:r>
        <w:rPr>
          <w:rStyle w:val="FootnoteAnchor"/>
          <w:rtl w:val="true"/>
        </w:rPr>
        <w:footnoteReference w:id="1521"/>
      </w:r>
      <w:r>
        <w:rPr>
          <w:rFonts w:ascii="Amiri" w:hAnsi="Amiri" w:eastAsia="Amiri" w:cs="Amiri"/>
          <w:color w:val="111111"/>
          <w:sz w:val="28"/>
          <w:sz w:val="28"/>
          <w:szCs w:val="28"/>
          <w:rtl w:val="true"/>
          <w:lang w:bidi="ar-SA"/>
        </w:rPr>
        <w:t>عبارة النافع أيضا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بما بيّنا أنّ في القول المذكور وجوها عديدة ، فإن ثبت لكلّ منها قائل انحلّ القول </w:t>
      </w:r>
    </w:p>
    <w:p>
      <w:pPr>
        <w:pStyle w:val="BookText"/>
        <w:rPr/>
      </w:pPr>
      <w:r>
        <w:rPr>
          <w:rFonts w:ascii="Amiri" w:hAnsi="Amiri" w:eastAsia="Amiri" w:cs="Amiri"/>
          <w:color w:val="111111"/>
          <w:sz w:val="28"/>
          <w:sz w:val="28"/>
          <w:szCs w:val="28"/>
          <w:rtl w:val="true"/>
          <w:lang w:bidi="ar-SA"/>
        </w:rPr>
        <w:t>المذكور إلى أقوال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بالطهارة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المقنع أيضا ، وكذا عن الشيخ في المبسوط والخلاف ، وعزي إلى الطوسي في الوسيلة ، والشهيد في ظاهر الذكرى ونكت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حاشية الدروس إلى البصروي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غرر الجامع أنّه القول الثاني من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المحقّق الكركي عن أكثر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الصيمري في كشف الالتباس أنّ عليه فتوى شيوخ المذهب كالسيد والشيخ وابني إدريس وحمزة وأبي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المحقّق الكركي أيضا إلى السيد والشيخ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يعطي أنّهما خلطا بين القول المذكور والقول الآتي المفصّل بين الورودين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حكى في المدارك </w:t>
      </w:r>
      <w:r>
        <w:rPr>
          <w:rStyle w:val="FootnoteAnchor"/>
          <w:rtl w:val="true"/>
        </w:rPr>
        <w:footnoteReference w:id="1522"/>
      </w:r>
      <w:r>
        <w:rPr>
          <w:rFonts w:ascii="Amiri" w:hAnsi="Amiri" w:eastAsia="Amiri" w:cs="Amiri"/>
          <w:color w:val="111111"/>
          <w:sz w:val="28"/>
          <w:sz w:val="28"/>
          <w:szCs w:val="28"/>
          <w:rtl w:val="true"/>
          <w:lang w:bidi="ar-SA"/>
        </w:rPr>
        <w:t xml:space="preserve">عن جماعة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قال بطهارة الغسالة اعتبر فيها ورود الماء على النجاسة ما عدا الشهيد في الذكرى حيث لم يفرّق بين الورودين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الجماعة إنّما اعتبروا ذلك في كيفية التطهير لا في طهارة الغسالة </w:t>
      </w:r>
      <w:r>
        <w:rPr>
          <w:rStyle w:val="FootnoteAnchor"/>
          <w:rtl w:val="true"/>
        </w:rPr>
        <w:footnoteReference w:id="1523"/>
      </w:r>
      <w:r>
        <w:rPr>
          <w:rFonts w:ascii="Amiri" w:hAnsi="Amiri" w:eastAsia="Amiri" w:cs="Amiri"/>
          <w:color w:val="111111"/>
          <w:sz w:val="28"/>
          <w:sz w:val="28"/>
          <w:szCs w:val="28"/>
          <w:rtl w:val="true"/>
          <w:lang w:bidi="ar-SA"/>
        </w:rPr>
        <w:t>حتّى يعدّوا المورد أيضا غسالة شرعيّة ، لكن يحكمون بنجاستها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الظاهر أنّ المورد </w:t>
      </w:r>
      <w:r>
        <w:rPr>
          <w:rStyle w:val="FootnoteAnchor"/>
          <w:rtl w:val="true"/>
        </w:rPr>
        <w:footnoteReference w:id="1524"/>
      </w:r>
      <w:r>
        <w:rPr>
          <w:rFonts w:ascii="Amiri" w:hAnsi="Amiri" w:eastAsia="Amiri" w:cs="Amiri"/>
          <w:color w:val="111111"/>
          <w:sz w:val="28"/>
          <w:sz w:val="28"/>
          <w:szCs w:val="28"/>
          <w:rtl w:val="true"/>
          <w:lang w:bidi="ar-SA"/>
        </w:rPr>
        <w:t>عندهم ليس من الماء المستعمل شرعا في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القول في الحقيقة قول بالإطلاق في طهارة الغسالة وإنّما جعلناه قولا آخر ؛ أخذا بالظاهر ، ولاختلافه مع غيره في حكم الماء المستعمل وإن لم يكن غسالة عند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القول على طرف النقض من القول الأوّل كما ذكره الشهيد الثاني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بين الوارد والمورود ، وعزي إلى السيد والشيخ والحلي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وإسناده إلى الجماعة لا يخلو من التأمل ؛ لعدم تنصيصهم بالتفصيل المذكور في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قوّى السيد في بادي نظره التفصيل بين الورودين في انفعال القليل كما مرّت الإشارة إليه معلّلا بأنّه لو لاه لأدّى إلى عدم إمكان تطهير الثوب بالقليل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لا يدلّ على طهارة الغسالة حينئذ ، بل هو بالدلالة على خلافه أولى ؛ إذ لو كان للغسالة خصوصيّة عنده لما صحّ تعليله المذكور ، ولوجب عليه الاقتصار مع </w:t>
      </w:r>
      <w:r>
        <w:rPr>
          <w:rStyle w:val="FootnoteAnchor"/>
          <w:rtl w:val="true"/>
        </w:rPr>
        <w:footnoteReference w:id="1525"/>
      </w:r>
      <w:r>
        <w:rPr>
          <w:rFonts w:ascii="Amiri" w:hAnsi="Amiri" w:eastAsia="Amiri" w:cs="Amiri"/>
          <w:color w:val="111111"/>
          <w:sz w:val="28"/>
          <w:sz w:val="28"/>
          <w:szCs w:val="28"/>
          <w:rtl w:val="true"/>
          <w:lang w:bidi="ar-SA"/>
        </w:rPr>
        <w:t>مورد الضرورة ، فهو في الحقيقة قائل بعدم انفعال الماء مع الورود على النجاسة غسالة كان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تعليله المذكور دلالة على قطعه بعدم الفرق بين الغسالة وغيرها ، وإلّا لم يصحّ له الإسناد إلى ذلك في عدم انفعال الماء مع الورود مطلقا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يقول بنجاسة الغسالة مع عدم طهر المحلّ لورود الماء عليه كما إذا توقّف الطهر على التعدد أو لم يحصل زوال العين بالمرّة ؛ لصيرورته موردا حينئذ عند انفصال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نحو ذلك في كلام الحلي حيث استحسن كلام السيد على أنّه قد نصّ بنجاسة الغسالة الأولى في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حكم بطهارة الغسالة مع ورود الماء على النجاسة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ليس قولا صريحا في التفصيل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كالمحلّ بعدها ، فإن كان ممّا يكتفى فيه بالمرّة كانت طاهرة وإلّا حكم بطهارة الّتي يتعقّبها كما في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حكوه قولا في المقام وعزي إلى الاستاد الشريف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الغسلة الأولى والثانية ، فيحكم بالطهارة في 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وعزي إلى الشيخ في الخلاف </w:t>
      </w:r>
      <w:r>
        <w:rPr>
          <w:rStyle w:val="FootnoteAnchor"/>
          <w:rtl w:val="true"/>
        </w:rPr>
        <w:footnoteReference w:id="1526"/>
      </w:r>
      <w:r>
        <w:rPr>
          <w:rFonts w:ascii="Amiri" w:hAnsi="Amiri" w:eastAsia="Amiri" w:cs="Amiri"/>
          <w:color w:val="111111"/>
          <w:sz w:val="28"/>
          <w:sz w:val="28"/>
          <w:szCs w:val="28"/>
          <w:rtl w:val="true"/>
          <w:lang w:bidi="ar-SA"/>
        </w:rPr>
        <w:t>إلّا أنّه نصّ بطهارة غسالة الولوغ وإن كانت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يرجع هذا إلى ما تقدّمه إن خصّ نجاسة الأولى بما فيه التعدّد ، فيحكم بطهارتها مع الوحدة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عزي ذلك إلى الشيخ في الخلاف ، وإن قال بثبوت النجاسة في الغسلة الواحدة كان </w:t>
      </w:r>
    </w:p>
    <w:p>
      <w:pPr>
        <w:pStyle w:val="BookText"/>
        <w:rPr/>
      </w:pPr>
      <w:r>
        <w:rPr>
          <w:rFonts w:ascii="IRNazanin" w:hAnsi="IRNazanin" w:eastAsia="IRNazanin"/>
          <w:color w:val="111111"/>
          <w:sz w:val="28"/>
          <w:sz w:val="28"/>
          <w:szCs w:val="28"/>
          <w:rtl w:val="true"/>
          <w:lang w:bidi="fa-IR"/>
        </w:rPr>
        <w:t>قولا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نجسة وأنّها كالمحلّ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الوجوه المتقدمة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نجسة لكنّها معفوّ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غير واحد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طاهرة وقد سلبت عنها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يومي إلى ظاهر الصدوق حيث ساوى بينها وبين المستعمل في رفع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طاهرة قبل الانفصال نجسة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طاهرة إذا لم يزد وزنها على ما قبل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بعض الأصحاب ، ولا نعرف من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عن العلامة في النهاية إلحاق الزيادة في الوزن بالتغيير إلّا أنّه لم يحكم بالطهارة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طاهرة إذا كانت غسالة الإناء من ولوغ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أيضا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غير مشتمل على بيان الحكم في غير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 قولا برأسه كأنّه من جهة استثناء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بذلك إلى ما حكيناه عن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نجسة وإن زاد على الواجب وترتيب الغسلات إلى ما لا نهاية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فهد والمحقق الكركي في غير واحد من كتبهما ، والشهيد الثاني في الروض أنّهم حكوه قولا في المسألة ، بل عزاه ابن فهد إلى الفاضلين وفخر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وغلطه الصيمري في تلك النسبة ؛ إذ لا دلالة عليه في كلام الفاضلين أصلا ، والفخر في الايضاح لم يتعرض للمسألة ظاهرا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هو ظاهر جدّا من بعد ذهاب هؤلاء الأجلاء إلى ما هو بيّن الفساد ؛ إذ من الواضح أنّ المحل بعد الطهارة </w:t>
      </w:r>
      <w:r>
        <w:rPr>
          <w:rStyle w:val="FootnoteAnchor"/>
          <w:rtl w:val="true"/>
        </w:rPr>
        <w:footnoteReference w:id="1527"/>
      </w:r>
      <w:r>
        <w:rPr>
          <w:rFonts w:ascii="Amiri" w:hAnsi="Amiri" w:eastAsia="Amiri" w:cs="Amiri"/>
          <w:color w:val="111111"/>
          <w:sz w:val="28"/>
          <w:sz w:val="28"/>
          <w:szCs w:val="28"/>
          <w:rtl w:val="true"/>
          <w:lang w:bidi="ar-SA"/>
        </w:rPr>
        <w:t>لا يوجب تنجيس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خصّ </w:t>
      </w:r>
      <w:r>
        <w:rPr>
          <w:rStyle w:val="FootnoteAnchor"/>
          <w:rtl w:val="true"/>
        </w:rPr>
        <w:footnoteReference w:id="1528"/>
      </w:r>
      <w:r>
        <w:rPr>
          <w:rFonts w:ascii="Amiri" w:hAnsi="Amiri" w:eastAsia="Amiri" w:cs="Amiri"/>
          <w:color w:val="111111"/>
          <w:sz w:val="28"/>
          <w:sz w:val="28"/>
          <w:szCs w:val="28"/>
          <w:rtl w:val="true"/>
          <w:lang w:bidi="ar-SA"/>
        </w:rPr>
        <w:t xml:space="preserve">المحقق الكركي </w:t>
      </w:r>
      <w:r>
        <w:rPr>
          <w:rStyle w:val="FootnoteAnchor"/>
          <w:rtl w:val="true"/>
        </w:rPr>
        <w:footnoteReference w:id="1529"/>
      </w:r>
      <w:r>
        <w:rPr>
          <w:rFonts w:ascii="Amiri" w:hAnsi="Amiri" w:eastAsia="Amiri" w:cs="Amiri"/>
          <w:color w:val="111111"/>
          <w:sz w:val="28"/>
          <w:sz w:val="28"/>
          <w:szCs w:val="28"/>
          <w:rtl w:val="true"/>
          <w:lang w:bidi="ar-SA"/>
        </w:rPr>
        <w:t>بأنّ الظاهر أنّ موضع النزاع ماء الغسل المعتبر في التطهير دون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على فرض ثبوته ضعيف جدا يقطع عادة بعدم ركون مثل هؤلاء الأفاضل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 الأصحاب عند حكايته بما إذا كان مبتلى بماء الغسالة الّتي كان من قبلها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من جهة نجاسة المتخلّف في الجملة ، وسيجي‌ء الإشارة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 ولنوضّح </w:t>
      </w:r>
      <w:r>
        <w:rPr>
          <w:rStyle w:val="FootnoteAnchor"/>
          <w:rtl w:val="true"/>
        </w:rPr>
        <w:footnoteReference w:id="1530"/>
      </w:r>
      <w:r>
        <w:rPr>
          <w:rFonts w:ascii="Amiri" w:hAnsi="Amiri" w:eastAsia="Amiri" w:cs="Amiri"/>
          <w:color w:val="111111"/>
          <w:sz w:val="28"/>
          <w:sz w:val="28"/>
          <w:szCs w:val="28"/>
          <w:rtl w:val="true"/>
          <w:lang w:bidi="ar-SA"/>
        </w:rPr>
        <w:t xml:space="preserve">الكلام برسم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من الأقوال المذكورة نجاسة الغسالة مطلقا سواء كانت عن الغسلة الأولى أو الثانية ، وسواء ورد الماء على النجاسة أو وردت عليه إن اكتفينا بالثانية في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مفهومات الأخبار الدالّة على اشتراط اعتصام الماء بالكرّية حسب ما مرّ من دلالتها على انفعال ما دون الكر بالملاقاة إن تمّ ما ذكر في بيان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ورودها في مقام البيان ينافي البناء فيها على الإجمال ، وكأنّ المنساق فيها بحسب الفهم العرفي هو ما ذكرناه من الإطلاق ، ولذا لم يرد بيانها في شي‌ء من الأخبار مع تظافر تلك الروايات الدالّة عليه ، ولم يسأل عنه أحد من أجلّاء الرواة مع عموم الحاجة إليه وقيام الدواعي على الاستفصال عنه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المستفادة من الروايات الواردة في القليل هو انفعاله بالنجاسة كيف كان حتّى يقوم دليل على عدم تنجّسه في بعض المقامات ، وهو الذي جرى عليه الأصحاب في فهم تلك الروايات ؛ إذ لم يتوهّم أحد منهم اختصاص الحكم بموارد تلك الأخبار بل فهموا إطلاق الحكم بانفعاله مع القلّة كسائر الأعيان ، ففهموا أنّ القلّة هو المناط في الانفعال كما أنّ </w:t>
      </w:r>
    </w:p>
    <w:p>
      <w:pPr>
        <w:pStyle w:val="BookText"/>
        <w:rPr/>
      </w:pPr>
      <w:r>
        <w:rPr>
          <w:rFonts w:ascii="Amiri" w:hAnsi="Amiri" w:eastAsia="Amiri" w:cs="Amiri"/>
          <w:color w:val="111111"/>
          <w:sz w:val="28"/>
          <w:sz w:val="28"/>
          <w:szCs w:val="28"/>
          <w:rtl w:val="true"/>
          <w:lang w:bidi="ar-SA"/>
        </w:rPr>
        <w:t>الكثرة هو المناط في الاعتصام ، ولذا يستندون فيما قالوا بطهارته مع القلّة إلى الأدلّة الخاصّة ، ولم يتكلّموا فيها على مجرّد الأصل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bookmarkStart w:id="259" w:name="pg15827_173847"/>
    </w:p>
    <w:p>
      <w:pPr>
        <w:pStyle w:val="Heading4"/>
        <w:numPr>
          <w:ilvl w:val="3"/>
          <w:numId w:val="1"/>
        </w:numPr>
        <w:rPr/>
      </w:pPr>
      <w:bookmarkStart w:id="260" w:name="__RefHeading___Toc14099771_2142443653"/>
      <w:bookmarkStart w:id="261" w:name="_Toc92"/>
      <w:bookmarkEnd w:id="259"/>
      <w:bookmarkEnd w:id="260"/>
      <w:r>
        <w:rPr>
          <w:rtl w:val="true"/>
        </w:rPr>
        <w:t>تبصرة</w:t>
      </w:r>
      <w:r>
        <w:rPr>
          <w:rtl w:val="true"/>
        </w:rPr>
        <w:t xml:space="preserve">: [ </w:t>
      </w:r>
      <w:r>
        <w:rPr>
          <w:rtl w:val="true"/>
        </w:rPr>
        <w:t xml:space="preserve">في إزالة ماء الاستنجاء من البدن والثوب </w:t>
      </w:r>
      <w:r>
        <w:rPr>
          <w:rtl w:val="true"/>
        </w:rPr>
        <w:t>]</w:t>
      </w:r>
      <w:bookmarkEnd w:id="261"/>
    </w:p>
    <w:p>
      <w:pPr>
        <w:pStyle w:val="BookText"/>
        <w:rPr/>
      </w:pPr>
      <w:r>
        <w:rPr>
          <w:rFonts w:ascii="Amiri" w:hAnsi="Amiri" w:eastAsia="Amiri" w:cs="Amiri"/>
          <w:color w:val="111111"/>
          <w:sz w:val="28"/>
          <w:sz w:val="28"/>
          <w:szCs w:val="28"/>
          <w:rtl w:val="true"/>
          <w:lang w:bidi="ar-SA"/>
        </w:rPr>
        <w:t>لا خلاف بين علمائنا في عدم وجوب إزالة ماء الاستنجاء من الثوب والبدن ؛ لأجل ما هو مشروط بالطهارة ، وقد حكى اتفاقهم عليه غير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حكي عن الشيخ في الخلاف الفرق بين الغسلة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ملحوق بالإجماع ، بل ومسبوق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إلى ذلك النصوص المستفيضة المشتملة على الصحاح وغيرها منها صحيحة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عن الخلاء فاستنجى بالماء فيقع ثوبى في ذلك الماء الّذي استنجيت؟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يقع ثوبه على الماء الّذي استنجى به ، أينجس ذلك ثوبه؟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صحيحة أخرى للأحول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أستنجي ثمّ وقع ثوبي فيه وأنا جنب؟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بعد بيان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تدري لم صار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جعلت فداك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الماء أكثر من القذر </w:t>
      </w:r>
      <w:r>
        <w:rPr>
          <w:rFonts w:eastAsia="Amiri" w:cs="Amiri" w:ascii="Amiri" w:hAnsi="Amiri"/>
          <w:color w:val="111111"/>
          <w:sz w:val="28"/>
          <w:szCs w:val="28"/>
          <w:rtl w:val="true"/>
          <w:lang w:bidi="ar-SA"/>
        </w:rPr>
        <w:t xml:space="preserve">»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وقع الكلام في طهارته والعفو عنه مع نجاسته ، فظاهر الأكثر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الشهرة عليه في كلام جماعة ، ونسب خلافه إلى الشذوذ في المجار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الشهيد في الذكرى القول بالعفو ، وحكي عن ظاهر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المحقّق في المعتبر مضطرب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الأصحاب من توهّم التدافع بين النجاسة والعفو فنزّل كلام القائل بالعفو على إرادة سلب الطهوريّة ، وحكى ذلك عن ظاهر الذكرى ، ولا دلالة في عبارته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صاحب الحدائق مع جعله ثمرة البحث في جواز التناول والاستعمال ورفع الخبث أو الحدث أيضا نصّ على أنّ مقصود القائل بالعفو هو سلب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عدم تفريع تحريم التناول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يقوى في النظر عدم المنافاة بين النجاسة والعفو المذكور ؛ إذ من الظاهر أنّ الطهارة والنجاسة من الأحكام الوضعية </w:t>
      </w:r>
      <w:r>
        <w:rPr>
          <w:rStyle w:val="FootnoteAnchor"/>
          <w:rtl w:val="true"/>
        </w:rPr>
        <w:footnoteReference w:id="1537"/>
      </w:r>
      <w:r>
        <w:rPr>
          <w:rFonts w:ascii="Amiri" w:hAnsi="Amiri" w:eastAsia="Amiri" w:cs="Amiri"/>
          <w:color w:val="111111"/>
          <w:sz w:val="28"/>
          <w:sz w:val="28"/>
          <w:szCs w:val="28"/>
          <w:rtl w:val="true"/>
          <w:lang w:bidi="ar-SA"/>
        </w:rPr>
        <w:t xml:space="preserve">الثابتة للأشياء مع قطع النظر من الأحكام الشرعيّة التابعة لها ، غاية الأمر أنّه مع عدم تفريع </w:t>
      </w:r>
      <w:r>
        <w:rPr>
          <w:rStyle w:val="FootnoteAnchor"/>
          <w:rtl w:val="true"/>
        </w:rPr>
        <w:footnoteReference w:id="1538"/>
      </w:r>
      <w:r>
        <w:rPr>
          <w:rFonts w:ascii="Amiri" w:hAnsi="Amiri" w:eastAsia="Amiri" w:cs="Amiri"/>
          <w:color w:val="111111"/>
          <w:sz w:val="28"/>
          <w:sz w:val="28"/>
          <w:szCs w:val="28"/>
          <w:rtl w:val="true"/>
          <w:lang w:bidi="ar-SA"/>
        </w:rPr>
        <w:t>شي‌ء من الأحكام الشرعيّة عليها يكون تشريعها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ليس كذلك ؛ إذ غاية ما يقولون فيه بالعفو هو عدم وجوب إزالته ، أما سائر أحكام النجاسة من حرمة التناول والاستعمال فباقية بحالها ، فارتفاع تابع من توابع النجاسة لا يوجب ارتفاع أصل الحكم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بالعفو إمّا سقوط وجوب الإزالة لما يشترط بها بالنسبة إليه وإلى ما يلاقيه ، وحينئذ فيسري النجاسة الثابتة له إلى غيره على نحو ما ثبت له أو أنّ المراد سقوط حكم التنجيس عنه فهو لا يجب إزالته ، ولا ينجس ما يلاقيه فلا يثبت </w:t>
      </w:r>
      <w:r>
        <w:rPr>
          <w:rStyle w:val="FootnoteAnchor"/>
          <w:rtl w:val="true"/>
        </w:rPr>
        <w:footnoteReference w:id="1539"/>
      </w:r>
      <w:r>
        <w:rPr>
          <w:rFonts w:ascii="Amiri" w:hAnsi="Amiri" w:eastAsia="Amiri" w:cs="Amiri"/>
          <w:color w:val="111111"/>
          <w:sz w:val="28"/>
          <w:sz w:val="28"/>
          <w:szCs w:val="28"/>
          <w:rtl w:val="true"/>
          <w:lang w:bidi="ar-SA"/>
        </w:rPr>
        <w:t>في ملاقيه شي‌ء من أحكام النجاسة ، وكأنّ هذا هو الأظهر في مذهبهم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فدفعه بصحيحة الأحوال المتقدمة ظاهر الاندفاع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ملاحظة الأصل والأخبار لا يخفى قوّة هذا القول ؛ إذ ليس المستفاد منها سوى عدم وجوب إزالته وطهارة ملاقيه ، وهو أعم من الطهارة ، فالثابت قطعا من هذه الأخبار مفاد القول بالعفو دون الحكم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مراد الشهيد وغيره من دعوى صراحة الأخبار في العفو دون الطهارة ، فلا يرد عليه أنّ غاية الأمر إجمال الرواية بالنسبة إلى إفادة الطهارة فكيف يدعى صراحتها في خلافها ، لكن بعد ملاحظة الشهرة و </w:t>
      </w:r>
      <w:r>
        <w:rPr>
          <w:rStyle w:val="FootnoteAnchor"/>
          <w:rtl w:val="true"/>
        </w:rPr>
        <w:footnoteReference w:id="1540"/>
      </w:r>
      <w:r>
        <w:rPr>
          <w:rFonts w:ascii="Amiri" w:hAnsi="Amiri" w:eastAsia="Amiri" w:cs="Amiri"/>
          <w:color w:val="111111"/>
          <w:sz w:val="28"/>
          <w:sz w:val="28"/>
          <w:szCs w:val="28"/>
          <w:rtl w:val="true"/>
          <w:lang w:bidi="ar-SA"/>
        </w:rPr>
        <w:t>فهم كثير من الأصحاب منها الطهارة بناء على دلالة نفي بعض لوازم الطهارة أو النجاسة على انتفاء ملزومه كما فهموا ذلك من حرمة الوضوء والشرب والمنع عنهما في أبواب المياه ، يكون القول بالطهارة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تأيّده بالأصل والعمومات الحاكمة بطهارة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والتعليل المذكور في رواية العلل الظاهر في عدم انفعال الماء عن النجاسة بسبب الكثرة والإجماع المحكي عليه في ظاهر المنتهى ، وحينئذ فنثبت </w:t>
      </w:r>
      <w:r>
        <w:rPr>
          <w:rStyle w:val="FootnoteAnchor"/>
          <w:rtl w:val="true"/>
        </w:rPr>
        <w:footnoteReference w:id="1541"/>
      </w:r>
      <w:r>
        <w:rPr>
          <w:rFonts w:ascii="Amiri" w:hAnsi="Amiri" w:eastAsia="Amiri" w:cs="Amiri"/>
          <w:color w:val="111111"/>
          <w:sz w:val="28"/>
          <w:sz w:val="28"/>
          <w:szCs w:val="28"/>
          <w:rtl w:val="true"/>
          <w:lang w:bidi="ar-SA"/>
        </w:rPr>
        <w:t>له سائر أحكام الطهارة من جواز الشرب مع عدم الخباثة والاستعمال في رفع الأحداث والأخباث إلّا أن الإجماع محكي على عدم جواز ارتفاع الحدث بالمستعمل في رفع الخبث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كان ذلك خارجا بالدليل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للحكم بطهارة الماء المذكور شروطا </w:t>
      </w:r>
      <w:r>
        <w:rPr>
          <w:rStyle w:val="FootnoteAnchor"/>
          <w:rtl w:val="true"/>
        </w:rPr>
        <w:footnoteReference w:id="1543"/>
      </w:r>
      <w:r>
        <w:rPr>
          <w:rFonts w:ascii="Amiri" w:hAnsi="Amiri" w:eastAsia="Amiri" w:cs="Amiri"/>
          <w:color w:val="111111"/>
          <w:sz w:val="28"/>
          <w:sz w:val="28"/>
          <w:szCs w:val="28"/>
          <w:rtl w:val="true"/>
          <w:lang w:bidi="ar-SA"/>
        </w:rPr>
        <w:t xml:space="preserve">كعدم تغيّره بالنجاسة وعدم تعدّيها به عن المحلّ المعتاد وعدم مصاحبة نجاسة أخرى مع الحدث الخارج ، بل وغيرها ممّا تنجّس </w:t>
      </w:r>
      <w:r>
        <w:rPr>
          <w:rStyle w:val="FootnoteAnchor"/>
          <w:rtl w:val="true"/>
        </w:rPr>
        <w:footnoteReference w:id="1544"/>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تصريح في شي‌ء من روايات الباب لشي‌ء من ذلك إلّا أن اعتبار بعض الشرائط مستفاد من الأصل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w:t>
      </w:r>
      <w:r>
        <w:rPr>
          <w:rStyle w:val="FootnoteAnchor"/>
          <w:rtl w:val="true"/>
        </w:rPr>
        <w:footnoteReference w:id="1545"/>
      </w:r>
      <w:r>
        <w:rPr>
          <w:rFonts w:ascii="Amiri" w:hAnsi="Amiri" w:eastAsia="Amiri" w:cs="Amiri"/>
          <w:color w:val="111111"/>
          <w:sz w:val="28"/>
          <w:sz w:val="28"/>
          <w:szCs w:val="28"/>
          <w:rtl w:val="true"/>
          <w:lang w:bidi="ar-SA"/>
        </w:rPr>
        <w:t xml:space="preserve">القول في ذلك ترسم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تغيّر بالنجاسة فلا شبهة في نجاسته لاطباقهم ظاهرا على نجاسة المتغيّر بالنجاسة كائنا ما كان ، ولأنّه لا يزيد على المياه المعتصمه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الروايات منصرف إلى الغالب من عدم التغير </w:t>
      </w:r>
      <w:r>
        <w:rPr>
          <w:rStyle w:val="FootnoteAnchor"/>
          <w:rtl w:val="true"/>
        </w:rPr>
        <w:footnoteReference w:id="1546"/>
      </w:r>
      <w:r>
        <w:rPr>
          <w:rFonts w:ascii="Amiri" w:hAnsi="Amiri" w:eastAsia="Amiri" w:cs="Amiri"/>
          <w:color w:val="111111"/>
          <w:sz w:val="28"/>
          <w:sz w:val="28"/>
          <w:szCs w:val="28"/>
          <w:rtl w:val="true"/>
          <w:lang w:bidi="ar-SA"/>
        </w:rPr>
        <w:t>فلا يشمل التغير ، وعلى فرض شموله فهي معارضة بإطلاق ما دلّ على نجاسة المتغيّر كالنبوي المشهور وغيره مع ترجيحه بعمل الأصحاب ، ووضوحه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نجاسته مع تعدّي النجاسة عن المحلّ المعتاد لخروجه من اسم الاستنجاء ، فلا يشمله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لو تعدّى من المخرج بحيث لم يمنع من صدقه كما إذا لم يكن خارجا عن النحو المعتاد كان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يحمل ما في الدروس من نفيه الفرق بين المتعدّي وغيره ؛ لوضوح الأمر مع الخروج عن اسم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مع التعدية لو غسل المقدار المتعدي جرى في الباقي حكمه ، وكذا لو غسل ما في المخرج وأبقى الباقي على إشكال في المقامين مع اتّصال المتعدّي لنجاسة الماء الملاقي للنجاسة في الأوّل وملاقاة الماء للنجاسة المتعدّية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لاقى الماء نجاسة خارجية تنجّس قطعا لخروج ذلك عن مدلول الأخبار ، ومن ذلك ما لو كانت اليد نجسة قبل الاستنجاء سواء كانت بنجاسة خارجية أو من المخرج</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 ما لو كان المخرج متنجّسا قبل ذلك ، وكذا لو صاحب الحدث الخارج نجاسة أخرى كالدم ، خلافا لبعضهم في ذلك حيث حكم بالطهارة لإطلاق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الإطلاقات إنّما تنصرف إلى الغالب ، وأنّ غاية ما يستفاد منها طهارة ماء الاستنجاء ، وعدم تنجّسها من ملاقاة النجاسة المعروفة ، فبقي غيرها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 لو خرجت تلك النجاسة وحدها لم يجر فيه حكم الاستنجاء في ظاهر المذهب ، بل الظاهر أنّه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يتأمّل فيه أحد ، فمع المصاحبة كذلك ؛ إذ لا يوجب النجاسة الأخرى تخفيفا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ترجيح الأشد مع اجتماع 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صاحبها شي‌ء آخر كالبلغم أو الودي أو المذي ففيه وجهان ؛ من الشك في شمول الاطلاق لمثله ، ومن أنّه لا يزيد على حكم النجاسة المتنجسة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الأصحاب حكم بالطهارة لدعوى شمول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نظر سيّما إذا كان أدخل من خارج فخرج كالدّواء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متنجّسا من خارج ، وإلّا كان بحكم النجاسة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المني بالحدثين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في الصحيحة الأخيرة دلالة عليه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تنجّس اليد حال الاستنجاء لا ينجس الماء إلّا إذا رفعها بعد تنجّسها فأراد العود إليه من دون تطهيرها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وإلحاقها بالنجاسة الخارجة قويّ مع الخروج عن النحو المعتاد ، ولو أزال النجاسة بغير اليد ففي إجراء الحكم إليه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ويجريان فيما إذا استنجى له غيره ، والظاهر خروجه من مدلول الأخبار فإن صحّ تنقيح المناط كما هو الأظهر ، والأقوى </w:t>
      </w:r>
      <w:r>
        <w:rPr>
          <w:rStyle w:val="FootnoteAnchor"/>
          <w:rtl w:val="true"/>
        </w:rPr>
        <w:footnoteReference w:id="1547"/>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مخرج الغائط ، وأما بالنسبة إلى مخرج البول فالظاهر التنجيس لعدم الحاجة فيه إلى معونة الآلة ، فيخرج عن مفاد الروايات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الحاجة إليه لعارض ففيه وجهان أوجههما الطهارة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بين سبق الماء اليد في الوصول إلى النجاسة وعكسه ؛ لظاهر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سبقه اليد لا بقصد الاستنجاء كان كالنجاسة الخارجة ، ولو طهره حينئذ بحيث لم يتراح عند وصول الماء عن النحو المعتاد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استنجى على النجاسة الخارجة ينجس الماء بالوصول إليها ؛ إذ تلك كغيرها من النجاسات الخارجة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الروايات غير واضح الشمول لذلك ، وإنما المستفاد منها عدم التنجّس بسبب ملاقاة النجاسة عند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غلبة حصول الاستنجاء على النجاسة غير معلوم في تلك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المفروض في الصحيحة الأولى مغايرة محل الاستنجاء ومكان الخلوة ، وفيه إيماء إلى أنّه المعروف في تلك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اضمحلال النجاسة المزالة في الماء أو يجري الحكم مع بقاء أجزاء منه في الماء؟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بين ما إذا كانت الأجزاء ظاهرة متميّزة في الحسّ وما إذا كانت صغارا لا يتميّز إلّا بعد الفحص التامّ فيحكم بالطهارة لعدم خلوّ الماء عنه ؛ إذ استهلاك أجزاء الغائط في الماء بحيث لا يبقى أجزاء الصغار أيضا نادر جدّا فكيف يحمل عليه الإطلاقات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شكّ في وجود أجزاء متميّزة في الماء فظاهر إطلاق الروايات البناء على الطهارة للحكم فيها بعدم البأس من تكليف بالفحص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يفصّل بين ما إذا شكّ في وجود أجزاء متميّزة من أوّل الأمر وبين العلم بوجوده والشكّ في الاضمحلال كذلك ؛ لأصالة البقاء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الأولى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الإطلاقات مع البناء على النجاسة بمجرّد وجود الأجزاء الصغار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الحكم بما إذا كان الاستنجاء عن طلب منه وقصد أو يعمّ صورة </w:t>
      </w:r>
    </w:p>
    <w:p>
      <w:pPr>
        <w:pStyle w:val="BookText"/>
        <w:rPr/>
      </w:pPr>
      <w:r>
        <w:rPr>
          <w:rFonts w:ascii="Amiri" w:hAnsi="Amiri" w:eastAsia="Amiri" w:cs="Amiri"/>
          <w:color w:val="111111"/>
          <w:sz w:val="28"/>
          <w:sz w:val="28"/>
          <w:szCs w:val="28"/>
          <w:rtl w:val="true"/>
          <w:lang w:bidi="ar-SA"/>
        </w:rPr>
        <w:t xml:space="preserve">انتفاء القصد؟ وأيضا كما إذا صبّ </w:t>
      </w:r>
      <w:r>
        <w:rPr>
          <w:rStyle w:val="FootnoteAnchor"/>
          <w:rtl w:val="true"/>
        </w:rPr>
        <w:footnoteReference w:id="1548"/>
      </w:r>
      <w:r>
        <w:rPr>
          <w:rFonts w:ascii="Amiri" w:hAnsi="Amiri" w:eastAsia="Amiri" w:cs="Amiri"/>
          <w:color w:val="111111"/>
          <w:sz w:val="28"/>
          <w:sz w:val="28"/>
          <w:szCs w:val="28"/>
          <w:rtl w:val="true"/>
          <w:lang w:bidi="ar-SA"/>
        </w:rPr>
        <w:t>الماء عليه من دون قصد أو وقع عليه الماء فطهره؟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اللفظ بحسب اللغة يعطي الأوّل إلّا أنّ التعميم لا يخلو من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فهل يعتبر فيه قصد التطهير؟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 بالمخرج الخلقي المعتاد أو يجري في العارضي أيضا أو يفصل بين اعتياده وعدمه أو بين سدّ الخلقي وعدمه أو بين اجتماع الصفتين وعدمه؟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جارية في الخلقي إذا لم يكن في الموضع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الأصل فيها أجمع الحكم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في الخلقي إذا كان معدّا له وجه قويّ سيّما مع الانحصار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يتبيّن جريان الحكم في كلّ من فرج الخنثى المشكل ، بل وغيره أيضا إذا كان كلّ منهما معدّا لذلك وجه </w:t>
      </w:r>
      <w:r>
        <w:rPr>
          <w:rStyle w:val="FootnoteAnchor"/>
          <w:rtl w:val="true"/>
        </w:rPr>
        <w:footnoteReference w:id="1549"/>
      </w:r>
      <w:r>
        <w:rPr>
          <w:rFonts w:ascii="Amiri" w:hAnsi="Amiri" w:eastAsia="Amiri" w:cs="Amiri"/>
          <w:color w:val="111111"/>
          <w:sz w:val="28"/>
          <w:sz w:val="28"/>
          <w:szCs w:val="28"/>
          <w:rtl w:val="true"/>
          <w:lang w:bidi="ar-SA"/>
        </w:rPr>
        <w:t>لو اختصّ أحدهما به واتفق خروجه من الآخر ففيه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ويقوى فيه النجاسة إلّا مع الاعتياد ، ففيه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يخرج من شي‌ء من فرجيه الخلقيين في المشكل واتّفق خروجه من أحدهما ففي إجراء حكم المذكور له وجهان ؛ من أصالة الانفعال في القليل مع اشتباه الحال ، ومن أصالة الطهارة كأنّه </w:t>
      </w:r>
      <w:r>
        <w:rPr>
          <w:rStyle w:val="FootnoteAnchor"/>
          <w:rtl w:val="true"/>
        </w:rPr>
        <w:footnoteReference w:id="1550"/>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خرج منهما كان غسالة كا منهما بمنزلة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الوجوه المذكورة في البول الخارج من الدبر أو الخارج من مخرج الحيض في المرأة مع الإفضاء بها أو عدمه ، والحكم بطهارة غسالة المجبوب وجه قويّ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ثبوت الحكم المذكور للماء سواء كان بعد الانفصال او قبله ، بعد طهر المحل أو قبله ، لكن لو قصر الماء عن إزالة العين فأزال به بعضه ففي الحكم بطهره مع نجاسة المحل إشكال سيّما إذا استنجى كذلك عالما بالحال ، ولو أكمله كذلك من دون تراخ يعتدّ به قوي </w:t>
      </w:r>
    </w:p>
    <w:p>
      <w:pPr>
        <w:pStyle w:val="BookText"/>
        <w:rPr/>
      </w:pP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بعض الأصحاب في طهارته عدم زيادة وزن النجاسة على وزن الماء ، وكأنّه للعلّة المذكورة في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الغالب حصول التغيير بل الإضافة </w:t>
      </w:r>
      <w:r>
        <w:rPr>
          <w:rStyle w:val="FootnoteAnchor"/>
          <w:rtl w:val="true"/>
        </w:rPr>
        <w:footnoteReference w:id="1551"/>
      </w:r>
      <w:r>
        <w:rPr>
          <w:rFonts w:ascii="Amiri" w:hAnsi="Amiri" w:eastAsia="Amiri" w:cs="Amiri"/>
          <w:color w:val="111111"/>
          <w:sz w:val="28"/>
          <w:sz w:val="28"/>
          <w:szCs w:val="28"/>
          <w:rtl w:val="true"/>
          <w:lang w:bidi="ar-SA"/>
        </w:rPr>
        <w:t>مع المساواة ، ولو فرض انتفاؤهما قوي الطهارة ، لضعف الرواية وخروجها مخرج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الحكم المذكور بالنسبة إلى كلّ من مخرج البول والغائط على ظاهر المذهب ، وإن كان الظاهر من جماعة من أهل اللغة تخصيص الاستنجاء بالثاني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1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 ما يخرج من البطن من ريح أو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ورد في الأخبار في كلام الإمام عليه‌السلام والشامل إطلاق الاستنجاء على تطهير مخرج البول فلا يبعد شمول الاخبار للأمرين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الشمول بحسب اللغة على أنّ الغالب الاستنجاء من الأمرين في محلّ واحد فعدم التفصيل في الأخبار شاهد على التعميم</w:t>
      </w:r>
      <w:r>
        <w:rPr>
          <w:rFonts w:eastAsia="Amiri" w:cs="Amiri" w:ascii="Amiri" w:hAnsi="Amiri"/>
          <w:color w:val="111111"/>
          <w:sz w:val="28"/>
          <w:szCs w:val="28"/>
          <w:rtl w:val="true"/>
          <w:lang w:bidi="ar-SA"/>
        </w:rPr>
        <w:t xml:space="preserve">. </w:t>
      </w:r>
      <w:bookmarkStart w:id="262" w:name="pg15827_173855"/>
    </w:p>
    <w:p>
      <w:pPr>
        <w:pStyle w:val="Heading4"/>
        <w:numPr>
          <w:ilvl w:val="3"/>
          <w:numId w:val="1"/>
        </w:numPr>
        <w:rPr/>
      </w:pPr>
      <w:bookmarkStart w:id="263" w:name="__RefHeading___Toc14099773_2142443653"/>
      <w:bookmarkStart w:id="264" w:name="_Toc93"/>
      <w:bookmarkEnd w:id="262"/>
      <w:bookmarkEnd w:id="263"/>
      <w:r>
        <w:rPr>
          <w:rtl w:val="true"/>
        </w:rPr>
        <w:t>تبصرة</w:t>
      </w:r>
      <w:r>
        <w:rPr>
          <w:rtl w:val="true"/>
        </w:rPr>
        <w:t xml:space="preserve">: [ </w:t>
      </w:r>
      <w:r>
        <w:rPr>
          <w:rtl w:val="true"/>
        </w:rPr>
        <w:t xml:space="preserve">في طهورية الماء المستعمل </w:t>
      </w:r>
      <w:r>
        <w:rPr>
          <w:rtl w:val="true"/>
        </w:rPr>
        <w:t>]</w:t>
      </w:r>
      <w:bookmarkEnd w:id="264"/>
    </w:p>
    <w:p>
      <w:pPr>
        <w:pStyle w:val="BookText"/>
        <w:rPr/>
      </w:pPr>
      <w:r>
        <w:rPr>
          <w:rFonts w:ascii="Amiri" w:hAnsi="Amiri" w:eastAsia="Amiri" w:cs="Amiri"/>
          <w:color w:val="111111"/>
          <w:sz w:val="28"/>
          <w:sz w:val="28"/>
          <w:szCs w:val="28"/>
          <w:rtl w:val="true"/>
          <w:lang w:bidi="ar-SA"/>
        </w:rPr>
        <w:t xml:space="preserve">الماء المستعمل في رفع الحدث الأصغر طاهر مطهّر من الخبث والحدث بإجماعنا المعلوم المقبول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والعمومات ، وخصوص رواية عبد اللّه بن سنان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عن شيخنا المفيد استحباب التنزّه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لأجل زيادة النظافة المطلوبة في ماء الطهارة ، لكن روى الصدوق مرسلا عن علي عليه‌السلام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أن الماء المستعمل في الوضوء طاهر مطهر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أفضليّة الوضوء من فضل جماعة المسلمين عن الوضوء من ركو ، أو مجرد إطلاقه قد يفيد عكس ما ذكره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المستعمل في الأغسال الغير الرافعة كغسل الجمعة والعيد والزيارة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المفيد بأنّ الأفضل تجري المياه الطاهرة الّتي لم يستعمل في أداء فريضة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يدلّ على ما حكينا عنه أولا ، بل ويعمّ غسل اليد قبل الطعام ونحوه من الغسلات المندوبة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كراهة الأغسال بغسالة الأغسال المندوبة 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اغتسل من الماء </w:t>
      </w:r>
    </w:p>
    <w:p>
      <w:pPr>
        <w:pStyle w:val="BookText"/>
        <w:rPr/>
      </w:pPr>
      <w:r>
        <w:rPr>
          <w:rFonts w:ascii="Amiri" w:hAnsi="Amiri" w:eastAsia="Amiri" w:cs="Amiri"/>
          <w:color w:val="111111"/>
          <w:sz w:val="28"/>
          <w:sz w:val="28"/>
          <w:szCs w:val="28"/>
          <w:rtl w:val="true"/>
          <w:lang w:bidi="ar-SA"/>
        </w:rPr>
        <w:t xml:space="preserve">الذي اغتسل فيه فأصابه الجذام فلا يلومنّ إلّا نفسه </w:t>
      </w:r>
      <w:r>
        <w:rPr>
          <w:rFonts w:eastAsia="Amiri" w:cs="Amiri" w:ascii="Amiri" w:hAnsi="Amiri"/>
          <w:color w:val="111111"/>
          <w:sz w:val="28"/>
          <w:szCs w:val="28"/>
          <w:rtl w:val="true"/>
          <w:lang w:bidi="ar-SA"/>
        </w:rPr>
        <w:t xml:space="preserve">» </w:t>
      </w:r>
      <w:r>
        <w:rPr>
          <w:rStyle w:val="FootnoteAnchor"/>
          <w:rtl w:val="true"/>
        </w:rPr>
        <w:footnoteReference w:id="1557"/>
      </w:r>
      <w:r>
        <w:rPr>
          <w:rFonts w:ascii="IRNazanin" w:hAnsi="IRNazanin" w:eastAsia="IRNazanin"/>
          <w:color w:val="111111"/>
          <w:sz w:val="28"/>
          <w:sz w:val="28"/>
          <w:szCs w:val="28"/>
          <w:rtl w:val="true"/>
          <w:lang w:bidi="fa-IR"/>
        </w:rPr>
        <w:t>بناء على ظاهر إطلاقه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آخر الرواية ورودها في ماء الحمام ؛ 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المدينة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من العمى </w:t>
      </w:r>
      <w:r>
        <w:rPr>
          <w:rStyle w:val="FootnoteAnchor"/>
          <w:rtl w:val="true"/>
        </w:rPr>
        <w:footnoteReference w:id="155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يغتسل فيه الجنب من الحرام والزاني والناصب الذي هو شرّهما وكلّ ما خلق اللّه ثمّ يكون شفاء من العين </w:t>
      </w:r>
      <w:r>
        <w:rPr>
          <w:rFonts w:eastAsia="Amiri" w:cs="Amiri" w:ascii="Amiri" w:hAnsi="Amiri"/>
          <w:color w:val="111111"/>
          <w:sz w:val="28"/>
          <w:szCs w:val="28"/>
          <w:rtl w:val="true"/>
          <w:lang w:bidi="ar-SA"/>
        </w:rPr>
        <w:t xml:space="preserve">» </w:t>
      </w:r>
      <w:r>
        <w:rPr>
          <w:rStyle w:val="FootnoteAnchor"/>
          <w:rtl w:val="true"/>
        </w:rPr>
        <w:footnoteReference w:id="155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تدلّ على المستعمل في خصوص الأغسال الغير الرافعة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ما ذكر لأوّل الرواية تأمّل ، غاية الأمر أن يكون ردّ ما ذكروه مخصوصا بالقسم المذكور لوضوح الحال فيه أو لاختصاص </w:t>
      </w:r>
      <w:r>
        <w:rPr>
          <w:rStyle w:val="FootnoteAnchor"/>
          <w:rtl w:val="true"/>
        </w:rPr>
        <w:footnoteReference w:id="1560"/>
      </w:r>
      <w:r>
        <w:rPr>
          <w:rFonts w:ascii="Amiri" w:hAnsi="Amiri" w:eastAsia="Amiri" w:cs="Amiri"/>
          <w:color w:val="111111"/>
          <w:sz w:val="28"/>
          <w:sz w:val="28"/>
          <w:szCs w:val="28"/>
          <w:rtl w:val="true"/>
          <w:lang w:bidi="ar-SA"/>
        </w:rPr>
        <w:t>قولهم عليهم‌السلام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يذهب عليك أنّ مورد الرواية هو الماء الذي اغتسل فيه لا به ، فالتعميم مشكل إلّا أن ينقح المناط أو يقال فيه بالأولوية</w:t>
      </w:r>
      <w:r>
        <w:rPr>
          <w:rFonts w:eastAsia="Amiri" w:cs="Amiri" w:ascii="Amiri" w:hAnsi="Amiri"/>
          <w:color w:val="111111"/>
          <w:sz w:val="28"/>
          <w:szCs w:val="28"/>
          <w:rtl w:val="true"/>
          <w:lang w:bidi="ar-SA"/>
        </w:rPr>
        <w:t xml:space="preserve">. </w:t>
      </w:r>
      <w:bookmarkStart w:id="265" w:name="pg15827_173857"/>
    </w:p>
    <w:p>
      <w:pPr>
        <w:pStyle w:val="Heading4"/>
        <w:numPr>
          <w:ilvl w:val="3"/>
          <w:numId w:val="1"/>
        </w:numPr>
        <w:rPr/>
      </w:pPr>
      <w:bookmarkStart w:id="266" w:name="__RefHeading___Toc14099775_2142443653"/>
      <w:bookmarkStart w:id="267" w:name="_Toc94"/>
      <w:bookmarkEnd w:id="265"/>
      <w:bookmarkEnd w:id="266"/>
      <w:r>
        <w:rPr>
          <w:rtl w:val="true"/>
        </w:rPr>
        <w:t>تبصرة</w:t>
      </w:r>
      <w:r>
        <w:rPr>
          <w:rtl w:val="true"/>
        </w:rPr>
        <w:t xml:space="preserve">: [ </w:t>
      </w:r>
      <w:r>
        <w:rPr>
          <w:rtl w:val="true"/>
        </w:rPr>
        <w:t xml:space="preserve">في المستعمل في رفع حدث الجنابة </w:t>
      </w:r>
      <w:r>
        <w:rPr>
          <w:rtl w:val="true"/>
        </w:rPr>
        <w:t>]</w:t>
      </w:r>
      <w:bookmarkEnd w:id="267"/>
    </w:p>
    <w:p>
      <w:pPr>
        <w:pStyle w:val="Heading5"/>
        <w:numPr>
          <w:ilvl w:val="4"/>
          <w:numId w:val="1"/>
        </w:numPr>
        <w:rPr/>
      </w:pPr>
      <w:bookmarkStart w:id="268" w:name="__RefHeading___Toc14099777_2142443653"/>
      <w:bookmarkStart w:id="269" w:name="_Toc95"/>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المستعمل في رفع حدث الجنابة طاهر بلا خلاف عندنا إذ لا منجّس له لطهارة بدن الجنب ، وعدم تعقل سراية حكم الحدث إلى الماء مع عدم تأثره ذلك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الأصل والعمومات وإجماع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لا خلاف يعرف في طهوريّته للخبث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جماعة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الشهيد قولا بعدمه نظرا إلى استيفاء قوّته ، فالتحق بالمضاف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على فرض كونه من الأصحاب شاذّ ضعيف لا يقتضي وصمة في الإجماع المذكور كما توهمه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 </w:t>
      </w:r>
      <w:r>
        <w:rPr>
          <w:rStyle w:val="FootnoteAnchor"/>
          <w:rtl w:val="true"/>
        </w:rPr>
        <w:footnoteReference w:id="1561"/>
      </w:r>
      <w:r>
        <w:rPr>
          <w:rFonts w:ascii="Amiri" w:hAnsi="Amiri" w:eastAsia="Amiri" w:cs="Amiri"/>
          <w:color w:val="111111"/>
          <w:sz w:val="28"/>
          <w:sz w:val="28"/>
          <w:szCs w:val="28"/>
          <w:rtl w:val="true"/>
          <w:lang w:bidi="ar-SA"/>
        </w:rPr>
        <w:t>في إثباته أضعف منه ، فبعد ملاحظة الأصل والعمومات السليمة عن المعارض والإجماع المنقول بل المعلوم لا ريب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طهوريّته للحدث خلاف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وحكي عليه الشهرة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التهذيب للفاضل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بقاء ما استعمل في رفع الأكبر على 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من القدماء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أكثر أصحابنا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يستظهر من الشيخ في الإستبصار التفصيل بين حالتي الاختيار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مبنيّ على مجرّد إرادة الجمع بين الأخبار كما هو ظاهر من طريقته في كتابيه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الأوّل ؛ للأصل والعمومات مع عدم وضوح المخصّص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الرواية المذكورة ؛ لظهورها في الكراهة والصحيح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ينتهي إلى الماء القليل في الطريق فيريد أن يغتسل وليس معه إناء والماء في وهدة ، فإن هو اغتسل رجع غسله في الماء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ينضح بكفّ بين يديه وكفّا من خلفه وكفّا عن يمينه وكفّا عن شماله ، ثمّ يغتسل </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علي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يعني الماء في مكان واحد ، وهو قليل لا يكفيه لغسله ، فلا عليه أن يغتسل ويرجع الماء فيه ؛ فإن ذلك يجزيه </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يستظهر من الرواية الأولى وظاهر السؤال في الثانية من كون ذلك حال الاضطرار لا يوجب قصورا في الدلالة ؛ إذ لا قائل ظاهرا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الحمّام يغتسل فيه الجنب وغيره أغتسل من مائه؟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بأس أن تغتسل منه </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أيضا </w:t>
      </w:r>
      <w:r>
        <w:rPr>
          <w:rStyle w:val="FootnoteAnchor"/>
          <w:rtl w:val="true"/>
        </w:rPr>
        <w:footnoteReference w:id="1565"/>
      </w:r>
      <w:r>
        <w:rPr>
          <w:rFonts w:ascii="Amiri" w:hAnsi="Amiri" w:eastAsia="Amiri" w:cs="Amiri"/>
          <w:color w:val="111111"/>
          <w:sz w:val="28"/>
          <w:sz w:val="28"/>
          <w:szCs w:val="28"/>
          <w:rtl w:val="true"/>
          <w:lang w:bidi="ar-SA"/>
        </w:rPr>
        <w:t>في الأخبار من المنع عن الاغتسال بغسالة الحمّام ؛ معلّلا بأنّ فيه غسالة اليهودي والنصراني والمجوسي والناصب ، أو غسالة الزاني وولد الزنا والناصب ونحو ذلك ؛ إذ لو كان غسالة غسل الجنابة موجبا لذلك لكان التعليل به أوضح</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المنع بعد الاحتياط لتحصيل البراءة اليقينية بعد اليقين بالشغل ، ورواية عبد اللّه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يغسل به الثوب ويغسل </w:t>
      </w:r>
      <w:r>
        <w:rPr>
          <w:rStyle w:val="FootnoteAnchor"/>
          <w:rtl w:val="true"/>
        </w:rPr>
        <w:footnoteReference w:id="1566"/>
      </w:r>
      <w:r>
        <w:rPr>
          <w:rFonts w:ascii="Amiri" w:hAnsi="Amiri" w:eastAsia="Amiri" w:cs="Amiri"/>
          <w:color w:val="111111"/>
          <w:sz w:val="28"/>
          <w:sz w:val="28"/>
          <w:szCs w:val="28"/>
          <w:rtl w:val="true"/>
          <w:lang w:bidi="ar-SA"/>
        </w:rPr>
        <w:t xml:space="preserve">من الجنابة لا يجوز أن يتوضّأ به وأشباهه </w:t>
      </w:r>
      <w:r>
        <w:rPr>
          <w:rFonts w:eastAsia="Amiri" w:cs="Amiri" w:ascii="Amiri" w:hAnsi="Amiri"/>
          <w:color w:val="111111"/>
          <w:sz w:val="28"/>
          <w:szCs w:val="28"/>
          <w:rtl w:val="true"/>
          <w:lang w:bidi="ar-SA"/>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حمزة </w:t>
      </w:r>
      <w:r>
        <w:rPr>
          <w:rStyle w:val="FootnoteAnchor"/>
          <w:rtl w:val="true"/>
        </w:rPr>
        <w:footnoteReference w:id="1568"/>
      </w:r>
      <w:r>
        <w:rPr>
          <w:rFonts w:ascii="Amiri" w:hAnsi="Amiri" w:eastAsia="Amiri" w:cs="Amiri"/>
          <w:color w:val="111111"/>
          <w:sz w:val="28"/>
          <w:sz w:val="28"/>
          <w:szCs w:val="28"/>
          <w:rtl w:val="true"/>
          <w:lang w:bidi="ar-SA"/>
        </w:rPr>
        <w:t>بن محمّد الناهية عن الغسل من البئر الّتي يجتمع فيها ماء الحمّام ؛ معلّلا بأنّه يسيل فيها ما يغتسل به الجنب وولد الزنا والناصب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ماء الحمّام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أدخله بإزار ولا تغتسل من ماء آخر إلّا أن يكون فيه جنب أو أكثر الناس فلا تدري فيه جنب أم لا </w:t>
      </w:r>
      <w:r>
        <w:rPr>
          <w:rFonts w:eastAsia="Amiri" w:cs="Amiri" w:ascii="Amiri" w:hAnsi="Amiri"/>
          <w:color w:val="111111"/>
          <w:sz w:val="28"/>
          <w:szCs w:val="28"/>
          <w:rtl w:val="true"/>
          <w:lang w:bidi="ar-SA"/>
        </w:rPr>
        <w:t xml:space="preserve">» </w:t>
      </w:r>
      <w:r>
        <w:rPr>
          <w:rStyle w:val="FootnoteAnchor"/>
          <w:rtl w:val="true"/>
        </w:rPr>
        <w:footnoteReference w:id="15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وصحيحة الأحرز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الذي تبول فيه الدوابّ وتلغ فيه الكلاب ويغتسل فيه الجنب؟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أمّا عن الاحتياط فبعد وجوبه في المقام بعد نهوض العمومات حجة </w:t>
      </w:r>
      <w:r>
        <w:rPr>
          <w:rStyle w:val="FootnoteAnchor"/>
          <w:rtl w:val="true"/>
        </w:rPr>
        <w:footnoteReference w:id="1571"/>
      </w:r>
      <w:r>
        <w:rPr>
          <w:rFonts w:ascii="Amiri" w:hAnsi="Amiri" w:eastAsia="Amiri" w:cs="Amiri"/>
          <w:color w:val="111111"/>
          <w:sz w:val="28"/>
          <w:sz w:val="28"/>
          <w:szCs w:val="28"/>
          <w:rtl w:val="true"/>
          <w:lang w:bidi="ar-SA"/>
        </w:rPr>
        <w:t>والروايتان المذكورتان لضعف إسنادهما وعدم وضوح جابر لهما لا يقومان حجّة لإثبات حكم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دلالة الثانية على المدّعى غير ظاهرة إذ تعليل الحكم بالوجوه المذكورة لا يدلّ على استقلال كلّ منهما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والصحيحتان المذكورتان غير ظاهر في الدلالة ؛ لظهور الأوّل في الكراهة من جهة الاكتفاء فيه بمجرّد احتمال وجود الجنب ، وهو غير موجب لذلك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استعمال النهي إذن في الحرمة والكراهة معا لو سلّم جوازه فلا شكّ في كونه خلاف الظاهر ، بل الظاهر عدم التأمل في ترجيح المجاز على استعمال اللفظ في المعنيين ، فليحمل النهي على إرادة مطلق المرجوحيّة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يخفى فيه دلالة على المقصود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ويرشد إلى إرادة الكراهة في المقام أنّ النهي الأوّل ليس للإلزام قطعا فيهون </w:t>
      </w:r>
      <w:r>
        <w:rPr>
          <w:rStyle w:val="FootnoteAnchor"/>
          <w:rtl w:val="true"/>
        </w:rPr>
        <w:footnoteReference w:id="1572"/>
      </w:r>
      <w:r>
        <w:rPr>
          <w:rFonts w:ascii="Amiri" w:hAnsi="Amiri" w:eastAsia="Amiri" w:cs="Amiri"/>
          <w:color w:val="111111"/>
          <w:sz w:val="28"/>
          <w:sz w:val="28"/>
          <w:szCs w:val="28"/>
          <w:rtl w:val="true"/>
          <w:lang w:bidi="ar-SA"/>
        </w:rPr>
        <w:t>الخطب في الثاني</w:t>
      </w:r>
      <w:r>
        <w:rPr>
          <w:rFonts w:eastAsia="Amiri" w:cs="Amiri" w:ascii="Amiri" w:hAnsi="Amiri"/>
          <w:color w:val="111111"/>
          <w:sz w:val="28"/>
          <w:szCs w:val="28"/>
          <w:rtl w:val="true"/>
          <w:lang w:bidi="ar-SA"/>
        </w:rPr>
        <w:t xml:space="preserve">. </w:t>
      </w:r>
      <w:bookmarkStart w:id="270" w:name="pg15827_173860"/>
    </w:p>
    <w:p>
      <w:pPr>
        <w:pStyle w:val="BookText"/>
        <w:rPr/>
      </w:pPr>
      <w:bookmarkEnd w:id="270"/>
      <w:r>
        <w:rPr>
          <w:rFonts w:ascii="Amiri" w:hAnsi="Amiri" w:eastAsia="Amiri" w:cs="Amiri"/>
          <w:color w:val="111111"/>
          <w:sz w:val="28"/>
          <w:sz w:val="28"/>
          <w:szCs w:val="28"/>
          <w:rtl w:val="true"/>
          <w:lang w:bidi="ar-SA"/>
        </w:rPr>
        <w:t>وأيضا غاية ما تقتضيه الرواية هو النهي عن الاغتسال مع اغتسال الجنب هناك واستعماله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فيه على اغتساله في الماء ؛ ليكون الباقي غسالة ، فيكون النهي من جهة ملاقاته الماء ، وهو غير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تنزيله على محلّ النزاع لا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دلالة الثانية على استقلال غسالة الجنب في الحكم ، بل وتأثيره فيه لوقوعه في السؤال خاصّة ، وعلى فرضه فهو يدلّ إذن على التنجيس ،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معارضتها بما عرفت من الأخبار الظاهرة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ما دلّ على المنع على صورة وجود النجاسة في بدن الجنب كما هو الغالب فيه غير بعيد ، ولذا ذكر إزالة النجاسة عند بيان كيفية غسل الجنابة في جملة من الأخبار وكلام الأصحاب ، فإذن يكون المنع من جهة استعماله في رفع الخبث</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4099779_2142443653"/>
      <w:bookmarkStart w:id="272" w:name="_Toc96"/>
      <w:bookmarkEnd w:id="271"/>
      <w:r>
        <w:rPr>
          <w:rtl w:val="true"/>
        </w:rPr>
        <w:t xml:space="preserve">[ </w:t>
      </w:r>
      <w:r>
        <w:rPr>
          <w:rtl w:val="true"/>
        </w:rPr>
        <w:t xml:space="preserve">تنبيهات </w:t>
      </w:r>
      <w:r>
        <w:rPr>
          <w:rtl w:val="true"/>
        </w:rPr>
        <w:t>]</w:t>
      </w:r>
      <w:bookmarkEnd w:id="272"/>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ثبوت الحكم المذكور منعا وجواز </w:t>
      </w:r>
      <w:r>
        <w:rPr>
          <w:rStyle w:val="FootnoteAnchor"/>
          <w:rtl w:val="true"/>
        </w:rPr>
        <w:footnoteReference w:id="1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بعد تمام الغسل ، وفي أثنائه ، بل وفي القطرات المنتضحة منه ، إلّا أنها إذا انتضحت في الإناء لم يمنع من الاغتسال بمائه لاستهلاكه فيه ؛ إذ لا يزيد على حكم المضاف ، فما في كلام بعض الأعلام خروج ذلك عن محلّ البحث ، وردّه على المنتهى حيث استظهر منه دخوله فيه استنادا إلى الأخبار النافية للبأس عنه إذا وقعت في الإناء ، وتجويز الصدوق بل الشيخ أيضا في ظاهر كلامه الاغتسال بماء الإناء إذا انتضح فيه مع أنّهما من المانعين ممّا لا وجه له ؛ لوضوح أن ثبوت الحكم المذكور لنفس القطرة لا يوجب ثبوته لما استهلك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دلّت عليه الأخبار المذكورة ، وكلام الشيخين المذكورين هو الثاني خاصّة ، ولو أفسد غسله ففي ثبوت الحكم لما اجتمع قبله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فساد غسله لم يجر فيه حكمه ، ولو اعتقد صحته فغسالة من خالف أهل الحق لا يجري فيه الحكم المذكور ، بل حكمها حكم السؤر ، فذكر غسالة الناصب وغيره الوارد في بعض الروايات إنّما هو من جهة السؤرية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الحكم المذكور للغسل الترتيبي والارتماسي مع قلّة الماء من غير خلاف يعرف كما في الحدائق </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غسله بالارتماس؟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ابتناؤه على كون الغسل حاصلا دفعة حقيقة في الكون تحت الماء أو أنّه يحصل حقيقة بالتدريج وإن صدق معه الدفعة العرفيّة ، فعلى الأوّل يحكم بالصحّة قطعا ، وعلى الثاني يجي‌ء وجه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من ذلك أنّه لو نوى الغسل حال الكون تحت الماء صحّ غسله ، والظاهر أنّه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w:t>
      </w:r>
      <w:r>
        <w:rPr>
          <w:rStyle w:val="FootnoteAnchor"/>
          <w:rtl w:val="true"/>
        </w:rPr>
        <w:footnoteReference w:id="1575"/>
      </w:r>
      <w:r>
        <w:rPr>
          <w:rFonts w:ascii="Amiri" w:hAnsi="Amiri" w:eastAsia="Amiri" w:cs="Amiri"/>
          <w:color w:val="111111"/>
          <w:sz w:val="28"/>
          <w:sz w:val="28"/>
          <w:szCs w:val="28"/>
          <w:rtl w:val="true"/>
          <w:lang w:bidi="ar-SA"/>
        </w:rPr>
        <w:t>الحدائق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صحّة الغسل مطلقا لإطلاق الأخبار الواردة في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أيضا بأنّه كما لا يخرج الماء الوارد على البدن بمجرّد وروده عن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يجب تجديد الماء لكلّ جزء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الحكم </w:t>
      </w:r>
      <w:r>
        <w:rPr>
          <w:rStyle w:val="FootnoteAnchor"/>
          <w:rtl w:val="true"/>
        </w:rPr>
        <w:footnoteReference w:id="1576"/>
      </w:r>
      <w:r>
        <w:rPr>
          <w:rFonts w:ascii="Amiri" w:hAnsi="Amiri" w:eastAsia="Amiri" w:cs="Amiri"/>
          <w:color w:val="111111"/>
          <w:sz w:val="28"/>
          <w:sz w:val="28"/>
          <w:szCs w:val="28"/>
          <w:rtl w:val="true"/>
          <w:lang w:bidi="ar-SA"/>
        </w:rPr>
        <w:t>في الورود عليه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قام الإجماع هناك شاهدا على الجواز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عدم الفرق ممنوع للزوم الحرج هناك</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هنا فيمكن حصوله بالدفعة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فيما ذكر تقريب للمقام وإن لم ينهض حجّة على المرام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نوى الغسل ترتيبا بارتماس العضو في الماء فإن نواه وهو في الماء دفعة صحّ غسل العضو المقدم خاصّة ، ولو نوى غسل العضو تدريجا ففي صحّة غسل ما عدا الجزء الأوّل إشكال من إلحاقه بالماء الوارد ، ومن الشك في تنقيح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قلنا بصيرورة الماء مستعملا قبل خروجه عن الماء وانتقاله من محلّ الغسل كما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نصّ في المنتهى والنهاية إلّا أن ظاهر </w:t>
      </w:r>
      <w:r>
        <w:rPr>
          <w:rStyle w:val="FootnoteAnchor"/>
          <w:rtl w:val="true"/>
        </w:rPr>
        <w:footnoteReference w:id="1577"/>
      </w:r>
      <w:r>
        <w:rPr>
          <w:rFonts w:ascii="Amiri" w:hAnsi="Amiri" w:eastAsia="Amiri" w:cs="Amiri"/>
          <w:color w:val="111111"/>
          <w:sz w:val="28"/>
          <w:sz w:val="28"/>
          <w:szCs w:val="28"/>
          <w:rtl w:val="true"/>
          <w:lang w:bidi="ar-SA"/>
        </w:rPr>
        <w:t>التأمل في النهاية في كونه مستعملا إذن بالنسبة إلى غيره حيث ذكر فيه وجهين ، والأقوى كونه مستعملا بالنسبة إليه أيضا بل ثبوته بالنسبة إليه أولى كما اختاره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ويعزى إلى ظاهر الشهيد في الذكرى القول بكونه حينئذ مستعملا في حقّ الغير ، أمّا بالنسبة إليه فلا حتّى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دلالة عبارته هناك على ذلك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بينهم أنّ محلّ الخلاف هو المستعمل في رفع الحدث الأكبر سواء استعمل في رفع الجنابة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وعنون البحث في المنتهى في خصوص غسل الجنابة ولم يذكره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صاحب المعالم على إرادة المثال ، واستشكل في ذلك في الحدائق ؛ نظرا إلى ورود الأخبار في خصوص الجنابة ، وكلام بعض المانعين كعبارة الصدوق في الفقيه خصوص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يستفاد التعميم من رواية عبد اللّه بن سنان على وجه إلّا أنّه لا يتعيّن حملها على ذلك ؛ لجواز عطف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المعنى أنّه لا يجوز الوضوء وأشباهه به ، فلا يفيد حكم غير الجنابة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بناء الأصحاب على تعميم الحكم يتقوّى في الرواية إرادة المعنى الأول ، مضافا </w:t>
      </w:r>
    </w:p>
    <w:p>
      <w:pPr>
        <w:pStyle w:val="BookText"/>
        <w:rPr/>
      </w:pPr>
      <w:r>
        <w:rPr>
          <w:rFonts w:ascii="Amiri" w:hAnsi="Amiri" w:eastAsia="Amiri" w:cs="Amiri"/>
          <w:color w:val="111111"/>
          <w:sz w:val="28"/>
          <w:sz w:val="28"/>
          <w:szCs w:val="28"/>
          <w:rtl w:val="true"/>
          <w:lang w:bidi="ar-SA"/>
        </w:rPr>
        <w:t xml:space="preserve">إلى أظهرية </w:t>
      </w:r>
      <w:r>
        <w:rPr>
          <w:rStyle w:val="FootnoteAnchor"/>
          <w:rtl w:val="true"/>
        </w:rPr>
        <w:footnoteReference w:id="1578"/>
      </w:r>
      <w:r>
        <w:rPr>
          <w:rFonts w:ascii="Amiri" w:hAnsi="Amiri" w:eastAsia="Amiri" w:cs="Amiri"/>
          <w:color w:val="111111"/>
          <w:sz w:val="28"/>
          <w:sz w:val="28"/>
          <w:szCs w:val="28"/>
          <w:rtl w:val="true"/>
          <w:lang w:bidi="ar-SA"/>
        </w:rPr>
        <w:t xml:space="preserve">من اللفظ ، وممّا يقربه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 وهي لا تناسب الحمل الثاني ؛ إذ ليس هناك شي‌ء غير الغسل للاتفاق على إزالة الخبث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ما رجّحناه من البناء على الكراهة فالأمر واضح ؛ للاكتفاء فيه بمجرّد فتاويهم ، مضافا إلى ما عرفت من إطلاق بعض الأخبار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الحكم المذكور بما إذا تيقّن حصول الحدث ليكون الغسل رافعا لحدث يقيني أو يعمّ صورة الشك في الحدث أيضا إذا وجب به الغسل كالبلل المشتبه الخارج قبل الاستبراء أو تيقّن بالحدث والطهارة معا وشكّ في المتأخّر منهما أو يعم صورة عدم الإيجاب أيضا فيجري الحكم أيضا فيما إذا استحب له الغسل من جهة الاحتياط كما إذا ظنّ الجنابة وقلنا برجحان الاحتياط فيه كما هو الأقوى أو الخروج عن خلاف كما في وطي دبر المرأة أو البهيمة بناء على عدم وجوب الغسل له ، ونحو ذلك؟ وجوه أضعفها الأخير ؛ لأصالة بقاء طهوريّة الماء مع عدم ظهور </w:t>
      </w:r>
      <w:r>
        <w:rPr>
          <w:rStyle w:val="FootnoteAnchor"/>
          <w:rtl w:val="true"/>
        </w:rPr>
        <w:footnoteReference w:id="1579"/>
      </w:r>
      <w:r>
        <w:rPr>
          <w:rFonts w:ascii="IRNazanin" w:hAnsi="IRNazanin" w:eastAsia="IRNazanin"/>
          <w:color w:val="111111"/>
          <w:sz w:val="28"/>
          <w:sz w:val="28"/>
          <w:szCs w:val="28"/>
          <w:rtl w:val="true"/>
          <w:lang w:bidi="fa-IR"/>
        </w:rPr>
        <w:t xml:space="preserve">مخرج له ، و </w:t>
      </w:r>
      <w:r>
        <w:rPr>
          <w:rStyle w:val="FootnoteAnchor"/>
          <w:rtl w:val="true"/>
        </w:rPr>
        <w:footnoteReference w:id="1580"/>
      </w:r>
      <w:r>
        <w:rPr>
          <w:rFonts w:ascii="Amiri" w:hAnsi="Amiri" w:eastAsia="Amiri" w:cs="Amiri"/>
          <w:color w:val="111111"/>
          <w:sz w:val="28"/>
          <w:sz w:val="28"/>
          <w:szCs w:val="28"/>
          <w:rtl w:val="true"/>
          <w:lang w:bidi="ar-SA"/>
        </w:rPr>
        <w:t>مجرّد احتمال رفع الحدث به واقعا لا يكفي فيه مع حكم الشرع بنفيه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مختار بعض الأفاضل ؛ للحكم معه شرعا بكونه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والأحكام الشرعية تابعة للظاهر لا الواقع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الأظهر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الحكم بوجوب الغسل من جهة الحكم بحصول الحدث شرعا كما إذا تيقّن الحدث وشكّ في الغسل ، فالظاهر ثبوت حكم الغسالة فيه ، وإن كان لتغليب جانب الاحتياط فليس الثابت له إلّا مجرّد أحكام الحدث </w:t>
      </w:r>
      <w:r>
        <w:rPr>
          <w:rStyle w:val="FootnoteAnchor"/>
          <w:rtl w:val="true"/>
        </w:rPr>
        <w:footnoteReference w:id="1581"/>
      </w:r>
      <w:r>
        <w:rPr>
          <w:rFonts w:ascii="Amiri" w:hAnsi="Amiri" w:eastAsia="Amiri" w:cs="Amiri"/>
          <w:color w:val="111111"/>
          <w:sz w:val="28"/>
          <w:sz w:val="28"/>
          <w:szCs w:val="28"/>
          <w:rtl w:val="true"/>
          <w:lang w:bidi="ar-SA"/>
        </w:rPr>
        <w:t xml:space="preserve">، فلا يتعدى الحكم إلى الماء ؛ عملا بالاستصحاب لعدم </w:t>
      </w:r>
      <w:r>
        <w:rPr>
          <w:rStyle w:val="FootnoteAnchor"/>
          <w:rtl w:val="true"/>
        </w:rPr>
        <w:footnoteReference w:id="1582"/>
      </w:r>
      <w:r>
        <w:rPr>
          <w:rFonts w:ascii="IRNazanin" w:hAnsi="IRNazanin" w:eastAsia="IRNazanin"/>
          <w:color w:val="111111"/>
          <w:sz w:val="28"/>
          <w:sz w:val="28"/>
          <w:szCs w:val="28"/>
          <w:rtl w:val="true"/>
          <w:lang w:bidi="fa-IR"/>
        </w:rPr>
        <w:t xml:space="preserve">ثبوت </w:t>
      </w:r>
      <w:r>
        <w:rPr>
          <w:rStyle w:val="FootnoteAnchor"/>
          <w:rtl w:val="true"/>
        </w:rPr>
        <w:footnoteReference w:id="1583"/>
      </w:r>
      <w:r>
        <w:rPr>
          <w:rFonts w:ascii="Amiri" w:hAnsi="Amiri" w:eastAsia="Amiri" w:cs="Amiri"/>
          <w:color w:val="111111"/>
          <w:sz w:val="28"/>
          <w:sz w:val="28"/>
          <w:szCs w:val="28"/>
          <w:rtl w:val="true"/>
          <w:lang w:bidi="ar-SA"/>
        </w:rPr>
        <w:t xml:space="preserve">رفعه الحدث ، ومجرّد ارتفاع أحكام المحدث عنه في </w:t>
      </w:r>
    </w:p>
    <w:p>
      <w:pPr>
        <w:pStyle w:val="BookText"/>
        <w:rPr/>
      </w:pPr>
      <w:r>
        <w:rPr>
          <w:rFonts w:ascii="Amiri" w:hAnsi="Amiri" w:eastAsia="Amiri" w:cs="Amiri"/>
          <w:color w:val="111111"/>
          <w:sz w:val="28"/>
          <w:sz w:val="28"/>
          <w:szCs w:val="28"/>
          <w:rtl w:val="true"/>
          <w:lang w:bidi="ar-SA"/>
        </w:rPr>
        <w:t>الظاهر لا يوجب الحكم برفع الحدث ؛ لعدم قيام الدليل عليه كذلك كما في الثوبين المشتبهين ، فإنّه لا يصحّ الصلاة في شي‌ء منهما مع عدم تنجيس أحدهما لما يلاقيه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المذكور في المستعمل في الغسلات المندوبة كالغسلة الثانية والثالثة في كلّ من الأعضاء أو يختصّ بالواجب منها أو يفصل بين ما كان قبل ارتفاع الحدث أو بعده؟ وجوه ؛ ظاهر الإطلاقات هو الأوّل ، وبناء على ما قوّينا من الكراهة لا يبعد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يجري الخلاف في استعمال الماء المفروض في رفع الحدث أو يجري في مطلق استعماله في الوضوء والغسل وإن لم يكونا رافعين؟ فظاهر إطلاق جماعة حيث عنونوا البحث في طهورية الماء المفروض ورفع الحدث به هو الأوّل ، وظاهر إطلاق الأخبار الّتي استدلّوا بها هو الأوّل ، وعلى ما قوّينا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فتعميم </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الحكم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محلّ النزاع إنّما هو في القليل ، فلو اغتسل بالكثير لم يخرج من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585"/>
      </w:r>
      <w:r>
        <w:rPr>
          <w:rFonts w:ascii="Amiri" w:hAnsi="Amiri" w:eastAsia="Amiri" w:cs="Amiri"/>
          <w:color w:val="111111"/>
          <w:sz w:val="28"/>
          <w:sz w:val="28"/>
          <w:szCs w:val="28"/>
          <w:rtl w:val="true"/>
          <w:lang w:bidi="ar-SA"/>
        </w:rPr>
        <w:t>أنّه الظاهر من كلمات جمع من الأصحاب ، تصريحا تارة وتلويحا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يعزى إلى ظاهر العلامة في المختلف تعميم الخلاف للقسمين حيث استدلّ بصحيحتي صفوان وابن بزيع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لا يخفى على من راجع المختلف ، بل ظاهره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المتأخرين إسناد المنع في </w:t>
      </w:r>
      <w:r>
        <w:rPr>
          <w:rStyle w:val="FootnoteAnchor"/>
          <w:rtl w:val="true"/>
        </w:rPr>
        <w:footnoteReference w:id="1586"/>
      </w:r>
      <w:r>
        <w:rPr>
          <w:rFonts w:ascii="Amiri" w:hAnsi="Amiri" w:eastAsia="Amiri" w:cs="Amiri"/>
          <w:color w:val="111111"/>
          <w:sz w:val="28"/>
          <w:sz w:val="28"/>
          <w:szCs w:val="28"/>
          <w:rtl w:val="true"/>
          <w:lang w:bidi="ar-SA"/>
        </w:rPr>
        <w:t>الكثير أيضا إلى شيخنا المفيد حيث حكم في الحقيقة بكراهة الارتماس في الكثير 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وجه له سوى صيرورته مستعملا ممنوعا من الطهارة به ثانيا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ما ذكره وقع عن غفلة من ملاحظة عبارته المعروفة في ذلك ؛ إذ ذاك ظاهر في </w:t>
      </w:r>
    </w:p>
    <w:p>
      <w:pPr>
        <w:pStyle w:val="BookText"/>
        <w:rPr/>
      </w:pPr>
      <w:r>
        <w:rPr>
          <w:rFonts w:ascii="Amiri" w:hAnsi="Amiri" w:eastAsia="Amiri" w:cs="Amiri"/>
          <w:color w:val="111111"/>
          <w:sz w:val="28"/>
          <w:sz w:val="28"/>
          <w:szCs w:val="28"/>
          <w:rtl w:val="true"/>
          <w:lang w:bidi="ar-SA"/>
        </w:rPr>
        <w:t xml:space="preserve">خلاف ذلك بل كالصريح فيه حيث قال </w:t>
      </w:r>
      <w:r>
        <w:rPr>
          <w:rStyle w:val="FootnoteAnchor"/>
          <w:rtl w:val="true"/>
        </w:rPr>
        <w:footnoteReference w:id="158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ينبغي له أن يرتمس في الماء الراكد ؛ فانّه إن كان قليلا أفسده وإن كان كثيرا خالف السنّة بالاغتسال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حكمه بإفساد الماء مع القلّة خاصّة كالصريح في عدم حصوله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من انحصار الوجه في الكراهة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الشيخ في التهذيب عند شرح العبارة المذكورة على عدم زوال الطهورية عنه 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إيماء إلى خروجه عن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الحكم في ذلك أوضح من أن يخفى ؛ إذ ليس استعمال الماء في رفع القذارة الحكمية بأشدّ من استعماله في رفع النجاسات العينية ، وإذا كان الثاني ممّا لا خلاف في عدم رفعه الطهوريّة عن الماء فالماء </w:t>
      </w:r>
      <w:r>
        <w:rPr>
          <w:rStyle w:val="FootnoteAnchor"/>
          <w:rtl w:val="true"/>
        </w:rPr>
        <w:footnoteReference w:id="1588"/>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عود </w:t>
      </w:r>
      <w:r>
        <w:rPr>
          <w:rStyle w:val="FootnoteAnchor"/>
          <w:rtl w:val="true"/>
        </w:rPr>
        <w:footnoteReference w:id="1589"/>
      </w:r>
      <w:r>
        <w:rPr>
          <w:rFonts w:ascii="Amiri" w:hAnsi="Amiri" w:eastAsia="Amiri" w:cs="Amiri"/>
          <w:color w:val="111111"/>
          <w:sz w:val="28"/>
          <w:sz w:val="28"/>
          <w:szCs w:val="28"/>
          <w:rtl w:val="true"/>
          <w:lang w:bidi="ar-SA"/>
        </w:rPr>
        <w:t xml:space="preserve">المستعمل إلى الطهوريّة كعود النجس إلى الطهارة ؛ إذ لا يزيد حكمه عليه ، فعلى ما هو الأقوى </w:t>
      </w:r>
      <w:r>
        <w:rPr>
          <w:rStyle w:val="FootnoteAnchor"/>
          <w:rtl w:val="true"/>
        </w:rPr>
        <w:footnoteReference w:id="1590"/>
      </w:r>
      <w:r>
        <w:rPr>
          <w:rFonts w:ascii="Amiri" w:hAnsi="Amiri" w:eastAsia="Amiri" w:cs="Amiri"/>
          <w:color w:val="111111"/>
          <w:sz w:val="28"/>
          <w:sz w:val="28"/>
          <w:szCs w:val="28"/>
          <w:rtl w:val="true"/>
          <w:lang w:bidi="ar-SA"/>
        </w:rPr>
        <w:t>الاكتفاء في التطهير بمجرّد الاتصال بالمعتصم يكتفي به هنا أيضا ، والظاهر الاكتفاء هنا بالاستهلاك في الماء الطهور كيفما كان ؛ إذ لا يزيد على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يزول عنه بإتمامه كرا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 الشيخ في المبسوط والعلامة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المنع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المحقق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الشيخ في الخلاف</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بناء المسألة على كون الإتمام مطهّرا للقليل النجس وعدمه ، فعلى القول به هناك لا ينبغي التأمل فيه في المقام وإلّا فلا دليل على زوال الحكم الثابت ، فالقول بعدم عود الطهارة هناك وعود الطهوريّة هنا ممّا لا وجه له</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عليه بأنّ بلوغ الكريّة مانع عن الانفعال بالنجاسة فمنعه عن الانفعال بارتفاع الحدث أولى على ما في المنتهى </w:t>
      </w:r>
      <w:r>
        <w:rPr>
          <w:rStyle w:val="FootnoteAnchor"/>
          <w:rtl w:val="true"/>
        </w:rPr>
        <w:footnoteReference w:id="1591"/>
      </w:r>
      <w:r>
        <w:rPr>
          <w:rFonts w:ascii="Amiri" w:hAnsi="Amiri" w:eastAsia="Amiri" w:cs="Amiri"/>
          <w:color w:val="111111"/>
          <w:sz w:val="28"/>
          <w:sz w:val="28"/>
          <w:szCs w:val="28"/>
          <w:rtl w:val="true"/>
          <w:lang w:bidi="ar-SA"/>
        </w:rPr>
        <w:t>كما ترى ؛ إذ ذلك إنّما يقتضي أن يكون عاصما لنفسه بعد حصول الكريّة كالنجاسة لا رافعا لما ثبت فيه لعدم ثبوته في اعتصامه عن النجاسة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رفعه لذلك أولى من رفعه النجاسة ، فتوجّه المنع عليه كما لا يخفى</w:t>
      </w:r>
      <w:r>
        <w:rPr>
          <w:rFonts w:eastAsia="Amiri" w:cs="Amiri" w:ascii="Amiri" w:hAnsi="Amiri"/>
          <w:color w:val="111111"/>
          <w:sz w:val="28"/>
          <w:szCs w:val="28"/>
          <w:rtl w:val="true"/>
          <w:lang w:bidi="ar-SA"/>
        </w:rPr>
        <w:t xml:space="preserve">. </w:t>
      </w:r>
      <w:bookmarkStart w:id="273" w:name="pg15827_173867"/>
    </w:p>
    <w:p>
      <w:pPr>
        <w:pStyle w:val="Heading4"/>
        <w:numPr>
          <w:ilvl w:val="3"/>
          <w:numId w:val="1"/>
        </w:numPr>
        <w:rPr/>
      </w:pPr>
      <w:bookmarkStart w:id="274" w:name="__RefHeading___Toc14099781_2142443653"/>
      <w:bookmarkStart w:id="275" w:name="_Toc97"/>
      <w:bookmarkEnd w:id="273"/>
      <w:bookmarkEnd w:id="274"/>
      <w:r>
        <w:rPr>
          <w:rtl w:val="true"/>
        </w:rPr>
        <w:t>تبصرة</w:t>
      </w:r>
      <w:r>
        <w:rPr>
          <w:rtl w:val="true"/>
        </w:rPr>
        <w:t xml:space="preserve">: [ </w:t>
      </w:r>
      <w:r>
        <w:rPr>
          <w:rtl w:val="true"/>
        </w:rPr>
        <w:t xml:space="preserve">في غسالة الحمام </w:t>
      </w:r>
      <w:r>
        <w:rPr>
          <w:rtl w:val="true"/>
        </w:rPr>
        <w:t>]</w:t>
      </w:r>
      <w:bookmarkEnd w:id="275"/>
    </w:p>
    <w:p>
      <w:pPr>
        <w:pStyle w:val="Heading5"/>
        <w:numPr>
          <w:ilvl w:val="4"/>
          <w:numId w:val="1"/>
        </w:numPr>
        <w:rPr/>
      </w:pPr>
      <w:bookmarkStart w:id="276" w:name="__RefHeading___Toc14099783_2142443653"/>
      <w:bookmarkStart w:id="277" w:name="_Toc98"/>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اختلف الأصحاب في غسالة الحمّام ، والمراد بها مجمع غسالات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عنها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بالبئر الّتي مجتمع </w:t>
      </w:r>
      <w:r>
        <w:rPr>
          <w:rStyle w:val="FootnoteAnchor"/>
          <w:rtl w:val="true"/>
        </w:rPr>
        <w:footnoteReference w:id="1592"/>
      </w:r>
      <w:r>
        <w:rPr>
          <w:rFonts w:ascii="Amiri" w:hAnsi="Amiri" w:eastAsia="Amiri" w:cs="Amiri"/>
          <w:color w:val="111111"/>
          <w:sz w:val="28"/>
          <w:sz w:val="28"/>
          <w:szCs w:val="28"/>
          <w:rtl w:val="true"/>
          <w:lang w:bidi="ar-SA"/>
        </w:rPr>
        <w:t xml:space="preserve">فيها غسالة الحمّام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1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المستنقع الّذي يسمّى الحبة </w:t>
      </w:r>
      <w:r>
        <w:rPr>
          <w:rStyle w:val="FootnoteAnchor"/>
          <w:rtl w:val="true"/>
        </w:rPr>
        <w:footnoteReference w:id="1595"/>
      </w:r>
      <w:r>
        <w:rPr>
          <w:rFonts w:ascii="Amiri" w:hAnsi="Amiri" w:eastAsia="Amiri" w:cs="Amiri"/>
          <w:color w:val="111111"/>
          <w:sz w:val="28"/>
          <w:sz w:val="28"/>
          <w:szCs w:val="28"/>
          <w:rtl w:val="true"/>
          <w:lang w:bidi="ar-SA"/>
        </w:rPr>
        <w:t xml:space="preserve">، فذهب جماعة من قدماء الأصحاب إلى وجوب الاجتناب عنها في الغسل بل والوضوء أيضا ، بل مطلق التطهير ، ويعزى إلى الصدوقين ؛ معلّلين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فيه غسالة اليهودي والنصراني والمبغض لآل رسول اللّه صلى‌اللّه‌عليه‌وآله وهو شرّهم </w:t>
      </w:r>
      <w:r>
        <w:rPr>
          <w:rFonts w:eastAsia="Amiri" w:cs="Amiri" w:ascii="Amiri" w:hAnsi="Amiri"/>
          <w:color w:val="111111"/>
          <w:sz w:val="28"/>
          <w:szCs w:val="28"/>
          <w:rtl w:val="true"/>
          <w:lang w:bidi="ar-SA"/>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الشيخ في النهاية </w:t>
      </w:r>
      <w:r>
        <w:rPr>
          <w:rStyle w:val="FootnoteAnchor"/>
          <w:rtl w:val="true"/>
        </w:rPr>
        <w:footnoteReference w:id="1597"/>
      </w:r>
      <w:r>
        <w:rPr>
          <w:rFonts w:ascii="Amiri" w:hAnsi="Amiri" w:eastAsia="Amiri" w:cs="Amiri"/>
          <w:color w:val="111111"/>
          <w:sz w:val="28"/>
          <w:sz w:val="28"/>
          <w:szCs w:val="28"/>
          <w:rtl w:val="true"/>
          <w:lang w:bidi="ar-SA"/>
        </w:rPr>
        <w:t xml:space="preserve">وابن ادريس في السرائر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الشرائع </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بغسالة الحمّام إلّا أن يعلم خلوها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القواعد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هذه العبارات تصريح بالنجاسة وإنّما دلّت على المنع من الاستعمال لكنّ التعليل الوارد في كلام الصدوقين تبعا لما في الرواية ظاهر في النجاسة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 بعض المتأخرين من تعليلهما أنّهما لا يقولان بالمنع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ظاهر الصدوق نفي البأس عنه إذا أصاب الثوب حيث روى الرواية الدالّة عليه بعد ما ذكر الحكم الأوّل ، فيكون قائلا بطهارته مع المنع من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في الإرشاد بنجاستهما ما لم يعلم خلوه عن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يعزى ذلك إلى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يحمل عليه كلام المانعين من استعماله ، فيتّحد القولان إلّا أن تنزيل كلام الصدوق عليه لا يخلو عن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عند العلامة في المنتهى هو الطهارة ، وظاهر عدم المنع من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الظاهر إن لم يثبت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المحقق الكركي وغيره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بمنعه من استعماله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روايات منها رواية حمزة بن أحمد ، عن الكاظم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يغتسل من البئر الّتي يجتمع فيها ماء الحمّام ؛ لأنّه يسيل فيها ما يغتسل به الجنب وولد الزنا والناصب لنا أهل البيت ، وهو شرهم </w:t>
      </w:r>
      <w:r>
        <w:rPr>
          <w:rFonts w:eastAsia="Amiri" w:cs="Amiri" w:ascii="Amiri" w:hAnsi="Amiri"/>
          <w:color w:val="111111"/>
          <w:sz w:val="28"/>
          <w:szCs w:val="28"/>
          <w:rtl w:val="true"/>
          <w:lang w:bidi="ar-SA"/>
        </w:rPr>
        <w:t xml:space="preserve">»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يعفور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تغتسل في البئر الّتي يجتمع فيها غسالة الحمّام ؛ فإنّ فيها غسالة ولد الزنا ، وهو لا يطهر إلى سبعة آباء ، وفيها غسالة الناصب ، وهو شرّهما </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العلل ، في الموثق ، عن ابن أبي يعفور ،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تغسل من غسالة الحمّام ففيها يجتمع غسالة اليهودي والنصراني والمجوسي والناصب لنا أهل البيت ، وهو شرّهم ؛ فإنّ اللّه تبارك وتعالى لم يخلق خلقا أنجس من الكلب ، </w:t>
      </w:r>
    </w:p>
    <w:p>
      <w:pPr>
        <w:pStyle w:val="BookText"/>
        <w:rPr/>
      </w:pPr>
      <w:r>
        <w:rPr>
          <w:rFonts w:ascii="Amiri" w:hAnsi="Amiri" w:eastAsia="Amiri" w:cs="Amiri"/>
          <w:color w:val="111111"/>
          <w:sz w:val="28"/>
          <w:sz w:val="28"/>
          <w:szCs w:val="28"/>
          <w:rtl w:val="true"/>
          <w:lang w:bidi="ar-SA"/>
        </w:rPr>
        <w:t xml:space="preserve">وإنّ الناصب لنا أهل البيت لأنجس منه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يبعد اتحاد الروايتين إلّا أنّ ظاهر لفظ الروايتين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ويعضدهما عمل جماعة من القدماء بمضمونها بل لا يبعد أن يكون ذلك هو الأشهر مع اعتضاد بعض تلك الأخبار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به عن الأئمّة عليهم‌السلام آثار معتمدة قد أجمع الأصحاب عليها لا أجد مخالفا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دلالة على وجود أخبار معتمدة في ذلك ؛ ليكون متواترة أو مقرونة بقرينة القطع حيث إنّه لا يقول بحجيّة أخبار 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يجتمع بما ذكر للقول بالنجاسة بناء على ظهور المنع من الاستعمال في ذلك سيّما بملاحظة التعليل حسب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الأخبار المذكورة لا دلالة فيها على المنع في صورة الشك فإن ظاهرها الحكم بوجود النجس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حصول العلم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كلام في النجاسة لو حمل على كونه مظنّة لذلك ، ففي التعليل شهادة على عدم إرادة التحريم بملاحظة ما تقرّر في الشريعة من أنّ المناط في الحكم بالنجاسة هو العلم دون الظن ، وأن قضية الأصل عدم المنع من الاستعمال من دون حصول العلم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ذلك هو ملحوظ من استظهر من التعليل عدم المنع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دلالة ظاهرة في تلك الأخبار على المنع من الاستعمال في صورة الجهل ووجوه </w:t>
      </w:r>
      <w:r>
        <w:rPr>
          <w:rStyle w:val="FootnoteAnchor"/>
          <w:rtl w:val="true"/>
        </w:rPr>
        <w:footnoteReference w:id="1605"/>
      </w:r>
      <w:r>
        <w:rPr>
          <w:rFonts w:ascii="Amiri" w:hAnsi="Amiri" w:eastAsia="Amiri" w:cs="Amiri"/>
          <w:color w:val="111111"/>
          <w:sz w:val="28"/>
          <w:sz w:val="28"/>
          <w:szCs w:val="28"/>
          <w:rtl w:val="true"/>
          <w:lang w:bidi="ar-SA"/>
        </w:rPr>
        <w:t xml:space="preserve">الأخبار المعتمدة </w:t>
      </w:r>
      <w:r>
        <w:rPr>
          <w:rStyle w:val="FootnoteAnchor"/>
          <w:rtl w:val="true"/>
        </w:rPr>
        <w:footnoteReference w:id="1606"/>
      </w:r>
      <w:r>
        <w:rPr>
          <w:rFonts w:ascii="Amiri" w:hAnsi="Amiri" w:eastAsia="Amiri" w:cs="Amiri"/>
          <w:color w:val="111111"/>
          <w:sz w:val="28"/>
          <w:sz w:val="28"/>
          <w:szCs w:val="28"/>
          <w:rtl w:val="true"/>
          <w:lang w:bidi="ar-SA"/>
        </w:rPr>
        <w:t>في ذلك غير ظاهر ؛ إذ لم نجد من الأخبار في ذلك سوى ما ذكرنا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والأوّلان ضعيفان ، والثالث أيضا ليس من الصحيح إلّا أنّ إسناده معتبر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الإجماع فغير ظاهر ، وحكاية ابن إدريس </w:t>
      </w:r>
      <w:r>
        <w:rPr>
          <w:rStyle w:val="FootnoteAnchor"/>
          <w:rtl w:val="true"/>
        </w:rPr>
        <w:footnoteReference w:id="1607"/>
      </w:r>
      <w:r>
        <w:rPr>
          <w:rFonts w:ascii="Amiri" w:hAnsi="Amiri" w:eastAsia="Amiri" w:cs="Amiri"/>
          <w:color w:val="111111"/>
          <w:sz w:val="28"/>
          <w:sz w:val="28"/>
          <w:szCs w:val="28"/>
          <w:rtl w:val="true"/>
          <w:lang w:bidi="ar-SA"/>
        </w:rPr>
        <w:t>لا يخلو عن وهن ، مع تفرّده بنقله ، وذهاب كثير من الأصحاب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Style w:val="FootnoteAnchor"/>
          <w:rtl w:val="true"/>
        </w:rPr>
        <w:footnoteReference w:id="1608"/>
      </w:r>
      <w:r>
        <w:rPr>
          <w:rFonts w:ascii="Amiri" w:hAnsi="Amiri" w:eastAsia="Amiri" w:cs="Amiri"/>
          <w:color w:val="111111"/>
          <w:sz w:val="28"/>
          <w:sz w:val="28"/>
          <w:szCs w:val="28"/>
          <w:rtl w:val="true"/>
          <w:lang w:bidi="ar-SA"/>
        </w:rPr>
        <w:t xml:space="preserve">بعد ذكر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رواية بهذا الحكم سوى تلك الرواية ورواية مرسلة ذكرها الكليني عن بعض أصحابنا ، عن ابن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مرسلة وابن جمهور ضعيف جدا ذكر ذلك النجاشي في كتاب الرجال ، فأين الإجماع وأين الاخبار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نطالبه بما ادّعاه ، وأفرط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مرسلة أبي يحيى الواسطي تصريح بطهارته ، وظاهر الفقيه العمل بها ، فيكون حاكما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بما قرّرنا حجة القول بالطهارة وعدم المنع من الاستعمال مع عدم العلم بالنجاسة ، فإنّ القاعدة الشرعيّة المحكمة المأخوذة من الاستصحاب وأصالة عدم وجوب الاجتناب والعمومات توقّف الحكم بالنجاسة على العلم بها ، وهو قضية مرسلة أبي يحيى الواسطي المشار إليها ، وهي وإن كانت ضعيفة إلّا أنّها مؤيّدة بذكرها في الفقيه وحكم الصدوق بصحتها بالأصل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ظاهر الإطلاق في الصحيحة الآتية ، ولا يحسب ماء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الأظهر في النظر ، فتكون المذكور من الروايات محمولا على الكراهة إن قلنا بكون المقصود من التعليل كونه مظنّة لورود تلك النجاسات ، وإن حمل على صورة العلم بذلك فهي محمولة على ظواهرها حسب ما عرفت</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فيكتفي في ثبوت الكراهة بالخروج عن خلاف الجماعة وما حكي من الإجماع عليه ودلالة الروايات المعتبرة عليه ، والظاهر أنّه لا شكّ في المرجوحيّة بل لا بد من مراعاة الاحتياط في المسألة</w:t>
      </w:r>
      <w:r>
        <w:rPr>
          <w:rFonts w:eastAsia="Amiri" w:cs="Amiri" w:ascii="Amiri" w:hAnsi="Amiri"/>
          <w:color w:val="111111"/>
          <w:sz w:val="28"/>
          <w:szCs w:val="28"/>
          <w:rtl w:val="true"/>
          <w:lang w:bidi="ar-SA"/>
        </w:rPr>
        <w:t xml:space="preserve">. </w:t>
      </w:r>
      <w:bookmarkStart w:id="278" w:name="pg15827_173871"/>
    </w:p>
    <w:p>
      <w:pPr>
        <w:pStyle w:val="BookText"/>
        <w:rPr/>
      </w:pPr>
      <w:bookmarkEnd w:id="278"/>
      <w:r>
        <w:rPr>
          <w:rFonts w:ascii="Amiri" w:hAnsi="Amiri" w:eastAsia="Amiri" w:cs="Amiri"/>
          <w:color w:val="111111"/>
          <w:sz w:val="28"/>
          <w:sz w:val="28"/>
          <w:szCs w:val="28"/>
          <w:rtl w:val="true"/>
          <w:lang w:bidi="ar-SA"/>
        </w:rPr>
        <w:t xml:space="preserve">وفي الرياض </w:t>
      </w:r>
      <w:r>
        <w:rPr>
          <w:rStyle w:val="FootnoteAnchor"/>
          <w:rtl w:val="true"/>
        </w:rPr>
        <w:footnoteReference w:id="1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القطع بعدم جواز التطهير مطلقا مع عدم العلم بطهارته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الاستعمالات فالجواز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القطع المذكور ليس في محلّه ، والأخبار المذكورة غير واضحة الدلالة عليه حسب ما عرفت ، ولا دليل ظاهر في ذلك غيرها مع ما في الحكم بالطهارة من المنع عن الاستعمال في التطهير من البعد ، فلا وجه للالتزام به من دون قيام دليل ظاهر عليه</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14099785_2142443653"/>
      <w:bookmarkStart w:id="280" w:name="_Toc99"/>
      <w:bookmarkEnd w:id="279"/>
      <w:r>
        <w:rPr>
          <w:rtl w:val="true"/>
        </w:rPr>
        <w:t xml:space="preserve">[ </w:t>
      </w:r>
      <w:r>
        <w:rPr>
          <w:rtl w:val="true"/>
        </w:rPr>
        <w:t xml:space="preserve">تنبيهات </w:t>
      </w:r>
      <w:r>
        <w:rPr>
          <w:rtl w:val="true"/>
        </w:rPr>
        <w:t>]</w:t>
      </w:r>
      <w:bookmarkEnd w:id="280"/>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علم بورود الماء النجس عليه مع قلّته فلا إشكال في نجاسته كما أنّه لا إشكال في طهارته مع علمه بعدم ملاقاة النجاسة له ، ولو ظنّ عدمه فالظاهر طهارته ، ولا يبعد خروجه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فيه من دون ترجيح لملاقاته النجاسة ففي اندراجه في محلّ البحث وجهان ؛ من إطلاق كلامهم ، وظهور المفروض في كلامهم في صورة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عدّوه من مسألة تعارض الأصل والظاهر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611"/>
      </w:r>
      <w:r>
        <w:rPr>
          <w:rFonts w:ascii="Amiri" w:hAnsi="Amiri" w:eastAsia="Amiri" w:cs="Amiri"/>
          <w:color w:val="111111"/>
          <w:sz w:val="28"/>
          <w:sz w:val="28"/>
          <w:szCs w:val="28"/>
          <w:rtl w:val="true"/>
          <w:lang w:bidi="ar-SA"/>
        </w:rPr>
        <w:t>يشهد له ملاحظة تعليل الروايات المذكورة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فرض المسألة في صورة قلة الماء أو بلوغه حدّ الكثرة مع كون الحال فيه على ما ذكر قبل البلوغ إليه ، بناء على عدم كون البلوغ حدّ الكرّ مطهّرا للقليل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الماء المظنون الطهارة به الحاصل فيه كرّا أو ورود كرّ من الماء الطاهر كذلك فالظاهر خروجه عن محلّ البحث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المفروض في كلامهم الحمّامات المعروفة الموضوعة للعامّة ، وأمّا الحمّام </w:t>
      </w:r>
    </w:p>
    <w:p>
      <w:pPr>
        <w:pStyle w:val="BookText"/>
        <w:rPr/>
      </w:pPr>
      <w:r>
        <w:rPr>
          <w:rFonts w:ascii="Amiri" w:hAnsi="Amiri" w:eastAsia="Amiri" w:cs="Amiri"/>
          <w:color w:val="111111"/>
          <w:sz w:val="28"/>
          <w:sz w:val="28"/>
          <w:szCs w:val="28"/>
          <w:rtl w:val="true"/>
          <w:lang w:bidi="ar-SA"/>
        </w:rPr>
        <w:t>الموضوع لخصوص أصحاب الدار ممّا لا يكون موردا للنجاسات على نحو المفروض في الأخبار وكلام الأصحاب فلا يبعد خروجه عن محلّ الكلام ، فلا بدّ من البناء فيه على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اندراجه فيه للإطلاق ، وهو بعيد لانصرافه إلى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ظاهر بين الصورتين ، وقضية الأصل البناء على الطهارة ، وعدم الخروج </w:t>
      </w:r>
      <w:r>
        <w:rPr>
          <w:rStyle w:val="FootnoteAnchor"/>
          <w:rtl w:val="true"/>
        </w:rPr>
        <w:footnoteReference w:id="1612"/>
      </w:r>
      <w:r>
        <w:rPr>
          <w:rFonts w:ascii="Amiri" w:hAnsi="Amiri" w:eastAsia="Amiri" w:cs="Amiri"/>
          <w:color w:val="111111"/>
          <w:sz w:val="28"/>
          <w:sz w:val="28"/>
          <w:szCs w:val="28"/>
          <w:rtl w:val="true"/>
          <w:lang w:bidi="ar-SA"/>
        </w:rPr>
        <w:t>في الاستعمال حتّى يتبيّن المخرج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ذلك في الحمّامات العامّة ممّا لا يدخلها النّصاب إلّا اليهود والنصارى مع كونها مظنة لورود سائر النجاسات وجهان ، أوجههما ذلك إن بني الأمر فيه على الكراهة ، وأمّا مع البناء على المنع من الاستعمال ففيه إشكال من خروجها عن ظاهر الأخبار المذكورة ، ومن مشاركتها لها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إشكال في أرض الحمّام وإن كان مجرى لتلك المياه المجتمعة لخروجها عن مورد النصّ وكلام الأصحاب ، فلا بدّ من البناء فيهما على مقتضى الأصل ، بل في المعتبرة المستفيضة المشتملة على الصحاح عدم البأس بها ، وعدم لزوم غسل الرجل منها بعد الخروج من الحمّام ، يستفاد منها طهارة الأرض وطهارة الماء المختلف </w:t>
      </w:r>
      <w:r>
        <w:rPr>
          <w:rStyle w:val="FootnoteAnchor"/>
          <w:rtl w:val="true"/>
        </w:rPr>
        <w:footnoteReference w:id="1613"/>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فيها على جواز استعمال ذلك الماء في التطهير ، فيرجع فيه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الصحيحين بعد السؤال عن الحمّام يغتسل فيه الجنب وغيره ، أغتسل من مائه؟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يغتسل فيه الجنب ولقد اغتسلت به ثمّ جئت فغسلت رجلي وما غسلتهما إلّا لما لزق بهما من التراب </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يعني لا لأجل النجاسة بل للتنظيف من الكثافة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أبا جعفر عليه‌السلام جائيا من الحمّام وبينه وبين داره قذر؟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ما بينى وما بين داري ما غسلت رجلي ولا يجنب ماء الحمّام </w:t>
      </w:r>
      <w:r>
        <w:rPr>
          <w:rFonts w:eastAsia="Amiri" w:cs="Amiri" w:ascii="Amiri" w:hAnsi="Amiri"/>
          <w:color w:val="111111"/>
          <w:sz w:val="28"/>
          <w:szCs w:val="28"/>
          <w:rtl w:val="true"/>
          <w:lang w:bidi="ar-SA"/>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إطلاق الفقرة الأخيرة دلالة على طهارة الغسالة ، بل وعدم وجوب التحرّز عنه في التطهير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استحباب التنزّه عنها فإنّ النهي هنا في مقام توهّم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عليه‌السلام يخرج عن الحمّام فيمضي كما هو لا يغسل رجله حتّى يصلّي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يوقع الصلاة ، فيفيد عدم غسل رجله لأجل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على إرادة إيقاع الصلاة ، فيدلّ على غسل رجله لأجل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قد لا يفيد المدّعى ، بل ربّما يومي إلى خلافه إلّا أنّه خلاف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حصول العلم بتنجس الأرض أحيانا لا يقضي وجوب الاجتناب عنها في غير حال العلم ، وذلك لورود النجاسة عليها تارة والمطهّر أخرى ، وما توارد عليه الحالان من دون علم بالمتأخر لا يحكم بطهارة ملاقيه ، بل الظاهر الحكم بطهارته أيضا لا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نظيف حتّى تعلم أنّه قذر </w:t>
      </w:r>
      <w:r>
        <w:rPr>
          <w:rFonts w:eastAsia="Amiri" w:cs="Amiri" w:ascii="Amiri" w:hAnsi="Amiri"/>
          <w:color w:val="111111"/>
          <w:sz w:val="28"/>
          <w:szCs w:val="28"/>
          <w:rtl w:val="true"/>
          <w:lang w:bidi="ar-SA"/>
        </w:rPr>
        <w:t xml:space="preserve">» </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علم بنجاسة الأرض ولم يعلم بورود المطهّر عليه فالظاهر أنّه لا إشكال في الحكم بنجاسته بل </w:t>
      </w:r>
      <w:r>
        <w:rPr>
          <w:rStyle w:val="FootnoteAnchor"/>
          <w:rtl w:val="true"/>
        </w:rPr>
        <w:footnoteReference w:id="1618"/>
      </w:r>
      <w:r>
        <w:rPr>
          <w:rFonts w:ascii="Amiri" w:hAnsi="Amiri" w:eastAsia="Amiri" w:cs="Amiri"/>
          <w:color w:val="111111"/>
          <w:sz w:val="28"/>
          <w:sz w:val="28"/>
          <w:szCs w:val="28"/>
          <w:rtl w:val="true"/>
          <w:lang w:bidi="ar-SA"/>
        </w:rPr>
        <w:t>ونجاسة ملاقيه أيضا ؛ بناء على ما هو المختار من حصول التنجيس بما حكم بنجاسته بالاستصحاب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بعدمه يحكم بطهارة الملاقي بمجرد احتمال طريان المطهّر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أنسب بإطلاق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حملها على ما قلناه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المتّجه بعد تنزيل المعلوم بالاستصحاب منزلة اليقين ، فكما أنّ صورة العلم بالنجاسة خارجة فكذا ما بمنزلته لنصّ الشارع على كونه حجّة متّبعة</w:t>
      </w:r>
      <w:r>
        <w:rPr>
          <w:rFonts w:eastAsia="Amiri" w:cs="Amiri" w:ascii="Amiri" w:hAnsi="Amiri"/>
          <w:color w:val="111111"/>
          <w:sz w:val="28"/>
          <w:szCs w:val="28"/>
          <w:rtl w:val="true"/>
          <w:lang w:bidi="ar-SA"/>
        </w:rPr>
        <w:t xml:space="preserve">. </w:t>
      </w:r>
      <w:bookmarkStart w:id="281" w:name="pg15827_173874"/>
    </w:p>
    <w:p>
      <w:pPr>
        <w:pStyle w:val="Heading4"/>
        <w:numPr>
          <w:ilvl w:val="3"/>
          <w:numId w:val="1"/>
        </w:numPr>
        <w:rPr/>
      </w:pPr>
      <w:bookmarkStart w:id="282" w:name="__RefHeading___Toc14099787_2142443653"/>
      <w:bookmarkStart w:id="283" w:name="_Toc100"/>
      <w:bookmarkEnd w:id="281"/>
      <w:bookmarkEnd w:id="282"/>
      <w:r>
        <w:rPr>
          <w:rtl w:val="true"/>
        </w:rPr>
        <w:t>تبصرة</w:t>
      </w:r>
      <w:r>
        <w:rPr>
          <w:rtl w:val="true"/>
        </w:rPr>
        <w:t xml:space="preserve">: [ </w:t>
      </w:r>
      <w:r>
        <w:rPr>
          <w:rtl w:val="true"/>
        </w:rPr>
        <w:t xml:space="preserve">في اشتباه الماء النجس بالطاهر </w:t>
      </w:r>
      <w:r>
        <w:rPr>
          <w:rtl w:val="true"/>
        </w:rPr>
        <w:t>]</w:t>
      </w:r>
      <w:bookmarkEnd w:id="283"/>
    </w:p>
    <w:p>
      <w:pPr>
        <w:pStyle w:val="BookText"/>
        <w:rPr/>
      </w:pPr>
      <w:r>
        <w:rPr>
          <w:rFonts w:ascii="Amiri" w:hAnsi="Amiri" w:eastAsia="Amiri" w:cs="Amiri"/>
          <w:color w:val="111111"/>
          <w:sz w:val="28"/>
          <w:sz w:val="28"/>
          <w:szCs w:val="28"/>
          <w:rtl w:val="true"/>
          <w:lang w:bidi="ar-SA"/>
        </w:rPr>
        <w:t>إذا اشتبه الماء النجس بالطاهر مع عدم الانحصار لم يجب الاجتناب ، وجاز استعمال كلّ منهما فيما يشترط بالطهارة بلا خلاف بين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الإجماع السيرة المعلومة ، ولزوم العسر والحرج الشديد لو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أيضا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الانحصار فالظاهر أنّه لا خلاف بين قدماء الأصحاب إلى ما بعد الشهيد الثاني في وجوب اجتناب الجميع وعدم جواز استعمال شي‌ء منها فيما يشترط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 في كلماتهم حكاية الإجماع على وجوب اجتناب الإنائين المشتبهين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الخلاف والغنية والمعتبر والتذكرة والنهاية والمختلف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ومنقولا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معه إناء ان وقع في أحدهما قذر لا يدري في أيّهما هو ، وليس يقدر على ماء غيره؟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يهريقهما ويتيمّم </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موثقة عمّار أيضا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وحكمه عليه‌السلام بالتيمّم مع تمكّنه من الماء صريح في المنع من استعمالهما وعدم صحّة الوضوء بشي‌ء منهما ، وعدم </w:t>
      </w:r>
      <w:r>
        <w:rPr>
          <w:rStyle w:val="FootnoteAnchor"/>
          <w:rtl w:val="true"/>
        </w:rPr>
        <w:footnoteReference w:id="1621"/>
      </w:r>
      <w:r>
        <w:rPr>
          <w:rFonts w:ascii="Amiri" w:hAnsi="Amiri" w:eastAsia="Amiri" w:cs="Amiri"/>
          <w:color w:val="111111"/>
          <w:sz w:val="28"/>
          <w:sz w:val="28"/>
          <w:szCs w:val="28"/>
          <w:rtl w:val="true"/>
          <w:lang w:bidi="ar-SA"/>
        </w:rPr>
        <w:t>البناء على أصالة الطهارة بالنسبة إلى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ويفصح عنه حكمه عليه‌السلام بإهراقهما الظاهر في عدم جواز الانتفاع بهما في الشرب وسائر الاستعمالات الغالبة المشروطة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أنّ الأمر بالإهراق إنّما هو من جهة إعدام الماء ليصحّ التيمّم المنوط بعدم </w:t>
      </w:r>
      <w:r>
        <w:rPr>
          <w:rStyle w:val="FootnoteAnchor"/>
          <w:rtl w:val="true"/>
        </w:rPr>
        <w:footnoteReference w:id="1622"/>
      </w:r>
      <w:r>
        <w:rPr>
          <w:rFonts w:ascii="Amiri" w:hAnsi="Amiri" w:eastAsia="Amiri" w:cs="Amiri"/>
          <w:color w:val="111111"/>
          <w:sz w:val="28"/>
          <w:sz w:val="28"/>
          <w:szCs w:val="28"/>
          <w:rtl w:val="true"/>
          <w:lang w:bidi="ar-SA"/>
        </w:rPr>
        <w:t>وجدانه بيّن الفساد ؛ إذ مع عدم جواز استعمال شي‌ء من الماءين لا يتوقّف صحّة التيمّم على الإهراق ؛ لصدق عدم الوجدان الشرعيّ مع وجودهما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جوازه تعيّن عليه الطهارة الاختيارية ، فلا يجوز له إهراقهما والعدول إلى الاضطراريّة ، والقول بكراهة استعماله حينئذ ، فيكون الأمر بالإهراق للندب ؛ لينتقل الحكم بعده إلى التيمّم كما يستفاد من كلام بعض الأعلام أوضح فسادا منه إلّا أن يحمل ذلك على صورة عدم وجوب طهارة الاختيارية ، وإطلاق السؤال وترك الاستفصال في كلام الإمام عليه‌السلام ينادي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لأجل الاقتصار على التيمّم إذ ؛ قضيّة القاعدة في مثله المنع من استعمال الماءين ؛ للزوم تنجّس البدن باستعمالهما على ما سيجي‌ء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فالمحكي </w:t>
      </w:r>
      <w:r>
        <w:rPr>
          <w:rStyle w:val="FootnoteAnchor"/>
          <w:rtl w:val="true"/>
        </w:rPr>
        <w:footnoteReference w:id="1623"/>
      </w:r>
      <w:r>
        <w:rPr>
          <w:rFonts w:ascii="Amiri" w:hAnsi="Amiri" w:eastAsia="Amiri" w:cs="Amiri"/>
          <w:color w:val="111111"/>
          <w:sz w:val="28"/>
          <w:sz w:val="28"/>
          <w:szCs w:val="28"/>
          <w:rtl w:val="true"/>
          <w:lang w:bidi="ar-SA"/>
        </w:rPr>
        <w:t xml:space="preserve">في شأنه هو الوضوء بأحدهما ، وحيث كان أحدهما مجهول الطهارة فيدور أمره بين أن يكون طاهرا ونجسا يتعيّن عليه الجمع بين الوضوء والتيمّم ؛ إذ المقصود في المقام هو العلم بإصابة الطاهر لا نفس إصابته ، فهو كمن وجد أحد المشتبهين بالمضاف ، فإنّه يتعيّن عليه الجمع بين الوضوء والتيمّم كما قالوه حسبما يأتي الإشارة إليه إن شاء اللّه ؛ لاحتمال وجدانه الماء فيتعيّن عليه الوضوء ، وعدمه فيتعيّن التيمّم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أيضا ما عرفت ؛ إذ لو صحّ ذلك وجب عليه الاحتياط حينئذ فكيف يجوز الإهراق </w:t>
      </w:r>
      <w:r>
        <w:rPr>
          <w:rStyle w:val="FootnoteAnchor"/>
          <w:rtl w:val="true"/>
        </w:rPr>
        <w:footnoteReference w:id="162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واضحة الدلالة على سقوط التكليف بالوضوء بعد حصول الاشتباه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والطعن في إسناد الروايتين من جهة اشتمال كلّ منهما على غير واحد ممّن لا يقول بالحق ؛ مدفوع بما قرّر في محلّه من حجيّة الموثق خصوصا مثل روايات عثمان بن عيسى وسماعة وعمّار لإطباق الأصحاب على العمل بأخبارهم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ذلك فلا تأمّل في حجيّة الضعيف بعد الانجبار بعمل الأصحاب ، وهنا قد أطبقوا على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المستفاد من الأخبار الواردة في مقامات شتّى بناء الشارع على وجوب الاجتناب في المحصور إذا دار الأمر بين الحلال والحرام كيف ما كان ، مثل ما دلّ على وجوب غسل جميع الثوب إذا لم يعرف موضع النجاسة منه ، وما دلّ على وجوب الاجتناب من اللحم مع اختلاط المذكّى منه بالميتة ، وما دلّ على وجوب تكرار الصلاة في الثوبين المشتبهين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جرى الأصحاب على ذلك في تلك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الاحتجاج على ذلك أيضا بالأصل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الاجتناب عن المحرم ولا يتم إلّا باجتناب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بالماء النجس ليس من المحرّمات الأصليّة وإنّما يثبت المنع منه من جهة البدعة ويرتفع ذلك بقصد الاحتياط ؛ إذ لا يصدق الإبداع بمراعاة الاحتياط ، مضافا إلى الأوامر الدالّة على رجحان الاحتياط لإفادتها تشريع الفعل من تلك الجهة وإن لم يكن مشروعا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تكليف بالاجتناب في المقام ، بل الأمر فيه بالعكس ؛ لثبوت التكليف بالطهارة ، فيجب استعمال الماءين لتحصيل اليقين بالفراغ</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يوجد في كلام بعض المتأخرين </w:t>
      </w:r>
      <w:r>
        <w:rPr>
          <w:rStyle w:val="FootnoteAnchor"/>
          <w:rtl w:val="true"/>
        </w:rPr>
        <w:footnoteReference w:id="1626"/>
      </w:r>
      <w:r>
        <w:rPr>
          <w:rFonts w:ascii="Amiri" w:hAnsi="Amiri" w:eastAsia="Amiri" w:cs="Amiri"/>
          <w:color w:val="111111"/>
          <w:sz w:val="28"/>
          <w:sz w:val="28"/>
          <w:szCs w:val="28"/>
          <w:rtl w:val="true"/>
          <w:lang w:bidi="ar-SA"/>
        </w:rPr>
        <w:t xml:space="preserve">من تعليل المنع من استعماله في الطهارة الحدثية والخبثية بأنّ استعمال الماء النجس فيما يعد في الشرع طهارة أو إزالة نجاسة مع اعتقاد </w:t>
      </w:r>
    </w:p>
    <w:p>
      <w:pPr>
        <w:pStyle w:val="BookText"/>
        <w:rPr/>
      </w:pPr>
      <w:r>
        <w:rPr>
          <w:rFonts w:ascii="Amiri" w:hAnsi="Amiri" w:eastAsia="Amiri" w:cs="Amiri"/>
          <w:color w:val="111111"/>
          <w:sz w:val="28"/>
          <w:sz w:val="28"/>
          <w:szCs w:val="28"/>
          <w:rtl w:val="true"/>
          <w:lang w:bidi="ar-SA"/>
        </w:rPr>
        <w:t>المشروعية إدخال في الدين ما ليس منه ، بل لو لم يعتقد مشروعيته إذا فعله بصورة المشروع لا يبعد تحريمه ؛ مدفوع بما عرفت من انتفاء البدعة مع قصد الحائطة ؛ إذ ليس ذلك إدخالا في الدين ما ليس منه بل إنّما يؤتى به من جهة احتماله لمصادفة ما ثبت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 وما ورد في الأخبار من الأمر بالاحتياط قاض بتعلّق الطلب به ، ومع تعلّق الأمر به لا يعقل توهّم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المقصود في الاحتجاج المذكور الاستناد إلى المنع من استعماله في الوضوء ونحوه ، بل المراد المنع منه في الشرب ونحوه ؛ إذ من الواضح حرمة شرب النجس في نفسه ولا يعلم الاجتناب عنه إلّا مع الاجتناب عن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ناقش فيه من المتأخرين ناقش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المنع من استعمال كلّ منهما في الطهارات فله وجه آخر يأتي إن شاء اللّه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من أنّه إنّما دلّ الدليل على وجوب الاجتناب عنه مع العلم بالنجاسة ، وأمّا مع الجهل بها فلا دليل على وجوبه </w:t>
      </w:r>
      <w:r>
        <w:rPr>
          <w:rStyle w:val="FootnoteAnchor"/>
          <w:rtl w:val="true"/>
        </w:rPr>
        <w:footnoteReference w:id="1627"/>
      </w:r>
      <w:r>
        <w:rPr>
          <w:rFonts w:ascii="Amiri" w:hAnsi="Amiri" w:eastAsia="Amiri" w:cs="Amiri"/>
          <w:color w:val="111111"/>
          <w:sz w:val="28"/>
          <w:sz w:val="28"/>
          <w:szCs w:val="28"/>
          <w:rtl w:val="true"/>
          <w:lang w:bidi="ar-SA"/>
        </w:rPr>
        <w:t>مدفوع بأنّ الأحكام ثابتة للواقع من دون مدخليّة في ثبوتها للعلم والجهل كما هو ظاهر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قيام الدليل من العقل والنقل على عدم وجوب البناء </w:t>
      </w:r>
      <w:r>
        <w:rPr>
          <w:rStyle w:val="FootnoteAnchor"/>
          <w:rtl w:val="true"/>
        </w:rPr>
        <w:footnoteReference w:id="1628"/>
      </w:r>
      <w:r>
        <w:rPr>
          <w:rFonts w:ascii="Amiri" w:hAnsi="Amiri" w:eastAsia="Amiri" w:cs="Amiri"/>
          <w:color w:val="111111"/>
          <w:sz w:val="28"/>
          <w:sz w:val="28"/>
          <w:szCs w:val="28"/>
          <w:rtl w:val="true"/>
          <w:lang w:bidi="ar-SA"/>
        </w:rPr>
        <w:t>عليه من دون العلم رأسا ؛ إذ مع الاشتباه بغير المحصور فيبقى محلّ البحث مندرجا تحت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يتوهّم بناء الشرع في ثبوت النجاسة مع العلم دون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فصّلنا القول فيه في محلّ آخر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يتخيّل من دلالة العمومات على البناء على الحلّ حتّى تعرف الحرام بعينه ، والبناء على الطهارة في الأشياء وفي خصوص الماء حتّى يعلم النجاسة غير متّجه ؛ إذ المستفاد من تلك الأخبار غير صورة الاشتباه بالمحصور كما يعرف من إرجاع تلك العبارات إلى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الفضّ </w:t>
      </w:r>
      <w:r>
        <w:rPr>
          <w:rStyle w:val="FootnoteAnchor"/>
          <w:rtl w:val="true"/>
        </w:rPr>
        <w:footnoteReference w:id="1629"/>
      </w:r>
      <w:r>
        <w:rPr>
          <w:rFonts w:ascii="Amiri" w:hAnsi="Amiri" w:eastAsia="Amiri" w:cs="Amiri"/>
          <w:color w:val="111111"/>
          <w:sz w:val="28"/>
          <w:sz w:val="28"/>
          <w:szCs w:val="28"/>
          <w:rtl w:val="true"/>
          <w:lang w:bidi="ar-SA"/>
        </w:rPr>
        <w:t xml:space="preserve">عنه فعدم فهم الأصحاب منها العموم كاف </w:t>
      </w:r>
      <w:r>
        <w:rPr>
          <w:rStyle w:val="FootnoteAnchor"/>
          <w:rtl w:val="true"/>
        </w:rPr>
        <w:footnoteReference w:id="1630"/>
      </w:r>
      <w:r>
        <w:rPr>
          <w:rFonts w:ascii="Amiri" w:hAnsi="Amiri" w:eastAsia="Amiri" w:cs="Amiri"/>
          <w:color w:val="111111"/>
          <w:sz w:val="28"/>
          <w:sz w:val="28"/>
          <w:szCs w:val="28"/>
          <w:rtl w:val="true"/>
          <w:lang w:bidi="ar-SA"/>
        </w:rPr>
        <w:t>في ذلك ، فلا أقلّ من الشك ، وهو كاف في هدم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تلك الأخبار دلالة واضحة على ما قلناه ، مضافا إلى أنّ المفروض حصول الماء في مقام تنجيس أحدهما وحرمة التابعة لنجاسته ، وظاهر العمومات المذكورة هو الحكم بالحلّ والطهارة إلى أن يعلم الحرمة والنجاسة الحاصل </w:t>
      </w:r>
      <w:r>
        <w:rPr>
          <w:rStyle w:val="FootnoteAnchor"/>
          <w:rtl w:val="true"/>
        </w:rPr>
        <w:footnoteReference w:id="1631"/>
      </w:r>
      <w:r>
        <w:rPr>
          <w:rFonts w:ascii="Amiri" w:hAnsi="Amiri" w:eastAsia="Amiri" w:cs="Amiri"/>
          <w:color w:val="111111"/>
          <w:sz w:val="28"/>
          <w:sz w:val="28"/>
          <w:szCs w:val="28"/>
          <w:rtl w:val="true"/>
          <w:lang w:bidi="ar-SA"/>
        </w:rPr>
        <w:t>في المقام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اشتباه الحلال بالحرام والطاهر بالنجس ، فلا بدّ إذن من الحكم بحرمة أحدهما ونجاسته نظرا إلى العلم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 </w:t>
      </w:r>
      <w:r>
        <w:rPr>
          <w:rStyle w:val="FootnoteAnchor"/>
          <w:rtl w:val="true"/>
        </w:rPr>
        <w:footnoteReference w:id="1632"/>
      </w:r>
      <w:r>
        <w:rPr>
          <w:rFonts w:ascii="Amiri" w:hAnsi="Amiri" w:eastAsia="Amiri" w:cs="Amiri"/>
          <w:color w:val="111111"/>
          <w:sz w:val="28"/>
          <w:sz w:val="28"/>
          <w:szCs w:val="28"/>
          <w:rtl w:val="true"/>
          <w:lang w:bidi="ar-SA"/>
        </w:rPr>
        <w:t xml:space="preserve">القاعدة المذكورة بحليّة الأشياء وطهارتها إلى أن يعلم خلافها لم يمكن إجراؤها بعد حصول العلم بخلافها ودوران ذلك بين فردين ؛ إذ المستفاد منها تغليب جانب الحليّة والطهارة مع الجهل دون العلم </w:t>
      </w:r>
      <w:r>
        <w:rPr>
          <w:rStyle w:val="FootnoteAnchor"/>
          <w:rtl w:val="true"/>
        </w:rPr>
        <w:footnoteReference w:id="1633"/>
      </w:r>
      <w:r>
        <w:rPr>
          <w:rFonts w:ascii="Amiri" w:hAnsi="Amiri" w:eastAsia="Amiri" w:cs="Amiri"/>
          <w:color w:val="111111"/>
          <w:sz w:val="28"/>
          <w:sz w:val="28"/>
          <w:szCs w:val="28"/>
          <w:rtl w:val="true"/>
          <w:lang w:bidi="ar-SA"/>
        </w:rPr>
        <w:t xml:space="preserve">ونسبة العمومات المذكورة إلى الماءين على نحو واحد ، وقد فرض خروج أحدهما عن الحلية والطهارة يقتضي العلم المفروض ، فيكون المتحصّل في المقام مع ملاحظة العمومات المفروضة هو طهارة أحد الماءين وحلّيته ، ونجاسة الآخر وحرمته </w:t>
      </w:r>
      <w:r>
        <w:rPr>
          <w:rStyle w:val="FootnoteAnchor"/>
          <w:rtl w:val="true"/>
        </w:rPr>
        <w:footnoteReference w:id="1634"/>
      </w:r>
      <w:r>
        <w:rPr>
          <w:rFonts w:ascii="Amiri" w:hAnsi="Amiri" w:eastAsia="Amiri" w:cs="Amiri"/>
          <w:color w:val="111111"/>
          <w:sz w:val="28"/>
          <w:sz w:val="28"/>
          <w:szCs w:val="28"/>
          <w:rtl w:val="true"/>
          <w:lang w:bidi="ar-SA"/>
        </w:rPr>
        <w:t>قد يكون مع القطع به والشك في تعلّقه بالعين المخصوصة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يقين بالطهارة ويقين بارتفاعها ، وشك في ارتفاع الطهارة المتعلّقة بخصوص العين المعيّنة لعدم العلم بخصوص الزائل ، فليس الشك في المقام من جهة الشك في ارتفاع الأمر الحاصل ؛ إذ المفروض حصول القطع به ، بل من جهة الشك في التعيين بعد علم المكلّف حينئذ ببقاء إحدى الطهارتين وزوال الآخر ، فبقاء إحدى </w:t>
      </w:r>
      <w:r>
        <w:rPr>
          <w:rStyle w:val="FootnoteAnchor"/>
          <w:rtl w:val="true"/>
        </w:rPr>
        <w:footnoteReference w:id="1635"/>
      </w:r>
      <w:r>
        <w:rPr>
          <w:rFonts w:ascii="Amiri" w:hAnsi="Amiri" w:eastAsia="Amiri" w:cs="Amiri"/>
          <w:color w:val="111111"/>
          <w:sz w:val="28"/>
          <w:sz w:val="28"/>
          <w:szCs w:val="28"/>
          <w:rtl w:val="true"/>
          <w:lang w:bidi="ar-SA"/>
        </w:rPr>
        <w:t xml:space="preserve">الطهارتين معلومة كارتفاع الآخر </w:t>
      </w:r>
    </w:p>
    <w:p>
      <w:pPr>
        <w:pStyle w:val="BookText"/>
        <w:rPr/>
      </w:pPr>
      <w:r>
        <w:rPr>
          <w:rFonts w:ascii="Amiri" w:hAnsi="Amiri" w:eastAsia="Amiri" w:cs="Amiri"/>
          <w:color w:val="111111"/>
          <w:sz w:val="28"/>
          <w:sz w:val="28"/>
          <w:szCs w:val="28"/>
          <w:rtl w:val="true"/>
          <w:lang w:bidi="ar-SA"/>
        </w:rPr>
        <w:t>وليس الحكم ببقائها من جهة الاستصحاب ؛ إذ المفروض حصول القطع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لمّا كانت الطهارة بالنسبة إلى كلّ من الماءين معلومة وكانت النجاسة الواردة دائرة بينهما فقد طرى الشك في ارتفاع خصوص كلّ من الطهارتين بعد العلم بحصولها فيندرج بملاحظة ذلك في 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ظهور اندراج هذه الصورة في الأخبار الدالّة على حجيّة الاستصحاب ؛ إذ الظاهر منها استصحاب حكم اليقين الحاصل وعدم نقضه بالشك في حصول الرافع ، لا مع اليقين بحصوله والشك في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وتسليم إطلاق الأدلّة الدالّة عليه فلا ريب في ارتفاع أحد الاستصحابين ، وبعد القطع إجمالا بانتقاض أحد الاستصحابين لا يصحّ الاستدلال بأحدهما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ذلك إلّا كالاستدلال بأحد العمومين بعد العلم بتخصيص أحدهما إجمالا أو بأحد الآيتين مع العلم بنسخ أحدهما كذلك؟ ولا يظن أن أحدا يجوّزه ويصحّح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وقد أجمعوا على عدم جواز الاحتجاج بالعام المخصّص بالمجمل مع أنّ قضية الأصل في كلّ واحد من الأفراد عدم إخراجه عن العموم سيّما إذا كان المخصّص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ما ذكرنا هو مقصود المحقق </w:t>
      </w:r>
      <w:r>
        <w:rPr>
          <w:rStyle w:val="FootnoteAnchor"/>
          <w:rtl w:val="true"/>
        </w:rPr>
        <w:footnoteReference w:id="1636"/>
      </w:r>
      <w:r>
        <w:rPr>
          <w:rFonts w:ascii="Amiri" w:hAnsi="Amiri" w:eastAsia="Amiri" w:cs="Amiri"/>
          <w:color w:val="111111"/>
          <w:sz w:val="28"/>
          <w:sz w:val="28"/>
          <w:szCs w:val="28"/>
          <w:rtl w:val="true"/>
          <w:lang w:bidi="ar-SA"/>
        </w:rPr>
        <w:t>حيث ذكر أنّ يقين الطهارة في كلّ منهما معارض بيقين النجاسة ، ولا رجحان فيتحقق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أورد عليه بعض المحققين من أن يقين الطهارة في كلّ واحد يعارضه الشك في النجاسة لا اليقين بها بيّن الاندفاع بما ذكرناه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الايراد على ما ذكره المحقق وما أورده المحقق المذكور من أنّ الاشتباه بين الإناءين قد يكون بعد العلم بالحال ، وقد يكون من أوّل الأمر ، فلا يتمّ الحجة في الثاني ولا الإيراد المذكور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 إذ مع الغضّ عن فساده بما عرفت لا وجه </w:t>
      </w:r>
    </w:p>
    <w:p>
      <w:pPr>
        <w:pStyle w:val="BookText"/>
        <w:rPr/>
      </w:pPr>
      <w:r>
        <w:rPr>
          <w:rFonts w:ascii="Amiri" w:hAnsi="Amiri" w:eastAsia="Amiri" w:cs="Amiri"/>
          <w:color w:val="111111"/>
          <w:sz w:val="28"/>
          <w:sz w:val="28"/>
          <w:szCs w:val="28"/>
          <w:rtl w:val="true"/>
          <w:lang w:bidi="ar-SA"/>
        </w:rPr>
        <w:t>للتفصيل المذكور ؛ لوضوح عدم الفرق في ذلك بين الصورتين فكما يصحّح الاستناد إليه في الصورة الأولى ينبغي أن يقول به في الثانية أيضا ؛ إذ مجرّد احتمال كون أحد المعنيين هو ما علم نجاسته لا يوجب ارتفاع حكم اليقين بالطهارة الثانية له قبل ذلك على نحو ما يقال به في الصورة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بخصوص النجس في الصورة الأولى يقتضي عدم صحة الاستناد إلى الاستصحاب بالنسبة إليه لحصول اليقين بنجاسته بالخصوص الذي هو الغاية في الحكم بالطهارة فيه بخلاف الثانية لعدم حصول العلم بنجاسة شي‌ء منهما بالخصوص فيصحّ الاستناد إلى الاستصحاب بالنسبة إلى كلّ منهما فكلّ من الماءين هنا يندرج في موضوع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فقد خرج أحدهما عن الموضوع قطعا ، والشكّ الطاري لا يوجب الاندراج تحت قاعدة الاستصحاب وإن كان أحد الماءين بالخصوص خارجا ؛ إذ كلّ منهما حينئذ من مصاديق الموضوع المقرّر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العلم الإجمالي بأحد الإناءين حاصل في الصورتين ، فإن جعل ذلك مانعا عن البناء من الأصل المذكور جرى فيهما ، وإلّا فلا يمنع من البناء عليه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تعيين النجس إناء ما لا يقضي بالفرق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يقتضيه ظاهر أخبار الاستصحاب هو البناء على الطهارة مع الشك في عروض النجاسة لا مع اليقين به والشكّ في اليقين كما أشرنا إليه ، أمكن الفرق لكنه بيّن الفساد حسب ما مرّ الكلام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w:t>
      </w:r>
      <w:r>
        <w:rPr>
          <w:rStyle w:val="FootnoteAnchor"/>
          <w:rtl w:val="true"/>
        </w:rPr>
        <w:footnoteReference w:id="1637"/>
      </w:r>
      <w:r>
        <w:rPr>
          <w:rFonts w:ascii="Amiri" w:hAnsi="Amiri" w:eastAsia="Amiri" w:cs="Amiri"/>
          <w:color w:val="111111"/>
          <w:sz w:val="28"/>
          <w:sz w:val="28"/>
          <w:szCs w:val="28"/>
          <w:rtl w:val="true"/>
          <w:lang w:bidi="ar-SA"/>
        </w:rPr>
        <w:t xml:space="preserve">يذهب عليك أنّ ما ذكره المحقق المذكور من الإيراد لو تمّ فإنّما يتمّ معه عدم العلم أولا بنجاسة الماءين ؛ إذ لو علم بها أوّلا ثم علم بطهر أحدهما من دون تعيين كان مقتضى الأصل على دعواه هو الحكم بالنجاسة ، والتفصيل المذكور في الإيراد الأخير فاسد أيضا لاقتضاء الأصل حينئذ ، ومع الاشتباه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بالنجاسة ، وفي الطارئ يجي‌ء المنع من جهة </w:t>
      </w:r>
    </w:p>
    <w:p>
      <w:pPr>
        <w:pStyle w:val="BookText"/>
        <w:rPr/>
      </w:pPr>
      <w:r>
        <w:rPr>
          <w:rFonts w:ascii="Amiri" w:hAnsi="Amiri" w:eastAsia="Amiri" w:cs="Amiri"/>
          <w:color w:val="111111"/>
          <w:sz w:val="28"/>
          <w:sz w:val="28"/>
          <w:szCs w:val="28"/>
          <w:rtl w:val="true"/>
          <w:lang w:bidi="ar-SA"/>
        </w:rPr>
        <w:t>الشبهة حسبما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على التفصيل بين هذه الصورة والصورة المتقدمة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تبيّن أنّه لا وجه للاكتفاء في الطهارة أو الإزالة باستعمال أحد الماءين كما زعمه الجماعة لما عرفت من انتفاء الحكم بالطهارة فيه في ظاهر الشريعة وإن لم يحكم بنجاسته أيضا أو مجرّد الجهل بالطهارة في الظاهر ولو من جهة الأصل والعمومات كاف في عدم الحكم بالصحّة ؛ نظرا إلى أنّ الأصل عدم ارتفاع الخبث أو الحدث الحاصلين ؛ لاشتراط الطهارة في المزيل والشك في الشرط قاض بالشك في المشروط فتستصحب تلك الحالة السابقة من الحدث أو الخبث المتحقّقين ، ولا باستعمالهما معا على سبيل التعاقب وإن قطع معه باستعمال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الرّفع فلأنّ </w:t>
      </w:r>
      <w:r>
        <w:rPr>
          <w:rStyle w:val="FootnoteAnchor"/>
          <w:rtl w:val="true"/>
        </w:rPr>
        <w:footnoteReference w:id="1638"/>
      </w:r>
      <w:r>
        <w:rPr>
          <w:rFonts w:ascii="Amiri" w:hAnsi="Amiri" w:eastAsia="Amiri" w:cs="Amiri"/>
          <w:color w:val="111111"/>
          <w:sz w:val="28"/>
          <w:sz w:val="28"/>
          <w:szCs w:val="28"/>
          <w:rtl w:val="true"/>
          <w:lang w:bidi="ar-SA"/>
        </w:rPr>
        <w:t>استعمال الأوّل غير كاف في الحكم بالرفع كما عرفت ، واستعمال الثاني بعده قاض بنجاسة المحلّ في حكم الشرع ، فلا يصحّ الطهارة معه لاشتراطهما بطهارة العضو في حكم الشرع المرتفع قطعا بتعاقبهما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الإزالة فلأنّه وإن حكم معه بزوال الخبث الحاصل إلّا أنّه يقطع أيضا بتنجّس المحلّ من دون قطع بزوالها فتستصحب ولا يترتب فائدة يعتدّ بها على العلم بزوال النجاسة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إزالة النجاسة الحاصلة في المحلّ متوقفة على غسلتين بخلاف الحاصلة في الماء اكتفى حينئذ في إزالتها بغسلة واحدة سواء غسل لكلّ منهما مرّة أو مرّتين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الأظهر كما يأتي </w:t>
      </w:r>
      <w:r>
        <w:rPr>
          <w:rStyle w:val="FootnoteAnchor"/>
          <w:rtl w:val="true"/>
        </w:rPr>
        <w:footnoteReference w:id="1639"/>
      </w:r>
      <w:r>
        <w:rPr>
          <w:rFonts w:ascii="Amiri" w:hAnsi="Amiri" w:eastAsia="Amiri" w:cs="Amiri"/>
          <w:color w:val="111111"/>
          <w:sz w:val="28"/>
          <w:sz w:val="28"/>
          <w:szCs w:val="28"/>
          <w:rtl w:val="true"/>
          <w:lang w:bidi="ar-SA"/>
        </w:rPr>
        <w:t xml:space="preserve">عدم تنجّس المحلّ باستعمال أحد الماءين ، وحينئذ فإذا طهر أعضاء الطهارة بالماء الثاني بعد الفراغ من الطهارة بالأوّل ثمّ استعمله في الطهارة الثانية حصل اليقين بصحة إحدى الطهارتين وارتفاع الحدث الحاصل ؛ إذ لو كان الطاهر هو الأوّل فقد ارتفع به الحدث ، وإن كان الثاني فقد أزيل به النجاسة الحاصلة في المحلّ ، وصحّت الطهارة </w:t>
      </w:r>
    </w:p>
    <w:p>
      <w:pPr>
        <w:pStyle w:val="BookText"/>
        <w:rPr/>
      </w:pPr>
      <w:r>
        <w:rPr>
          <w:rFonts w:ascii="Amiri" w:hAnsi="Amiri" w:eastAsia="Amiri" w:cs="Amiri"/>
          <w:color w:val="111111"/>
          <w:sz w:val="28"/>
          <w:sz w:val="28"/>
          <w:szCs w:val="28"/>
          <w:rtl w:val="true"/>
          <w:lang w:bidi="ar-SA"/>
        </w:rPr>
        <w:t>الواقعة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عدم خلوّ الواقع عن إحدى الصورتين ، فيحصل اليقين بارتفاع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صارت ملاقاته للأوّل كالعدم بعد غسله للأخير ، فلا ينجس به المحل بعد ملاقاته للأخير ؛ إذ ليست إصابته له حينئذ إلّا كإصابته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Style w:val="FootnoteAnchor"/>
          <w:rtl w:val="true"/>
        </w:rPr>
        <w:footnoteReference w:id="1640"/>
      </w:r>
      <w:r>
        <w:rPr>
          <w:rFonts w:ascii="Amiri" w:hAnsi="Amiri" w:eastAsia="Amiri" w:cs="Amiri"/>
          <w:color w:val="111111"/>
          <w:sz w:val="28"/>
          <w:sz w:val="28"/>
          <w:szCs w:val="28"/>
          <w:rtl w:val="true"/>
          <w:lang w:bidi="ar-SA"/>
        </w:rPr>
        <w:t>لا تقضي بتنجس المحل كما عرفت ، فلا مانع من جهة نجاسة الماء للعلم بطهارة أحدهما ، ولا من جهة تنجّس المحلّ فيصحّ أحد الاستعمالين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الوجه في ارتفاع الخبث بتعاقبهما والحكم بطهارة المحلّ بعد استعمالهما ؛ لما عرفت من ارتفاع حكم الأوّل بورود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 في المقام هو الحكم بتنجس المحلّ بعد إصابة الماءين ؛ للقطع بطروّ النجاسة عليه مع عدم العلم بزوالها ، فيستصحب ما علم ثبوته حتى يعلم 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علم به في المقام ؛ لتوقفه على العلم بطهارة الأخير ، والمفروض عدم العلم بما </w:t>
      </w:r>
      <w:r>
        <w:rPr>
          <w:rStyle w:val="FootnoteAnchor"/>
          <w:rtl w:val="true"/>
        </w:rPr>
        <w:footnoteReference w:id="1641"/>
      </w:r>
      <w:r>
        <w:rPr>
          <w:rFonts w:ascii="Amiri" w:hAnsi="Amiri" w:eastAsia="Amiri" w:cs="Amiri"/>
          <w:color w:val="111111"/>
          <w:sz w:val="28"/>
          <w:sz w:val="28"/>
          <w:szCs w:val="28"/>
          <w:rtl w:val="true"/>
          <w:lang w:bidi="ar-SA"/>
        </w:rPr>
        <w:t>يحكم شرعا بنجاسته ما تواردا عليه إلى أن يعلم زوالها ، ومعه لا يمكن الإتيان بالطهارة الثانية لاشتراطها بطهارة المحلّ ، والمفروض أنّه معلوم النجاسة في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لاستصحاب النجاسة في المقام ؛ إذ هو من قبيل استصحاب أحد الحالين مع العلم بحصول كلّ منهما كاستصحاب بقاء الحدث والطهارة مع العلم بحدوث طهارة وحدث عنه </w:t>
      </w:r>
      <w:r>
        <w:rPr>
          <w:rStyle w:val="FootnoteAnchor"/>
          <w:rtl w:val="true"/>
        </w:rPr>
        <w:footnoteReference w:id="1642"/>
      </w:r>
      <w:r>
        <w:rPr>
          <w:rFonts w:ascii="Amiri" w:hAnsi="Amiri" w:eastAsia="Amiri" w:cs="Amiri"/>
          <w:color w:val="111111"/>
          <w:sz w:val="28"/>
          <w:sz w:val="28"/>
          <w:szCs w:val="28"/>
          <w:rtl w:val="true"/>
          <w:lang w:bidi="ar-SA"/>
        </w:rPr>
        <w:t>، فكما أنّه لا يمكن استصحاب الحدث أو الطهارة في ذلك المقام فكذا هاهنا ؛ للعلم بطهارة المحل في إحدى الحالين ونجاسته في الأخرى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علم اتّصافه بالنجاسة في حال كذا يعلم اتّصافه بالطهارة أيضا كما لا يمكن الحكم باستصحاب الطهارة كذا لا يمكن استصحاب النجاسة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والتفصيل بين الحالين بإجراء </w:t>
      </w:r>
    </w:p>
    <w:p>
      <w:pPr>
        <w:pStyle w:val="BookText"/>
        <w:rPr/>
      </w:pPr>
      <w:r>
        <w:rPr>
          <w:rFonts w:ascii="Amiri" w:hAnsi="Amiri" w:eastAsia="Amiri" w:cs="Amiri"/>
          <w:color w:val="111111"/>
          <w:sz w:val="28"/>
          <w:sz w:val="28"/>
          <w:szCs w:val="28"/>
          <w:rtl w:val="true"/>
          <w:lang w:bidi="ar-SA"/>
        </w:rPr>
        <w:t>الاستصحاب في إحداهما دون الأخرى غير مقبول ، فغاية الأمر أن يكون مجهول الحال ، وحينئذ فلا يمكن الحكم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القاعدة حينئذ هو الحكم بالطهارة ؛ إذ بعد تكافؤ الاستصحابين يرجع إلى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الأصل المذكور ممّا لا دليل عليه بحيث يشمل المقام ؛ إذ لا مصرّح فيه للعقل ولا شاهد عليه من النقل ، غاية ما في الباب الرجوع إلى ما دلّ على أصالة الطهارة في الماء أو سائر الأشياء حتّى يعلم القذارة ، وقد عرفت عدم صحة الاستناد إليه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والمفروض العلم بالقذارة في المقام ولا دلالة فيها على عدم الالتفات إلى العلم المفروض ، والحكم بطهارة الجميع بل قضية إطلاقها هو الحكم بالنجاسة على نحو ما تعلّق العلم بها ، ومع الحكم بها كذلك لا يمكن الحكم بطهارة كلّ منهما حسب ما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المقام ما لو كان عنده ماءان أحدهما معلوم الطهارة بعينه والآخر معلوم القذارة ، فغسل ثوبه بكل من ذينك الماءين وشكّ في تاريخ الاستعمال ، فإنّه مع الجهل بتقديم الطاهر أو النجس لا مجال لاستصحاب الطهارة ولا النجاسة ولا إجراء </w:t>
      </w:r>
      <w:r>
        <w:rPr>
          <w:rStyle w:val="FootnoteAnchor"/>
          <w:rtl w:val="true"/>
        </w:rPr>
        <w:footnoteReference w:id="1643"/>
      </w:r>
      <w:r>
        <w:rPr>
          <w:rFonts w:ascii="Amiri" w:hAnsi="Amiri" w:eastAsia="Amiri" w:cs="Amiri"/>
          <w:color w:val="111111"/>
          <w:sz w:val="28"/>
          <w:sz w:val="28"/>
          <w:szCs w:val="28"/>
          <w:rtl w:val="true"/>
          <w:lang w:bidi="ar-SA"/>
        </w:rPr>
        <w:t>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يقال فيه بالأخذ بضدّ الحالة السابقة على نحو ما قيل في صورة العلم بحدوث الحدث والطهارة مع جهالة التاريخ لاستصحاب بقاء الحالة السابقة في الآنات اللاحقة إلى أن يعلم ارتفاعها ، وقضيّة ذلك الحكم بتقدّم ما لا تقضي </w:t>
      </w:r>
      <w:r>
        <w:rPr>
          <w:rStyle w:val="FootnoteAnchor"/>
          <w:rtl w:val="true"/>
        </w:rPr>
        <w:footnoteReference w:id="1644"/>
      </w:r>
      <w:r>
        <w:rPr>
          <w:rFonts w:ascii="Amiri" w:hAnsi="Amiri" w:eastAsia="Amiri" w:cs="Amiri"/>
          <w:color w:val="111111"/>
          <w:sz w:val="28"/>
          <w:sz w:val="28"/>
          <w:szCs w:val="28"/>
          <w:rtl w:val="true"/>
          <w:lang w:bidi="ar-SA"/>
        </w:rPr>
        <w:t xml:space="preserve">برفع الحالة السابقة </w:t>
      </w:r>
      <w:r>
        <w:rPr>
          <w:rStyle w:val="FootnoteAnchor"/>
          <w:rtl w:val="true"/>
        </w:rPr>
        <w:footnoteReference w:id="1645"/>
      </w:r>
      <w:r>
        <w:rPr>
          <w:rFonts w:ascii="Amiri" w:hAnsi="Amiri" w:eastAsia="Amiri" w:cs="Amiri"/>
          <w:color w:val="111111"/>
          <w:sz w:val="28"/>
          <w:sz w:val="28"/>
          <w:szCs w:val="28"/>
          <w:rtl w:val="true"/>
          <w:lang w:bidi="ar-SA"/>
        </w:rPr>
        <w:t>وتأخر ما يقضي بارتفاعه فيحكم بطهارته مع نجاسته أوّلا وبنجاسته مع طهارته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تقدّم ما يخالف الحالة الموجودة يقضي بارتفاع تلك الحالة لحدوث ضدّها ، ثمّ ارتفاع ذلك الضدّ بطروّ الآخر ، بخلاف الوجه الآخر ؛ إذ ليس هناك من الحوادث إلا </w:t>
      </w:r>
    </w:p>
    <w:p>
      <w:pPr>
        <w:pStyle w:val="BookText"/>
        <w:rPr/>
      </w:pPr>
      <w:r>
        <w:rPr>
          <w:rFonts w:ascii="IRNazanin" w:hAnsi="IRNazanin" w:eastAsia="IRNazanin"/>
          <w:color w:val="111111"/>
          <w:sz w:val="28"/>
          <w:sz w:val="28"/>
          <w:szCs w:val="28"/>
          <w:rtl w:val="true"/>
          <w:lang w:bidi="fa-IR"/>
        </w:rPr>
        <w:t xml:space="preserve">ارتفاع </w:t>
      </w:r>
      <w:r>
        <w:rPr>
          <w:rStyle w:val="FootnoteAnchor"/>
          <w:rtl w:val="true"/>
        </w:rPr>
        <w:footnoteReference w:id="1646"/>
      </w:r>
      <w:r>
        <w:rPr>
          <w:rFonts w:ascii="Amiri" w:hAnsi="Amiri" w:eastAsia="Amiri" w:cs="Amiri"/>
          <w:color w:val="111111"/>
          <w:sz w:val="28"/>
          <w:sz w:val="28"/>
          <w:szCs w:val="28"/>
          <w:rtl w:val="true"/>
          <w:lang w:bidi="ar-SA"/>
        </w:rPr>
        <w:t>الحالة الموجودة فيه ، فيزيد الآخر عليه بوجود حادثين والأصل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ذلك بعينه فيما نحن فيه إلّا أنّك خبير بأنّ الاستناد إلى الأصول المذكورة أخذ بالأصول المثبتة </w:t>
      </w:r>
      <w:r>
        <w:rPr>
          <w:rStyle w:val="FootnoteAnchor"/>
          <w:rtl w:val="true"/>
        </w:rPr>
        <w:footnoteReference w:id="1647"/>
      </w:r>
      <w:r>
        <w:rPr>
          <w:rFonts w:ascii="Amiri" w:hAnsi="Amiri" w:eastAsia="Amiri" w:cs="Amiri"/>
          <w:color w:val="111111"/>
          <w:sz w:val="28"/>
          <w:sz w:val="28"/>
          <w:szCs w:val="28"/>
          <w:rtl w:val="true"/>
          <w:lang w:bidi="ar-SA"/>
        </w:rPr>
        <w:t>، وهي لا تنهض حجّة إذ لا يمكن إثبات ملاقاة الطاهر له في الأول والنجس في الثاني بمجرّد الأصل المذكور ؛ إذ غاية الأمر حجيّة الأصل المذكور في محلّه ، ولذا يحكم ببقاء نجاسته بعد استعمال الأوّل ، وأمّا في إثباته حكما عاديا آخر فلا وجه له أصلا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الجهالة بالطهارة والنجاسة وانتفاء طريق في الظاهر إلى الحكم بكلّ منهما لا يمكن الحكم بصحّة الأمر المتوقّف على الطهارة ؛ لعدم قيام دليل شرعيّ على حصول الشرط ، وكذا لا يترتّب عليه الحكم المتوقّف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اعتبرنا في حرمة الأكل والشرب نجاسة المأكول والمشروب قوي الحلّ </w:t>
      </w:r>
      <w:r>
        <w:rPr>
          <w:rStyle w:val="FootnoteAnchor"/>
          <w:rtl w:val="true"/>
        </w:rPr>
        <w:footnoteReference w:id="1648"/>
      </w:r>
      <w:r>
        <w:rPr>
          <w:rFonts w:ascii="Amiri" w:hAnsi="Amiri" w:eastAsia="Amiri" w:cs="Amiri"/>
          <w:color w:val="111111"/>
          <w:sz w:val="28"/>
          <w:sz w:val="28"/>
          <w:szCs w:val="28"/>
          <w:rtl w:val="true"/>
          <w:lang w:bidi="ar-SA"/>
        </w:rPr>
        <w:t>في المقام لعدم العلم بحصول الحرمة ، فيبنى على انتفاء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يترتّب على نجاسة الماء المنع من استعماله فيما يشترط بالطهارة من الطهارات وإزالة الأخباث ، فيجري فيه ما ذكر من البناء على عدم ثبوت ذلك الحكم حتّى يقوم دليل عليه ، فالمنع من استعماله فيها مدفوع بالأصل ؛ لعدم قيام دليل عليه حسب ما ذكر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منع في المقام من استعماله في الأمور المذكورة إلّا من جهة البدعة ، وارتفاعها إنّما يكون بقيام الدليل لا بمجرد الأصل ، وكذا الحال بالنسبة إلى آثار ذلك الاستعمال ؛ إذ قضية الأصل عدم ثبوت شي‌ء منها من دون قيام دليل عليه ، فلا وجه لإثباتها بمجرد الأصل بل قضية الأصل عدم ثبوتها وعدم تفريغ الذمة عمّا يشترط بحصولها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فثبت بما ذكرنا عدم جواز الصلاة في الثوب بعد تعاقب الماءين المذكورين عليه ، وكذا الحال بالنسبة إلى البدن ، فلا يحكم في الظاهر بصحة الوضوء من جهة احتمال نجاسة العضو من غير قيام دليل شرعي على طهارته ، ولو من جهة الأصل لا أنّه محكوم بفساده ، فاحتمال نجاسة </w:t>
      </w:r>
    </w:p>
    <w:p>
      <w:pPr>
        <w:pStyle w:val="BookText"/>
        <w:rPr/>
      </w:pPr>
      <w:r>
        <w:rPr>
          <w:rFonts w:ascii="Amiri" w:hAnsi="Amiri" w:eastAsia="Amiri" w:cs="Amiri"/>
          <w:color w:val="111111"/>
          <w:sz w:val="28"/>
          <w:sz w:val="28"/>
          <w:szCs w:val="28"/>
          <w:rtl w:val="true"/>
          <w:lang w:bidi="ar-SA"/>
        </w:rPr>
        <w:t>العضو نظير احتمال نجاسة الماء في الصورة المفروضة من غير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الأصل الحكم بصحة أحد الوضوءين وارتفاع الحدث باستعمالها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يشكل الحال نظرا إلى ارتفاع الحكم بطهارة الأعضاء ، وهو مانع من الحكم بصحة الصلاة من جهة الخبث ، وحينئذ فقضية القاعدة الانتقال إلى التيمّم أيضا ؛ لوجوب تقديم الطهارة الخبثية على الطهارة الاختيارية فينطبق الحكم المذكور حينئذ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حينئذ بلزوم تكرار الصلاة بأدائها تارة بين الطهارتين وأخرى بعد الطهارة الثانية ليعلم معه بأداء العبادة مستجمعا للطهارة الحدثية والخبيثة ؛ إذ لو كان الطاهر هو الأوّل فقد أدّى العبادة على وجهها ، وكذا لو كان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حصل العلم حينئذ بأداء الصلاة مستجمعة للطهارتين بحسب الواقع إلّا أنّه لا يجوز الإتيان بها كذلك على ما تقتضيه القواعد الشرعيّة للحكم شرعا بفساد الصلاة الأولى من جهة الحكم عليه ببقاء الحدث ؛ نظرا إلى الشك في ارتفاعه باستعمال الأوّل ، وعدم جواز استعمال الثاني من جهة ارتفاع الحكم بطهارة البدن معه ، مع اشتراطها في صحّة العبادة وتقدّمها على الطهارة الحدثية الاختيارية ، فتحصيل إحراز </w:t>
      </w:r>
      <w:r>
        <w:rPr>
          <w:rStyle w:val="FootnoteAnchor"/>
          <w:rtl w:val="true"/>
        </w:rPr>
        <w:footnoteReference w:id="1649"/>
      </w:r>
      <w:r>
        <w:rPr>
          <w:rFonts w:ascii="Amiri" w:hAnsi="Amiri" w:eastAsia="Amiri" w:cs="Amiri"/>
          <w:color w:val="111111"/>
          <w:sz w:val="28"/>
          <w:sz w:val="28"/>
          <w:szCs w:val="28"/>
          <w:rtl w:val="true"/>
          <w:lang w:bidi="ar-SA"/>
        </w:rPr>
        <w:t xml:space="preserve">الواقع في العبادة مع المخالفة لما تقتضيه القواعد الشرعيّة ليس أخذا بالاحتياط ؛ ليتحقّق رجحان كلّ من </w:t>
      </w:r>
      <w:r>
        <w:rPr>
          <w:rStyle w:val="FootnoteAnchor"/>
          <w:rtl w:val="true"/>
        </w:rPr>
        <w:footnoteReference w:id="1650"/>
      </w:r>
      <w:r>
        <w:rPr>
          <w:rFonts w:ascii="Amiri" w:hAnsi="Amiri" w:eastAsia="Amiri" w:cs="Amiri"/>
          <w:color w:val="111111"/>
          <w:sz w:val="28"/>
          <w:sz w:val="28"/>
          <w:szCs w:val="28"/>
          <w:rtl w:val="true"/>
          <w:lang w:bidi="ar-SA"/>
        </w:rPr>
        <w:t xml:space="preserve">الفعلين من تلك الجهة حتى </w:t>
      </w:r>
      <w:r>
        <w:rPr>
          <w:rStyle w:val="FootnoteAnchor"/>
          <w:rtl w:val="true"/>
        </w:rPr>
        <w:footnoteReference w:id="1651"/>
      </w:r>
      <w:r>
        <w:rPr>
          <w:rFonts w:ascii="Amiri" w:hAnsi="Amiri" w:eastAsia="Amiri" w:cs="Amiri"/>
          <w:color w:val="111111"/>
          <w:sz w:val="28"/>
          <w:sz w:val="28"/>
          <w:szCs w:val="28"/>
          <w:rtl w:val="true"/>
          <w:lang w:bidi="ar-SA"/>
        </w:rPr>
        <w:t>يصحّ التقرّب بكل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 يظهر ضعف ما قد يفصل في المقام بين ما إذا وفي الماء لذلك فيكرّر العبادة على الوجه المذكور ، وما إذا لم يف به فينتقل إلى التيمّم معه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ما أورد عليه من أنّ هذين الماءين قد حكم بنجاستهما شرعا واستعمال النجس في الطهارة ممّا لا يمكن التقرب به لكونه بدعة فاسد ؛ لوضوح أنّه لم يحكم بنجاسة الماءين المذكورين معا وإنّما حكم بنجاسة أحدهما وطهارة الآخر على الإجمال ، وحصول الطهارة </w:t>
      </w:r>
    </w:p>
    <w:p>
      <w:pPr>
        <w:pStyle w:val="BookText"/>
        <w:rPr/>
      </w:pPr>
      <w:r>
        <w:rPr>
          <w:rFonts w:ascii="Amiri" w:hAnsi="Amiri" w:eastAsia="Amiri" w:cs="Amiri"/>
          <w:color w:val="111111"/>
          <w:sz w:val="28"/>
          <w:sz w:val="28"/>
          <w:szCs w:val="28"/>
          <w:rtl w:val="true"/>
          <w:lang w:bidi="ar-SA"/>
        </w:rPr>
        <w:t>والنجاسة بالنسبة إلى خصوص كلّ منهما غير معلوم واستعمال النجس المجهول من جهة الاحتياط وإحراز استعمال الطاهر لا يكون بدعة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إنّما يتمّ مع وجوب الطهارة من الخبث ، فلا يتمّ ذلك إذا كان قبل دخول وقت الصلاة الواجبة ؛ إذ لا يجب عليه إذن مراعاة طهارة البدن ، وكذا إذا كان فاقدا للطهورين سوى الماءين المفروضين لتقدم الطهارة الحدثية على الخبثية قطعا ، ولذا يسقط وجوب الصلاة بانتفاء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فالحكم بإطلاق المنع من استعمالهما والانتقال إلى التيمّم لا ينطبق على القواعد ، والاقتصار على ما تقتضيه القاعدة غير موافق لظاهر كلمات الأصحاب وإطلاق الموثقتين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عدم صحّة الوضوء بهما في الصورة الأولى ؛ أخذا بظاهر الخبرين المتقدمين المعتضدين بإطباق الأصحاب على أنّه لا يظهر قائل صريح بوجوب التعاقب بين الأصحاب سيّما على التفصيل المذكور </w:t>
      </w:r>
      <w:r>
        <w:rPr>
          <w:rStyle w:val="FootnoteAnchor"/>
          <w:rtl w:val="true"/>
        </w:rPr>
        <w:footnoteReference w:id="1652"/>
      </w:r>
      <w:r>
        <w:rPr>
          <w:rFonts w:ascii="Amiri" w:hAnsi="Amiri" w:eastAsia="Amiri" w:cs="Amiri"/>
          <w:color w:val="111111"/>
          <w:sz w:val="28"/>
          <w:sz w:val="28"/>
          <w:szCs w:val="28"/>
          <w:rtl w:val="true"/>
          <w:lang w:bidi="ar-SA"/>
        </w:rPr>
        <w:t>، فانّ من لم يعمل بالحديثين المذكورين من المتأخرين يكتفي باستعمال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 فالظاهر خروجها عن مدلول الخبرين وظاهر كلمات الأصحاب أو الحكم بالانتقال إلى التيمّم شاهد على فرض المسألة في صورة التمكّن من الطهارة الاضطراريّة ، ومع خروجه عن مدلول النصّ والفتوى لا يبعد الرجوع فيه إلى مقتضى الأصل ؛ إذ لا وجه للقول بسقوط الصلاة حينئذ من غير قيام دليل ظاهر عليه إلّا أن يدّعى الإجماع على المنع من استعمالها في الطهارة مطلقا ، وهو محلّ تأمّل ، والأظهر في النظر الرجوع فيه إلى القاعدة المذكورة ، فتأمّل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ظهر ممّا فصّلنا ضعف ما ذهب إليه جماعة من المتأخرين من البناء على جواز استعمال أحد الإناءين إسنادا </w:t>
      </w:r>
      <w:r>
        <w:rPr>
          <w:rStyle w:val="FootnoteAnchor"/>
          <w:rtl w:val="true"/>
        </w:rPr>
        <w:footnoteReference w:id="1653"/>
      </w:r>
      <w:r>
        <w:rPr>
          <w:rFonts w:ascii="Amiri" w:hAnsi="Amiri" w:eastAsia="Amiri" w:cs="Amiri"/>
          <w:color w:val="111111"/>
          <w:sz w:val="28"/>
          <w:sz w:val="28"/>
          <w:szCs w:val="28"/>
          <w:rtl w:val="true"/>
          <w:lang w:bidi="ar-SA"/>
        </w:rPr>
        <w:t xml:space="preserve">إلى الأصل والعمومات ، واستضعافا للموثقين المذكورين ، </w:t>
      </w:r>
    </w:p>
    <w:p>
      <w:pPr>
        <w:pStyle w:val="BookText"/>
        <w:rPr/>
      </w:pPr>
      <w:r>
        <w:rPr>
          <w:rFonts w:ascii="Amiri" w:hAnsi="Amiri" w:eastAsia="Amiri" w:cs="Amiri"/>
          <w:color w:val="111111"/>
          <w:sz w:val="28"/>
          <w:sz w:val="28"/>
          <w:szCs w:val="28"/>
          <w:rtl w:val="true"/>
          <w:lang w:bidi="ar-SA"/>
        </w:rPr>
        <w:t>ومنعا لما ادّعي عليه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ذكروا في المقام شواهد على ما راموه من البناء على الطهارة وجواز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نصّ الأصحاب بعدم وجوب الاجتناب في الشبهة المتعلّقة بغير المحصور مع أنّ قضية الأصل فيهما على نهج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 من توقّف ترك الحرام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الفارق بين الأمرين خروج غير المحصور بالإجماع والسيرة المقطوعة ، وما يستفاد من الاخبار و </w:t>
      </w:r>
      <w:r>
        <w:rPr>
          <w:rStyle w:val="FootnoteAnchor"/>
          <w:rtl w:val="true"/>
        </w:rPr>
        <w:footnoteReference w:id="1654"/>
      </w:r>
      <w:r>
        <w:rPr>
          <w:rFonts w:ascii="Amiri" w:hAnsi="Amiri" w:eastAsia="Amiri" w:cs="Amiri"/>
          <w:color w:val="111111"/>
          <w:sz w:val="28"/>
          <w:sz w:val="28"/>
          <w:szCs w:val="28"/>
          <w:rtl w:val="true"/>
          <w:lang w:bidi="ar-SA"/>
        </w:rPr>
        <w:t>لزوم العسر والحرج الظاهرين بخلاف غير المحصور ؛ لعدم قيام شي‌ء من هذه الأدلّة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احتمال </w:t>
      </w:r>
      <w:r>
        <w:rPr>
          <w:rStyle w:val="FootnoteAnchor"/>
          <w:rtl w:val="true"/>
        </w:rPr>
        <w:footnoteReference w:id="1655"/>
      </w:r>
      <w:r>
        <w:rPr>
          <w:rFonts w:ascii="IRNazanin" w:hAnsi="IRNazanin" w:eastAsia="IRNazanin"/>
          <w:color w:val="111111"/>
          <w:sz w:val="28"/>
          <w:sz w:val="28"/>
          <w:szCs w:val="28"/>
          <w:rtl w:val="true"/>
          <w:lang w:bidi="fa-IR"/>
        </w:rPr>
        <w:t xml:space="preserve">الماء </w:t>
      </w:r>
      <w:r>
        <w:rPr>
          <w:rStyle w:val="FootnoteAnchor"/>
          <w:rtl w:val="true"/>
        </w:rPr>
        <w:footnoteReference w:id="1656"/>
      </w:r>
      <w:r>
        <w:rPr>
          <w:rFonts w:ascii="Amiri" w:hAnsi="Amiri" w:eastAsia="Amiri" w:cs="Amiri"/>
          <w:color w:val="111111"/>
          <w:sz w:val="28"/>
          <w:sz w:val="28"/>
          <w:szCs w:val="28"/>
          <w:rtl w:val="true"/>
          <w:lang w:bidi="ar-SA"/>
        </w:rPr>
        <w:t xml:space="preserve">المذكور في غير المحصور لضعفه لا يعدّ في العرف علما ولا يعتنى به أيضا في الأمور العادية </w:t>
      </w:r>
      <w:r>
        <w:rPr>
          <w:rStyle w:val="FootnoteAnchor"/>
          <w:rtl w:val="true"/>
        </w:rPr>
        <w:footnoteReference w:id="1657"/>
      </w:r>
      <w:r>
        <w:rPr>
          <w:rFonts w:ascii="Amiri" w:hAnsi="Amiri" w:eastAsia="Amiri" w:cs="Amiri"/>
          <w:color w:val="111111"/>
          <w:sz w:val="28"/>
          <w:sz w:val="28"/>
          <w:szCs w:val="28"/>
          <w:rtl w:val="true"/>
          <w:lang w:bidi="ar-SA"/>
        </w:rPr>
        <w:t>بخلاف الاشتباه في المحصور ، ولذا لم يعد الآتي به متجرّيا على الحرام ، على أنّ العلم الحاصل في غير المحصور يتساوى غالبا بالنسبة إليه الحكم بحرمة الفرد المخصوص وعدمه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أنّا إذا علمنا وجود ماء نجس في العالم لم يكن حكمنا بنجاسة الماء المخصوص حكما بطهارة غيره من المياه بل العلم بوجود النجس إجمالا حاصل </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284" w:name="pg15827_173888"/>
    </w:p>
    <w:p>
      <w:pPr>
        <w:pStyle w:val="Heading4"/>
        <w:numPr>
          <w:ilvl w:val="3"/>
          <w:numId w:val="1"/>
        </w:numPr>
        <w:rPr/>
      </w:pPr>
      <w:bookmarkStart w:id="285" w:name="__RefHeading___Toc14099789_2142443653"/>
      <w:bookmarkStart w:id="286" w:name="_Toc101"/>
      <w:bookmarkEnd w:id="284"/>
      <w:bookmarkEnd w:id="285"/>
      <w:r>
        <w:rPr>
          <w:rtl w:val="true"/>
        </w:rPr>
        <w:t>الفصل الثاني</w:t>
      </w:r>
      <w:r>
        <w:rPr>
          <w:rtl w:val="true"/>
        </w:rPr>
        <w:t xml:space="preserve">: </w:t>
      </w:r>
      <w:r>
        <w:rPr>
          <w:rtl w:val="true"/>
        </w:rPr>
        <w:t>في الوضوء</w:t>
      </w:r>
      <w:bookmarkEnd w:id="286"/>
    </w:p>
    <w:p>
      <w:pPr>
        <w:pStyle w:val="Heading5"/>
        <w:numPr>
          <w:ilvl w:val="4"/>
          <w:numId w:val="1"/>
        </w:numPr>
        <w:rPr/>
      </w:pPr>
      <w:bookmarkStart w:id="287" w:name="__RefHeading___Toc14099791_2142443653"/>
      <w:bookmarkStart w:id="288" w:name="_Toc102"/>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 xml:space="preserve">الفصل </w:t>
      </w:r>
      <w:r>
        <w:rPr>
          <w:rStyle w:val="FootnoteAnchor"/>
          <w:rtl w:val="true"/>
        </w:rPr>
        <w:footnoteReference w:id="1659"/>
      </w:r>
      <w:r>
        <w:rPr>
          <w:rFonts w:ascii="Amiri" w:hAnsi="Amiri" w:eastAsia="Amiri" w:cs="Amiri"/>
          <w:color w:val="111111"/>
          <w:sz w:val="28"/>
          <w:sz w:val="28"/>
          <w:szCs w:val="28"/>
          <w:rtl w:val="true"/>
          <w:lang w:bidi="ar-SA"/>
        </w:rPr>
        <w:t>الثاني</w:t>
      </w:r>
    </w:p>
    <w:p>
      <w:pPr>
        <w:pStyle w:val="BookText"/>
        <w:rPr/>
      </w:pPr>
      <w:r>
        <w:rPr>
          <w:rFonts w:ascii="Amiri" w:hAnsi="Amiri" w:eastAsia="Amiri" w:cs="Amiri"/>
          <w:color w:val="111111"/>
          <w:sz w:val="28"/>
          <w:sz w:val="28"/>
          <w:szCs w:val="28"/>
          <w:rtl w:val="true"/>
          <w:lang w:bidi="ar-SA"/>
        </w:rPr>
        <w:t>في الوضوء</w:t>
      </w:r>
    </w:p>
    <w:p>
      <w:pPr>
        <w:pStyle w:val="BookText"/>
        <w:rPr/>
      </w:pPr>
      <w:r>
        <w:rPr>
          <w:rFonts w:ascii="Amiri" w:hAnsi="Amiri" w:eastAsia="Amiri" w:cs="Amiri"/>
          <w:color w:val="111111"/>
          <w:sz w:val="28"/>
          <w:sz w:val="28"/>
          <w:szCs w:val="28"/>
          <w:rtl w:val="true"/>
          <w:lang w:bidi="ar-SA"/>
        </w:rPr>
        <w:t>وهو غسلات ومسحات معروفة مشترطة بنية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أسبابه وغاياته وكيفيته ولواحقه </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4099793_2142443653"/>
      <w:bookmarkStart w:id="290" w:name="_Toc103"/>
      <w:bookmarkEnd w:id="289"/>
      <w:r>
        <w:rPr>
          <w:rtl w:val="true"/>
        </w:rPr>
        <w:t>القول في الأسباب</w:t>
      </w:r>
      <w:bookmarkEnd w:id="290"/>
    </w:p>
    <w:p>
      <w:pPr>
        <w:pStyle w:val="BookText"/>
        <w:rPr/>
      </w:pPr>
      <w:r>
        <w:rPr>
          <w:rFonts w:ascii="Amiri" w:hAnsi="Amiri" w:eastAsia="Amiri" w:cs="Amiri"/>
          <w:color w:val="111111"/>
          <w:sz w:val="28"/>
          <w:sz w:val="28"/>
          <w:szCs w:val="28"/>
          <w:rtl w:val="true"/>
          <w:lang w:bidi="ar-SA"/>
        </w:rPr>
        <w:t>والمراد بها الأمور القاضية بإيجاب الوضوء لغاية واجبة وندبه للمندوبة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تتميمه لما تقتضي ندبه لغاية واجبة أو مندوبة كالمذي ، ولا فرق بين ما يكون اقتضاؤه فعليّا أو شأنيا كالحدث المبتدأ الواقع عقيب آخر ، والواقع من المكلّف أو غيره ؛ ولا بين ما يكون مقتضيا له بالنسبة إلى الغاية الواقعة عقيبه أو لأخرى كالبول الخارج من المسلوس عقيب الطهارة أو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عليها الموجبات والنواقض والأحداث أيضا إلا أنّ الموجبات أخصّ منها مطلقا إن اعتبر فيها الإيجاب فعلا ، وإلّا فهما متساويان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والنواقض أعمّ منها من وجه كالأحداث سواء اعتبر النقض فعلا أو لا بناء على التعميم في الأسباب ، وإلّا فالنواقض أعمّ مطلقا على الأخير</w:t>
      </w:r>
      <w:r>
        <w:rPr>
          <w:rFonts w:eastAsia="Amiri" w:cs="Amiri" w:ascii="Amiri" w:hAnsi="Amiri"/>
          <w:color w:val="111111"/>
          <w:sz w:val="28"/>
          <w:szCs w:val="28"/>
          <w:rtl w:val="true"/>
          <w:lang w:bidi="ar-SA"/>
        </w:rPr>
        <w:t xml:space="preserve">. </w:t>
      </w:r>
      <w:bookmarkStart w:id="291" w:name="pg15827_173889"/>
    </w:p>
    <w:p>
      <w:pPr>
        <w:pStyle w:val="Heading4"/>
        <w:numPr>
          <w:ilvl w:val="3"/>
          <w:numId w:val="1"/>
        </w:numPr>
        <w:rPr/>
      </w:pPr>
      <w:bookmarkStart w:id="292" w:name="__RefHeading___Toc14099795_2142443653"/>
      <w:bookmarkStart w:id="293" w:name="_Toc104"/>
      <w:bookmarkEnd w:id="291"/>
      <w:bookmarkEnd w:id="292"/>
      <w:r>
        <w:rPr>
          <w:rtl w:val="true"/>
        </w:rPr>
        <w:t>تبصرة</w:t>
      </w:r>
      <w:r>
        <w:rPr>
          <w:rtl w:val="true"/>
        </w:rPr>
        <w:t xml:space="preserve">: [ </w:t>
      </w:r>
      <w:r>
        <w:rPr>
          <w:rtl w:val="true"/>
        </w:rPr>
        <w:t xml:space="preserve">في خروج البول أو الغائط والريح </w:t>
      </w:r>
      <w:r>
        <w:rPr>
          <w:rtl w:val="true"/>
        </w:rPr>
        <w:t>]</w:t>
      </w:r>
      <w:bookmarkEnd w:id="293"/>
    </w:p>
    <w:p>
      <w:pPr>
        <w:pStyle w:val="BookText"/>
        <w:rPr/>
      </w:pPr>
      <w:r>
        <w:rPr>
          <w:rFonts w:ascii="Amiri" w:hAnsi="Amiri" w:eastAsia="Amiri" w:cs="Amiri"/>
          <w:color w:val="111111"/>
          <w:sz w:val="28"/>
          <w:sz w:val="28"/>
          <w:szCs w:val="28"/>
          <w:rtl w:val="true"/>
          <w:lang w:bidi="ar-SA"/>
        </w:rPr>
        <w:t xml:space="preserve">من أسباب الوضوء خروج البول أو الغائط والريح من الموضع المعتاد بالإجماع والروايات المستفيضة المتكثرة منها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إلّا ما خرج من طرفيك الأسفلين والنوم </w:t>
      </w:r>
      <w:r>
        <w:rPr>
          <w:rFonts w:eastAsia="Amiri" w:cs="Amiri" w:ascii="Amiri" w:hAnsi="Amiri"/>
          <w:color w:val="111111"/>
          <w:sz w:val="28"/>
          <w:szCs w:val="28"/>
          <w:rtl w:val="true"/>
          <w:lang w:bidi="ar-SA"/>
        </w:rPr>
        <w:t xml:space="preserve">»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يوجب الوضوء إلّا غائط أو بول أو ضرطة تسمع صوتها أو فسوة تجد ريحها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ينقض الوضوء؟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يخرج من طرفيك الأسفلين من الدبر والذكر غائط أو بول أو مني أو ريح </w:t>
      </w:r>
      <w:r>
        <w:rPr>
          <w:rFonts w:eastAsia="Amiri" w:cs="Amiri" w:ascii="Amiri" w:hAnsi="Amiri"/>
          <w:color w:val="111111"/>
          <w:sz w:val="28"/>
          <w:szCs w:val="28"/>
          <w:rtl w:val="true"/>
          <w:lang w:bidi="ar-SA"/>
        </w:rPr>
        <w:t xml:space="preserve">» </w:t>
      </w:r>
      <w:r>
        <w:rPr>
          <w:rStyle w:val="FootnoteAnchor"/>
          <w:rtl w:val="true"/>
        </w:rPr>
        <w:footnoteReference w:id="1662"/>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بين حصول الاعتياد وعدمه في الخروج عن الموضع المعتاد </w:t>
      </w:r>
      <w:r>
        <w:rPr>
          <w:rStyle w:val="FootnoteAnchor"/>
          <w:rtl w:val="true"/>
        </w:rPr>
        <w:footnoteReference w:id="1663"/>
      </w:r>
      <w:r>
        <w:rPr>
          <w:rFonts w:ascii="Amiri" w:hAnsi="Amiri" w:eastAsia="Amiri" w:cs="Amiri"/>
          <w:color w:val="111111"/>
          <w:sz w:val="28"/>
          <w:sz w:val="28"/>
          <w:szCs w:val="28"/>
          <w:rtl w:val="true"/>
          <w:lang w:bidi="ar-SA"/>
        </w:rPr>
        <w:t>المعروف كما إذا اعتاد الخروج من غيره ، فاتفق الخروج منه بلا خلاف فيه يعرف ؛ للإطلاقات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حكمه </w:t>
      </w:r>
      <w:r>
        <w:rPr>
          <w:rStyle w:val="FootnoteAnchor"/>
          <w:rtl w:val="true"/>
        </w:rPr>
        <w:footnoteReference w:id="1664"/>
      </w:r>
      <w:r>
        <w:rPr>
          <w:rFonts w:ascii="Amiri" w:hAnsi="Amiri" w:eastAsia="Amiri" w:cs="Amiri"/>
          <w:color w:val="111111"/>
          <w:sz w:val="28"/>
          <w:sz w:val="28"/>
          <w:szCs w:val="28"/>
          <w:rtl w:val="true"/>
          <w:lang w:bidi="ar-SA"/>
        </w:rPr>
        <w:t>الموضع المعتاد ما لو وقع الموضع الخلقي في غير المعتاد في ظاهر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Style w:val="FootnoteAnchor"/>
          <w:rtl w:val="true"/>
        </w:rPr>
        <w:footnoteReference w:id="1665"/>
      </w:r>
      <w:r>
        <w:rPr>
          <w:rFonts w:ascii="IRNazanin" w:hAnsi="IRNazanin" w:eastAsia="IRNazanin"/>
          <w:color w:val="111111"/>
          <w:sz w:val="28"/>
          <w:sz w:val="28"/>
          <w:szCs w:val="28"/>
          <w:rtl w:val="true"/>
          <w:lang w:bidi="fa-IR"/>
        </w:rPr>
        <w:t xml:space="preserve">المنتهى </w:t>
      </w:r>
      <w:r>
        <w:rPr>
          <w:rStyle w:val="FootnoteAnchor"/>
          <w:rtl w:val="true"/>
        </w:rPr>
        <w:footnoteReference w:id="1666"/>
      </w:r>
      <w:r>
        <w:rPr>
          <w:rFonts w:ascii="IRNazanin" w:hAnsi="IRNazanin" w:eastAsia="IRNazanin"/>
          <w:color w:val="111111"/>
          <w:sz w:val="28"/>
          <w:sz w:val="28"/>
          <w:szCs w:val="28"/>
          <w:rtl w:val="true"/>
          <w:lang w:bidi="fa-IR"/>
        </w:rPr>
        <w:t xml:space="preserve">والسرائر </w:t>
      </w:r>
      <w:r>
        <w:rPr>
          <w:rStyle w:val="FootnoteAnchor"/>
          <w:rtl w:val="true"/>
        </w:rPr>
        <w:footnoteReference w:id="1667"/>
      </w:r>
      <w:r>
        <w:rPr>
          <w:rFonts w:ascii="Amiri" w:hAnsi="Amiri" w:eastAsia="Amiri" w:cs="Amiri"/>
          <w:color w:val="111111"/>
          <w:sz w:val="28"/>
          <w:sz w:val="28"/>
          <w:szCs w:val="28"/>
          <w:rtl w:val="true"/>
          <w:lang w:bidi="ar-SA"/>
        </w:rPr>
        <w:t>حكاية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فيه عدم اعتبار الاعتياد ، واستشكل فيه حتّى مع الاعتياد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 المخرج الخلقي كما في الخنثى المشكل أو غيره فإن اعتيد المخرجان فلا تأمّل في النقض ، وإلّا نقض الخارج عن الواقع في المحلّ المعتاد ، ولو مع </w:t>
      </w:r>
      <w:r>
        <w:rPr>
          <w:rStyle w:val="FootnoteAnchor"/>
          <w:rtl w:val="true"/>
        </w:rPr>
        <w:footnoteReference w:id="1669"/>
      </w:r>
      <w:r>
        <w:rPr>
          <w:rFonts w:ascii="Amiri" w:hAnsi="Amiri" w:eastAsia="Amiri" w:cs="Amiri"/>
          <w:color w:val="111111"/>
          <w:sz w:val="28"/>
          <w:sz w:val="28"/>
          <w:szCs w:val="28"/>
          <w:rtl w:val="true"/>
          <w:lang w:bidi="ar-SA"/>
        </w:rPr>
        <w:t>عدم الاعتياد ، وفي غيره مع عدم اعتياده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انفتح مخرج سوى الطبيعي ، فإن كان مع انسداده فعن المنتهى حكاية الإجماع على أنّه كالطبيعي إذن ، فظاهره عدم اعتبار الاعتياد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ظاهرهم عدم اعتبار الاعتياد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قال </w:t>
      </w:r>
      <w:r>
        <w:rPr>
          <w:rStyle w:val="FootnoteAnchor"/>
          <w:rtl w:val="true"/>
        </w:rPr>
        <w:footnoteReference w:id="1670"/>
      </w:r>
      <w:r>
        <w:rPr>
          <w:rFonts w:ascii="Amiri" w:hAnsi="Amiri" w:eastAsia="Amiri" w:cs="Amiri"/>
          <w:color w:val="111111"/>
          <w:sz w:val="28"/>
          <w:sz w:val="28"/>
          <w:szCs w:val="28"/>
          <w:rtl w:val="true"/>
          <w:lang w:bidi="ar-SA"/>
        </w:rPr>
        <w:t>في السرائر والمنتهى والتحرير والروض والمسالك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الشرائع والمدارك عدم النقض مع عدم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 عدم انسداد الطبيعي ففي النقض الخارج منه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النقض مطلقا ، وإليه ذهب في السرائر والتذكرة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وعدمه كذلك ، واختاره غير واحد من المتأخرين وتردّد فيه في الذخيرة واستشكله في الحدائق فيرجع إلى القول بعدم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 مع مبالغة في عدم حجية الاستصحاب في صورة الشك في قدح العارض كما في المقام ، والتفصيل بين حصول الاعتياد وعدمه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671"/>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والتفصيل بين الخروج عما دون المعتاد وما فوقها ، وعزي إلى الشيخ في المبسوط والخلاف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والوجه في الأقوال المذكورة إطلاق ما دلّ على نقض البول والغائط ، فإن </w:t>
      </w:r>
      <w:r>
        <w:rPr>
          <w:rStyle w:val="FootnoteAnchor"/>
          <w:rtl w:val="true"/>
        </w:rPr>
        <w:footnoteReference w:id="1672"/>
      </w:r>
      <w:r>
        <w:rPr>
          <w:rFonts w:ascii="Amiri" w:hAnsi="Amiri" w:eastAsia="Amiri" w:cs="Amiri"/>
          <w:color w:val="111111"/>
          <w:sz w:val="28"/>
          <w:sz w:val="28"/>
          <w:szCs w:val="28"/>
          <w:rtl w:val="true"/>
          <w:lang w:bidi="ar-SA"/>
        </w:rPr>
        <w:t xml:space="preserve">الإطلاقات إنما تنصرف إلى الأفراد الشائعة </w:t>
      </w:r>
      <w:r>
        <w:rPr>
          <w:rStyle w:val="FootnoteAnchor"/>
          <w:rtl w:val="true"/>
        </w:rPr>
        <w:footnoteReference w:id="1673"/>
      </w:r>
      <w:r>
        <w:rPr>
          <w:rFonts w:ascii="Amiri" w:hAnsi="Amiri" w:eastAsia="Amiri" w:cs="Amiri"/>
          <w:color w:val="111111"/>
          <w:sz w:val="28"/>
          <w:sz w:val="28"/>
          <w:szCs w:val="28"/>
          <w:rtl w:val="true"/>
          <w:lang w:bidi="ar-SA"/>
        </w:rPr>
        <w:t xml:space="preserve">، وهو الخارج من الموضع المعتاد ، وفيها ما يدل على حصر النواقض أيضا ، وأنه مع الاعتياد يكون مشمولا للإطلاقات ؛ لانصرافها إلى المعتاد بخلاف ما إذا لم يحصل الاعتياد وأنّ الخارج عما دون المعدة مشمول للغاية ، فيتناول </w:t>
      </w:r>
      <w:r>
        <w:rPr>
          <w:rStyle w:val="FootnoteAnchor"/>
          <w:rtl w:val="true"/>
        </w:rPr>
        <w:footnoteReference w:id="1674"/>
      </w:r>
      <w:r>
        <w:rPr>
          <w:rFonts w:ascii="IRNazanin" w:hAnsi="IRNazanin" w:eastAsia="IRNazanin"/>
          <w:color w:val="111111"/>
          <w:sz w:val="28"/>
          <w:sz w:val="28"/>
          <w:szCs w:val="28"/>
          <w:rtl w:val="true"/>
          <w:lang w:bidi="fa-IR"/>
        </w:rPr>
        <w:t>الاسم بخلاف الخارج عمّا فوقها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الإطلاقات إنّما تنصرف إلى المعتاد الشائع لا معتاد الشخص على سبيل الندرة ، فلا فائدة في اعتبار الاعتياد بالنسبة إليه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المنساق من العبارة هو خصوص الخارج من الموضع المعدّ لخروجه خلقة أو المعتاد المعدّ له عارضا وإن ندر </w:t>
      </w:r>
      <w:r>
        <w:rPr>
          <w:rStyle w:val="FootnoteAnchor"/>
          <w:rtl w:val="true"/>
        </w:rPr>
        <w:footnoteReference w:id="1675"/>
      </w:r>
      <w:r>
        <w:rPr>
          <w:rFonts w:ascii="Amiri" w:hAnsi="Amiri" w:eastAsia="Amiri" w:cs="Amiri"/>
          <w:color w:val="111111"/>
          <w:sz w:val="28"/>
          <w:sz w:val="28"/>
          <w:szCs w:val="28"/>
          <w:rtl w:val="true"/>
          <w:lang w:bidi="ar-SA"/>
        </w:rPr>
        <w:t>حصول الثاني فإنّ ندرة حصوله لا يقتضي خروجه عن الإطلاق مع ظهور شموله له بعد حصوله على ما هو الأظهر من انصراف الإطلاقات إلى الأفراد النادرة إذا شملها المعنى المنساق من اللفظ ، بخلاف ما إذا كان شك في الشمول أو ظهور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الفرق بين ندرة حصول الاعتياد في الخروج من غير الموضع المعتاد وندرة الخروج عن غير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ويتبيّن منه قوة التفصيل المشهور إلّا أن يكون الخروج عن حوالي الموضع المعروف ، فيحتمل فيه إطلاق البناء على النقض كما إذا خرج البول في المرأة من مخرج الحيض إذا أفضى ، وكذا إذا حصل ثقب في الآلة فخرج منه البول أو قطع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القطع فيه بحصول النقض بأوّل مرة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المرجع في صدق الاعتياد إلى العرف ، فلا عبرة بتكرره مرّتين كما اعتبر في عادة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به هنا في الروض والمسالك أو ثلاثا كما حكي عن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w:t>
      </w:r>
    </w:p>
    <w:p>
      <w:pPr>
        <w:pStyle w:val="BookText"/>
        <w:rPr/>
      </w:pPr>
      <w:r>
        <w:rPr>
          <w:rFonts w:ascii="IRNazanin" w:hAnsi="IRNazanin" w:eastAsia="IRNazanin"/>
          <w:color w:val="111111"/>
          <w:sz w:val="28"/>
          <w:sz w:val="28"/>
          <w:szCs w:val="28"/>
          <w:rtl w:val="true"/>
          <w:lang w:bidi="fa-IR"/>
        </w:rPr>
        <w:t>بعضهم بعدم تطاول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في البول أو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إجراء الجميع في الريح إلّا أنّه نصّ في المهذب والسرائر </w:t>
      </w:r>
      <w:r>
        <w:rPr>
          <w:rStyle w:val="FootnoteAnchor"/>
          <w:rtl w:val="true"/>
        </w:rPr>
        <w:footnoteReference w:id="1676"/>
      </w:r>
      <w:r>
        <w:rPr>
          <w:rFonts w:ascii="IRNazanin" w:hAnsi="IRNazanin" w:eastAsia="IRNazanin"/>
          <w:color w:val="111111"/>
          <w:sz w:val="28"/>
          <w:sz w:val="28"/>
          <w:szCs w:val="28"/>
          <w:rtl w:val="true"/>
          <w:lang w:bidi="fa-IR"/>
        </w:rPr>
        <w:t xml:space="preserve">والمنتهى </w:t>
      </w:r>
      <w:r>
        <w:rPr>
          <w:rStyle w:val="FootnoteAnchor"/>
          <w:rtl w:val="true"/>
        </w:rPr>
        <w:footnoteReference w:id="1677"/>
      </w:r>
      <w:r>
        <w:rPr>
          <w:rFonts w:ascii="Amiri" w:hAnsi="Amiri" w:eastAsia="Amiri" w:cs="Amiri"/>
          <w:color w:val="111111"/>
          <w:sz w:val="28"/>
          <w:sz w:val="28"/>
          <w:szCs w:val="28"/>
          <w:rtl w:val="true"/>
          <w:lang w:bidi="ar-SA"/>
        </w:rPr>
        <w:t xml:space="preserve">والبيان والمشارق </w:t>
      </w:r>
      <w:r>
        <w:rPr>
          <w:rStyle w:val="FootnoteAnchor"/>
          <w:rtl w:val="true"/>
        </w:rPr>
        <w:footnoteReference w:id="1678"/>
      </w:r>
      <w:r>
        <w:rPr>
          <w:rFonts w:ascii="Amiri" w:hAnsi="Amiri" w:eastAsia="Amiri" w:cs="Amiri"/>
          <w:color w:val="111111"/>
          <w:sz w:val="28"/>
          <w:sz w:val="28"/>
          <w:szCs w:val="28"/>
          <w:rtl w:val="true"/>
          <w:lang w:bidi="ar-SA"/>
        </w:rPr>
        <w:t>وكشف اللثام على عدم نقض الريح الخارج عن القبل الشامل للذكر والفرج ، وظاهر ذلك عدم الفرق بين حصول الاعتياد وعدمه ، فقضيته حينئذ عدم الاعتبار بالريح الخارج من الدبر أو المخرج المعدّة للغائط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الصحاح تخصيص النقض بالضرطة </w:t>
      </w:r>
      <w:r>
        <w:rPr>
          <w:rStyle w:val="FootnoteAnchor"/>
          <w:rtl w:val="true"/>
        </w:rPr>
        <w:footnoteReference w:id="1679"/>
      </w:r>
      <w:r>
        <w:rPr>
          <w:rFonts w:ascii="Amiri" w:hAnsi="Amiri" w:eastAsia="Amiri" w:cs="Amiri"/>
          <w:color w:val="111111"/>
          <w:sz w:val="28"/>
          <w:sz w:val="28"/>
          <w:szCs w:val="28"/>
          <w:rtl w:val="true"/>
          <w:lang w:bidi="ar-SA"/>
        </w:rPr>
        <w:t>والفسوة ، وصدقهما مع الخروج عن معد آخر غير ظاهر ، فالأظهر عدم إلحاق الريح بهما فيما ذكرنا للشك في الشمول وقضاء الأصل والنصوص بعدم انتقاض الطهارة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يعتبر كون الخروج من </w:t>
      </w:r>
      <w:r>
        <w:rPr>
          <w:rStyle w:val="FootnoteAnchor"/>
          <w:rtl w:val="true"/>
        </w:rPr>
        <w:footnoteReference w:id="1680"/>
      </w:r>
      <w:r>
        <w:rPr>
          <w:rFonts w:ascii="Amiri" w:hAnsi="Amiri" w:eastAsia="Amiri" w:cs="Amiri"/>
          <w:color w:val="111111"/>
          <w:sz w:val="28"/>
          <w:sz w:val="28"/>
          <w:szCs w:val="28"/>
          <w:rtl w:val="true"/>
          <w:lang w:bidi="ar-SA"/>
        </w:rPr>
        <w:t>النحو المعتاد أو يكفي مسماه كيفما كان؟ وجهان ، فلو خرجت المقعدة متلطخا بالعذرة فعادت لم ينقض على الأوّل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كشف اللثام عدم النقض فيه ، وحكاه عن الذكرى ، واحتمله في المدارك إلّا أنّه مال إلى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الأظهر لصدق الخروج معه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الإطلاقات عما ليس معتادا مطلقا ممنوع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وينبه عليه أنّه لو انفصل ثمة شي‌ء بعد الخروج معها نقض قطعا فكذا مع عدمه </w:t>
      </w:r>
      <w:r>
        <w:rPr>
          <w:rStyle w:val="FootnoteAnchor"/>
          <w:rtl w:val="true"/>
        </w:rPr>
        <w:footnoteReference w:id="1681"/>
      </w:r>
      <w:r>
        <w:rPr>
          <w:rFonts w:ascii="Amiri" w:hAnsi="Amiri" w:eastAsia="Amiri" w:cs="Amiri"/>
          <w:color w:val="111111"/>
          <w:sz w:val="28"/>
          <w:sz w:val="28"/>
          <w:szCs w:val="28"/>
          <w:rtl w:val="true"/>
          <w:lang w:bidi="ar-SA"/>
        </w:rPr>
        <w:t xml:space="preserve">لو خرج من الأغلف بول فصار في غلفته ، ففي انتقاض طهارته وجهان مبنيّان على أنّ ما تحت الغلفة من الظواهر أو البواطن ، وقد ذكر في وجوب غسل ما تحت الغلفة في الاستنجاء وجهان </w:t>
      </w:r>
    </w:p>
    <w:p>
      <w:pPr>
        <w:pStyle w:val="BookText"/>
        <w:rPr/>
      </w:pPr>
      <w:r>
        <w:rPr>
          <w:rFonts w:ascii="Amiri" w:hAnsi="Amiri" w:eastAsia="Amiri" w:cs="Amiri"/>
          <w:color w:val="111111"/>
          <w:sz w:val="28"/>
          <w:sz w:val="28"/>
          <w:szCs w:val="28"/>
          <w:rtl w:val="true"/>
          <w:lang w:bidi="ar-SA"/>
        </w:rPr>
        <w:t xml:space="preserve">بل حكي فيه قولان ، وكأن الأقوى صدق </w:t>
      </w:r>
      <w:r>
        <w:rPr>
          <w:rStyle w:val="FootnoteAnchor"/>
          <w:rtl w:val="true"/>
        </w:rPr>
        <w:footnoteReference w:id="1682"/>
      </w:r>
      <w:r>
        <w:rPr>
          <w:rFonts w:ascii="Amiri" w:hAnsi="Amiri" w:eastAsia="Amiri" w:cs="Amiri"/>
          <w:color w:val="111111"/>
          <w:sz w:val="28"/>
          <w:sz w:val="28"/>
          <w:szCs w:val="28"/>
          <w:rtl w:val="true"/>
          <w:lang w:bidi="ar-SA"/>
        </w:rPr>
        <w:t xml:space="preserve">الخروج معه إلّا أن يكون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قطع بعض الذكر وأبقى منه الجلدة فجرى البول إليها 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الأقوى هنا عدم الانتقاض مع عدم الخروج إلى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مناط </w:t>
      </w:r>
      <w:r>
        <w:rPr>
          <w:rStyle w:val="FootnoteAnchor"/>
          <w:rtl w:val="true"/>
        </w:rPr>
        <w:footnoteReference w:id="1684"/>
      </w:r>
      <w:r>
        <w:rPr>
          <w:rFonts w:ascii="Amiri" w:hAnsi="Amiri" w:eastAsia="Amiri" w:cs="Amiri"/>
          <w:color w:val="111111"/>
          <w:sz w:val="28"/>
          <w:sz w:val="28"/>
          <w:szCs w:val="28"/>
          <w:rtl w:val="true"/>
          <w:lang w:bidi="ar-SA"/>
        </w:rPr>
        <w:t xml:space="preserve">الحكم بالنقض على تسمية الخارج باسم البول أو الغائط في العرف ، فلو لم يسمّ باسميهما </w:t>
      </w:r>
      <w:r>
        <w:rPr>
          <w:rStyle w:val="FootnoteAnchor"/>
          <w:rtl w:val="true"/>
        </w:rPr>
        <w:footnoteReference w:id="1685"/>
      </w:r>
      <w:r>
        <w:rPr>
          <w:rFonts w:ascii="Amiri" w:hAnsi="Amiri" w:eastAsia="Amiri" w:cs="Amiri"/>
          <w:color w:val="111111"/>
          <w:sz w:val="28"/>
          <w:sz w:val="28"/>
          <w:szCs w:val="28"/>
          <w:rtl w:val="true"/>
          <w:lang w:bidi="ar-SA"/>
        </w:rPr>
        <w:t>لم يثبت فيه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عن التسمية لأجل الامتزاج بالغير كالبول الممتزج بالدم ففيه وجهان ؛ أقواهما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استهلك فيه لصدق خروج البول وإن لم يكن متميزا في الحسّ ولو لم يتميز البول من الدم في المثانة كما قد يتفق في بعض أمراضها ، احتمل عدم الانتقاض ؛ لعدم صدق اسمه قبل الامتياز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اعتبار الاعتياد وعدمه إنما هو في نقض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نجاسته فلا شكّ فيها مع صدق الاسم لتبعيّة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والفارق إناطة الحكم هنا بالخروج وهناك بالتسمية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ممّا لا خلاف فيه كما يستفاد من إطلاقاتهم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يستفاد من بعض الأفاضل تأمّل فيه ، وليس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قد وقع في المعتبرة المستفيضة تقييد الريح الناقض بكونه ذا صوت أو رائحة ، وقضيّة ذلك عدم نقض الخالي عنهما ولو مع اليقين بالخروج</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حمل المطلق على المقيد تقييد المطلقات بها لكن لم نر أحدا من الأصحاب عمل على ظاهرها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يحمل ذلك على إرادة عدم انتقاض الطهارة بمجرّد الشك أو الظنّ ، وقد يومي إليه غير واحد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كلّ من الوصفين من أوضح الأدلّة على اعتبار خصوصهما في تلك الروايات ، وقد روى علي بن جعفر عن أخيه عليه‌السلام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يكون في الصلاة فيعلم أن ريحا قد خرجت ، فلا يجد ريحها ولا يسمع صوتها؟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الوضوء والصلاة </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يخيّل </w:t>
      </w:r>
      <w:r>
        <w:rPr>
          <w:rStyle w:val="FootnoteAnchor"/>
          <w:rtl w:val="true"/>
        </w:rPr>
        <w:footnoteReference w:id="1688"/>
      </w:r>
      <w:r>
        <w:rPr>
          <w:rFonts w:ascii="Amiri" w:hAnsi="Amiri" w:eastAsia="Amiri" w:cs="Amiri"/>
          <w:color w:val="111111"/>
          <w:sz w:val="28"/>
          <w:sz w:val="28"/>
          <w:szCs w:val="28"/>
          <w:rtl w:val="true"/>
          <w:lang w:bidi="ar-SA"/>
        </w:rPr>
        <w:t xml:space="preserve">تخصيص الريح الناقض بالمعدي فلو اجتمعت الرياح في أطراف المقعدة لم ينقض ، فجعل الإمام عليه‌السلام أحد الوصفين كاشفا عن الناقض وعدمه عن عدمه إلّا أن يعلم بالحال في بعض الأخبار </w:t>
      </w:r>
      <w:r>
        <w:rPr>
          <w:rStyle w:val="FootnoteAnchor"/>
          <w:rtl w:val="true"/>
        </w:rPr>
        <w:footnoteReference w:id="1689"/>
      </w:r>
      <w:r>
        <w:rPr>
          <w:rFonts w:ascii="Amiri" w:hAnsi="Amiri" w:eastAsia="Amiri" w:cs="Amiri"/>
          <w:color w:val="111111"/>
          <w:sz w:val="28"/>
          <w:sz w:val="28"/>
          <w:szCs w:val="28"/>
          <w:rtl w:val="true"/>
          <w:lang w:bidi="ar-SA"/>
        </w:rPr>
        <w:t>مع الخلو عن الوصفين أيضا فيحكم أيضا بالنقض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يحمل 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صور ثلاثة يتبين الحكم فيها من الجمع من أخبار الباب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لا شاهد عليه ، بل ظاهر إطلاقات الأصحاب خلافه ، وكذا ظواهر الأخبار ، فتأمّل</w:t>
      </w:r>
      <w:r>
        <w:rPr>
          <w:rFonts w:eastAsia="Amiri" w:cs="Amiri" w:ascii="Amiri" w:hAnsi="Amiri"/>
          <w:color w:val="111111"/>
          <w:sz w:val="28"/>
          <w:szCs w:val="28"/>
          <w:rtl w:val="true"/>
          <w:lang w:bidi="ar-SA"/>
        </w:rPr>
        <w:t xml:space="preserve">. </w:t>
      </w:r>
      <w:bookmarkStart w:id="294" w:name="pg15827_173895"/>
    </w:p>
    <w:p>
      <w:pPr>
        <w:pStyle w:val="Heading4"/>
        <w:numPr>
          <w:ilvl w:val="3"/>
          <w:numId w:val="1"/>
        </w:numPr>
        <w:rPr/>
      </w:pPr>
      <w:bookmarkStart w:id="295" w:name="__RefHeading___Toc14099797_2142443653"/>
      <w:bookmarkStart w:id="296" w:name="_Toc105"/>
      <w:bookmarkEnd w:id="294"/>
      <w:bookmarkEnd w:id="295"/>
      <w:r>
        <w:rPr>
          <w:rtl w:val="true"/>
        </w:rPr>
        <w:t>تبصرة</w:t>
      </w:r>
      <w:r>
        <w:rPr>
          <w:rtl w:val="true"/>
        </w:rPr>
        <w:t xml:space="preserve">: [ </w:t>
      </w:r>
      <w:r>
        <w:rPr>
          <w:rtl w:val="true"/>
        </w:rPr>
        <w:t xml:space="preserve">في النوم الغالب </w:t>
      </w:r>
      <w:r>
        <w:rPr>
          <w:rtl w:val="true"/>
        </w:rPr>
        <w:t>]</w:t>
      </w:r>
      <w:bookmarkEnd w:id="296"/>
    </w:p>
    <w:p>
      <w:pPr>
        <w:pStyle w:val="BookText"/>
        <w:rPr/>
      </w:pPr>
      <w:r>
        <w:rPr>
          <w:rFonts w:ascii="Amiri" w:hAnsi="Amiri" w:eastAsia="Amiri" w:cs="Amiri"/>
          <w:color w:val="111111"/>
          <w:sz w:val="28"/>
          <w:sz w:val="28"/>
          <w:szCs w:val="28"/>
          <w:rtl w:val="true"/>
          <w:lang w:bidi="ar-SA"/>
        </w:rPr>
        <w:t>من أسباب الوضوء النوم الغالب على حاسّتي السمع والبصر ، وهو الذي يسمّى نوما في العرف ، إذ ما دونه يسمّى نعاسا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أطلق تارة في الصحاح </w:t>
      </w:r>
      <w:r>
        <w:rPr>
          <w:rStyle w:val="FootnoteAnchor"/>
          <w:rtl w:val="true"/>
        </w:rPr>
        <w:footnoteReference w:id="1690"/>
      </w:r>
      <w:r>
        <w:rPr>
          <w:rFonts w:ascii="Amiri" w:hAnsi="Amiri" w:eastAsia="Amiri" w:cs="Amiri"/>
          <w:color w:val="111111"/>
          <w:sz w:val="28"/>
          <w:sz w:val="28"/>
          <w:szCs w:val="28"/>
          <w:rtl w:val="true"/>
          <w:lang w:bidi="ar-SA"/>
        </w:rPr>
        <w:t>الحكم بنقضه من غير تقييد ، وقيّد اخرى بغلبته على العقل والسمع ، أو على الأخير وعلى البصر ، أو عليهما وعلى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ونقضه الوضوء مطلقا هو المعروف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انعقاد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فيه إن ثبت منقوض </w:t>
      </w:r>
      <w:r>
        <w:rPr>
          <w:rStyle w:val="FootnoteAnchor"/>
          <w:rtl w:val="true"/>
        </w:rPr>
        <w:footnoteReference w:id="1691"/>
      </w:r>
      <w:r>
        <w:rPr>
          <w:rFonts w:ascii="Amiri" w:hAnsi="Amiri" w:eastAsia="Amiri" w:cs="Amiri"/>
          <w:color w:val="111111"/>
          <w:sz w:val="28"/>
          <w:sz w:val="28"/>
          <w:szCs w:val="28"/>
          <w:rtl w:val="true"/>
          <w:lang w:bidi="ar-SA"/>
        </w:rPr>
        <w:t xml:space="preserve">والأصل فيه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محصّلا أو منقولا في لسان جماعة من الأجلّة كما في الانتصار والناصريات والتهذيب والخلاف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المتكثّرة المشتملة على الصحاح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الوضوء دلالة ظاهرة عليه بمعونة تفسيرها في الموثق بالقيام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النوم الوضوء؟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إذا كان يغلب على السمع </w:t>
      </w:r>
      <w:r>
        <w:rPr>
          <w:rFonts w:eastAsia="Amiri" w:cs="Amiri" w:ascii="Amiri" w:hAnsi="Amiri"/>
          <w:color w:val="111111"/>
          <w:sz w:val="28"/>
          <w:szCs w:val="28"/>
          <w:rtl w:val="true"/>
          <w:lang w:bidi="ar-SA"/>
        </w:rPr>
        <w:t xml:space="preserve">»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مرسلة بكير أيضا تفسيرها بذلك ، بل حكى الشيخ والعلّامة إجماع المفسرين عليه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طعم النوم فإنّما وجب عليه الوضوء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نام وهو راكع أو ساجد أو ماش على أيّ الحالات فعليه الوضوء </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يعارضها ممّا دلّ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النوم جالسا مع عدم تعمّده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عمير بن حمران أو النوم جالسا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أبي بكر الحضرمي أو </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نقضه قاعدا ما لم ينفرج </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كما في مرسلة الفقيه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الخفقة في الصلاة قائما أو راكعا </w:t>
      </w:r>
      <w:r>
        <w:rPr>
          <w:rFonts w:eastAsia="Amiri" w:cs="Amiri" w:ascii="Amiri" w:hAnsi="Amiri"/>
          <w:color w:val="111111"/>
          <w:sz w:val="28"/>
          <w:szCs w:val="28"/>
          <w:rtl w:val="true"/>
          <w:lang w:bidi="ar-SA"/>
        </w:rPr>
        <w:t xml:space="preserve">» </w:t>
      </w:r>
      <w:r>
        <w:rPr>
          <w:rStyle w:val="FootnoteAnchor"/>
          <w:rtl w:val="true"/>
        </w:rPr>
        <w:footnoteReference w:id="1697"/>
      </w:r>
      <w:r>
        <w:rPr>
          <w:rFonts w:ascii="Amiri" w:hAnsi="Amiri" w:eastAsia="Amiri" w:cs="Amiri"/>
          <w:color w:val="111111"/>
          <w:sz w:val="28"/>
          <w:sz w:val="28"/>
          <w:szCs w:val="28"/>
          <w:rtl w:val="true"/>
          <w:lang w:bidi="ar-SA"/>
        </w:rPr>
        <w:t>لا ينقضه كما في موثقة سماعة لا يقاوم ما ذكر من الأدلّة مع كثرتها ، ووضوح إسنادها ، وصراحة دلالتها ، وبعدها عن مذهب العامة ، وموافقتها للكتاب ، واعتضادها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التقيّة على أنّها ضعيفة الإسناد سوى الموثقة ، وهي غير ظاهرة الدلالة ، أو على ما إذا لم يغلب على الحاسّتين جمعا بين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Style w:val="FootnoteAnchor"/>
          <w:rtl w:val="true"/>
        </w:rPr>
        <w:footnoteReference w:id="1698"/>
      </w:r>
      <w:r>
        <w:rPr>
          <w:rFonts w:ascii="Amiri" w:hAnsi="Amiri" w:eastAsia="Amiri" w:cs="Amiri"/>
          <w:color w:val="111111"/>
          <w:sz w:val="28"/>
          <w:sz w:val="28"/>
          <w:szCs w:val="28"/>
          <w:rtl w:val="true"/>
          <w:lang w:bidi="ar-SA"/>
        </w:rPr>
        <w:t xml:space="preserve">الصدوق في المقنع ووالده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في النواقض مع حصرهما للنواقض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الفقيه موثقة سماعة ، والمرسلة المذكورة تنسب إليه جماعة من الأصحاب منهم المحقّق والعلامة القول بعدم نقضه قاعدا ما لم ينفرج بناء على ما ذكره في أوّل كتابه من ذكره الروايات التي يفتى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لا يثبت بمجرد ذلك الخلاف في المسألة ؛ إذ عدم الذكر أعمّ منه ، ومجرّد ذكر الحصر مع وروده في الخبر وما علم من طريقتهم من الاقتصار على ذكر متون الأخبار ليس واضح الدلالة عليه مع ما استفيض في الأخبار من الحكم بنقضه ، وما هو معلوم من مذهبهم في الاعتماد على الأخبار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رواية الحديث في الفقيه لا يدلّ على حمله على إطلاقه ؛ لاحتمال البناء مع تقييدها </w:t>
      </w:r>
    </w:p>
    <w:p>
      <w:pPr>
        <w:pStyle w:val="BookText"/>
        <w:rPr/>
      </w:pPr>
      <w:r>
        <w:rPr>
          <w:rFonts w:ascii="Amiri" w:hAnsi="Amiri" w:eastAsia="Amiri" w:cs="Amiri"/>
          <w:color w:val="111111"/>
          <w:sz w:val="28"/>
          <w:sz w:val="28"/>
          <w:szCs w:val="28"/>
          <w:rtl w:val="true"/>
          <w:lang w:bidi="ar-SA"/>
        </w:rPr>
        <w:t>بما إذا لم يغلب على العقل كما هو الوجه في 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w:t>
      </w:r>
      <w:r>
        <w:rPr>
          <w:rStyle w:val="FootnoteAnchor"/>
          <w:rtl w:val="true"/>
        </w:rPr>
        <w:footnoteReference w:id="1699"/>
      </w:r>
      <w:r>
        <w:rPr>
          <w:rFonts w:ascii="Amiri" w:hAnsi="Amiri" w:eastAsia="Amiri" w:cs="Amiri"/>
          <w:color w:val="111111"/>
          <w:sz w:val="28"/>
          <w:sz w:val="28"/>
          <w:szCs w:val="28"/>
          <w:rtl w:val="true"/>
          <w:lang w:bidi="ar-SA"/>
        </w:rPr>
        <w:t>صحيحة زرارة الدالّة على نقضه إذا ذهب العقل ، والتعارض بينهما من العموم من وجه ، فكيف يستفاد بناؤه على ذلك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ثمّ إنّ الظاهر من أخبار الباب كون النوم بنفسه من الأحداث ، وقد صرّح به في بعضها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الّا حدث والنوم حدث </w:t>
      </w:r>
      <w:r>
        <w:rPr>
          <w:rFonts w:eastAsia="Amiri" w:cs="Amiri" w:ascii="Amiri" w:hAnsi="Amiri"/>
          <w:color w:val="111111"/>
          <w:sz w:val="28"/>
          <w:szCs w:val="28"/>
          <w:rtl w:val="true"/>
          <w:lang w:bidi="ar-SA"/>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ظاهر الأصحاب ، ويعزى إلى بعضهم البناء على ناقضيّته من جهة احتمال طروّ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عليه ترك الصدوقين بعدها في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عليه بالقوي في بيان العلّة لنقضه أنّ النائم إذا غلب عليه النوم يفتح عليه كل شي‌ء واسترخى ، فكان أغلب الاشياء ممّا يخرج منه الريح موجب عليه الوضوء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وروايتي </w:t>
      </w:r>
      <w:r>
        <w:rPr>
          <w:rStyle w:val="FootnoteAnchor"/>
          <w:rtl w:val="true"/>
        </w:rPr>
        <w:footnoteReference w:id="1701"/>
      </w:r>
      <w:r>
        <w:rPr>
          <w:rFonts w:ascii="Amiri" w:hAnsi="Amiri" w:eastAsia="Amiri" w:cs="Amiri"/>
          <w:color w:val="111111"/>
          <w:sz w:val="28"/>
          <w:sz w:val="28"/>
          <w:szCs w:val="28"/>
          <w:rtl w:val="true"/>
          <w:lang w:bidi="ar-SA"/>
        </w:rPr>
        <w:t xml:space="preserve">الكناني في الخفقة في الصلاة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يحفظ حدثا فعليه الوضوء </w:t>
      </w:r>
      <w:r>
        <w:rPr>
          <w:rStyle w:val="FootnoteAnchor"/>
          <w:rtl w:val="true"/>
        </w:rPr>
        <w:footnoteReference w:id="1702"/>
      </w:r>
      <w:r>
        <w:rPr>
          <w:rFonts w:ascii="Amiri" w:hAnsi="Amiri" w:eastAsia="Amiri" w:cs="Amiri"/>
          <w:color w:val="111111"/>
          <w:sz w:val="28"/>
          <w:sz w:val="28"/>
          <w:szCs w:val="28"/>
          <w:rtl w:val="true"/>
          <w:lang w:bidi="ar-SA"/>
        </w:rPr>
        <w:t xml:space="preserve">وإن استيقن عدمه فلا وضوء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إنّما اشتملت على بيان الحكمة في ذلك وليس بيانا للعلّة المطردة كما يظهر من ملاحظة باقى العلل المذكورة فيها ، والأخيرة ضعيفة متروكة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الاستحباب بعد حمل الخفقة على غير النوم الغالب كما يشعر به الرواية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لا يقاوم ظاهر هذين الخبرين ما مرّ من الأخبار الظاهرة فيما ذكرناه مع تأيّدها بظاهر المذهب</w:t>
      </w:r>
      <w:r>
        <w:rPr>
          <w:rFonts w:eastAsia="Amiri" w:cs="Amiri" w:ascii="Amiri" w:hAnsi="Amiri"/>
          <w:color w:val="111111"/>
          <w:sz w:val="28"/>
          <w:szCs w:val="28"/>
          <w:rtl w:val="true"/>
          <w:lang w:bidi="ar-SA"/>
        </w:rPr>
        <w:t xml:space="preserve">. </w:t>
      </w:r>
      <w:bookmarkStart w:id="297" w:name="pg15827_173898"/>
    </w:p>
    <w:p>
      <w:pPr>
        <w:pStyle w:val="Heading4"/>
        <w:numPr>
          <w:ilvl w:val="3"/>
          <w:numId w:val="1"/>
        </w:numPr>
        <w:rPr/>
      </w:pPr>
      <w:bookmarkStart w:id="298" w:name="__RefHeading___Toc14099799_2142443653"/>
      <w:bookmarkStart w:id="299" w:name="_Toc106"/>
      <w:bookmarkEnd w:id="297"/>
      <w:bookmarkEnd w:id="298"/>
      <w:r>
        <w:rPr>
          <w:rtl w:val="true"/>
        </w:rPr>
        <w:t>تبصرة</w:t>
      </w:r>
      <w:r>
        <w:rPr>
          <w:rtl w:val="true"/>
        </w:rPr>
        <w:t xml:space="preserve">: [ </w:t>
      </w:r>
      <w:r>
        <w:rPr>
          <w:rtl w:val="true"/>
        </w:rPr>
        <w:t xml:space="preserve">في إلحاق ما يزيل العقل بالنوم </w:t>
      </w:r>
      <w:r>
        <w:rPr>
          <w:rtl w:val="true"/>
        </w:rPr>
        <w:t>]</w:t>
      </w:r>
      <w:bookmarkEnd w:id="299"/>
    </w:p>
    <w:p>
      <w:pPr>
        <w:pStyle w:val="BookText"/>
        <w:rPr/>
      </w:pPr>
      <w:r>
        <w:rPr>
          <w:rFonts w:ascii="Amiri" w:hAnsi="Amiri" w:eastAsia="Amiri" w:cs="Amiri"/>
          <w:color w:val="111111"/>
          <w:sz w:val="28"/>
          <w:sz w:val="28"/>
          <w:szCs w:val="28"/>
          <w:rtl w:val="true"/>
          <w:lang w:bidi="ar-SA"/>
        </w:rPr>
        <w:t>المعروف من المذهب إلحاق الإغماء والسكر والجنون وغيرها ممّا يزيل العقل بالنوم مع إبطاله الإحساس كما في الأوّل أو عدمه كما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فيه خلافا بين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1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المشارق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1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اكثر الأصحاب نقلوا الإجماع على كون الإغماء وما في حكمه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الشيخ في التهذيب </w:t>
      </w:r>
      <w:r>
        <w:rPr>
          <w:rStyle w:val="FootnoteAnchor"/>
          <w:rtl w:val="true"/>
        </w:rPr>
        <w:footnoteReference w:id="1706"/>
      </w:r>
      <w:r>
        <w:rPr>
          <w:rFonts w:ascii="Amiri" w:hAnsi="Amiri" w:eastAsia="Amiri" w:cs="Amiri"/>
          <w:color w:val="111111"/>
          <w:sz w:val="28"/>
          <w:sz w:val="28"/>
          <w:szCs w:val="28"/>
          <w:rtl w:val="true"/>
          <w:lang w:bidi="ar-SA"/>
        </w:rPr>
        <w:t>إجماع المسلمين على نقض المرض المانع من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أراد به الإغماء ونحوه الحاصل بسبب 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مضافا إلى الإجماعات المنقولة ما رواه في الدعائم مرسلا عن الصادق عليه‌السلام عن آبائه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المرء إذا توضّأ صلّى بوضوئه ذلك ما شاء من الصلاة ما لم يحدث أو ينم أو يجامع أو يغم عليه </w:t>
      </w:r>
      <w:r>
        <w:rPr>
          <w:rFonts w:eastAsia="Amiri" w:cs="Amiri" w:ascii="Amiri" w:hAnsi="Amiri"/>
          <w:color w:val="111111"/>
          <w:sz w:val="28"/>
          <w:szCs w:val="28"/>
          <w:rtl w:val="true"/>
          <w:lang w:bidi="ar-SA"/>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وضعفها منجبر بعمل الأصحاب لكن لا يثبت بها سوى حكم الإغماء الذي هو أخو النوم في إبطال الإحساس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يفهم حكمه من أخبار النوم أيضا ؛ إذ هو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القيود المذكورة فيه من الغلبة على العقل أو السمع أو البصر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بصحيحة معمر بن خلاد الوارد </w:t>
      </w:r>
      <w:r>
        <w:rPr>
          <w:rStyle w:val="FootnoteAnchor"/>
          <w:rtl w:val="true"/>
        </w:rPr>
        <w:footnoteReference w:id="1708"/>
      </w:r>
      <w:r>
        <w:rPr>
          <w:rStyle w:val="FootnoteAnchor"/>
          <w:rtl w:val="true"/>
        </w:rPr>
        <w:footnoteReference w:id="1709"/>
      </w:r>
      <w:r>
        <w:rPr>
          <w:rFonts w:ascii="Amiri" w:hAnsi="Amiri" w:eastAsia="Amiri" w:cs="Amiri"/>
          <w:color w:val="111111"/>
          <w:sz w:val="28"/>
          <w:sz w:val="28"/>
          <w:szCs w:val="28"/>
          <w:rtl w:val="true"/>
          <w:lang w:bidi="ar-SA"/>
        </w:rPr>
        <w:t xml:space="preserve">في العليل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الاضطجاع والوضوء يشدّ </w:t>
      </w:r>
      <w:r>
        <w:rPr>
          <w:rStyle w:val="FootnoteAnchor"/>
          <w:rtl w:val="true"/>
        </w:rPr>
        <w:footnoteReference w:id="1710"/>
      </w:r>
      <w:r>
        <w:rPr>
          <w:rFonts w:ascii="Amiri" w:hAnsi="Amiri" w:eastAsia="Amiri" w:cs="Amiri"/>
          <w:color w:val="111111"/>
          <w:sz w:val="28"/>
          <w:sz w:val="28"/>
          <w:szCs w:val="28"/>
          <w:rtl w:val="true"/>
          <w:lang w:bidi="ar-SA"/>
        </w:rPr>
        <w:t xml:space="preserve">عليه فربّما اعتفى </w:t>
      </w:r>
      <w:r>
        <w:rPr>
          <w:rStyle w:val="FootnoteAnchor"/>
          <w:rtl w:val="true"/>
        </w:rPr>
        <w:footnoteReference w:id="1711"/>
      </w:r>
      <w:r>
        <w:rPr>
          <w:rFonts w:ascii="Amiri" w:hAnsi="Amiri" w:eastAsia="Amiri" w:cs="Amiri"/>
          <w:color w:val="111111"/>
          <w:sz w:val="28"/>
          <w:sz w:val="28"/>
          <w:szCs w:val="28"/>
          <w:rtl w:val="true"/>
          <w:lang w:bidi="ar-SA"/>
        </w:rPr>
        <w:t xml:space="preserve">وهو قاعد أنّه إذا أخفى عليه </w:t>
      </w:r>
      <w:r>
        <w:rPr>
          <w:rStyle w:val="FootnoteAnchor"/>
          <w:rtl w:val="true"/>
        </w:rPr>
        <w:footnoteReference w:id="1712"/>
      </w:r>
      <w:r>
        <w:rPr>
          <w:rFonts w:ascii="Amiri" w:hAnsi="Amiri" w:eastAsia="Amiri" w:cs="Amiri"/>
          <w:color w:val="111111"/>
          <w:sz w:val="28"/>
          <w:sz w:val="28"/>
          <w:szCs w:val="28"/>
          <w:rtl w:val="true"/>
          <w:lang w:bidi="ar-SA"/>
        </w:rPr>
        <w:t xml:space="preserve">الصوت فقد وجب عليه الوضوء </w:t>
      </w:r>
      <w:r>
        <w:rPr>
          <w:rFonts w:eastAsia="Amiri" w:cs="Amiri" w:ascii="Amiri" w:hAnsi="Amiri"/>
          <w:color w:val="111111"/>
          <w:sz w:val="28"/>
          <w:szCs w:val="28"/>
          <w:rtl w:val="true"/>
          <w:lang w:bidi="ar-SA"/>
        </w:rPr>
        <w:t xml:space="preserve">» </w:t>
      </w:r>
      <w:r>
        <w:rPr>
          <w:rStyle w:val="FootnoteAnchor"/>
          <w:rtl w:val="true"/>
        </w:rPr>
        <w:footnoteReference w:id="1713"/>
      </w:r>
      <w:r>
        <w:rPr>
          <w:rFonts w:ascii="IRNazanin" w:hAnsi="IRNazanin" w:eastAsia="IRNazanin"/>
          <w:color w:val="111111"/>
          <w:sz w:val="28"/>
          <w:sz w:val="28"/>
          <w:szCs w:val="28"/>
          <w:rtl w:val="true"/>
          <w:lang w:bidi="fa-IR"/>
        </w:rPr>
        <w:t xml:space="preserve">بحمل الاعتفاء </w:t>
      </w:r>
      <w:r>
        <w:rPr>
          <w:rStyle w:val="FootnoteAnchor"/>
          <w:rtl w:val="true"/>
        </w:rPr>
        <w:footnoteReference w:id="1714"/>
      </w:r>
      <w:r>
        <w:rPr>
          <w:rFonts w:ascii="IRNazanin" w:hAnsi="IRNazanin" w:eastAsia="IRNazanin"/>
          <w:color w:val="111111"/>
          <w:sz w:val="28"/>
          <w:sz w:val="28"/>
          <w:szCs w:val="28"/>
          <w:rtl w:val="true"/>
          <w:lang w:bidi="fa-IR"/>
        </w:rPr>
        <w:t>على الاغماء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وجّه ذلك بعض الأفاضل بوجوه ضعيفة لا يمرّ بنا في </w:t>
      </w:r>
      <w:r>
        <w:rPr>
          <w:rStyle w:val="FootnoteAnchor"/>
          <w:rtl w:val="true"/>
        </w:rPr>
        <w:footnoteReference w:id="1715"/>
      </w:r>
      <w:r>
        <w:rPr>
          <w:rFonts w:ascii="Amiri" w:hAnsi="Amiri" w:eastAsia="Amiri" w:cs="Amiri"/>
          <w:color w:val="111111"/>
          <w:sz w:val="28"/>
          <w:sz w:val="28"/>
          <w:szCs w:val="28"/>
          <w:rtl w:val="true"/>
          <w:lang w:bidi="ar-SA"/>
        </w:rPr>
        <w:t>صرف اللفظ إليه ، فهي كما ترى صريحة في إرادة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أن يستدل بتعليق الحكم فيه على خفاء الصوت دوران الحكم معه لإشعاره بالعلّية ، فيجرى إذن في الإغماء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أيضا من التعليل المذكور في نقض النوم في القوي المتقدم ، فبملاحظة جميع ما ذكرنا لا تأمل في حكم الإغماء وما في حكمه ممّا يبطل به الشعور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السكر والجنون ونحوهما ممّا يخفى معه الشعور فلا مستند له من الأخبار ، والدليل عليه منحصر في الإجماع المنقول والمحصّل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المقنعة والتهذيب وغيرهما اختصاص الحكم بما يزيل الشعور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ادّعاه من الإجماع في التهذيب مخصوص به ، ولذا تأمّل فيه بعض المتأخرين</w:t>
      </w:r>
      <w:r>
        <w:rPr>
          <w:rFonts w:eastAsia="Amiri" w:cs="Amiri" w:ascii="Amiri" w:hAnsi="Amiri"/>
          <w:color w:val="111111"/>
          <w:sz w:val="28"/>
          <w:szCs w:val="28"/>
          <w:rtl w:val="true"/>
          <w:lang w:bidi="ar-SA"/>
        </w:rPr>
        <w:t xml:space="preserve">. </w:t>
      </w:r>
      <w:bookmarkStart w:id="300" w:name="pg15827_173900"/>
    </w:p>
    <w:p>
      <w:pPr>
        <w:pStyle w:val="Heading4"/>
        <w:numPr>
          <w:ilvl w:val="3"/>
          <w:numId w:val="1"/>
        </w:numPr>
        <w:rPr/>
      </w:pPr>
      <w:bookmarkStart w:id="301" w:name="__RefHeading___Toc14099801_2142443653"/>
      <w:bookmarkStart w:id="302" w:name="_Toc107"/>
      <w:bookmarkEnd w:id="300"/>
      <w:bookmarkEnd w:id="301"/>
      <w:r>
        <w:rPr>
          <w:rtl w:val="true"/>
        </w:rPr>
        <w:t>تبصرة</w:t>
      </w:r>
      <w:r>
        <w:rPr>
          <w:rtl w:val="true"/>
        </w:rPr>
        <w:t xml:space="preserve">: [ </w:t>
      </w:r>
      <w:r>
        <w:rPr>
          <w:rtl w:val="true"/>
        </w:rPr>
        <w:t xml:space="preserve">في الاستحاضة القليلة </w:t>
      </w:r>
      <w:r>
        <w:rPr>
          <w:rtl w:val="true"/>
        </w:rPr>
        <w:t>]</w:t>
      </w:r>
      <w:bookmarkEnd w:id="302"/>
    </w:p>
    <w:p>
      <w:pPr>
        <w:pStyle w:val="BookText"/>
        <w:rPr/>
      </w:pPr>
      <w:r>
        <w:rPr>
          <w:rFonts w:ascii="Amiri" w:hAnsi="Amiri" w:eastAsia="Amiri" w:cs="Amiri"/>
          <w:color w:val="111111"/>
          <w:sz w:val="28"/>
          <w:sz w:val="28"/>
          <w:szCs w:val="28"/>
          <w:rtl w:val="true"/>
          <w:lang w:bidi="ar-SA"/>
        </w:rPr>
        <w:t xml:space="preserve">من أسباب الوضوء الاستحاضة </w:t>
      </w:r>
      <w:r>
        <w:rPr>
          <w:rStyle w:val="FootnoteAnchor"/>
          <w:rtl w:val="true"/>
        </w:rPr>
        <w:footnoteReference w:id="1716"/>
      </w:r>
      <w:r>
        <w:rPr>
          <w:rFonts w:ascii="Amiri" w:hAnsi="Amiri" w:eastAsia="Amiri" w:cs="Amiri"/>
          <w:color w:val="111111"/>
          <w:sz w:val="28"/>
          <w:sz w:val="28"/>
          <w:szCs w:val="28"/>
          <w:rtl w:val="true"/>
          <w:lang w:bidi="ar-SA"/>
        </w:rPr>
        <w:t xml:space="preserve">القليلة ، وهي التي لا يثقب الكرسف على المشهور من </w:t>
      </w:r>
      <w:r>
        <w:rPr>
          <w:rStyle w:val="FootnoteAnchor"/>
          <w:rtl w:val="true"/>
        </w:rPr>
        <w:footnoteReference w:id="1717"/>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الناصريات والخلاف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سوى ابن </w:t>
      </w:r>
      <w:r>
        <w:rPr>
          <w:rStyle w:val="FootnoteAnchor"/>
          <w:rtl w:val="true"/>
        </w:rPr>
        <w:footnoteReference w:id="1718"/>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وحكاية الشهرة عليه مستفيضة في كلماتهم ، ذكره في المنتهى والذخيرة والحدائق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وأسنده في كشف اللثام إلى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العماني القول بعدم كونه سببا ولا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 القول بسببيته للغسل في اليوم والليلة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نقضه الوضوء في الجملة وعدم سببيّته له مطلقا بناء على مذهبه في الغسل من سقوط الوضوء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w:t>
      </w:r>
      <w:r>
        <w:rPr>
          <w:rStyle w:val="FootnoteAnchor"/>
          <w:rtl w:val="true"/>
        </w:rPr>
        <w:footnoteReference w:id="1719"/>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المستفيضة المؤيّدة بعمل الأصحاب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تصلّى كلّ صلاة بوضوء ما لم ينفذ الدم </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الدم لا يثقب الكرسف توضّأت ودخلت المسجد وصلّت كلّ صلاة بوضوء </w:t>
      </w:r>
      <w:r>
        <w:rPr>
          <w:rFonts w:eastAsia="Amiri" w:cs="Amiri" w:ascii="Amiri" w:hAnsi="Amiri"/>
          <w:color w:val="111111"/>
          <w:sz w:val="28"/>
          <w:szCs w:val="28"/>
          <w:rtl w:val="true"/>
          <w:lang w:bidi="ar-SA"/>
        </w:rPr>
        <w:t xml:space="preserve">»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جعفر ، عن أخيه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رأت صفرة بعد غسلها فلا غسل عليها ، يجزيها الوضوء عند كلّ صلاة </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للعماني في المختلف بصحيحة عبد اللّه بن سنان الحاكمة بوجوب الثلاثة للمستحاضة من دون ذكر للوضوء ، فدلّت على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كما ترى إن دلّت </w:t>
      </w:r>
      <w:r>
        <w:rPr>
          <w:rStyle w:val="FootnoteAnchor"/>
          <w:rtl w:val="true"/>
        </w:rPr>
        <w:footnoteReference w:id="1723"/>
      </w:r>
      <w:r>
        <w:rPr>
          <w:rFonts w:ascii="Amiri" w:hAnsi="Amiri" w:eastAsia="Amiri" w:cs="Amiri"/>
          <w:color w:val="111111"/>
          <w:sz w:val="28"/>
          <w:sz w:val="28"/>
          <w:szCs w:val="28"/>
          <w:rtl w:val="true"/>
          <w:lang w:bidi="ar-SA"/>
        </w:rPr>
        <w:t>على ذلك ، فإنّما تدلّ على عدم وجوبه مع الأغسال ، وهي مسألة أخرى فلا ربط لها بالمدّعى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له بالأصل والعمومات الحاصرة لأسباب الوضوء في أمور ليست منها ، ورواية اسماعيل الجعفي الواردة في الحائض التي استمر بها الدم بعد أيام الاستظهار 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تغتسل وتحتشي فلا تزال تصلي بذلك الغسل حتى يظهر الدم على الكرسف ، فإذا ظهر أعادت الغسل </w:t>
      </w:r>
      <w:r>
        <w:rPr>
          <w:rFonts w:eastAsia="Amiri" w:cs="Amiri" w:ascii="Amiri" w:hAnsi="Amiri"/>
          <w:color w:val="111111"/>
          <w:sz w:val="28"/>
          <w:szCs w:val="28"/>
          <w:rtl w:val="true"/>
          <w:lang w:bidi="ar-SA"/>
        </w:rPr>
        <w:t xml:space="preserve">.. » </w:t>
      </w:r>
      <w:r>
        <w:rPr>
          <w:rStyle w:val="FootnoteAnchor"/>
          <w:rtl w:val="true"/>
        </w:rPr>
        <w:footnoteReference w:id="172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فترك ذكر الوضوء في شأنها في مقام بيان حكمها شاهد على عدم وجوبه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 الأصل والعمومات لا 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المذكورة إن سلّم ظهورها فيما ادّعي فلا تعارض </w:t>
      </w:r>
      <w:r>
        <w:rPr>
          <w:rFonts w:eastAsia="Amiri" w:cs="Amiri" w:ascii="Amiri" w:hAnsi="Amiri"/>
          <w:color w:val="111111"/>
          <w:sz w:val="28"/>
          <w:szCs w:val="28"/>
          <w:rtl w:val="true"/>
          <w:lang w:bidi="ar-SA"/>
        </w:rPr>
        <w:t xml:space="preserve">) </w:t>
      </w:r>
      <w:r>
        <w:rPr>
          <w:rStyle w:val="FootnoteAnchor"/>
          <w:rtl w:val="true"/>
        </w:rPr>
        <w:footnoteReference w:id="1725"/>
      </w:r>
      <w:r>
        <w:rPr>
          <w:rFonts w:ascii="Amiri" w:hAnsi="Amiri" w:eastAsia="Amiri" w:cs="Amiri"/>
          <w:color w:val="111111"/>
          <w:sz w:val="28"/>
          <w:sz w:val="28"/>
          <w:szCs w:val="28"/>
          <w:rtl w:val="true"/>
          <w:lang w:bidi="ar-SA"/>
        </w:rPr>
        <w:t>النصوص الدالّة عليه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الإسكافي فيما حكي </w:t>
      </w:r>
      <w:r>
        <w:rPr>
          <w:rStyle w:val="FootnoteAnchor"/>
          <w:rtl w:val="true"/>
        </w:rPr>
        <w:footnoteReference w:id="1726"/>
      </w:r>
      <w:r>
        <w:rPr>
          <w:rFonts w:ascii="Amiri" w:hAnsi="Amiri" w:eastAsia="Amiri" w:cs="Amiri"/>
          <w:color w:val="111111"/>
          <w:sz w:val="28"/>
          <w:sz w:val="28"/>
          <w:szCs w:val="28"/>
          <w:rtl w:val="true"/>
          <w:lang w:bidi="ar-SA"/>
        </w:rPr>
        <w:t xml:space="preserve">إطلاق 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يجز الدم الكرسف فعليها الغسل كلّ يوم مرّة </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مقيّد بما مرّ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اشتماله على وجوب الوضوء معه لكلّ صلاة ، ولا يقول به بل في آخرها ما يدلّ على إرادة المثقبة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إذا كان </w:t>
      </w:r>
      <w:r>
        <w:rPr>
          <w:rStyle w:val="FootnoteAnchor"/>
          <w:rtl w:val="true"/>
        </w:rPr>
        <w:footnoteReference w:id="1728"/>
      </w:r>
      <w:r>
        <w:rPr>
          <w:rFonts w:ascii="Amiri" w:hAnsi="Amiri" w:eastAsia="Amiri" w:cs="Amiri"/>
          <w:color w:val="111111"/>
          <w:sz w:val="28"/>
          <w:sz w:val="28"/>
          <w:szCs w:val="28"/>
          <w:rtl w:val="true"/>
          <w:lang w:bidi="ar-SA"/>
        </w:rPr>
        <w:t xml:space="preserve">عبيطا وإن كان صفرة فعليها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فالاحتجاج </w:t>
      </w:r>
      <w:r>
        <w:rPr>
          <w:rStyle w:val="FootnoteAnchor"/>
          <w:rtl w:val="true"/>
        </w:rPr>
        <w:footnoteReference w:id="1729"/>
      </w:r>
      <w:r>
        <w:rPr>
          <w:rFonts w:ascii="IRNazanin" w:hAnsi="IRNazanin" w:eastAsia="IRNazanin"/>
          <w:color w:val="111111"/>
          <w:sz w:val="28"/>
          <w:sz w:val="28"/>
          <w:szCs w:val="28"/>
          <w:rtl w:val="true"/>
          <w:lang w:bidi="fa-IR"/>
        </w:rPr>
        <w:t>بها على المشهور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يحتج له بصحيحة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يجز الدم الكرسف صلّت بغسل واحد </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بصحيحة عبد الرحمن ،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واستدخلت </w:t>
      </w:r>
      <w:r>
        <w:rPr>
          <w:rStyle w:val="FootnoteAnchor"/>
          <w:rtl w:val="true"/>
        </w:rPr>
        <w:footnoteReference w:id="1731"/>
      </w:r>
      <w:r>
        <w:rPr>
          <w:rFonts w:ascii="Amiri" w:hAnsi="Amiri" w:eastAsia="Amiri" w:cs="Amiri"/>
          <w:color w:val="111111"/>
          <w:sz w:val="28"/>
          <w:sz w:val="28"/>
          <w:szCs w:val="28"/>
          <w:rtl w:val="true"/>
          <w:lang w:bidi="ar-SA"/>
        </w:rPr>
        <w:t xml:space="preserve">كرسفا فإن ظهر عن الكرسف فلتغتسل </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إسماعيل الجعفي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مقيّدة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ظاهر الخبرين الأخيرين الظهور من الجانب الآخر ، فلا يوافق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يجري حكم القليلة في المتوسطة والكثيرة بالنسبة إلى غير الصلاة الّتي يغتسل لها ، أمّا الأولى فلم نقف على مخالف فيه ، ويدلّ عليه موثقة سماعة الماضية وهي كالصريحة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فكذلك أيضا عند جماعة من الأصحاب منهم الشيخ في الجمل والحلي والعلّامة والشهيدان وأكثر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في المدارك إلى عامة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1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المستحاضة بين صلاتين بوضوء واحد عند علمائنا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 القدماء منهم ابنا بابويه والمفيد والشيخ عدم ثبوت الوضوء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بالغ المحقق في المعتبر وتلميذه الآبي في نفي هذا القول حتّى أنّهما ذكرا أنّه لم يذهب إليه أحد من طائفتنا ، واستثنى منه الآبي ظاهر عبارة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ما رواه في الدعائم </w:t>
      </w:r>
      <w:r>
        <w:rPr>
          <w:rStyle w:val="FootnoteAnchor"/>
          <w:rtl w:val="true"/>
        </w:rPr>
        <w:footnoteReference w:id="1734"/>
      </w:r>
      <w:r>
        <w:rPr>
          <w:rFonts w:ascii="Amiri" w:hAnsi="Amiri" w:eastAsia="Amiri" w:cs="Amiri"/>
          <w:color w:val="111111"/>
          <w:sz w:val="28"/>
          <w:sz w:val="28"/>
          <w:szCs w:val="28"/>
          <w:rtl w:val="true"/>
          <w:lang w:bidi="ar-SA"/>
        </w:rPr>
        <w:t xml:space="preserve">عنهم عليهم‌السلام من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تحشّى </w:t>
      </w:r>
      <w:r>
        <w:rPr>
          <w:rStyle w:val="FootnoteAnchor"/>
          <w:rtl w:val="true"/>
        </w:rPr>
        <w:footnoteReference w:id="1735"/>
      </w:r>
      <w:r>
        <w:rPr>
          <w:rFonts w:ascii="Amiri" w:hAnsi="Amiri" w:eastAsia="Amiri" w:cs="Amiri"/>
          <w:color w:val="111111"/>
          <w:sz w:val="28"/>
          <w:sz w:val="28"/>
          <w:szCs w:val="28"/>
          <w:rtl w:val="true"/>
          <w:lang w:bidi="ar-SA"/>
        </w:rPr>
        <w:t xml:space="preserve">بخرقة أو قطن ، وتتوضأ لكلّ صلاة ، ويحل لزوجها ، وعليها أن تغتسل لكلّ صلاتين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منجبر بالشهرة بين المتأخرين مع الاعتضاد بالاحتياط ، وتحصيل اليقين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ذكر الوضوء في أكثر أخبار الباب ليس بتلك المكانة من الظهور في عدم الوجوب لينهض حجة في مقابلة ما ذكرناه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 وقد ترك فيها ذكر الوضوء من رأس مع أنّه لا ينبغي التأمّل في ثبوت الوضوء مع الغسل كما سيجي‌ء إن شاء اللّه</w:t>
      </w:r>
      <w:r>
        <w:rPr>
          <w:rFonts w:eastAsia="Amiri" w:cs="Amiri" w:ascii="Amiri" w:hAnsi="Amiri"/>
          <w:color w:val="111111"/>
          <w:sz w:val="28"/>
          <w:szCs w:val="28"/>
          <w:rtl w:val="true"/>
          <w:lang w:bidi="ar-SA"/>
        </w:rPr>
        <w:t xml:space="preserve">. </w:t>
      </w:r>
      <w:bookmarkStart w:id="303" w:name="pg15827_173904"/>
    </w:p>
    <w:p>
      <w:pPr>
        <w:pStyle w:val="Heading4"/>
        <w:numPr>
          <w:ilvl w:val="3"/>
          <w:numId w:val="1"/>
        </w:numPr>
        <w:rPr/>
      </w:pPr>
      <w:bookmarkStart w:id="304" w:name="__RefHeading___Toc14099803_2142443653"/>
      <w:bookmarkStart w:id="305" w:name="_Toc108"/>
      <w:bookmarkEnd w:id="303"/>
      <w:bookmarkEnd w:id="304"/>
      <w:r>
        <w:rPr>
          <w:rtl w:val="true"/>
        </w:rPr>
        <w:t>تبصرة</w:t>
      </w:r>
      <w:r>
        <w:rPr>
          <w:rtl w:val="true"/>
        </w:rPr>
        <w:t xml:space="preserve">: [ </w:t>
      </w:r>
      <w:r>
        <w:rPr>
          <w:rtl w:val="true"/>
        </w:rPr>
        <w:t xml:space="preserve">في حصر النواقض بما ذكر </w:t>
      </w:r>
      <w:r>
        <w:rPr>
          <w:rtl w:val="true"/>
        </w:rPr>
        <w:t>]</w:t>
      </w:r>
      <w:bookmarkEnd w:id="305"/>
    </w:p>
    <w:p>
      <w:pPr>
        <w:pStyle w:val="BookText"/>
        <w:rPr/>
      </w:pPr>
      <w:r>
        <w:rPr>
          <w:rFonts w:ascii="Amiri" w:hAnsi="Amiri" w:eastAsia="Amiri" w:cs="Amiri"/>
          <w:color w:val="111111"/>
          <w:sz w:val="28"/>
          <w:sz w:val="28"/>
          <w:szCs w:val="28"/>
          <w:rtl w:val="true"/>
          <w:lang w:bidi="ar-SA"/>
        </w:rPr>
        <w:t>المعروف بين الأصحاب عدم وجوب الوضوء لشي‌ء غير المذكورات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عدّة من الأخبار المصرّحة بحصر النواقض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وقع الخلاف فيها سنشير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بنقض شي‌ء من الأمور المذكورة إلّا مع اليقين بحصوله فلو شك في النوم أو خروجه أحد المذكورات أو ظنّ به لم يحكم </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بالنقض بلا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النصوص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التحذير عن إعادة الوضوء مع عدم اليقين بالحدث ، ولو شك في تسمية الخارج بأحد الاسمين لم ينقض ما لم يعلم </w:t>
      </w:r>
      <w:r>
        <w:rPr>
          <w:rStyle w:val="FootnoteAnchor"/>
          <w:rtl w:val="true"/>
        </w:rPr>
        <w:footnoteReference w:id="1737"/>
      </w:r>
      <w:r>
        <w:rPr>
          <w:rFonts w:ascii="Amiri" w:hAnsi="Amiri" w:eastAsia="Amiri" w:cs="Amiri"/>
          <w:color w:val="111111"/>
          <w:sz w:val="28"/>
          <w:sz w:val="28"/>
          <w:szCs w:val="28"/>
          <w:rtl w:val="true"/>
          <w:lang w:bidi="ar-SA"/>
        </w:rPr>
        <w:t>أنّه بول أو غائط ، ولو خرج المأكول بحاله لم ينقض ما لم يسمّ غائطا أو يستصحب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خرج منه الدود أو الحصاة أو حب القرع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استصحاب الغائط فيها بنى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الإسكافي أنّ الخارج من السبيلين لذلك </w:t>
      </w:r>
      <w:r>
        <w:rPr>
          <w:rStyle w:val="FootnoteAnchor"/>
          <w:rtl w:val="true"/>
        </w:rPr>
        <w:footnoteReference w:id="1738"/>
      </w:r>
      <w:r>
        <w:rPr>
          <w:rFonts w:ascii="Amiri" w:hAnsi="Amiri" w:eastAsia="Amiri" w:cs="Amiri"/>
          <w:color w:val="111111"/>
          <w:sz w:val="28"/>
          <w:sz w:val="28"/>
          <w:szCs w:val="28"/>
          <w:rtl w:val="true"/>
          <w:lang w:bidi="ar-SA"/>
        </w:rPr>
        <w:t>في خلوّه من النجاسة أوجب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من طرفيك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تخايل له شي‌ء ولم يعلم أنّه ينام أو حديث </w:t>
      </w:r>
      <w:r>
        <w:rPr>
          <w:rStyle w:val="FootnoteAnchor"/>
          <w:rtl w:val="true"/>
        </w:rPr>
        <w:footnoteReference w:id="1739"/>
      </w:r>
      <w:r>
        <w:rPr>
          <w:rFonts w:ascii="Amiri" w:hAnsi="Amiri" w:eastAsia="Amiri" w:cs="Amiri"/>
          <w:color w:val="111111"/>
          <w:sz w:val="28"/>
          <w:sz w:val="28"/>
          <w:szCs w:val="28"/>
          <w:rtl w:val="true"/>
          <w:lang w:bidi="ar-SA"/>
        </w:rPr>
        <w:t>لم يحكم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تحقق أنّه رؤيا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في التذكرة إذن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لدعوى الملازمة بين الرؤيا والنوم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ظاهر كما يحكم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استثني من القاعدة المذكورة البلل المشتبه الخارج من الرجل بعد البول قبل الاستبراء على المعروف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عنه الخلاف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1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الذخيرة </w:t>
      </w:r>
      <w:r>
        <w:rPr>
          <w:rStyle w:val="FootnoteAnchor"/>
          <w:rtl w:val="true"/>
        </w:rPr>
        <w:footnoteReference w:id="1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المعتبرة المستفيضة منطوقا والمستفيضة الأخرى مفهوما منها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بال ثمّ اغتسل ثمّ وجد بللا فليس ينقض غسله ، ولكن عليه الوضوء </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بال بعد جماعه قبل الغسل فليتوضّأ </w:t>
      </w:r>
      <w:r>
        <w:rPr>
          <w:rFonts w:eastAsia="Amiri" w:cs="Amiri" w:ascii="Amiri" w:hAnsi="Amiri"/>
          <w:color w:val="111111"/>
          <w:sz w:val="28"/>
          <w:szCs w:val="28"/>
          <w:rtl w:val="true"/>
          <w:lang w:bidi="ar-SA"/>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بعد ذكر الاستبراء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خرج بعد ذلك شي‌ء فليس من البول ، ولكنه من الحبائل </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ينتره ثلاثا ثمّ إن سال حتى يبلغ الساق فلا يبالي </w:t>
      </w:r>
      <w:r>
        <w:rPr>
          <w:rFonts w:eastAsia="Amiri" w:cs="Amiri" w:ascii="Amiri" w:hAnsi="Amiri"/>
          <w:color w:val="111111"/>
          <w:sz w:val="28"/>
          <w:szCs w:val="28"/>
          <w:rtl w:val="true"/>
          <w:lang w:bidi="ar-SA"/>
        </w:rPr>
        <w:t xml:space="preserve">»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الصحيح عن رجل بال ثمّ توضّأ وقام إلى الصلاة فوجد بللا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w:t>
      </w:r>
    </w:p>
    <w:p>
      <w:pPr>
        <w:pStyle w:val="BookText"/>
        <w:rPr/>
      </w:pPr>
      <w:r>
        <w:rPr>
          <w:rFonts w:ascii="Amiri" w:hAnsi="Amiri" w:eastAsia="Amiri" w:cs="Amiri"/>
          <w:color w:val="111111"/>
          <w:sz w:val="28"/>
          <w:sz w:val="28"/>
          <w:szCs w:val="28"/>
          <w:rtl w:val="true"/>
          <w:lang w:bidi="ar-SA"/>
        </w:rPr>
        <w:t xml:space="preserve">يتوضأ إنّما ذلك من الحبائل </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خرج منك بعد الوضوء فإنّه من الحبائل </w:t>
      </w:r>
      <w:r>
        <w:rPr>
          <w:rFonts w:eastAsia="Amiri" w:cs="Amiri" w:ascii="Amiri" w:hAnsi="Amiri"/>
          <w:color w:val="111111"/>
          <w:sz w:val="28"/>
          <w:szCs w:val="28"/>
          <w:rtl w:val="true"/>
          <w:lang w:bidi="ar-SA"/>
        </w:rPr>
        <w:t xml:space="preserve">» </w:t>
      </w:r>
      <w:r>
        <w:rPr>
          <w:rStyle w:val="FootnoteAnchor"/>
          <w:rtl w:val="true"/>
        </w:rPr>
        <w:footnoteReference w:id="1747"/>
      </w:r>
      <w:r>
        <w:rPr>
          <w:rFonts w:ascii="Amiri" w:hAnsi="Amiri" w:eastAsia="Amiri" w:cs="Amiri"/>
          <w:color w:val="111111"/>
          <w:sz w:val="28"/>
          <w:sz w:val="28"/>
          <w:szCs w:val="28"/>
          <w:rtl w:val="true"/>
          <w:lang w:bidi="ar-SA"/>
        </w:rPr>
        <w:t>فمحمولتان على ما إذا كان بعد الاستبراء ؛ جمعا بين الأخبار المفصّلة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اعتضاد ذلك بالشهرة العظيمة القريبة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المحقّقين من فضلاء البحرين إلى عدم انتقاض </w:t>
      </w:r>
      <w:r>
        <w:rPr>
          <w:rStyle w:val="FootnoteAnchor"/>
          <w:rtl w:val="true"/>
        </w:rPr>
        <w:footnoteReference w:id="1748"/>
      </w:r>
      <w:r>
        <w:rPr>
          <w:rFonts w:ascii="Amiri" w:hAnsi="Amiri" w:eastAsia="Amiri" w:cs="Amiri"/>
          <w:color w:val="111111"/>
          <w:sz w:val="28"/>
          <w:sz w:val="28"/>
          <w:szCs w:val="28"/>
          <w:rtl w:val="true"/>
          <w:lang w:bidi="ar-SA"/>
        </w:rPr>
        <w:t>الطهارة به ، وهو ظاهر المشارق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Style w:val="FootnoteAnchor"/>
          <w:rtl w:val="true"/>
        </w:rPr>
        <w:footnoteReference w:id="1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بالاستحباب من حيث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حمل تلك الأخبار على المذي حمل بلا جامع ، وما ذكرناه هو الأولى من حيث الجمع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والحكم بالانتفاض بما ذكر ظاهري من جهة الحكم بكونه بولا ، فليس المشتبه ناقضا مستقلا ليعارضه ما دلّ على حصر النواقض كما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تيقّن عدم كونه بولا بعد سبكه فيه لم يقض بالنقض على ظاهر ما نسب إلى الأصحاب كما ستعرف ، وإن جرى عليه حكم الحدث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الشكّ في كون الخارج بولا أو الظنّ بخلافه ، فما لم يتبيّن عدم كونه بولا لا </w:t>
      </w:r>
      <w:r>
        <w:rPr>
          <w:rStyle w:val="FootnoteAnchor"/>
          <w:rtl w:val="true"/>
        </w:rPr>
        <w:footnoteReference w:id="1750"/>
      </w:r>
      <w:r>
        <w:rPr>
          <w:rFonts w:ascii="Amiri" w:hAnsi="Amiri" w:eastAsia="Amiri" w:cs="Amiri"/>
          <w:color w:val="111111"/>
          <w:sz w:val="28"/>
          <w:sz w:val="28"/>
          <w:szCs w:val="28"/>
          <w:rtl w:val="true"/>
          <w:lang w:bidi="ar-SA"/>
        </w:rPr>
        <w:t xml:space="preserve">يحكم بالنقض ، ولا فرق بين </w:t>
      </w:r>
      <w:r>
        <w:rPr>
          <w:rStyle w:val="FootnoteAnchor"/>
          <w:rtl w:val="true"/>
        </w:rPr>
        <w:footnoteReference w:id="1751"/>
      </w:r>
      <w:r>
        <w:rPr>
          <w:rFonts w:ascii="Amiri" w:hAnsi="Amiri" w:eastAsia="Amiri" w:cs="Amiri"/>
          <w:color w:val="111111"/>
          <w:sz w:val="28"/>
          <w:sz w:val="28"/>
          <w:szCs w:val="28"/>
          <w:rtl w:val="true"/>
          <w:lang w:bidi="ar-SA"/>
        </w:rPr>
        <w:t>ما إذا كان الاشتباه بعد الاستعلام أو قبله مع امتناعه أو امكانه على تأمّل في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القول بوجوبه حينئذ إذا انتقل حكمه إلى التيمّم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الأخبار الواردة في نقض الخارج قبل الاستبراء مطلقة تعمّ صورة الاشتباه والعلم بالحال ، وحكي عن الأصحاب تقييده بما إذا لم يعلم عدم بوليّته ، فقد نفى الخلاف عنه إذن في المشارق وحكى الإجماع عليه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نصّ في المدارك والذخيرة والبحار بالإجماع على عدم وجوب الغسل إذا علم كون الخارج بعده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اتحاد المسألتين وورود الأخبار فيهما على نحو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فيه ما هو ظاهر من أن الحكم بنقضه إنّما هو من جهة بوليّته أو منويّته ، فلا يتعقل الحكم في صورة العلم بخلافه ، فلا بدّ من تقييد الأخبار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المبنى في إطلاق الأخبار على احتمال ممازجة شي‌ء منهما للخارج قبل الاستبراء ، وهو ممّا لا يمكن العلم بخلافه في العادات ، فلذا أطلق الحكم بالنقض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وجه لتقييد الإطلاقات إلّا أن يحمل كلامهم على فرض حصول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فرض محض لا يليق بالذكر ، فالظاهر أنّهم لم يعتنوا بالاحتمال المذكور أو بنوا على عدم ترتّب حكمه عليه من جهة استهلاكه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 الوجهين محلّ بحث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البلل في المقام هو المشتبه أو المعلوم مضافا إلى الإجماعات المنقولة الكاشفة عن فهمهم ذلك ، وتقييده بالمشتبه في جملة من العبارات ، فيكون الثابت خروجه من الأصل المذكور ما كان نفس البلل مشتبها لا ما احتمل من وجود جزء مستهلك فيه ، فيكون ذلك مندرجا تحت القاعدة الحاكمة بعدم 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لا يخلو من إبهام ، والعمل فيه بالاحتياط أولى وإن كان الحكم بعدم النقض </w:t>
      </w:r>
      <w:r>
        <w:rPr>
          <w:rStyle w:val="FootnoteAnchor"/>
          <w:rtl w:val="true"/>
        </w:rPr>
        <w:footnoteReference w:id="1752"/>
      </w:r>
      <w:r>
        <w:rPr>
          <w:rFonts w:ascii="Amiri" w:hAnsi="Amiri" w:eastAsia="Amiri" w:cs="Amiri"/>
          <w:color w:val="111111"/>
          <w:sz w:val="28"/>
          <w:sz w:val="28"/>
          <w:szCs w:val="28"/>
          <w:rtl w:val="true"/>
          <w:lang w:bidi="ar-SA"/>
        </w:rPr>
        <w:t>فيه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يحكم إذن بنجاسة المشتبه الخارج أو يبنى فيه على اصالة الطهارة وجهان ؛ ظاهرهم البناء على الأوّل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كلامهم أنّه لا خلاف في وجوب غسله ، وهذا هو الأقوى لموثقة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بال قبل أن يغتسل فلا يعيد غسله ، ولكن يتوضّى ويستنجى </w:t>
      </w:r>
      <w:r>
        <w:rPr>
          <w:rFonts w:eastAsia="Amiri" w:cs="Amiri" w:ascii="Amiri" w:hAnsi="Amiri"/>
          <w:color w:val="111111"/>
          <w:sz w:val="28"/>
          <w:szCs w:val="28"/>
          <w:rtl w:val="true"/>
          <w:lang w:bidi="ar-SA"/>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الغريب ما أورد في الحدائق </w:t>
      </w:r>
      <w:r>
        <w:rPr>
          <w:rStyle w:val="FootnoteAnchor"/>
          <w:rtl w:val="true"/>
        </w:rPr>
        <w:footnoteReference w:id="1755"/>
      </w:r>
      <w:r>
        <w:rPr>
          <w:rFonts w:ascii="Amiri" w:hAnsi="Amiri" w:eastAsia="Amiri" w:cs="Amiri"/>
          <w:color w:val="111111"/>
          <w:sz w:val="28"/>
          <w:sz w:val="28"/>
          <w:szCs w:val="28"/>
          <w:rtl w:val="true"/>
          <w:lang w:bidi="ar-SA"/>
        </w:rPr>
        <w:t xml:space="preserve">على ذلك من أن مقتضى ما قرّروه في مسألة الإناءين عدم التنجس هنا أيضا مع اندراج هذا البلل في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المخصّص ، وعدم ملازمة الحكم بالنقض للنجاسة ، فحكمهم بوجوب غسل الملاقى هنا مناف لما ذكروه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وجوب الاجتناب هنا على ما قرّره هناك من إعطاء الشارع للمشتبه </w:t>
      </w:r>
      <w:r>
        <w:rPr>
          <w:rStyle w:val="FootnoteAnchor"/>
          <w:rtl w:val="true"/>
        </w:rPr>
        <w:footnoteReference w:id="1756"/>
      </w:r>
      <w:r>
        <w:rPr>
          <w:rFonts w:ascii="Amiri" w:hAnsi="Amiri" w:eastAsia="Amiri" w:cs="Amiri"/>
          <w:color w:val="111111"/>
          <w:sz w:val="28"/>
          <w:sz w:val="28"/>
          <w:szCs w:val="28"/>
          <w:rtl w:val="true"/>
          <w:lang w:bidi="ar-SA"/>
        </w:rPr>
        <w:t>بالحرام أو النجس مع الانحصار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بين المقامين من البون البعيد ، وليس حكمهم بالنجاسة هنا من جهة الاشتباه بل لفهمهم ذلك من الروايات ؛ إذ قد عرفت دلالة النصّ عليه ، فاستناده إلى حكاية الاشتباه المحصور في المقام مع فساده من أصله لا وجه له ؛ لدوران الأمر في المقام بين كون الخارج من فرد النجس أو الطاهر من غير دوران الأمر بين الفردين الخارجين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خلاف لأحد في البناء على الطهارة لو لا قيام الدليل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المذكور يختص بالرجال ؛ لاختصاص الأدلّة فيهم ، فالبلل المشتبه الخارج منهنّ لا حكم له ؛ إذ لا دليل على اشتراكهم للرجال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في الخنثى المشكل أو المحكوم بأنوثيّته خصوصا مع اعتياد خروج البول من ذكره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 البناء على عدم الانتقاض إلّا أنّ الحال في المشكل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البول من منفذ آخر لم يجر فيه الحكم المذكور قطعا سواء كان مع اعتياده أو لا ، ولو قطع بعض ذكره جرى في الباقي حكم الاستبراء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قطع من أصله فإن قلنا بالبدء في الاستبراء من المقعدة جرى الحكم المذكور ، وإلّا ففيه وجهان</w:t>
      </w:r>
      <w:r>
        <w:rPr>
          <w:rFonts w:eastAsia="Amiri" w:cs="Amiri" w:ascii="Amiri" w:hAnsi="Amiri"/>
          <w:color w:val="111111"/>
          <w:sz w:val="28"/>
          <w:szCs w:val="28"/>
          <w:rtl w:val="true"/>
          <w:lang w:bidi="ar-SA"/>
        </w:rPr>
        <w:t xml:space="preserve">. </w:t>
      </w:r>
      <w:bookmarkStart w:id="306" w:name="pg15827_173909"/>
    </w:p>
    <w:p>
      <w:pPr>
        <w:pStyle w:val="Heading4"/>
        <w:numPr>
          <w:ilvl w:val="3"/>
          <w:numId w:val="1"/>
        </w:numPr>
        <w:rPr/>
      </w:pPr>
      <w:bookmarkStart w:id="307" w:name="__RefHeading___Toc14099805_2142443653"/>
      <w:bookmarkStart w:id="308" w:name="_Toc109"/>
      <w:bookmarkEnd w:id="306"/>
      <w:bookmarkEnd w:id="307"/>
      <w:r>
        <w:rPr>
          <w:rtl w:val="true"/>
        </w:rPr>
        <w:t>تبصرة</w:t>
      </w:r>
      <w:r>
        <w:rPr>
          <w:rtl w:val="true"/>
        </w:rPr>
        <w:t xml:space="preserve">: [ </w:t>
      </w:r>
      <w:r>
        <w:rPr>
          <w:rtl w:val="true"/>
        </w:rPr>
        <w:t xml:space="preserve">في النواقض المحتملة </w:t>
      </w:r>
      <w:r>
        <w:rPr>
          <w:rtl w:val="true"/>
        </w:rPr>
        <w:t>]</w:t>
      </w:r>
      <w:bookmarkEnd w:id="308"/>
    </w:p>
    <w:p>
      <w:pPr>
        <w:pStyle w:val="BookText"/>
        <w:rPr/>
      </w:pPr>
      <w:r>
        <w:rPr>
          <w:rFonts w:ascii="Amiri" w:hAnsi="Amiri" w:eastAsia="Amiri" w:cs="Amiri"/>
          <w:color w:val="111111"/>
          <w:sz w:val="28"/>
          <w:sz w:val="28"/>
          <w:szCs w:val="28"/>
          <w:rtl w:val="true"/>
          <w:lang w:bidi="ar-SA"/>
        </w:rPr>
        <w:t xml:space="preserve">قد وقع خلاف من شاذّ من الأصحاب في نقض أمور لا بدّ من التنبيه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 وهو ما يخرج من الذكر عند الملاعبة أو التقبيل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حكي عن جماعة من أهل اللغة ، ويساعده العرف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ملاعبة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أنّ ذكر الملاعبة والتقبيل من قبيل المثال ، والمقصود أنّه الخارج بسبب الشهوة سواء كانت من أحدهما أو من النظر أو التخيّل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ابن رباط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يخرج من الشهوة </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والمعروف من المذهب عدم انتقاض الوضوء بل الظاهر انعقاد الإجماع عليه سوى ما يعزى إلى الإسكافي من القول بنقضه إذا كان عقيب الشهوة ، فتوضّأ </w:t>
      </w:r>
      <w:r>
        <w:rPr>
          <w:rStyle w:val="FootnoteAnchor"/>
          <w:rtl w:val="true"/>
        </w:rPr>
        <w:footnoteReference w:id="1758"/>
      </w:r>
      <w:r>
        <w:rPr>
          <w:rFonts w:ascii="Amiri" w:hAnsi="Amiri" w:eastAsia="Amiri" w:cs="Amiri"/>
          <w:color w:val="111111"/>
          <w:sz w:val="28"/>
          <w:sz w:val="28"/>
          <w:szCs w:val="28"/>
          <w:rtl w:val="true"/>
          <w:lang w:bidi="ar-SA"/>
        </w:rPr>
        <w:t xml:space="preserve">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من شهوة نقض </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كانت لشهوة فتوضأ منه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لك 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منك على شهوة فتوضأ وإن خرج منك على غير ذلك فليس عليك فيه وضوء </w:t>
      </w:r>
      <w:r>
        <w:rPr>
          <w:rFonts w:eastAsia="Amiri" w:cs="Amiri" w:ascii="Amiri" w:hAnsi="Amiri"/>
          <w:color w:val="111111"/>
          <w:sz w:val="28"/>
          <w:szCs w:val="28"/>
          <w:rtl w:val="true"/>
          <w:lang w:bidi="ar-SA"/>
        </w:rPr>
        <w:t xml:space="preserve">»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وربّما يعزى إلى الشيخ في التهذيب القول بنقضه إذا خرج عن الشهوة </w:t>
      </w:r>
      <w:r>
        <w:rPr>
          <w:rStyle w:val="FootnoteAnchor"/>
          <w:rtl w:val="true"/>
        </w:rPr>
        <w:footnoteReference w:id="1761"/>
      </w:r>
      <w:r>
        <w:rPr>
          <w:rFonts w:ascii="Amiri" w:hAnsi="Amiri" w:eastAsia="Amiri" w:cs="Amiri"/>
          <w:color w:val="111111"/>
          <w:sz w:val="28"/>
          <w:sz w:val="28"/>
          <w:szCs w:val="28"/>
          <w:rtl w:val="true"/>
          <w:lang w:bidi="ar-SA"/>
        </w:rPr>
        <w:t>كان كثيرا خارجا عن المعتاد ، لكن كلامه هناك ليس صريحا في قوله به ، وفيما ذكره احتمالا في الجمع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الأخبار الحاصرة للنواقض في غيره ، والمعتبرة المستفيضة المشتملة على الصحاح وغيرها الصريحة في عدم ثبوت الوضوء في مذي </w:t>
      </w:r>
      <w:r>
        <w:rPr>
          <w:rStyle w:val="FootnoteAnchor"/>
          <w:rtl w:val="true"/>
        </w:rPr>
        <w:footnoteReference w:id="1762"/>
      </w:r>
      <w:r>
        <w:rPr>
          <w:rFonts w:ascii="Amiri" w:hAnsi="Amiri" w:eastAsia="Amiri" w:cs="Amiri"/>
          <w:color w:val="111111"/>
          <w:sz w:val="28"/>
          <w:sz w:val="28"/>
          <w:szCs w:val="28"/>
          <w:rtl w:val="true"/>
          <w:lang w:bidi="ar-SA"/>
        </w:rPr>
        <w:t>المعتضدة بعمل الأصحاب ، والشهرة العظيمة القريبة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مخالفتها للجمهور ؛ لاطباقهم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النقض ، فحمل تلك الأخبار كما دلّ على ثبوت الوضوء فيه مطلقا ولو من غير شهوة على التقية أو الاستحباب معيّن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الأخير صحيحة ابن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المذي ، فأمرني بالوضوء ثمّ أعدت عليه سنة أخرى فأمرني بالوضوء ، ثمّ </w:t>
      </w:r>
      <w:r>
        <w:rPr>
          <w:rStyle w:val="FootnoteAnchor"/>
          <w:rtl w:val="true"/>
        </w:rPr>
        <w:footnoteReference w:id="1764"/>
      </w:r>
      <w:r>
        <w:rPr>
          <w:rFonts w:ascii="IRNazanin" w:hAnsi="IRNazanin" w:eastAsia="IRNazanin"/>
          <w:color w:val="111111"/>
          <w:sz w:val="28"/>
          <w:sz w:val="28"/>
          <w:szCs w:val="28"/>
          <w:rtl w:val="true"/>
          <w:lang w:bidi="fa-IR"/>
        </w:rPr>
        <w:t xml:space="preserve">أعدته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أتوضّأ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765"/>
      </w:r>
      <w:r>
        <w:rPr>
          <w:rFonts w:ascii="Amiri" w:hAnsi="Amiri" w:eastAsia="Amiri" w:cs="Amiri"/>
          <w:color w:val="111111"/>
          <w:sz w:val="28"/>
          <w:sz w:val="28"/>
          <w:szCs w:val="28"/>
          <w:rtl w:val="true"/>
          <w:lang w:bidi="ar-SA"/>
        </w:rPr>
        <w:t>لظهوره في إرادة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الأخبار الأوّلة مطلقة وهذه مقيّدة فليحمل عليها كما في كلام بعض الأجلاء ، ولذا جعل المسألة محلّا للتردّد ليس على ما ينبغي ؛ لما عرفت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وإخراجه تلك الأخبار في الإطلاق مضافا إلى أن الغالب في المذي ما يكون الشهوة بل هو المعين </w:t>
      </w:r>
      <w:r>
        <w:rPr>
          <w:rStyle w:val="FootnoteAnchor"/>
          <w:rtl w:val="true"/>
        </w:rPr>
        <w:footnoteReference w:id="1766"/>
      </w:r>
      <w:r>
        <w:rPr>
          <w:rFonts w:ascii="Amiri" w:hAnsi="Amiri" w:eastAsia="Amiri" w:cs="Amiri"/>
          <w:color w:val="111111"/>
          <w:sz w:val="28"/>
          <w:sz w:val="28"/>
          <w:szCs w:val="28"/>
          <w:rtl w:val="true"/>
          <w:lang w:bidi="ar-SA"/>
        </w:rPr>
        <w:t xml:space="preserve">فيه كما عرفت من تحديده ، فكيف حمل </w:t>
      </w:r>
      <w:r>
        <w:rPr>
          <w:rStyle w:val="FootnoteAnchor"/>
          <w:rtl w:val="true"/>
        </w:rPr>
        <w:footnoteReference w:id="1767"/>
      </w:r>
      <w:r>
        <w:rPr>
          <w:rFonts w:ascii="Amiri" w:hAnsi="Amiri" w:eastAsia="Amiri" w:cs="Amiri"/>
          <w:color w:val="111111"/>
          <w:sz w:val="28"/>
          <w:sz w:val="28"/>
          <w:szCs w:val="28"/>
          <w:rtl w:val="true"/>
          <w:lang w:bidi="ar-SA"/>
        </w:rPr>
        <w:t>الإطلاقات على الفرد النادر إن ثبت التعميم ، مضافا إلى القوي الناصّ على عدم وجوب الوضوء للمذي من الشهوة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مرسلة ابن رباط بعد تفسيره بما مرّ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بعض الأفاضل في التفصيل الوارد في تلك الأخبار حيث إنّها صريحة في أنّ المذي نوعان ، مع أنّ الذي يعطيه كلام أهل اللغة وغيرهم وظاهر المرسلة الماضية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مقصود أهل اللغة أنّ الشهوة هي المحرّكة لخروج المذي سواء كان خروجه عقيبها أو بعد مدة ، فيمكن أن يحمل التفصيل على خروجه عقيب الشهوة بلا فاصلة طويلة أو معها ، ولذا عبّر عنه الإسكافي بالخروج عقيب الشهوة أو أنّ كلامهم مبنيّ على الغالب ، وهذه الروايات مسوقة لبيان حكم الغالب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 إذ خروج المذي مع عدم تحريك الشهوة إن كان ففي غاية الندرة ، ويبعد معها ورود حكمه في الأخبار خصوصا مع عدم سبق السؤال عن 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ما أورده في البحار </w:t>
      </w:r>
      <w:r>
        <w:rPr>
          <w:rStyle w:val="FootnoteAnchor"/>
          <w:rtl w:val="true"/>
        </w:rPr>
        <w:footnoteReference w:id="1768"/>
      </w:r>
      <w:r>
        <w:rPr>
          <w:rFonts w:ascii="Amiri" w:hAnsi="Amiri" w:eastAsia="Amiri" w:cs="Amiri"/>
          <w:color w:val="111111"/>
          <w:sz w:val="28"/>
          <w:sz w:val="28"/>
          <w:szCs w:val="28"/>
          <w:rtl w:val="true"/>
          <w:lang w:bidi="ar-SA"/>
        </w:rPr>
        <w:t>على الإسكافي من أنّ تفصيله لا معنى له ، ولا يطابق كلام اللغويين ولا صريح الخبر ، وكأنّه غفل عن الأخبار المذكورة ، فكلّما يوجّه به تلك الأخبار يتوجّه به في كلامه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التقبيل عن الشهوة إذا كان محرّما ؛ فعن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بشهوة الجماع ولده في المحرّم نقض الطهارة ؛ والاحتياط إذا كان في محلّ إعادة الوضوء لرواية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قبّل الرجل المرأة من شهوة أو لمس فرجها أعاد الوضوء </w:t>
      </w:r>
      <w:r>
        <w:rPr>
          <w:rFonts w:eastAsia="Amiri" w:cs="Amiri" w:ascii="Amiri" w:hAnsi="Amiri"/>
          <w:color w:val="111111"/>
          <w:sz w:val="28"/>
          <w:szCs w:val="28"/>
          <w:rtl w:val="true"/>
          <w:lang w:bidi="ar-SA"/>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محمولة على الاستحباب والتقيّة للصحاح المستفيضة الدالّة على عدم نقض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باطن الفرجين ففي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 الرجل باطن دبره أو باطن إحليله فعليه أن يعيد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 باطن الفرجين من الغير ناقض للطهارة من المحلّل والمحرّم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 ما انضمّ عليه الثقبتان نقض وضوءه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حجة الصدوق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يتوضّأ ثمّ يمسّ باطن دبره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ينقض وضوءه وإن مسّ باطن إحليله فعليه أن يعيد الوضوء ، وإن كان في الصلاة قطع الصلاة ويتوضأ ويعيد الصلاة </w:t>
      </w:r>
      <w:r>
        <w:rPr>
          <w:rFonts w:eastAsia="Amiri" w:cs="Amiri" w:ascii="Amiri" w:hAnsi="Amiri"/>
          <w:color w:val="111111"/>
          <w:sz w:val="28"/>
          <w:szCs w:val="28"/>
          <w:rtl w:val="true"/>
          <w:lang w:bidi="ar-SA"/>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لا تقاوم ما مرّ من الأدلّة ، فلتحمل على التقيّة أو على الاستحباب فيما عدا الفقرة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الإسكافي إطلاق الرواية </w:t>
      </w:r>
      <w:r>
        <w:rPr>
          <w:rStyle w:val="FootnoteAnchor"/>
          <w:rtl w:val="true"/>
        </w:rPr>
        <w:footnoteReference w:id="1772"/>
      </w:r>
      <w:r>
        <w:rPr>
          <w:rFonts w:ascii="Amiri" w:hAnsi="Amiri" w:eastAsia="Amiri" w:cs="Amiri"/>
          <w:color w:val="111111"/>
          <w:sz w:val="28"/>
          <w:sz w:val="28"/>
          <w:szCs w:val="28"/>
          <w:rtl w:val="true"/>
          <w:lang w:bidi="ar-SA"/>
        </w:rPr>
        <w:t>المقدمة ، وهي مردودة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المعتبرة المستفيضة دلالة على بطلان ما ذكراه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ظهر الفرج من المحرّم إذا كان عن شهوة ؛ فعن الإسكافي أيضا نقض الطهارة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نعرف مستنده سوى إطلاق مسّ الفرج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الإحليل ، فعن الصدوق </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فتح احليله أعاد الوضوء والصلاة ؛ لما في آخر الموثقة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فتح احليله أعاد الوضوء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في الصلاة متعمّدا ؛ فعن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قهقه في الصلاة متعمّدا لنظر أو سماع ما أضحكه قطع صلاته وأعاد وضوءه لتعمد الضحك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نواقض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مضافا إلى ما مرّ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القهقهة لا تنقض الوضوء وتنقض الصلاة </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 وذهب الاسكافي أيضا إلى نقضها ، ولم نعرف مستنده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يصلح له أن يستدخل الدواء ثمّ يصلّي وهو معه ، أينقض الوضوء؟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الوضوء ولا يصلّي حتّى يطرحه </w:t>
      </w:r>
      <w:r>
        <w:rPr>
          <w:rFonts w:eastAsia="Amiri" w:cs="Amiri" w:ascii="Amiri" w:hAnsi="Amiri"/>
          <w:color w:val="111111"/>
          <w:sz w:val="28"/>
          <w:szCs w:val="28"/>
          <w:rtl w:val="true"/>
          <w:lang w:bidi="ar-SA"/>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 xml:space="preserve">. </w:t>
      </w:r>
      <w:bookmarkStart w:id="309" w:name="pg15827_173913"/>
    </w:p>
    <w:p>
      <w:pPr>
        <w:pStyle w:val="Heading4"/>
        <w:numPr>
          <w:ilvl w:val="3"/>
          <w:numId w:val="1"/>
        </w:numPr>
        <w:rPr/>
      </w:pPr>
      <w:bookmarkStart w:id="310" w:name="__RefHeading___Toc14099807_2142443653"/>
      <w:bookmarkStart w:id="311" w:name="_Toc110"/>
      <w:bookmarkEnd w:id="309"/>
      <w:bookmarkEnd w:id="310"/>
      <w:r>
        <w:rPr>
          <w:rtl w:val="true"/>
        </w:rPr>
        <w:t>تبصرة</w:t>
      </w:r>
      <w:r>
        <w:rPr>
          <w:rtl w:val="true"/>
        </w:rPr>
        <w:t xml:space="preserve">: [ </w:t>
      </w:r>
      <w:r>
        <w:rPr>
          <w:rtl w:val="true"/>
        </w:rPr>
        <w:t xml:space="preserve">في الأسباب النادبة للوضوء </w:t>
      </w:r>
      <w:r>
        <w:rPr>
          <w:rtl w:val="true"/>
        </w:rPr>
        <w:t>]</w:t>
      </w:r>
      <w:bookmarkEnd w:id="311"/>
    </w:p>
    <w:p>
      <w:pPr>
        <w:pStyle w:val="BookText"/>
        <w:rPr/>
      </w:pPr>
      <w:r>
        <w:rPr>
          <w:rFonts w:ascii="Amiri" w:hAnsi="Amiri" w:eastAsia="Amiri" w:cs="Amiri"/>
          <w:color w:val="111111"/>
          <w:sz w:val="28"/>
          <w:sz w:val="28"/>
          <w:szCs w:val="28"/>
          <w:rtl w:val="true"/>
          <w:lang w:bidi="ar-SA"/>
        </w:rPr>
        <w:t xml:space="preserve">الأسباب النادبة للوضوء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القول بالبناء على الاستحباب في جميع الأمور المذكورة خروجا عن الخلاف ، ولورود النصّ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الودي بالمهملة ؛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والودي فيه الوضوء لأنّه يخرج من بعد البول </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القرقرة في البطن إلا شي‌ء تصبر عليه </w:t>
      </w:r>
      <w:r>
        <w:rPr>
          <w:rStyle w:val="FootnoteAnchor"/>
          <w:rtl w:val="true"/>
        </w:rPr>
        <w:footnoteReference w:id="1778"/>
      </w:r>
      <w:r>
        <w:rPr>
          <w:rFonts w:ascii="Amiri" w:hAnsi="Amiri" w:eastAsia="Amiri" w:cs="Amiri"/>
          <w:color w:val="111111"/>
          <w:sz w:val="28"/>
          <w:sz w:val="28"/>
          <w:szCs w:val="28"/>
          <w:rtl w:val="true"/>
          <w:lang w:bidi="ar-SA"/>
        </w:rPr>
        <w:t>؛ لرواية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الرعاف والقي‌ء والتخليل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الدم مع حصول الاستكراه فيها ؛</w:t>
      </w:r>
    </w:p>
    <w:p>
      <w:pPr>
        <w:pStyle w:val="BookText"/>
        <w:rPr/>
      </w:pPr>
      <w:r>
        <w:rPr>
          <w:rFonts w:ascii="Amiri" w:hAnsi="Amiri" w:eastAsia="Amiri" w:cs="Amiri"/>
          <w:color w:val="111111"/>
          <w:sz w:val="28"/>
          <w:sz w:val="28"/>
          <w:szCs w:val="28"/>
          <w:rtl w:val="true"/>
          <w:lang w:bidi="ar-SA"/>
        </w:rPr>
        <w:t xml:space="preserve">لموثقة الحذّاء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الرعاف والقي‌ء والتخليل يسيل </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الدم إن استكرهت شيئا ينقض الوضوء وإن لم تستكرهه لم ينقض </w:t>
      </w:r>
      <w:r>
        <w:rPr>
          <w:rFonts w:eastAsia="Amiri" w:cs="Amiri" w:ascii="Amiri" w:hAnsi="Amiri"/>
          <w:color w:val="111111"/>
          <w:sz w:val="28"/>
          <w:szCs w:val="28"/>
          <w:rtl w:val="true"/>
          <w:lang w:bidi="ar-SA"/>
        </w:rPr>
        <w:t xml:space="preserve">»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أبي صلوات اللّه وسلامه عليه وقد رعف بعد ما توضّأ دما سائلا فتوضّأ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يحمل على حصول الاستكراه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والكذب وإكثار الشعر الباطل ؛ لموثقة سماعة ، وقد سأله عن نشيد الشعر </w:t>
      </w:r>
    </w:p>
    <w:p>
      <w:pPr>
        <w:pStyle w:val="BookText"/>
        <w:rPr/>
      </w:pPr>
      <w:r>
        <w:rPr>
          <w:rFonts w:ascii="Amiri" w:hAnsi="Amiri" w:eastAsia="Amiri" w:cs="Amiri"/>
          <w:color w:val="111111"/>
          <w:sz w:val="28"/>
          <w:sz w:val="28"/>
          <w:szCs w:val="28"/>
          <w:rtl w:val="true"/>
          <w:lang w:bidi="ar-SA"/>
        </w:rPr>
        <w:t xml:space="preserve">الباطل ، هل ينقض الوضوء أو ظلم الرجل صاحبه أو الكذب؟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لا أن يكون شعرا يصدق فيه أو يكون يسيرا من الشعر الأبيات الثلاثة أو الأربعة ، فأمّا أن يكثر الشعر الباطل فهو ينقض الوضوء </w:t>
      </w:r>
      <w:r>
        <w:rPr>
          <w:rFonts w:eastAsia="Amiri" w:cs="Amiri" w:ascii="Amiri" w:hAnsi="Amiri"/>
          <w:color w:val="111111"/>
          <w:sz w:val="28"/>
          <w:szCs w:val="28"/>
          <w:rtl w:val="true"/>
          <w:lang w:bidi="ar-SA"/>
        </w:rPr>
        <w:t xml:space="preserve">»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من استثناء الصدق من الشعر عدم جريان الحكم في الأشعار المشتملة على التواريخ والحكايات ونحوها إذا لم يكن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يستفاد من مقابلة الباطل لما يصدق فيه تخصيصه بما فيه الكذب إلّا أنّ الأظهر تعميمه لسائر الأباطيل كهجو المؤمن والتشبيب بالمؤمنة المعروفة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البلل المشتبه الخارج بعد الاستبراء ؛ للمكاتبة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الوضوء ممّا خرج من الذكر بعد الاستبراء؟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 لقول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غضب أحدكم فليتوضّأ </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تعميم الحكم لما كان منه لله تعالى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مصافحة المجوسي ؛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أيتوضأ إذا صافحه؟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مصافحتهم تنقض الوضوء </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على إرادة غسل اليد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الاستنجاء من البول قبل الوضوء ؛ للمعتبرة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إعادة الصلاة 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المعتبرة المستفيضة أيضا المنع عن إعادة الوضوء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يظهر منها انتفاء الاستحباب أيضا إلّا أنّ الأظهر خلافه ؛ لورودها في مقام توهّم الوجوب فلا يفيد سوى رفعه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الصدوق وجوب الإعادة إذن ، وهو إن حمل على ظاهره ضعيف محجوج بالمعتبرة المستفيضة المعتضدة بعمل الأصحاب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الاستنجاء من الغائط على ما يستفاد من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إطلاق هذه الموثقة وغير واحد من الأخبار الدالّة على الحكم في نسيان استنجاء البول تعميم الحكم بصورة العمد أيضا ، فلا يبعد القول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الاستنجاء بالماء ، وقد استنجى بالاحجار ؛ لموثقة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أن يغسل دبره بالماء حتّى صلّى إلّا أنّه قد تمسح بثلاثة </w:t>
      </w:r>
      <w:r>
        <w:rPr>
          <w:rStyle w:val="FootnoteAnchor"/>
          <w:rtl w:val="true"/>
        </w:rPr>
        <w:footnoteReference w:id="17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في وقت تلك الصلاة فليعد الصلاة وليعد الوضوء ، وإن كان قد خرجت وقت تلك الصلاة التي صلّى فقد جازت صلاته وليتوضأ لما يستقبل من الصلاة </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كما ترى لا يخلو من إجمال ، وقد تحمل على عدم كون التمسح مزيلا لعين النجاسة ، فيدلّ على الحكم السابق بعد حملها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بنى على إطلاقها ، فالبناء على رجحان إعادة الصلاة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تبيّن الإشكال في ثبوت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الكلب ؛ للموثق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مسّ كلبا فليتوضّأ </w:t>
      </w:r>
      <w:r>
        <w:rPr>
          <w:rFonts w:eastAsia="Amiri" w:cs="Amiri" w:ascii="Amiri" w:hAnsi="Amiri"/>
          <w:color w:val="111111"/>
          <w:sz w:val="28"/>
          <w:szCs w:val="28"/>
          <w:rtl w:val="true"/>
          <w:lang w:bidi="ar-SA"/>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يحمل على غسل اليد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ولا يذهب عليك أنّ جملة من الأمور المذكورة مما قال فيها بعض العامّة بالنقض ، فحمل ما ورد على ثبوت الوضوء فيها على التقيّة خصوصا ما دلّ منها على وجوب الوضوء قريب جدا ، فيشكل الحال في إثبات الاستحباب إلّا أن يقال بثبوت الندب بمجرّد ورود الرواية ؛ تقديما للحمل المذكور على غيره ، وتسامحا في أدلة السنن مع ما فيه من المبالغة لظاهر أقوالهم عليهم‌السلام ، مع عدم وضوح البناء على التقية فيها</w:t>
      </w:r>
      <w:r>
        <w:rPr>
          <w:rFonts w:eastAsia="Amiri" w:cs="Amiri" w:ascii="Amiri" w:hAnsi="Amiri"/>
          <w:color w:val="111111"/>
          <w:sz w:val="28"/>
          <w:szCs w:val="28"/>
          <w:rtl w:val="true"/>
          <w:lang w:bidi="ar-SA"/>
        </w:rPr>
        <w:t xml:space="preserve">. </w:t>
      </w:r>
      <w:bookmarkStart w:id="312" w:name="pg15827_173916"/>
    </w:p>
    <w:p>
      <w:pPr>
        <w:pStyle w:val="Heading4"/>
        <w:numPr>
          <w:ilvl w:val="3"/>
          <w:numId w:val="1"/>
        </w:numPr>
        <w:rPr/>
      </w:pPr>
      <w:bookmarkStart w:id="313" w:name="__RefHeading___Toc14099809_2142443653"/>
      <w:bookmarkStart w:id="314" w:name="_Toc111"/>
      <w:bookmarkEnd w:id="312"/>
      <w:bookmarkEnd w:id="313"/>
      <w:r>
        <w:rPr>
          <w:rtl w:val="true"/>
        </w:rPr>
        <w:t>فصل</w:t>
      </w:r>
      <w:r>
        <w:rPr>
          <w:rtl w:val="true"/>
        </w:rPr>
        <w:t xml:space="preserve">: </w:t>
      </w:r>
      <w:r>
        <w:rPr>
          <w:rtl w:val="true"/>
        </w:rPr>
        <w:t>في أحكام الخلوة</w:t>
      </w:r>
      <w:bookmarkEnd w:id="31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ذكرناها في المقام لمناسبتها للوضوء ؛ لتقدّمها عليه في الغالب ولمناسبة ذلك الأحداث ، وكذا الأصحاب لذكرها في الباب</w:t>
      </w:r>
      <w:r>
        <w:rPr>
          <w:rFonts w:eastAsia="Amiri" w:cs="Amiri" w:ascii="Amiri" w:hAnsi="Amiri"/>
          <w:color w:val="111111"/>
          <w:sz w:val="28"/>
          <w:szCs w:val="28"/>
          <w:rtl w:val="true"/>
          <w:lang w:bidi="ar-SA"/>
        </w:rPr>
        <w:t xml:space="preserve">. </w:t>
      </w:r>
      <w:bookmarkStart w:id="315" w:name="pg15827_173917"/>
    </w:p>
    <w:p>
      <w:pPr>
        <w:pStyle w:val="Heading4"/>
        <w:numPr>
          <w:ilvl w:val="3"/>
          <w:numId w:val="1"/>
        </w:numPr>
        <w:rPr/>
      </w:pPr>
      <w:bookmarkStart w:id="316" w:name="__RefHeading___Toc14099811_2142443653"/>
      <w:bookmarkStart w:id="317" w:name="_Toc112"/>
      <w:bookmarkEnd w:id="315"/>
      <w:bookmarkEnd w:id="316"/>
      <w:r>
        <w:rPr>
          <w:rtl w:val="true"/>
        </w:rPr>
        <w:t>تبصرة</w:t>
      </w:r>
      <w:r>
        <w:rPr>
          <w:rtl w:val="true"/>
        </w:rPr>
        <w:t xml:space="preserve">: [ </w:t>
      </w:r>
      <w:r>
        <w:rPr>
          <w:rtl w:val="true"/>
        </w:rPr>
        <w:t xml:space="preserve">في ستر العورة </w:t>
      </w:r>
      <w:r>
        <w:rPr>
          <w:rtl w:val="true"/>
        </w:rPr>
        <w:t>]</w:t>
      </w:r>
      <w:bookmarkEnd w:id="317"/>
    </w:p>
    <w:p>
      <w:pPr>
        <w:pStyle w:val="BookText"/>
        <w:rPr/>
      </w:pPr>
      <w:r>
        <w:rPr>
          <w:rFonts w:ascii="Amiri" w:hAnsi="Amiri" w:eastAsia="Amiri" w:cs="Amiri"/>
          <w:color w:val="111111"/>
          <w:sz w:val="28"/>
          <w:sz w:val="28"/>
          <w:szCs w:val="28"/>
          <w:rtl w:val="true"/>
          <w:lang w:bidi="ar-SA"/>
        </w:rPr>
        <w:t>يجب على المتخلّي ستر العورة بلا خلاف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الإجماع محصّلا ومنقولا ففي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وَيَحْفَظُوا فُرُوجَهُمْ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أحدكم إلى فرج أخيه المؤمن أو يمكّنه من النظر إلى فرجه </w:t>
      </w:r>
      <w:r>
        <w:rPr>
          <w:rFonts w:eastAsia="Amiri" w:cs="Amiri" w:ascii="Amiri" w:hAnsi="Amiri"/>
          <w:color w:val="111111"/>
          <w:sz w:val="28"/>
          <w:szCs w:val="28"/>
          <w:rtl w:val="true"/>
          <w:lang w:bidi="ar-SA"/>
        </w:rPr>
        <w:t xml:space="preserve">»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في كتاب اللّه من ذكر حفظ الفرج فهو من الزنا إلّا في هذا الموضع ؛ فإنّه للحفظ من أن ينظر إليه </w:t>
      </w:r>
      <w:r>
        <w:rPr>
          <w:rFonts w:eastAsia="Amiri" w:cs="Amiri" w:ascii="Amiri" w:hAnsi="Amiri"/>
          <w:color w:val="111111"/>
          <w:sz w:val="28"/>
          <w:szCs w:val="28"/>
          <w:rtl w:val="true"/>
          <w:lang w:bidi="ar-SA"/>
        </w:rPr>
        <w:t xml:space="preserve">»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النصوص المستفيضة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المانعة من دخول الحمّام إلّا بمئزر ، وفي بعضها بعد المنع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الناظر والمنظور إليه </w:t>
      </w:r>
      <w:r>
        <w:rPr>
          <w:rFonts w:eastAsia="Amiri" w:cs="Amiri" w:ascii="Amiri" w:hAnsi="Amiri"/>
          <w:color w:val="111111"/>
          <w:sz w:val="28"/>
          <w:szCs w:val="28"/>
          <w:rtl w:val="true"/>
          <w:lang w:bidi="ar-SA"/>
        </w:rPr>
        <w:t xml:space="preserve">»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بعد ذكر ما يفيد مطلوبيّة الاتّزار في الحمّام التعليل بأنّ رسول اللّه صلى‌اللّه‌عليه‌وآله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عورة المؤمن على المؤمن حرام </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الجمهور عنه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احفظ عورتك إلّا من زوجك أو ما ملكت يمينك </w:t>
      </w:r>
      <w:r>
        <w:rPr>
          <w:rFonts w:eastAsia="Amiri" w:cs="Amiri" w:ascii="Amiri" w:hAnsi="Amiri"/>
          <w:color w:val="111111"/>
          <w:sz w:val="28"/>
          <w:szCs w:val="28"/>
          <w:rtl w:val="true"/>
          <w:lang w:bidi="ar-SA"/>
        </w:rPr>
        <w:t xml:space="preserve">»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رواها في نهاية الإحكام </w:t>
      </w:r>
      <w:r>
        <w:rPr>
          <w:rStyle w:val="FootnoteAnchor"/>
          <w:rtl w:val="true"/>
        </w:rPr>
        <w:footnoteReference w:id="1795"/>
      </w:r>
      <w:r>
        <w:rPr>
          <w:rFonts w:ascii="Amiri" w:hAnsi="Amiri" w:eastAsia="Amiri" w:cs="Amiri"/>
          <w:color w:val="111111"/>
          <w:sz w:val="28"/>
          <w:sz w:val="28"/>
          <w:szCs w:val="28"/>
          <w:rtl w:val="true"/>
          <w:lang w:bidi="ar-SA"/>
        </w:rPr>
        <w:t>مستدلّا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يجب سترها يحرم النظر إليها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بعد الإجماع محصّلا ومنقولا والآية بمعونة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 وقد مرّت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ينظر الرجل إلى عورة أخيه المسلم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تأمل عورة أخيه المسلم لعنه سبعون ألف ملك ، ونهى المرأة تنظر عورة المرأة </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اغتسل أحدكم في فضاء من الأرض فليجاوز على عورته </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حريز ،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ينظر الرجل إلى عورة أخيه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الجمهور عن النبي صلى‌اللّه‌عليه‌وآله وزادوا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المرأة إلى عورة المرأة </w:t>
      </w:r>
      <w:r>
        <w:rPr>
          <w:rFonts w:eastAsia="Amiri" w:cs="Amiri" w:ascii="Amiri" w:hAnsi="Amiri"/>
          <w:color w:val="111111"/>
          <w:sz w:val="28"/>
          <w:szCs w:val="28"/>
          <w:rtl w:val="true"/>
          <w:lang w:bidi="ar-SA"/>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 أيضا الأخبار المستفيضة الدالّة على وجوب ستر عورة الميّت المشتملة على الصحيح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عورة المؤمن وحرمة بدنه وهو ميّت كحرمته وهو حيّ ، فوار عورته </w:t>
      </w:r>
      <w:r>
        <w:rPr>
          <w:rFonts w:eastAsia="Amiri" w:cs="Amiri" w:ascii="Amiri" w:hAnsi="Amiri"/>
          <w:color w:val="111111"/>
          <w:sz w:val="28"/>
          <w:szCs w:val="28"/>
          <w:rtl w:val="true"/>
          <w:lang w:bidi="ar-SA"/>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ينافيه الحكم بكراهته في بعض الأخبار ؛ إذ هي أعمّ من الحرمة في لسانهم عليه‌السلام ، فيحمل عليها بقرينة تلك الأخبار ، بل قد يقال بظهورها في نفسها في الحرمة كما يستفاد من بعض الأخبار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يقضي العجب منه ما في كلام بعض المتأخرين </w:t>
      </w:r>
      <w:r>
        <w:rPr>
          <w:rStyle w:val="FootnoteAnchor"/>
          <w:rtl w:val="true"/>
        </w:rPr>
        <w:footnoteReference w:id="1801"/>
      </w:r>
      <w:r>
        <w:rPr>
          <w:rFonts w:ascii="Amiri" w:hAnsi="Amiri" w:eastAsia="Amiri" w:cs="Amiri"/>
          <w:color w:val="111111"/>
          <w:sz w:val="28"/>
          <w:sz w:val="28"/>
          <w:szCs w:val="28"/>
          <w:rtl w:val="true"/>
          <w:lang w:bidi="ar-SA"/>
        </w:rPr>
        <w:t xml:space="preserve">من ترجيح الجواز لو لا مخالفة </w:t>
      </w:r>
    </w:p>
    <w:p>
      <w:pPr>
        <w:pStyle w:val="BookText"/>
        <w:rPr/>
      </w:pPr>
      <w:r>
        <w:rPr>
          <w:rFonts w:ascii="Amiri" w:hAnsi="Amiri" w:eastAsia="Amiri" w:cs="Amiri"/>
          <w:color w:val="111111"/>
          <w:sz w:val="28"/>
          <w:sz w:val="28"/>
          <w:szCs w:val="28"/>
          <w:rtl w:val="true"/>
          <w:lang w:bidi="ar-SA"/>
        </w:rPr>
        <w:t>الإجماع استضعافا للرواية واستظهارا بورود الكراهة في تلك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بتحريم النظر على وجوب الستر لما في الكشف من الإعانة على الإثم كما ذكره بعض الأفاضل ساقط لوضوح عدم الملازمة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ويحرم على النساء النظر إلى الرجال ولا يجب عليهم التستر منهنّ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المنع في النظر على عورة المسلم أو يعمّ الكافر أيضا؟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من كلام أكثر الأصحاب إطلاق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جملة من الإطلاقات منها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أيتجرّد الرجل عند صبّ الماء ترى عورته أو يصبّ عليه الماء أو يرى هو عورة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يكره ذلك من كلّ أحد </w:t>
      </w:r>
      <w:r>
        <w:rPr>
          <w:rFonts w:eastAsia="Amiri" w:cs="Amiri" w:ascii="Amiri" w:hAnsi="Amiri"/>
          <w:color w:val="111111"/>
          <w:sz w:val="28"/>
          <w:szCs w:val="28"/>
          <w:rtl w:val="true"/>
          <w:lang w:bidi="ar-SA"/>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 الحمّام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أدخله بمئزر وغضّ بصرك </w:t>
      </w:r>
      <w:r>
        <w:rPr>
          <w:rFonts w:eastAsia="Amiri" w:cs="Amiri" w:ascii="Amiri" w:hAnsi="Amiri"/>
          <w:color w:val="111111"/>
          <w:sz w:val="28"/>
          <w:szCs w:val="28"/>
          <w:rtl w:val="true"/>
          <w:lang w:bidi="ar-SA"/>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القول بالجواز ، وهو ظاهر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صاحب الوسائل والحدائق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صاحب المعالم ؛ لصحيحة ابن أبي عمير ، عن غير واحد من أصحابنا ، عن أبي عبد اللّه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النظر إلى عورة من ليس بمسلم مثل النظر إلى عورة الحمار </w:t>
      </w:r>
      <w:r>
        <w:rPr>
          <w:rFonts w:eastAsia="Amiri" w:cs="Amiri" w:ascii="Amiri" w:hAnsi="Amiri"/>
          <w:color w:val="111111"/>
          <w:sz w:val="28"/>
          <w:szCs w:val="28"/>
          <w:rtl w:val="true"/>
          <w:lang w:bidi="ar-SA"/>
        </w:rPr>
        <w:t xml:space="preserve">»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w:t>
      </w:r>
      <w:r>
        <w:rPr>
          <w:rStyle w:val="FootnoteAnchor"/>
          <w:rtl w:val="true"/>
        </w:rPr>
        <w:footnoteReference w:id="1805"/>
      </w:r>
      <w:r>
        <w:rPr>
          <w:rFonts w:ascii="Amiri" w:hAnsi="Amiri" w:eastAsia="Amiri" w:cs="Amiri"/>
          <w:color w:val="111111"/>
          <w:sz w:val="28"/>
          <w:sz w:val="28"/>
          <w:szCs w:val="28"/>
          <w:rtl w:val="true"/>
          <w:lang w:bidi="ar-SA"/>
        </w:rPr>
        <w:t xml:space="preserve">الصدوق مرسلا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أكره النظر إلى عورة المسلم ، فأمّا النظر إلى عورة من ليس بمسلم مثل النظر إلى عورة الحمار </w:t>
      </w:r>
      <w:r>
        <w:rPr>
          <w:rFonts w:eastAsia="Amiri" w:cs="Amiri" w:ascii="Amiri" w:hAnsi="Amiri"/>
          <w:color w:val="111111"/>
          <w:sz w:val="28"/>
          <w:szCs w:val="28"/>
          <w:rtl w:val="true"/>
          <w:lang w:bidi="ar-SA"/>
        </w:rPr>
        <w:t xml:space="preserve">»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اعتضاده بالأصل ؛ مضافا إلى اختصاص كثير من أخبار المنع إلى عورة المؤمن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يكن النظر عن شهوة ، ومعها فلا شبهة في المنع ولا خلاف لأحد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فرق بين كون الناظر مسلما أو كافرا ، عاقلا أو مجنونا ، بالغا أو غير بالغ إذا كان مميّزا ، أمّا غير المميّز بحيث لا يميّز العورة عن غيرها فلا يجب التستّر عنه ظاهرا ، بل ولا يحرم النظر إلى عورته أيضا وإن ستر العورة ؛ لعدم وضوح شمول الأدلة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المرفوعة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الرجل مع ابنه الحمّام فينظر إلى عورته </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مع ضعفها لا دلالة فيها على المدّعى ؛ ولقيام السيرة المعلومة على عدم التحرّز عن النظر إلى عورة الأطفال الصغار ، ولحاجتهم إلى مباشرة الأمّهات والمربّيات لاستنجائهم وإزالة النجاسات والقذارات عنهم ، ويتعسّر ذلك كثيرا من دون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والأحوط الاجتناب إذا زاد سنّهم عن الثلاث والأربع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جواز النظر إلى عورة المميّز أيضا وجه ؛ لاختصاص كثير من الأخبار بالمؤمن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والأقوى خلافه لما عرفت من الإطلاقات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ويقوى عدم وجوب الستر عن المجنون أيضا إذا لم يميّز العورة عن غيرها لعدم ظهور شمول الأدلة لمثله ، أمّا النظر إلى عورته فالظاهر المنع فيه ؛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هو ستر جسم العورة بحيث يمنع من مشاهدة لونها وإن ظهر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سترها بالنبات أو الطين أو النورة أو اليد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الحمّام فتنوّر فالقي عنه 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علمت أنّ النورة قد يستر العورة؟</w:t>
      </w:r>
      <w:r>
        <w:rPr>
          <w:rFonts w:eastAsia="Amiri" w:cs="Amiri" w:ascii="Amiri" w:hAnsi="Amiri"/>
          <w:color w:val="111111"/>
          <w:sz w:val="28"/>
          <w:szCs w:val="28"/>
          <w:rtl w:val="true"/>
          <w:lang w:bidi="ar-SA"/>
        </w:rPr>
        <w:t xml:space="preserve">! »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الظلمة المانعة من الرؤية ، وكذا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منعا عن رؤية اللون دون الحجم قوي المنع ؛ لصدق رؤية الجسم معه ، وظاهر الأدلّة المنع عنه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إذا لم ير منه سوى الشبح من دون تشخيصها بوجه قوي </w:t>
      </w:r>
      <w:r>
        <w:rPr>
          <w:rStyle w:val="FootnoteAnchor"/>
          <w:rtl w:val="true"/>
        </w:rPr>
        <w:footnoteReference w:id="1809"/>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الذّكر والبيضتين والدّبر عورة في الرجل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الإجماع عليه مستفيض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ما عدا ذلك ليس من العورة ،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السرائر 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أكثر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 للمرسل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العورة عورتان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والدبر ، والدبر مستور بالألتين ، فإذا سترت القضيب والبيضتين فقد سترت العورة </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الدّبر فقد سترته الأليتان ، وأمّا القبل فاستره </w:t>
      </w:r>
      <w:r>
        <w:rPr>
          <w:rStyle w:val="FootnoteAnchor"/>
          <w:rtl w:val="true"/>
        </w:rPr>
        <w:footnoteReference w:id="1811"/>
      </w:r>
      <w:r>
        <w:rPr>
          <w:rFonts w:ascii="Amiri" w:hAnsi="Amiri" w:eastAsia="Amiri" w:cs="Amiri"/>
          <w:color w:val="111111"/>
          <w:sz w:val="28"/>
          <w:sz w:val="28"/>
          <w:szCs w:val="28"/>
          <w:rtl w:val="true"/>
          <w:lang w:bidi="ar-SA"/>
        </w:rPr>
        <w:t xml:space="preserve">بيدك </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الفخذ ليست من العورة </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وضعفها منجبر في الأصل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وجعلها السيّد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أشار إلى رواية بشر ، عن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دخل الحمّام فاتّزر بإزار فغطّى ركبتيه وسرّته ، ثمّ أمر صاحب الحمّام قطع جسده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فافعل </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بعد الغضّ عن منع ظهورها أنّها ضعيفة ، ولا جابر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صراحتها في الوجوب ، فليحمل على الندب جمعا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بين السرّة إلى نصف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مستنده ، بل حكى في </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1816"/>
      </w:r>
      <w:r>
        <w:rPr>
          <w:rFonts w:ascii="IRNazanin" w:hAnsi="IRNazanin" w:eastAsia="IRNazanin"/>
          <w:color w:val="111111"/>
          <w:sz w:val="28"/>
          <w:sz w:val="28"/>
          <w:szCs w:val="28"/>
          <w:rtl w:val="true"/>
          <w:lang w:bidi="fa-IR"/>
        </w:rPr>
        <w:t xml:space="preserve">والمنتهى </w:t>
      </w:r>
      <w:r>
        <w:rPr>
          <w:rStyle w:val="FootnoteAnchor"/>
          <w:rtl w:val="true"/>
        </w:rPr>
        <w:footnoteReference w:id="1817"/>
      </w:r>
      <w:r>
        <w:rPr>
          <w:rFonts w:ascii="Amiri" w:hAnsi="Amiri" w:eastAsia="Amiri" w:cs="Amiri"/>
          <w:color w:val="111111"/>
          <w:sz w:val="28"/>
          <w:sz w:val="28"/>
          <w:szCs w:val="28"/>
          <w:rtl w:val="true"/>
          <w:lang w:bidi="ar-SA"/>
        </w:rPr>
        <w:t>إجماع علمائنا على عدم كون الركبة من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وعورة المرأة بالنسبة إلى الأجانب تمام بدنها إلّا ما استثني ، وبالنسبة إلى المحارم ما عدا من يحلّ له وطئه ومن بحكمه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الكلام فيها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يلحق بالمرأة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خروج ما بين العورتين منها ، وكذا الشعر النابت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النابت عليها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الخنثى المحكوم بالانوثية أو فرجه مع الحكم برجوليته وجهان ؛ أقربهما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الممسوح فلا يبعد جريان حكم العورة بالنسبة إلى المنفذ المعدّ فيه ؛ لدفع الفضلتين على تأمل فيه إن لم يكن فيما يقارب الموضع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العورة بين اتّصالها بالبدن وانفصالها عنه ، وكذا بين كلّها وبعضها ؛ للأصل والإطلاقات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لا خلاف فيه</w:t>
      </w:r>
      <w:r>
        <w:rPr>
          <w:rFonts w:eastAsia="Amiri" w:cs="Amiri" w:ascii="Amiri" w:hAnsi="Amiri"/>
          <w:color w:val="111111"/>
          <w:sz w:val="28"/>
          <w:szCs w:val="28"/>
          <w:rtl w:val="true"/>
          <w:lang w:bidi="ar-SA"/>
        </w:rPr>
        <w:t xml:space="preserve">. </w:t>
      </w:r>
      <w:bookmarkStart w:id="318" w:name="pg15827_173923"/>
    </w:p>
    <w:p>
      <w:pPr>
        <w:pStyle w:val="Heading4"/>
        <w:numPr>
          <w:ilvl w:val="3"/>
          <w:numId w:val="1"/>
        </w:numPr>
        <w:rPr/>
      </w:pPr>
      <w:bookmarkStart w:id="319" w:name="__RefHeading___Toc14099813_2142443653"/>
      <w:bookmarkStart w:id="320" w:name="_Toc113"/>
      <w:bookmarkEnd w:id="318"/>
      <w:bookmarkEnd w:id="319"/>
      <w:r>
        <w:rPr>
          <w:rtl w:val="true"/>
        </w:rPr>
        <w:t>تبصرة</w:t>
      </w:r>
      <w:r>
        <w:rPr>
          <w:rtl w:val="true"/>
        </w:rPr>
        <w:t xml:space="preserve">: [ </w:t>
      </w:r>
      <w:r>
        <w:rPr>
          <w:rtl w:val="true"/>
        </w:rPr>
        <w:t xml:space="preserve">في تحريم استقبال القبلة واستدبارها </w:t>
      </w:r>
      <w:r>
        <w:rPr>
          <w:rtl w:val="true"/>
        </w:rPr>
        <w:t xml:space="preserve">] [ </w:t>
      </w:r>
      <w:r>
        <w:rPr>
          <w:rtl w:val="true"/>
        </w:rPr>
        <w:t xml:space="preserve">حال البول والتغوّط </w:t>
      </w:r>
      <w:r>
        <w:rPr>
          <w:rtl w:val="true"/>
        </w:rPr>
        <w:t>]</w:t>
      </w:r>
      <w:bookmarkEnd w:id="320"/>
    </w:p>
    <w:p>
      <w:pPr>
        <w:pStyle w:val="BookText"/>
        <w:rPr/>
      </w:pPr>
      <w:r>
        <w:rPr>
          <w:rFonts w:ascii="Amiri" w:hAnsi="Amiri" w:eastAsia="Amiri" w:cs="Amiri"/>
          <w:color w:val="111111"/>
          <w:sz w:val="28"/>
          <w:sz w:val="28"/>
          <w:szCs w:val="28"/>
          <w:rtl w:val="true"/>
          <w:lang w:bidi="ar-SA"/>
        </w:rPr>
        <w:t>المعروف بين الأصحاب تحريم استقبال القبلة واستدبارها حال البول والتغوّط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الخلاف </w:t>
      </w:r>
      <w:r>
        <w:rPr>
          <w:rStyle w:val="FootnoteAnchor"/>
          <w:rtl w:val="true"/>
        </w:rPr>
        <w:footnoteReference w:id="1818"/>
      </w:r>
      <w:r>
        <w:rPr>
          <w:rFonts w:ascii="Amiri" w:hAnsi="Amiri" w:eastAsia="Amiri" w:cs="Amiri"/>
          <w:color w:val="111111"/>
          <w:sz w:val="28"/>
          <w:sz w:val="28"/>
          <w:szCs w:val="28"/>
          <w:rtl w:val="true"/>
          <w:lang w:bidi="ar-SA"/>
        </w:rPr>
        <w:t xml:space="preserve">والغنية </w:t>
      </w:r>
      <w:r>
        <w:rPr>
          <w:rStyle w:val="FootnoteAnchor"/>
          <w:rtl w:val="true"/>
        </w:rPr>
        <w:footnoteReference w:id="1819"/>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كتب المتأخرين كالذخيرة </w:t>
      </w:r>
      <w:r>
        <w:rPr>
          <w:rStyle w:val="FootnoteAnchor"/>
          <w:rtl w:val="true"/>
        </w:rPr>
        <w:footnoteReference w:id="1820"/>
      </w:r>
      <w:r>
        <w:rPr>
          <w:rFonts w:ascii="IRNazanin" w:hAnsi="IRNazanin" w:eastAsia="IRNazanin"/>
          <w:color w:val="111111"/>
          <w:sz w:val="28"/>
          <w:sz w:val="28"/>
          <w:szCs w:val="28"/>
          <w:rtl w:val="true"/>
          <w:lang w:bidi="fa-IR"/>
        </w:rPr>
        <w:t xml:space="preserve">والبحار </w:t>
      </w:r>
      <w:r>
        <w:rPr>
          <w:rStyle w:val="FootnoteAnchor"/>
          <w:rtl w:val="true"/>
        </w:rPr>
        <w:footnoteReference w:id="1821"/>
      </w:r>
      <w:r>
        <w:rPr>
          <w:rFonts w:ascii="Amiri" w:hAnsi="Amiri" w:eastAsia="Amiri" w:cs="Amiri"/>
          <w:color w:val="111111"/>
          <w:sz w:val="28"/>
          <w:sz w:val="28"/>
          <w:szCs w:val="28"/>
          <w:rtl w:val="true"/>
          <w:lang w:bidi="ar-SA"/>
        </w:rPr>
        <w:t>وكشف اللثام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ما حكي عن الإسكافي عدم التحريم مطلقا ؛ لحكمه باستحباب ترك الاستقبال في الصحراء ، ولم يذكر الاستدبار ولا الحكم في البنيان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القول به عن المفيد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جماعة من المتأخرين كصاحبي المدارك والذخيرة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الديلمي التفصيل بين الصحاري والبنيان ، فتحرم في الأول ويكره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القول به عن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المعتبر </w:t>
      </w:r>
      <w:r>
        <w:rPr>
          <w:rStyle w:val="FootnoteAnchor"/>
          <w:rtl w:val="true"/>
        </w:rPr>
        <w:footnoteReference w:id="1823"/>
      </w:r>
      <w:r>
        <w:rPr>
          <w:rFonts w:ascii="Amiri" w:hAnsi="Amiri" w:eastAsia="Amiri" w:cs="Amiri"/>
          <w:color w:val="111111"/>
          <w:sz w:val="28"/>
          <w:sz w:val="28"/>
          <w:szCs w:val="28"/>
          <w:rtl w:val="true"/>
          <w:lang w:bidi="ar-SA"/>
        </w:rPr>
        <w:t>إلى المفيد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وعبارته في المقنعة </w:t>
      </w:r>
      <w:r>
        <w:rPr>
          <w:rStyle w:val="FootnoteAnchor"/>
          <w:rtl w:val="true"/>
        </w:rPr>
        <w:footnoteReference w:id="1824"/>
      </w:r>
      <w:r>
        <w:rPr>
          <w:rFonts w:ascii="Amiri" w:hAnsi="Amiri" w:eastAsia="Amiri" w:cs="Amiri"/>
          <w:color w:val="111111"/>
          <w:sz w:val="28"/>
          <w:sz w:val="28"/>
          <w:szCs w:val="28"/>
          <w:rtl w:val="true"/>
          <w:lang w:bidi="ar-SA"/>
        </w:rPr>
        <w:t>لا يخلو من 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المختلف </w:t>
      </w:r>
      <w:r>
        <w:rPr>
          <w:rStyle w:val="FootnoteAnchor"/>
          <w:rtl w:val="true"/>
        </w:rPr>
        <w:footnoteReference w:id="1825"/>
      </w:r>
      <w:r>
        <w:rPr>
          <w:rFonts w:ascii="Amiri" w:hAnsi="Amiri" w:eastAsia="Amiri" w:cs="Amiri"/>
          <w:color w:val="111111"/>
          <w:sz w:val="28"/>
          <w:sz w:val="28"/>
          <w:szCs w:val="28"/>
          <w:rtl w:val="true"/>
          <w:lang w:bidi="ar-SA"/>
        </w:rPr>
        <w:t>بعد نقل عبارته أنّه يعطي الكراهة في الصحاري والإباحة في البنيان ، وقد تحمل على ما يوافق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في عبارة الشيخ ما يقارب كلامه ، ولم ينسب إليه الخلاف في كلام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نهاية الإحكام </w:t>
      </w:r>
      <w:r>
        <w:rPr>
          <w:rStyle w:val="FootnoteAnchor"/>
          <w:rtl w:val="true"/>
        </w:rPr>
        <w:footnoteReference w:id="1826"/>
      </w:r>
      <w:r>
        <w:rPr>
          <w:rFonts w:ascii="Amiri" w:hAnsi="Amiri" w:eastAsia="Amiri" w:cs="Amiri"/>
          <w:color w:val="111111"/>
          <w:sz w:val="28"/>
          <w:sz w:val="28"/>
          <w:szCs w:val="28"/>
          <w:rtl w:val="true"/>
          <w:lang w:bidi="ar-SA"/>
        </w:rPr>
        <w:t>اختصاص النهي عن الاستدبار بالمدينة المشرفة ونحوها ممّا يساويها في الجهة ؛ لاستلزامه استقبال بيت المقدس ، وهو اعتبار محض لا شاهد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مضافا إلى الشهرة المعلومة والمنقولة والإجماع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المستفيضة ، منها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المخرج فلا تستقبل القبلة ولا تستدبرها ولكن </w:t>
      </w:r>
      <w:r>
        <w:rPr>
          <w:rStyle w:val="FootnoteAnchor"/>
          <w:rtl w:val="true"/>
        </w:rPr>
        <w:footnoteReference w:id="1827"/>
      </w:r>
      <w:r>
        <w:rPr>
          <w:rFonts w:ascii="Amiri" w:hAnsi="Amiri" w:eastAsia="Amiri" w:cs="Amiri"/>
          <w:color w:val="111111"/>
          <w:sz w:val="28"/>
          <w:sz w:val="28"/>
          <w:szCs w:val="28"/>
          <w:rtl w:val="true"/>
          <w:lang w:bidi="ar-SA"/>
        </w:rPr>
        <w:t xml:space="preserve">شرّقوا وغرّبوا </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الغائط؟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 القبلة ولا تستدبرها ، ولا تستقبل الريح ولا تستدبرها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دخلتم الغائط فتجنّبوا القبلة </w:t>
      </w:r>
      <w:r>
        <w:rPr>
          <w:rFonts w:eastAsia="Amiri" w:cs="Amiri" w:ascii="Amiri" w:hAnsi="Amiri"/>
          <w:color w:val="111111"/>
          <w:sz w:val="28"/>
          <w:szCs w:val="28"/>
          <w:rtl w:val="true"/>
          <w:lang w:bidi="ar-SA"/>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نوادر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نهى أن يبول الرجل وفرجه باد للقبلة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الدعائم عنهم صلوات اللّه وسلامه عليهم في جملة من مناهي الرسول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استقبال القبلة واستدبارها في حال الحدث والبول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هذه الأخبار منجبر باعتضاد بعضها ببعض ، وذكرها في الكتب المعتمدة ، وتلقّي </w:t>
      </w:r>
    </w:p>
    <w:p>
      <w:pPr>
        <w:pStyle w:val="BookText"/>
        <w:rPr/>
      </w:pPr>
      <w:r>
        <w:rPr>
          <w:rFonts w:ascii="Amiri" w:hAnsi="Amiri" w:eastAsia="Amiri" w:cs="Amiri"/>
          <w:color w:val="111111"/>
          <w:sz w:val="28"/>
          <w:sz w:val="28"/>
          <w:szCs w:val="28"/>
          <w:rtl w:val="true"/>
          <w:lang w:bidi="ar-SA"/>
        </w:rPr>
        <w:t>الأصحاب لها ، واشتهار العمل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 بعض المكروهات ببعضها لا يفيد إرادة الكراهة </w:t>
      </w:r>
      <w:r>
        <w:rPr>
          <w:rStyle w:val="FootnoteAnchor"/>
          <w:rtl w:val="true"/>
        </w:rPr>
        <w:footnoteReference w:id="1832"/>
      </w:r>
      <w:r>
        <w:rPr>
          <w:rFonts w:ascii="Amiri" w:hAnsi="Amiri" w:eastAsia="Amiri" w:cs="Amiri"/>
          <w:color w:val="111111"/>
          <w:sz w:val="28"/>
          <w:sz w:val="28"/>
          <w:szCs w:val="28"/>
          <w:rtl w:val="true"/>
          <w:lang w:bidi="ar-SA"/>
        </w:rPr>
        <w:t>فيه فكيف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وعدم دليل صالح للخروج عنه ؛ لضعف الأخبار المانعة سندا ودلالة ، وإنّما يستفاد ذلك أيضا من 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بال حذاء القبلة ثمّ ذكر فانحرف عنها إجلالا للقبلة وتعظيما لها لم يقم من مقعده ذلك حتّى يغفر له </w:t>
      </w:r>
      <w:r>
        <w:rPr>
          <w:rFonts w:eastAsia="Amiri" w:cs="Amiri" w:ascii="Amiri" w:hAnsi="Amiri"/>
          <w:color w:val="111111"/>
          <w:sz w:val="28"/>
          <w:szCs w:val="28"/>
          <w:rtl w:val="true"/>
          <w:lang w:bidi="ar-SA"/>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لظهورها في ترتّب الثواب على إجلال القبلة 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ما عرفت من الانجبار بالعمل والظهور كاف في المقام ؛ خصوصا مع الاعتضاد بفهم الجمهور ، وترتّب الثواب العظيم على الفعل المذكور من جهة التعظيم بعد استحبابه حينئذ ؛ إذ الواجب أحرى بترتب الثواب ؛ خصوصا إذا اختار منه أفضل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الأخبار المذكورة ، وحسنة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عليه‌السلام وفي منزلة كنيف مستقبل القبلة </w:t>
      </w:r>
      <w:r>
        <w:rPr>
          <w:rStyle w:val="FootnoteAnchor"/>
          <w:rtl w:val="true"/>
        </w:rPr>
        <w:footnoteReference w:id="1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فتخصيص الروايات بالصحاري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الرواية شاهد على الجواز لعدم دلالتها على كون بنائه بإذن الامام عليه‌السلام ، ولا على جلوسه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عليه‌السلام للبناء لا يدلّ عليه ؛ لعدم ظهور وجوب الهدم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كون المكان ملكه غير معلوم بل الذي حكي أنّ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استجلب الرضا عليه‌السلام إلى خراسان أنزله في بعض بيوت أهل الخلاف ، فاحتمال التقية هنا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بما في الدعائم حيث قال بعد ما حكينا عنه وذكر جملة من الأحكام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ورخّصوا في البول والغائط في الأبنية </w:t>
      </w:r>
      <w:r>
        <w:rPr>
          <w:rFonts w:eastAsia="Amiri" w:cs="Amiri" w:ascii="Amiri" w:hAnsi="Amiri"/>
          <w:color w:val="111111"/>
          <w:sz w:val="28"/>
          <w:szCs w:val="28"/>
          <w:rtl w:val="true"/>
          <w:lang w:bidi="ar-SA"/>
        </w:rPr>
        <w:t xml:space="preserve">»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يفيد وجود خبر دالّ عليه ، وهو أيضا لا يفيد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المدار في حرمة الاستقبال والاستدبار على مقدّم البدن ومؤخّره لا خصوص العورة على ظاهر كلامهم ، وصريح جماعة منهم ، وحكي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هو المقابلة بالوجه والبدن ، فلو ميل فرجه وبال لم يكن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وعزاه في المدارك إلى بعض المعاصرين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ابراهيم بن هاشم من قدماء أصحابنا في علله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 عشر لا بدّ لكلّ الناس من معرفتها ، وذلك آداب رسول اللّه صلى‌اللّه‌عليه‌وآله ، فاذا أراد البول والغائط فلا يجوز له أن يستقبل القبلة بالقبل والدبر ، والعلّة في ذلك أنّ الكعبة عظّمها اللّه وأجلّ حرمته ، ولا تستقبل بالعورتين القبل والدبر لتعظيم اللّه وحرم اللّه وبيت اللّه </w:t>
      </w:r>
      <w:r>
        <w:rPr>
          <w:rFonts w:eastAsia="Amiri" w:cs="Amiri" w:ascii="Amiri" w:hAnsi="Amiri"/>
          <w:color w:val="111111"/>
          <w:sz w:val="28"/>
          <w:szCs w:val="28"/>
          <w:rtl w:val="true"/>
          <w:lang w:bidi="ar-SA"/>
        </w:rPr>
        <w:t xml:space="preserve">» </w:t>
      </w:r>
      <w:r>
        <w:rPr>
          <w:rStyle w:val="FootnoteAnchor"/>
          <w:rtl w:val="true"/>
        </w:rPr>
        <w:footnoteReference w:id="1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 ذلك كما ترى اختصاص الحرمة باستقبال خصوص العورتين ، وإسناده ذلك إلى الرسول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دلالة عليه مرّت الإشارة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 القبلة بغائط ولا بول </w:t>
      </w:r>
      <w:r>
        <w:rPr>
          <w:rFonts w:eastAsia="Amiri" w:cs="Amiri" w:ascii="Amiri" w:hAnsi="Amiri"/>
          <w:color w:val="111111"/>
          <w:sz w:val="28"/>
          <w:szCs w:val="28"/>
          <w:rtl w:val="true"/>
          <w:lang w:bidi="ar-SA"/>
        </w:rPr>
        <w:t xml:space="preserve">» </w:t>
      </w:r>
      <w:r>
        <w:rPr>
          <w:rStyle w:val="FootnoteAnchor"/>
          <w:rtl w:val="true"/>
        </w:rPr>
        <w:footnoteReference w:id="1837"/>
      </w:r>
      <w:r>
        <w:rPr>
          <w:rFonts w:ascii="Amiri" w:hAnsi="Amiri" w:eastAsia="Amiri" w:cs="Amiri"/>
          <w:color w:val="111111"/>
          <w:sz w:val="28"/>
          <w:sz w:val="28"/>
          <w:szCs w:val="28"/>
          <w:rtl w:val="true"/>
          <w:lang w:bidi="ar-SA"/>
        </w:rPr>
        <w:t>وجعل الباء بمعنى الملابسة كأنّه بعيد عن الظاهر ، فلا 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والإطلاقات الاخر واردة على الغالب من حصول الاستقبال بالعورة عند استقبال البدن إلّا أن ظاهر فهم الأكثر يضعف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فلا شبهة في كون الاحتياط في الاجتناب عنه ، والمراد بالقبلة ما يراد في باب الصلاة ، فهي للقريب عين الكعبة وللبعيد جهتها ؛ للإطلاقات وظاهر الحسنة الماضية ؛ لصدق الانحراف بالميل اليسير عن محاذاة القبلة ، فيجوز استقبال ما بين المشرق والمغرب ؛ استنادا إلى ظاهر الأمر في الخبر المذكور ، وأن ما بين المشرق والمغرب قبلة كما في الرواية وأنّ قبلة البعيد الجهة وفيها سعة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ضعف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 المراد من الرواية الميل إلى جهة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حمله على الندب ؛ لخلوّ غيره من الأخبار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ما بين المشرق والمغرب قبلة المنجبر ؛ مدفوع بأنّ مجرّد ذلك لا يقضي بالمنع ؛ إذ الظاهر </w:t>
      </w:r>
      <w:r>
        <w:rPr>
          <w:rStyle w:val="FootnoteAnchor"/>
          <w:rtl w:val="true"/>
        </w:rPr>
        <w:footnoteReference w:id="1838"/>
      </w:r>
      <w:r>
        <w:rPr>
          <w:rFonts w:ascii="Amiri" w:hAnsi="Amiri" w:eastAsia="Amiri" w:cs="Amiri"/>
          <w:color w:val="111111"/>
          <w:sz w:val="28"/>
          <w:sz w:val="28"/>
          <w:szCs w:val="28"/>
          <w:rtl w:val="true"/>
          <w:lang w:bidi="ar-SA"/>
        </w:rPr>
        <w:t>إرادة قبلة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يحتمل القول بالمنع حال التحيّر من كونه إذن قبلة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 نظرا إلى حصول الشبهة في تلك الجهة دون غيره ، فلو دارت بين جهتين أو ثلاثة قوي اجتناب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يتعين مطلقا فإن أمكن استعلامها بالعلامات أو السؤال قوي وجوبه مع انتفاء الضرورة في تأخير قضاء الحاجة بمقداره ، وإلّا فإن أمكنه التأخير إلى ظهور الحال والانتقال إلى محلّ يعرف القبلة فيه فوجهان ، وإلّا جاز من غير لزوم التأخير إلى حال الضرورة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احتجّ له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فيه حلال وحرام </w:t>
      </w:r>
      <w:r>
        <w:rPr>
          <w:rFonts w:eastAsia="Amiri" w:cs="Amiri" w:ascii="Amiri" w:hAnsi="Amiri"/>
          <w:color w:val="111111"/>
          <w:sz w:val="28"/>
          <w:szCs w:val="28"/>
          <w:rtl w:val="true"/>
          <w:lang w:bidi="ar-SA"/>
        </w:rPr>
        <w:t xml:space="preserve">.. » </w:t>
      </w:r>
      <w:r>
        <w:rPr>
          <w:rStyle w:val="FootnoteAnchor"/>
          <w:rtl w:val="true"/>
        </w:rPr>
        <w:footnoteReference w:id="1839"/>
      </w:r>
      <w:r>
        <w:rPr>
          <w:rFonts w:ascii="IRNazanin" w:hAnsi="IRNazanin" w:eastAsia="IRNazanin"/>
          <w:color w:val="111111"/>
          <w:sz w:val="28"/>
          <w:sz w:val="28"/>
          <w:szCs w:val="28"/>
          <w:rtl w:val="true"/>
          <w:lang w:bidi="fa-IR"/>
        </w:rPr>
        <w:t>الخبر ونظائره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أرض مقاطر للكعبة مثلا سقط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يمكنه الانحراف ودار بين الاستقبال والاستدبار ففي تقديم الاستدبار في البول والاستقبال في الغائط وجه قوىّ ؛ بناء على مناسبة التعظيم المستفاد من الحسنة المذكورة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ذلك بين القادر والعاجز كما قطع به في المدارك </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بعض المحققين أنّه لا بأس في الإحالة إلى قبلة الصلاة بالنسبة إلى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بالنسبة إلى القادر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الأقرب عدم جريانه بالنسبة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الاستقبال في القائم والقاعد وما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المضطجع فهل يعتبر استقبال الصلاة أو لا؟ في المعتبر </w:t>
      </w:r>
      <w:r>
        <w:rPr>
          <w:rStyle w:val="FootnoteAnchor"/>
          <w:rtl w:val="true"/>
        </w:rPr>
        <w:footnoteReference w:id="1841"/>
      </w:r>
      <w:r>
        <w:rPr>
          <w:rFonts w:ascii="Amiri" w:hAnsi="Amiri" w:eastAsia="Amiri" w:cs="Amiri"/>
          <w:color w:val="111111"/>
          <w:sz w:val="28"/>
          <w:sz w:val="28"/>
          <w:szCs w:val="28"/>
          <w:rtl w:val="true"/>
          <w:lang w:bidi="ar-SA"/>
        </w:rPr>
        <w:t>وجهان ، والمناسب للتعظيم التجنّب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أحوط ، والظاهر أنّ المدار في الحكم إلى حال خروج الحدث دون مقدماته ، وإطلاق بعض الأخبار محمول عليه ، فالأولى البحث حال الجلوس على الخلاء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مراعاته حال الاستنجاء أيضا للخبر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يستنجي كيف يقعد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يقعد للغائط </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وإن أوهم الوجوب لكن لضعفه وعدم وضوح دلالته على الوجوب لا يثبت به ما يزيد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مناط الحكم بالخروج على النحو المعتاد من الموضع المعتاد له ، ولو كان بالعارض في وجه قويّ ، ولو أحسّ بخروج البلل قبل الاستبراء احتمل جريان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منع الأطفال من ذلك وجهان ؛ من انتفاء التكليف في شأنهم ومراعاة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وجه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باشر ذلك لهم قوي المنع</w:t>
      </w:r>
      <w:r>
        <w:rPr>
          <w:rFonts w:eastAsia="Amiri" w:cs="Amiri" w:ascii="Amiri" w:hAnsi="Amiri"/>
          <w:color w:val="111111"/>
          <w:sz w:val="28"/>
          <w:szCs w:val="28"/>
          <w:rtl w:val="true"/>
          <w:lang w:bidi="ar-SA"/>
        </w:rPr>
        <w:t xml:space="preserve">. </w:t>
      </w:r>
      <w:bookmarkStart w:id="321" w:name="pg15827_173929"/>
    </w:p>
    <w:p>
      <w:pPr>
        <w:pStyle w:val="Heading4"/>
        <w:numPr>
          <w:ilvl w:val="3"/>
          <w:numId w:val="1"/>
        </w:numPr>
        <w:rPr/>
      </w:pPr>
      <w:bookmarkStart w:id="322" w:name="__RefHeading___Toc14099815_2142443653"/>
      <w:bookmarkStart w:id="323" w:name="_Toc114"/>
      <w:bookmarkEnd w:id="321"/>
      <w:bookmarkEnd w:id="322"/>
      <w:r>
        <w:rPr>
          <w:rtl w:val="true"/>
        </w:rPr>
        <w:t>تبصرة</w:t>
      </w:r>
      <w:r>
        <w:rPr>
          <w:rtl w:val="true"/>
        </w:rPr>
        <w:t xml:space="preserve">: [ </w:t>
      </w:r>
      <w:r>
        <w:rPr>
          <w:rtl w:val="true"/>
        </w:rPr>
        <w:t xml:space="preserve">في الاستنجاء للبول والغائط </w:t>
      </w:r>
      <w:r>
        <w:rPr>
          <w:rtl w:val="true"/>
        </w:rPr>
        <w:t>]</w:t>
      </w:r>
      <w:bookmarkEnd w:id="323"/>
    </w:p>
    <w:p>
      <w:pPr>
        <w:pStyle w:val="Heading5"/>
        <w:numPr>
          <w:ilvl w:val="4"/>
          <w:numId w:val="1"/>
        </w:numPr>
        <w:rPr/>
      </w:pPr>
      <w:bookmarkStart w:id="324" w:name="__RefHeading___Toc14099817_2142443653"/>
      <w:bookmarkStart w:id="325" w:name="_Toc115"/>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يجب الاستنجاء للبول والغائط بإجماع علمائنا كافّة ، والنصوص المستفيضة بل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فيه أبو حنيفة </w:t>
      </w:r>
      <w:r>
        <w:rPr>
          <w:rStyle w:val="FootnoteAnchor"/>
          <w:rtl w:val="true"/>
        </w:rPr>
        <w:footnoteReference w:id="1843"/>
      </w:r>
      <w:r>
        <w:rPr>
          <w:rFonts w:ascii="Amiri" w:hAnsi="Amiri" w:eastAsia="Amiri" w:cs="Amiri"/>
          <w:color w:val="111111"/>
          <w:sz w:val="28"/>
          <w:sz w:val="28"/>
          <w:szCs w:val="28"/>
          <w:rtl w:val="true"/>
          <w:lang w:bidi="ar-SA"/>
        </w:rPr>
        <w:t>واتباعه إذا لم يكن التلويث أزيد من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الماء في مخرج البول على ظاهر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خالف فيه الجمهور ، وقد حكي إجماعنا على لزوم غسله بالماء خاصّة في التذكرة </w:t>
      </w:r>
      <w:r>
        <w:rPr>
          <w:rStyle w:val="FootnoteAnchor"/>
          <w:rtl w:val="true"/>
        </w:rPr>
        <w:footnoteReference w:id="1844"/>
      </w:r>
      <w:r>
        <w:rPr>
          <w:rFonts w:ascii="Amiri" w:hAnsi="Amiri" w:eastAsia="Amiri" w:cs="Amiri"/>
          <w:color w:val="111111"/>
          <w:sz w:val="28"/>
          <w:sz w:val="28"/>
          <w:szCs w:val="28"/>
          <w:rtl w:val="true"/>
          <w:lang w:bidi="ar-SA"/>
        </w:rPr>
        <w:t xml:space="preserve">ونهاية الإحكام </w:t>
      </w:r>
      <w:r>
        <w:rPr>
          <w:rStyle w:val="FootnoteAnchor"/>
          <w:rtl w:val="true"/>
        </w:rPr>
        <w:footnoteReference w:id="1845"/>
      </w:r>
      <w:r>
        <w:rPr>
          <w:rFonts w:ascii="IRNazanin" w:hAnsi="IRNazanin" w:eastAsia="IRNazanin"/>
          <w:color w:val="111111"/>
          <w:sz w:val="28"/>
          <w:sz w:val="28"/>
          <w:szCs w:val="28"/>
          <w:rtl w:val="true"/>
          <w:lang w:bidi="fa-IR"/>
        </w:rPr>
        <w:t xml:space="preserve">والروض </w:t>
      </w:r>
      <w:r>
        <w:rPr>
          <w:rStyle w:val="FootnoteAnchor"/>
          <w:rtl w:val="true"/>
        </w:rPr>
        <w:footnoteReference w:id="1846"/>
      </w:r>
      <w:r>
        <w:rPr>
          <w:rFonts w:ascii="Amiri" w:hAnsi="Amiri" w:eastAsia="Amiri" w:cs="Amiri"/>
          <w:color w:val="111111"/>
          <w:sz w:val="28"/>
          <w:sz w:val="28"/>
          <w:szCs w:val="28"/>
          <w:rtl w:val="true"/>
          <w:lang w:bidi="ar-SA"/>
        </w:rPr>
        <w:t xml:space="preserve">والمدارك </w:t>
      </w:r>
      <w:r>
        <w:rPr>
          <w:rStyle w:val="FootnoteAnchor"/>
          <w:rtl w:val="true"/>
        </w:rPr>
        <w:footnoteReference w:id="1847"/>
      </w:r>
      <w:r>
        <w:rPr>
          <w:rFonts w:ascii="IRNazanin" w:hAnsi="IRNazanin" w:eastAsia="IRNazanin"/>
          <w:color w:val="111111"/>
          <w:sz w:val="28"/>
          <w:sz w:val="28"/>
          <w:szCs w:val="28"/>
          <w:rtl w:val="true"/>
          <w:lang w:bidi="fa-IR"/>
        </w:rPr>
        <w:t xml:space="preserve">والمشارق </w:t>
      </w:r>
      <w:r>
        <w:rPr>
          <w:rStyle w:val="FootnoteAnchor"/>
          <w:rtl w:val="true"/>
        </w:rPr>
        <w:footnoteReference w:id="1848"/>
      </w:r>
      <w:r>
        <w:rPr>
          <w:rFonts w:ascii="Amiri" w:hAnsi="Amiri" w:eastAsia="Amiri" w:cs="Amiri"/>
          <w:color w:val="111111"/>
          <w:sz w:val="28"/>
          <w:sz w:val="28"/>
          <w:szCs w:val="28"/>
          <w:rtl w:val="true"/>
          <w:lang w:bidi="ar-SA"/>
        </w:rPr>
        <w:t xml:space="preserve">وكشف اللثام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إجماعي فتوى ورواية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اتفاق علمائنا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مذهب علمائنا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وحكي عن المفيد </w:t>
      </w:r>
      <w:r>
        <w:rPr>
          <w:rStyle w:val="FootnoteAnchor"/>
          <w:rtl w:val="true"/>
        </w:rPr>
        <w:footnoteReference w:id="1853"/>
      </w:r>
      <w:r>
        <w:rPr>
          <w:rFonts w:ascii="Amiri" w:hAnsi="Amiri" w:eastAsia="Amiri" w:cs="Amiri"/>
          <w:color w:val="111111"/>
          <w:sz w:val="28"/>
          <w:sz w:val="28"/>
          <w:szCs w:val="28"/>
          <w:rtl w:val="true"/>
          <w:lang w:bidi="ar-SA"/>
        </w:rPr>
        <w:t>والسيد في بحث المضاف تجويز إزالة الخبث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ذلك جوازه هنا أيضا إلّا أنّ قضية الإجماعات المنقولة عدم قولهما بما في المقام ؛ لما في بعض الأخبار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بالماء في المقام ما يعمّ المضاف ؛ لوقوعه في مقابلة 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مضافا إلى الإجماعات المحكيّة صحيحة جميل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انقطعت البول وجب الماء </w:t>
      </w:r>
      <w:r>
        <w:rPr>
          <w:rFonts w:eastAsia="Amiri" w:cs="Amiri" w:ascii="Amiri" w:hAnsi="Amiri"/>
          <w:color w:val="111111"/>
          <w:sz w:val="28"/>
          <w:szCs w:val="28"/>
          <w:rtl w:val="true"/>
          <w:lang w:bidi="ar-SA"/>
        </w:rPr>
        <w:t xml:space="preserve">» </w:t>
      </w:r>
      <w:r>
        <w:rPr>
          <w:rStyle w:val="FootnoteAnchor"/>
          <w:rtl w:val="true"/>
        </w:rPr>
        <w:footnoteReference w:id="1854"/>
      </w:r>
      <w:r>
        <w:rPr>
          <w:rFonts w:ascii="Amiri" w:hAnsi="Amiri" w:eastAsia="Amiri" w:cs="Amiri"/>
          <w:color w:val="111111"/>
          <w:sz w:val="28"/>
          <w:sz w:val="28"/>
          <w:szCs w:val="28"/>
          <w:rtl w:val="true"/>
          <w:lang w:bidi="ar-SA"/>
        </w:rPr>
        <w:t xml:space="preserve">، وقوية يزيد بن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يجزى من البول إلّا الماء </w:t>
      </w:r>
      <w:r>
        <w:rPr>
          <w:rFonts w:eastAsia="Amiri" w:cs="Amiri" w:ascii="Amiri" w:hAnsi="Amiri"/>
          <w:color w:val="111111"/>
          <w:sz w:val="28"/>
          <w:szCs w:val="28"/>
          <w:rtl w:val="true"/>
          <w:lang w:bidi="ar-SA"/>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أمر الإطلاقات الحاكمة بغسله الظاهر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سماعة الظاهرة في جواز استعمال غير الماء مؤوّلة أو محمولة على التقيّة ؛ لإطباق الفقهاء الأربعة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حالتي الاختيار والاضطرار كما هو ظاهر 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يستفاد من الشيخ 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توجيه رواية سماعة بناء على الجواز حال الاضطرار إلّا أن الأظهر عدم استفادة مذهب الشيخ في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توجيه الأخبار كما يعرف من الشيخ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على ما سننقله عن الفاضلين وغيرهما من لزوم التخفيف حال تعذّر الماء من غير حكم بالطهارة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أقلّ ما يجزي من الماء ، فعن الصدوقين </w:t>
      </w:r>
      <w:r>
        <w:rPr>
          <w:rStyle w:val="FootnoteAnchor"/>
          <w:rtl w:val="true"/>
        </w:rPr>
        <w:footnoteReference w:id="1856"/>
      </w:r>
      <w:r>
        <w:rPr>
          <w:rFonts w:ascii="Amiri" w:hAnsi="Amiri" w:eastAsia="Amiri" w:cs="Amiri"/>
          <w:color w:val="111111"/>
          <w:sz w:val="28"/>
          <w:sz w:val="28"/>
          <w:szCs w:val="28"/>
          <w:rtl w:val="true"/>
          <w:lang w:bidi="ar-SA"/>
        </w:rPr>
        <w:t xml:space="preserve">والشيخين </w:t>
      </w:r>
      <w:r>
        <w:rPr>
          <w:rStyle w:val="FootnoteAnchor"/>
          <w:rtl w:val="true"/>
        </w:rPr>
        <w:footnoteReference w:id="1857"/>
      </w:r>
      <w:r>
        <w:rPr>
          <w:rFonts w:ascii="Amiri" w:hAnsi="Amiri" w:eastAsia="Amiri" w:cs="Amiri"/>
          <w:color w:val="111111"/>
          <w:sz w:val="28"/>
          <w:sz w:val="28"/>
          <w:szCs w:val="28"/>
          <w:rtl w:val="true"/>
          <w:lang w:bidi="ar-SA"/>
        </w:rPr>
        <w:t xml:space="preserve">والفاضلين في المعتبر </w:t>
      </w:r>
      <w:r>
        <w:rPr>
          <w:rStyle w:val="FootnoteAnchor"/>
          <w:rtl w:val="true"/>
        </w:rPr>
        <w:footnoteReference w:id="1858"/>
      </w:r>
      <w:r>
        <w:rPr>
          <w:rFonts w:ascii="Amiri" w:hAnsi="Amiri" w:eastAsia="Amiri" w:cs="Amiri"/>
          <w:color w:val="111111"/>
          <w:sz w:val="28"/>
          <w:sz w:val="28"/>
          <w:szCs w:val="28"/>
          <w:rtl w:val="true"/>
          <w:lang w:bidi="ar-SA"/>
        </w:rPr>
        <w:t>والقواعد اعتبار مثلي ما على الحشفة فلا يجزي ما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بعض الأفاضل الشهرة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وعزاه بعضهم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الشيخ في الخلاف </w:t>
      </w:r>
      <w:r>
        <w:rPr>
          <w:rStyle w:val="FootnoteAnchor"/>
          <w:rtl w:val="true"/>
        </w:rPr>
        <w:footnoteReference w:id="1859"/>
      </w:r>
      <w:r>
        <w:rPr>
          <w:rFonts w:ascii="Amiri" w:hAnsi="Amiri" w:eastAsia="Amiri" w:cs="Amiri"/>
          <w:color w:val="111111"/>
          <w:sz w:val="28"/>
          <w:sz w:val="28"/>
          <w:szCs w:val="28"/>
          <w:rtl w:val="true"/>
          <w:lang w:bidi="ar-SA"/>
        </w:rPr>
        <w:t xml:space="preserve">والحلبي </w:t>
      </w:r>
      <w:r>
        <w:rPr>
          <w:rStyle w:val="FootnoteAnchor"/>
          <w:rtl w:val="true"/>
        </w:rPr>
        <w:footnoteReference w:id="1860"/>
      </w:r>
      <w:r>
        <w:rPr>
          <w:rFonts w:ascii="Amiri" w:hAnsi="Amiri" w:eastAsia="Amiri" w:cs="Amiri"/>
          <w:color w:val="111111"/>
          <w:sz w:val="28"/>
          <w:sz w:val="28"/>
          <w:szCs w:val="28"/>
          <w:rtl w:val="true"/>
          <w:lang w:bidi="ar-SA"/>
        </w:rPr>
        <w:t xml:space="preserve">وابن زهرة </w:t>
      </w:r>
      <w:r>
        <w:rPr>
          <w:rStyle w:val="FootnoteAnchor"/>
          <w:rtl w:val="true"/>
        </w:rPr>
        <w:footnoteReference w:id="1861"/>
      </w:r>
      <w:r>
        <w:rPr>
          <w:rFonts w:ascii="Amiri" w:hAnsi="Amiri" w:eastAsia="Amiri" w:cs="Amiri"/>
          <w:color w:val="111111"/>
          <w:sz w:val="28"/>
          <w:sz w:val="28"/>
          <w:szCs w:val="28"/>
          <w:rtl w:val="true"/>
          <w:lang w:bidi="ar-SA"/>
        </w:rPr>
        <w:t xml:space="preserve">والطوسي </w:t>
      </w:r>
      <w:r>
        <w:rPr>
          <w:rStyle w:val="FootnoteAnchor"/>
          <w:rtl w:val="true"/>
        </w:rPr>
        <w:footnoteReference w:id="1862"/>
      </w:r>
      <w:r>
        <w:rPr>
          <w:rFonts w:ascii="Amiri" w:hAnsi="Amiri" w:eastAsia="Amiri" w:cs="Amiri"/>
          <w:color w:val="111111"/>
          <w:sz w:val="28"/>
          <w:sz w:val="28"/>
          <w:szCs w:val="28"/>
          <w:rtl w:val="true"/>
          <w:lang w:bidi="ar-SA"/>
        </w:rPr>
        <w:t xml:space="preserve">والحلي </w:t>
      </w:r>
      <w:r>
        <w:rPr>
          <w:rStyle w:val="FootnoteAnchor"/>
          <w:rtl w:val="true"/>
        </w:rPr>
        <w:footnoteReference w:id="1863"/>
      </w:r>
      <w:r>
        <w:rPr>
          <w:rFonts w:ascii="Amiri" w:hAnsi="Amiri" w:eastAsia="Amiri" w:cs="Amiri"/>
          <w:color w:val="111111"/>
          <w:sz w:val="28"/>
          <w:sz w:val="28"/>
          <w:szCs w:val="28"/>
          <w:rtl w:val="true"/>
          <w:lang w:bidi="ar-SA"/>
        </w:rPr>
        <w:t xml:space="preserve">والفاضل في المنتهى </w:t>
      </w:r>
      <w:r>
        <w:rPr>
          <w:rStyle w:val="FootnoteAnchor"/>
          <w:rtl w:val="true"/>
        </w:rPr>
        <w:footnoteReference w:id="1864"/>
      </w:r>
      <w:r>
        <w:rPr>
          <w:rFonts w:ascii="IRNazanin" w:hAnsi="IRNazanin" w:eastAsia="IRNazanin"/>
          <w:color w:val="111111"/>
          <w:sz w:val="28"/>
          <w:sz w:val="28"/>
          <w:szCs w:val="28"/>
          <w:rtl w:val="true"/>
          <w:lang w:bidi="fa-IR"/>
        </w:rPr>
        <w:t xml:space="preserve">والمختلف </w:t>
      </w:r>
      <w:r>
        <w:rPr>
          <w:rStyle w:val="FootnoteAnchor"/>
          <w:rtl w:val="true"/>
        </w:rPr>
        <w:footnoteReference w:id="1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Style w:val="FootnoteAnchor"/>
          <w:rtl w:val="true"/>
        </w:rPr>
        <w:footnoteReference w:id="1866"/>
      </w:r>
      <w:r>
        <w:rPr>
          <w:rFonts w:ascii="Amiri" w:hAnsi="Amiri" w:eastAsia="Amiri" w:cs="Amiri"/>
          <w:color w:val="111111"/>
          <w:sz w:val="28"/>
          <w:sz w:val="28"/>
          <w:szCs w:val="28"/>
          <w:rtl w:val="true"/>
          <w:lang w:bidi="ar-SA"/>
        </w:rPr>
        <w:t xml:space="preserve">، والشهيدين في اللّمعة ، وظاهر الروض </w:t>
      </w:r>
      <w:r>
        <w:rPr>
          <w:rStyle w:val="FootnoteAnchor"/>
          <w:rtl w:val="true"/>
        </w:rPr>
        <w:footnoteReference w:id="1867"/>
      </w:r>
      <w:r>
        <w:rPr>
          <w:rFonts w:ascii="Amiri" w:hAnsi="Amiri" w:eastAsia="Amiri" w:cs="Amiri"/>
          <w:color w:val="111111"/>
          <w:sz w:val="28"/>
          <w:sz w:val="28"/>
          <w:szCs w:val="28"/>
          <w:rtl w:val="true"/>
          <w:lang w:bidi="ar-SA"/>
        </w:rPr>
        <w:t xml:space="preserve">، وابن فهد في الموجز ، وصاحبي المدارك </w:t>
      </w:r>
      <w:r>
        <w:rPr>
          <w:rStyle w:val="FootnoteAnchor"/>
          <w:rtl w:val="true"/>
        </w:rPr>
        <w:footnoteReference w:id="1868"/>
      </w:r>
      <w:r>
        <w:rPr>
          <w:rFonts w:ascii="IRNazanin" w:hAnsi="IRNazanin" w:eastAsia="IRNazanin"/>
          <w:color w:val="111111"/>
          <w:sz w:val="28"/>
          <w:sz w:val="28"/>
          <w:szCs w:val="28"/>
          <w:rtl w:val="true"/>
          <w:lang w:bidi="fa-IR"/>
        </w:rPr>
        <w:t xml:space="preserve">والمشارق </w:t>
      </w:r>
      <w:r>
        <w:rPr>
          <w:rStyle w:val="FootnoteAnchor"/>
          <w:rtl w:val="true"/>
        </w:rPr>
        <w:footnoteReference w:id="1869"/>
      </w:r>
      <w:r>
        <w:rPr>
          <w:rFonts w:ascii="Amiri" w:hAnsi="Amiri" w:eastAsia="Amiri" w:cs="Amiri"/>
          <w:color w:val="111111"/>
          <w:sz w:val="28"/>
          <w:sz w:val="28"/>
          <w:szCs w:val="28"/>
          <w:rtl w:val="true"/>
          <w:lang w:bidi="ar-SA"/>
        </w:rPr>
        <w:t xml:space="preserve">والذخيرة </w:t>
      </w:r>
      <w:r>
        <w:rPr>
          <w:rStyle w:val="FootnoteAnchor"/>
          <w:rtl w:val="true"/>
        </w:rPr>
        <w:footnoteReference w:id="1870"/>
      </w:r>
      <w:r>
        <w:rPr>
          <w:rFonts w:ascii="Amiri" w:hAnsi="Amiri" w:eastAsia="Amiri" w:cs="Amiri"/>
          <w:color w:val="111111"/>
          <w:sz w:val="28"/>
          <w:sz w:val="28"/>
          <w:szCs w:val="28"/>
          <w:rtl w:val="true"/>
          <w:lang w:bidi="ar-SA"/>
        </w:rPr>
        <w:t>، وغيرهم من المتأخرين الاجتزاء بكلّ ما يزيل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يكون الخلاف في ذلك لفظيّا من جهة التأمّل في كون ما نقص عن المثلين مزيلا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إليه الشهيد في البيان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فالحق الأخير ؛ للإطلاقات وخصوص مرسلة نشيط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البول أن يغسله بمثله </w:t>
      </w:r>
      <w:r>
        <w:rPr>
          <w:rFonts w:eastAsia="Amiri" w:cs="Amiri" w:ascii="Amiri" w:hAnsi="Amiri"/>
          <w:color w:val="111111"/>
          <w:sz w:val="28"/>
          <w:szCs w:val="28"/>
          <w:rtl w:val="true"/>
          <w:lang w:bidi="ar-SA"/>
        </w:rPr>
        <w:t xml:space="preserve">» </w:t>
      </w:r>
      <w:r>
        <w:rPr>
          <w:rStyle w:val="FootnoteAnchor"/>
          <w:rtl w:val="true"/>
        </w:rPr>
        <w:footnoteReference w:id="1872"/>
      </w:r>
      <w:r>
        <w:rPr>
          <w:rFonts w:ascii="Amiri" w:hAnsi="Amiri" w:eastAsia="Amiri" w:cs="Amiri"/>
          <w:color w:val="111111"/>
          <w:sz w:val="28"/>
          <w:sz w:val="28"/>
          <w:szCs w:val="28"/>
          <w:rtl w:val="true"/>
          <w:lang w:bidi="ar-SA"/>
        </w:rPr>
        <w:t xml:space="preserve">، ومرسلة الكليني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أن يغسل بمثله من الماء إذا كان على رأس </w:t>
      </w:r>
    </w:p>
    <w:p>
      <w:pPr>
        <w:pStyle w:val="BookText"/>
        <w:rPr/>
      </w:pPr>
      <w:r>
        <w:rPr>
          <w:rFonts w:ascii="Amiri" w:hAnsi="Amiri" w:eastAsia="Amiri" w:cs="Amiri"/>
          <w:color w:val="111111"/>
          <w:sz w:val="28"/>
          <w:sz w:val="28"/>
          <w:szCs w:val="28"/>
          <w:rtl w:val="true"/>
          <w:lang w:bidi="ar-SA"/>
        </w:rPr>
        <w:t xml:space="preserve">الحشفة </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احتجّوا برواية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يجزي من الماء في الاستنجاء من البول؟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بمثلي ما على الحشفة </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بعد الغضّ عن سندها لما ادّعي من الشهرة الجابرة لها أنّها محمولة على المبالغة والإشارة إلى كمال التوسع وغاية السهولة كما هو الشأن في هذه الشريعة السهلة ؛ للاكتفاء بأقل القليل ولو بمثل القطرتين ، وليس المقصود بعينهما في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يجعل ذلك إشارة إلى اعتبار عليّة المطهّر في إزالة النجاسة ؛ لعدم حصولها بدونها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اعتبار التعدّد في الغسل هنا قولان ، فعن الصدوق في الفقيه </w:t>
      </w:r>
      <w:r>
        <w:rPr>
          <w:rStyle w:val="FootnoteAnchor"/>
          <w:rtl w:val="true"/>
        </w:rPr>
        <w:footnoteReference w:id="1875"/>
      </w:r>
      <w:r>
        <w:rPr>
          <w:rFonts w:ascii="Amiri" w:hAnsi="Amiri" w:eastAsia="Amiri" w:cs="Amiri"/>
          <w:color w:val="111111"/>
          <w:sz w:val="28"/>
          <w:sz w:val="28"/>
          <w:szCs w:val="28"/>
          <w:rtl w:val="true"/>
          <w:lang w:bidi="ar-SA"/>
        </w:rPr>
        <w:t xml:space="preserve">والهداية </w:t>
      </w:r>
      <w:r>
        <w:rPr>
          <w:rStyle w:val="FootnoteAnchor"/>
          <w:rtl w:val="true"/>
        </w:rPr>
        <w:footnoteReference w:id="1876"/>
      </w:r>
      <w:r>
        <w:rPr>
          <w:rFonts w:ascii="Amiri" w:hAnsi="Amiri" w:eastAsia="Amiri" w:cs="Amiri"/>
          <w:color w:val="111111"/>
          <w:sz w:val="28"/>
          <w:sz w:val="28"/>
          <w:szCs w:val="28"/>
          <w:rtl w:val="true"/>
          <w:lang w:bidi="ar-SA"/>
        </w:rPr>
        <w:t>اعتبار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الشهيدان في الذكرى </w:t>
      </w:r>
      <w:r>
        <w:rPr>
          <w:rStyle w:val="FootnoteAnchor"/>
          <w:rtl w:val="true"/>
        </w:rPr>
        <w:footnoteReference w:id="1877"/>
      </w:r>
      <w:r>
        <w:rPr>
          <w:rFonts w:ascii="Amiri" w:hAnsi="Amiri" w:eastAsia="Amiri" w:cs="Amiri"/>
          <w:color w:val="111111"/>
          <w:sz w:val="28"/>
          <w:sz w:val="28"/>
          <w:szCs w:val="28"/>
          <w:rtl w:val="true"/>
          <w:lang w:bidi="ar-SA"/>
        </w:rPr>
        <w:t xml:space="preserve">والروضة </w:t>
      </w:r>
      <w:r>
        <w:rPr>
          <w:rStyle w:val="FootnoteAnchor"/>
          <w:rtl w:val="true"/>
        </w:rPr>
        <w:footnoteReference w:id="1878"/>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187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الاكتفاء بالمرّة ، وعليه الأكثر ، بل لم ينقل من أحد </w:t>
      </w:r>
      <w:r>
        <w:rPr>
          <w:rStyle w:val="FootnoteAnchor"/>
          <w:rtl w:val="true"/>
        </w:rPr>
        <w:footnoteReference w:id="1880"/>
      </w:r>
      <w:r>
        <w:rPr>
          <w:rFonts w:ascii="Amiri" w:hAnsi="Amiri" w:eastAsia="Amiri" w:cs="Amiri"/>
          <w:color w:val="111111"/>
          <w:sz w:val="28"/>
          <w:sz w:val="28"/>
          <w:szCs w:val="28"/>
          <w:rtl w:val="true"/>
          <w:lang w:bidi="ar-SA"/>
        </w:rPr>
        <w:t>القدماء التصريح بخلاف سوى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 لإطلاق طهوريّة الماء والإطلاقات الآمرة بغسله أو صب الماء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للاستنجاء حد؟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ينقى مأثمة </w:t>
      </w:r>
      <w:r>
        <w:rPr>
          <w:rFonts w:eastAsia="Amiri" w:cs="Amiri" w:ascii="Amiri" w:hAnsi="Amiri"/>
          <w:color w:val="111111"/>
          <w:sz w:val="28"/>
          <w:szCs w:val="28"/>
          <w:rtl w:val="true"/>
          <w:lang w:bidi="ar-SA"/>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وخصوص مرسلة نشيط ومرسلة الكليني المتقدمتان لا إشعار فيها </w:t>
      </w:r>
      <w:r>
        <w:rPr>
          <w:rStyle w:val="FootnoteAnchor"/>
          <w:rtl w:val="true"/>
        </w:rPr>
        <w:footnoteReference w:id="1882"/>
      </w:r>
      <w:r>
        <w:rPr>
          <w:rFonts w:ascii="Amiri" w:hAnsi="Amiri" w:eastAsia="Amiri" w:cs="Amiri"/>
          <w:color w:val="111111"/>
          <w:sz w:val="28"/>
          <w:sz w:val="28"/>
          <w:szCs w:val="28"/>
          <w:rtl w:val="true"/>
          <w:lang w:bidi="ar-SA"/>
        </w:rPr>
        <w:t xml:space="preserve">باعتبار التعدد في </w:t>
      </w:r>
    </w:p>
    <w:p>
      <w:pPr>
        <w:pStyle w:val="BookText"/>
        <w:rPr/>
      </w:pPr>
      <w:r>
        <w:rPr>
          <w:rFonts w:ascii="Amiri" w:hAnsi="Amiri" w:eastAsia="Amiri" w:cs="Amiri"/>
          <w:color w:val="111111"/>
          <w:sz w:val="28"/>
          <w:sz w:val="28"/>
          <w:szCs w:val="28"/>
          <w:rtl w:val="true"/>
          <w:lang w:bidi="ar-SA"/>
        </w:rPr>
        <w:t xml:space="preserve">الغسل بوجه ، بل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المطهّر أو خصوص اعتبار المثلين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بعض الأفاضل أيضا بأنّ حمل الرواية على إرادة التعدد يوجب الاكتفاء بالمثل في الغسلة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 ؛ لعدم حصول الغلبة المعتبرة في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على اعتبار الثلاثة بالنظر إلى القطرة الباقية بعد خروج البول وإن كان إجراء الماء بعد سقوطها ، فهي غالبة على الرطوبة </w:t>
      </w:r>
      <w:r>
        <w:rPr>
          <w:rStyle w:val="FootnoteAnchor"/>
          <w:rtl w:val="true"/>
        </w:rPr>
        <w:footnoteReference w:id="1883"/>
      </w:r>
      <w:r>
        <w:rPr>
          <w:rFonts w:ascii="Amiri" w:hAnsi="Amiri" w:eastAsia="Amiri" w:cs="Amiri"/>
          <w:color w:val="111111"/>
          <w:sz w:val="28"/>
          <w:sz w:val="28"/>
          <w:szCs w:val="28"/>
          <w:rtl w:val="true"/>
          <w:lang w:bidi="ar-SA"/>
        </w:rPr>
        <w:t>في المخرج لا وجه له ؛ لإطلاق الرواية أوّلا ، وعدم اعتبار سقوطها عنها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الغلبة المذكورة محلّ مناقشة ، بل الذي يفهم من الإطلاقات اعتبار الإزالة خاصّة إلّا أن يقال بعدم حصولها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محلّ تأمّل ، والأخبار الدالّة على اعتبار التعدّد في إزالة البول إنّما دلّت عليه عند إصابة الجسد أو الثوب ، وذلك لا يشمل </w:t>
      </w:r>
      <w:r>
        <w:rPr>
          <w:rStyle w:val="FootnoteAnchor"/>
          <w:rtl w:val="true"/>
        </w:rPr>
        <w:footnoteReference w:id="1884"/>
      </w:r>
      <w:r>
        <w:rPr>
          <w:rFonts w:ascii="Amiri" w:hAnsi="Amiri" w:eastAsia="Amiri" w:cs="Amiri"/>
          <w:color w:val="111111"/>
          <w:sz w:val="28"/>
          <w:sz w:val="28"/>
          <w:szCs w:val="28"/>
          <w:rtl w:val="true"/>
          <w:lang w:bidi="ar-SA"/>
        </w:rPr>
        <w:t>صورة الاستنجاء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إطلاقها فهي معارضة بالإطلاقات الواردة في المقام ، والتعارض نحو </w:t>
      </w:r>
      <w:r>
        <w:rPr>
          <w:rStyle w:val="FootnoteAnchor"/>
          <w:rtl w:val="true"/>
        </w:rPr>
        <w:footnoteReference w:id="1885"/>
      </w:r>
      <w:r>
        <w:rPr>
          <w:rFonts w:ascii="Amiri" w:hAnsi="Amiri" w:eastAsia="Amiri" w:cs="Amiri"/>
          <w:color w:val="111111"/>
          <w:sz w:val="28"/>
          <w:sz w:val="28"/>
          <w:szCs w:val="28"/>
          <w:rtl w:val="true"/>
          <w:lang w:bidi="ar-SA"/>
        </w:rPr>
        <w:t>العموم من وجه والعمومات القاضية بطهورية الماء حاكمة بالطهارة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والاجماع المنقول أيضا مخصوص بغير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استشهاد الناقل في المقام بالأخبار ، وعدم نقله الإجماع هنا ، بل ونصّه على الخلاف فيه ، وجعله اعتبار المثلين أولى</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القول باعتبار التعدّد فهل يعتبر فيه التعدّد الحقيقي المتوقّف على حصول الفصل بين الغسلتين أو يكتفي بالتقديري؟ قولان ، اختار أوّلهما الشهيد في الذكرى </w:t>
      </w:r>
      <w:r>
        <w:rPr>
          <w:rStyle w:val="FootnoteAnchor"/>
          <w:rtl w:val="true"/>
        </w:rPr>
        <w:footnoteReference w:id="1886"/>
      </w:r>
      <w:r>
        <w:rPr>
          <w:rFonts w:ascii="Amiri" w:hAnsi="Amiri" w:eastAsia="Amiri" w:cs="Amiri"/>
          <w:color w:val="111111"/>
          <w:sz w:val="28"/>
          <w:sz w:val="28"/>
          <w:szCs w:val="28"/>
          <w:rtl w:val="true"/>
          <w:lang w:bidi="ar-SA"/>
        </w:rPr>
        <w:t>مع ذهابه إلى عدم اعتباره في غير الاستنجاء</w:t>
      </w:r>
      <w:r>
        <w:rPr>
          <w:rFonts w:eastAsia="Amiri" w:cs="Amiri" w:ascii="Amiri" w:hAnsi="Amiri"/>
          <w:color w:val="111111"/>
          <w:sz w:val="28"/>
          <w:szCs w:val="28"/>
          <w:rtl w:val="true"/>
          <w:lang w:bidi="ar-SA"/>
        </w:rPr>
        <w:t xml:space="preserve">. </w:t>
      </w:r>
      <w:bookmarkStart w:id="326" w:name="pg15827_173934"/>
    </w:p>
    <w:p>
      <w:pPr>
        <w:pStyle w:val="BookText"/>
        <w:rPr/>
      </w:pPr>
      <w:bookmarkEnd w:id="326"/>
      <w:r>
        <w:rPr>
          <w:rFonts w:ascii="Amiri" w:hAnsi="Amiri" w:eastAsia="Amiri" w:cs="Amiri"/>
          <w:color w:val="111111"/>
          <w:sz w:val="28"/>
          <w:sz w:val="28"/>
          <w:szCs w:val="28"/>
          <w:rtl w:val="true"/>
          <w:lang w:bidi="ar-SA"/>
        </w:rPr>
        <w:t xml:space="preserve">اعتذر منه المحقق الكركي </w:t>
      </w:r>
      <w:r>
        <w:rPr>
          <w:rStyle w:val="FootnoteAnchor"/>
          <w:rtl w:val="true"/>
        </w:rPr>
        <w:footnoteReference w:id="1887"/>
      </w:r>
      <w:r>
        <w:rPr>
          <w:rFonts w:ascii="Amiri" w:hAnsi="Amiri" w:eastAsia="Amiri" w:cs="Amiri"/>
          <w:color w:val="111111"/>
          <w:sz w:val="28"/>
          <w:sz w:val="28"/>
          <w:szCs w:val="28"/>
          <w:rtl w:val="true"/>
          <w:lang w:bidi="ar-SA"/>
        </w:rPr>
        <w:t>بين ما إذا كانت الإزالة بالمثلين أو ما زاد عليهما ، فعلى الأول لا بدّ من الانفصال لصدق الوحدة مع عدمه ، بخلاف ما لو كان الماء كثيرا ، وبه وجّه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إذن اعتبار الفصل مطلقا لعدم صدق التعدد عرفا بدونه ، مضافا إلى استصحاب النجاسة الباقية</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4099819_2142443653"/>
      <w:bookmarkStart w:id="328" w:name="_Toc116"/>
      <w:bookmarkEnd w:id="327"/>
      <w:r>
        <w:rPr>
          <w:rtl w:val="true"/>
        </w:rPr>
        <w:t>فروع</w:t>
      </w:r>
      <w:bookmarkEnd w:id="328"/>
    </w:p>
    <w:p>
      <w:pPr>
        <w:pStyle w:val="BookText"/>
        <w:rPr/>
      </w:pPr>
      <w:r>
        <w:rPr>
          <w:rFonts w:ascii="IRNazanin" w:hAnsi="IRNazanin" w:eastAsia="IRNazanin"/>
          <w:color w:val="111111"/>
          <w:sz w:val="28"/>
          <w:sz w:val="28"/>
          <w:szCs w:val="28"/>
          <w:rtl w:val="true"/>
          <w:lang w:bidi="fa-IR"/>
        </w:rPr>
        <w:t xml:space="preserve">الأول </w:t>
      </w:r>
      <w:r>
        <w:rPr>
          <w:rStyle w:val="FootnoteAnchor"/>
          <w:rtl w:val="true"/>
        </w:rPr>
        <w:footnoteReference w:id="1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على الأغلف غسل ما تحت الغلفة؟ وجهان مبنيّان على كونه من الظاهر أو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المحقق الكركي بالأوّل ، واختاره المحقق والعلّامة في المنتهى </w:t>
      </w:r>
      <w:r>
        <w:rPr>
          <w:rStyle w:val="FootnoteAnchor"/>
          <w:rtl w:val="true"/>
        </w:rPr>
        <w:footnoteReference w:id="1889"/>
      </w:r>
      <w:r>
        <w:rPr>
          <w:rFonts w:ascii="Amiri" w:hAnsi="Amiri" w:eastAsia="Amiri" w:cs="Amiri"/>
          <w:color w:val="111111"/>
          <w:sz w:val="28"/>
          <w:sz w:val="28"/>
          <w:szCs w:val="28"/>
          <w:rtl w:val="true"/>
          <w:lang w:bidi="ar-SA"/>
        </w:rPr>
        <w:t xml:space="preserve">وغيره ، والشهيد في الذكرى </w:t>
      </w:r>
      <w:r>
        <w:rPr>
          <w:rStyle w:val="FootnoteAnchor"/>
          <w:rtl w:val="true"/>
        </w:rPr>
        <w:footnoteReference w:id="1890"/>
      </w:r>
      <w:r>
        <w:rPr>
          <w:rFonts w:ascii="Amiri" w:hAnsi="Amiri" w:eastAsia="Amiri" w:cs="Amiri"/>
          <w:color w:val="111111"/>
          <w:sz w:val="28"/>
          <w:sz w:val="28"/>
          <w:szCs w:val="28"/>
          <w:rtl w:val="true"/>
          <w:lang w:bidi="ar-SA"/>
        </w:rPr>
        <w:t xml:space="preserve">إلّا أن يكون </w:t>
      </w:r>
      <w:r>
        <w:rPr>
          <w:rFonts w:eastAsia="Amiri" w:cs="Amiri" w:ascii="Amiri" w:hAnsi="Amiri"/>
          <w:color w:val="111111"/>
          <w:sz w:val="28"/>
          <w:szCs w:val="28"/>
          <w:rtl w:val="true"/>
          <w:lang w:bidi="ar-SA"/>
        </w:rPr>
        <w:t xml:space="preserve">... </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فيسقط عنه ، وحكي الثاني عن المنتهى والذكرى ، والموجود فيهما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يخالط البول أجزاء لزجة من المذي والودي أو نحوهما كفى فيه مجرّد الصبّ ؛ لإطلاق </w:t>
      </w:r>
      <w:r>
        <w:rPr>
          <w:rStyle w:val="FootnoteAnchor"/>
          <w:rtl w:val="true"/>
        </w:rPr>
        <w:footnoteReference w:id="1892"/>
      </w:r>
      <w:r>
        <w:rPr>
          <w:rFonts w:ascii="Amiri" w:hAnsi="Amiri" w:eastAsia="Amiri" w:cs="Amiri"/>
          <w:color w:val="111111"/>
          <w:sz w:val="28"/>
          <w:sz w:val="28"/>
          <w:szCs w:val="28"/>
          <w:rtl w:val="true"/>
          <w:lang w:bidi="ar-SA"/>
        </w:rPr>
        <w:t xml:space="preserve">الأمر بالصبّ ، وفي بعضها بعد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ماء </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شكّ في ممازجة شي‌ء له فهل يكتفي بالصبّ أو لا بدّ من الدلك وجهان ؛ أحوطهما ذلك ليحصل اليقين بالطهارة بعد تيقّن النجاسة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عليه استعمال الماء لفقده أو بسبب آخر ، فهل يجب عليه التمسّح بالحجر </w:t>
      </w:r>
    </w:p>
    <w:p>
      <w:pPr>
        <w:pStyle w:val="BookText"/>
        <w:rPr/>
      </w:pPr>
      <w:r>
        <w:rPr>
          <w:rFonts w:ascii="Amiri" w:hAnsi="Amiri" w:eastAsia="Amiri" w:cs="Amiri"/>
          <w:color w:val="111111"/>
          <w:sz w:val="28"/>
          <w:sz w:val="28"/>
          <w:szCs w:val="28"/>
          <w:rtl w:val="true"/>
          <w:lang w:bidi="ar-SA"/>
        </w:rPr>
        <w:t>ونحوه ؛ نظرا إلى أنّ الواجب إزالة العين والأثر ، فإذا تعذر أحدهما وجب الآخر ، ويسقط ذلك بتعذّر المطهّر؟ قولان اختار أوّلهما الفاضلان والشهيد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التعليل المذكور وجوب ذلك بالنسبة إلى سائر النجاسات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المتأخرين أنّه فهم ذلك حصول الطهارة الاضطرارية بذلك من الأصحاب كالتيمّم بالنسبة إلى الأحداث ، ووافقهم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الفاضل الجزائري أيضا ذلك من كلام الفاضلين ، وذكر أنّه لم يذهب إليه سواهما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واستفادة ذلك من كلامهم كما ترى ، بل التعليل المذكور صريح في بقاء الأثر أعني النجاسة ، فالقول بالطهارة إن ثبت ضعيف جدا ؛ لما عرفت من الإجماعات والأخبار الدالّة على تعيين </w:t>
      </w:r>
      <w:r>
        <w:rPr>
          <w:rStyle w:val="FootnoteAnchor"/>
          <w:rtl w:val="true"/>
        </w:rPr>
        <w:footnoteReference w:id="1894"/>
      </w:r>
      <w:r>
        <w:rPr>
          <w:rFonts w:ascii="Amiri" w:hAnsi="Amiri" w:eastAsia="Amiri" w:cs="Amiri"/>
          <w:color w:val="111111"/>
          <w:sz w:val="28"/>
          <w:sz w:val="28"/>
          <w:szCs w:val="28"/>
          <w:rtl w:val="true"/>
          <w:lang w:bidi="ar-SA"/>
        </w:rPr>
        <w:t>تطهيره بالماء ، من غير ظهور دليل على حصول الطهارة الاضطرارية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بموثّقة ابن بكير ، ولا دلالة فيها على 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يجري عليه حكم الطاهر بالنسبة إلى الصلاة لسقوط حكم النجاسة إذن حال الضرورة ، وأمّا وجوب التجفيف في النجاسة كما ذكروه فهو لا يساعده الاعتبار المذكور إلّا أنّه لا ينهض حجّة على ثبوت الحكم ، فالبناء على أصالة البراءة أقوى</w:t>
      </w:r>
      <w:r>
        <w:rPr>
          <w:rFonts w:eastAsia="Amiri" w:cs="Amiri" w:ascii="Amiri" w:hAnsi="Amiri"/>
          <w:color w:val="111111"/>
          <w:sz w:val="28"/>
          <w:szCs w:val="28"/>
          <w:rtl w:val="true"/>
          <w:lang w:bidi="ar-SA"/>
        </w:rPr>
        <w:t xml:space="preserve">. </w:t>
      </w:r>
      <w:bookmarkStart w:id="329" w:name="pg15827_173936"/>
    </w:p>
    <w:p>
      <w:pPr>
        <w:pStyle w:val="Heading4"/>
        <w:numPr>
          <w:ilvl w:val="3"/>
          <w:numId w:val="1"/>
        </w:numPr>
        <w:rPr/>
      </w:pPr>
      <w:bookmarkStart w:id="330" w:name="__RefHeading___Toc14099821_2142443653"/>
      <w:bookmarkStart w:id="331" w:name="_Toc117"/>
      <w:bookmarkEnd w:id="329"/>
      <w:bookmarkEnd w:id="330"/>
      <w:r>
        <w:rPr>
          <w:rtl w:val="true"/>
        </w:rPr>
        <w:t>تبصرة</w:t>
      </w:r>
      <w:r>
        <w:rPr>
          <w:rtl w:val="true"/>
        </w:rPr>
        <w:t xml:space="preserve">: [ </w:t>
      </w:r>
      <w:r>
        <w:rPr>
          <w:rtl w:val="true"/>
        </w:rPr>
        <w:t xml:space="preserve">في الاستنجاء من الغائط </w:t>
      </w:r>
      <w:r>
        <w:rPr>
          <w:rtl w:val="true"/>
        </w:rPr>
        <w:t>]</w:t>
      </w:r>
      <w:bookmarkEnd w:id="331"/>
    </w:p>
    <w:p>
      <w:pPr>
        <w:pStyle w:val="BookText"/>
        <w:rPr/>
      </w:pPr>
      <w:r>
        <w:rPr>
          <w:rFonts w:ascii="Amiri" w:hAnsi="Amiri" w:eastAsia="Amiri" w:cs="Amiri"/>
          <w:color w:val="111111"/>
          <w:sz w:val="28"/>
          <w:sz w:val="28"/>
          <w:szCs w:val="28"/>
          <w:rtl w:val="true"/>
          <w:lang w:bidi="ar-SA"/>
        </w:rPr>
        <w:t>يتعيّن الماء أيضا في الاستنجاء من الغائط مع التعدية بلا خلاف بين الطائفة ، وحكاية الاجماع عليه مستفيضة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المعتبر </w:t>
      </w:r>
      <w:r>
        <w:rPr>
          <w:rStyle w:val="FootnoteAnchor"/>
          <w:rtl w:val="true"/>
        </w:rPr>
        <w:footnoteReference w:id="1895"/>
      </w:r>
      <w:r>
        <w:rPr>
          <w:rFonts w:ascii="Amiri" w:hAnsi="Amiri" w:eastAsia="Amiri" w:cs="Amiri"/>
          <w:color w:val="111111"/>
          <w:sz w:val="28"/>
          <w:sz w:val="28"/>
          <w:szCs w:val="28"/>
          <w:rtl w:val="true"/>
          <w:lang w:bidi="ar-SA"/>
        </w:rPr>
        <w:t>أنّه مذهب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Style w:val="FootnoteAnchor"/>
          <w:rtl w:val="true"/>
        </w:rPr>
        <w:footnoteReference w:id="1896"/>
      </w:r>
      <w:r>
        <w:rPr>
          <w:rFonts w:ascii="Amiri" w:hAnsi="Amiri" w:eastAsia="Amiri" w:cs="Amiri"/>
          <w:color w:val="111111"/>
          <w:sz w:val="28"/>
          <w:sz w:val="28"/>
          <w:szCs w:val="28"/>
          <w:rtl w:val="true"/>
          <w:lang w:bidi="ar-SA"/>
        </w:rPr>
        <w:t>أنّه متعيّن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w:t>
      </w:r>
      <w:r>
        <w:rPr>
          <w:rStyle w:val="FootnoteAnchor"/>
          <w:rtl w:val="true"/>
        </w:rPr>
        <w:footnoteReference w:id="1897"/>
      </w:r>
      <w:r>
        <w:rPr>
          <w:rFonts w:ascii="Amiri" w:hAnsi="Amiri" w:eastAsia="Amiri" w:cs="Amiri"/>
          <w:color w:val="111111"/>
          <w:sz w:val="28"/>
          <w:sz w:val="28"/>
          <w:szCs w:val="28"/>
          <w:rtl w:val="true"/>
          <w:lang w:bidi="ar-SA"/>
        </w:rPr>
        <w:t>أنه إجماعيّ من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به خاصّة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الإجماعات المحكيّة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والنبويّ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أحدكم ثلاثة أحجار إذا لم يتجاوز محلّ العادة </w:t>
      </w:r>
      <w:r>
        <w:rPr>
          <w:rFonts w:eastAsia="Amiri" w:cs="Amiri" w:ascii="Amiri" w:hAnsi="Amiri"/>
          <w:color w:val="111111"/>
          <w:sz w:val="28"/>
          <w:szCs w:val="28"/>
          <w:rtl w:val="true"/>
          <w:lang w:bidi="ar-SA"/>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الأصحاب فيما ذكر لا يخلو عن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حقيقة الحال ببيان أمرين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التعدي على تجاوز بين المحلّ المعتاد بحيث لا يعدّ إزالته عن ذلك استنجاء في العادة كما اختاره في المدارك </w:t>
      </w:r>
      <w:r>
        <w:rPr>
          <w:rStyle w:val="FootnoteAnchor"/>
          <w:rtl w:val="true"/>
        </w:rPr>
        <w:footnoteReference w:id="1900"/>
      </w:r>
      <w:r>
        <w:rPr>
          <w:rFonts w:ascii="IRNazanin" w:hAnsi="IRNazanin" w:eastAsia="IRNazanin"/>
          <w:color w:val="111111"/>
          <w:sz w:val="28"/>
          <w:sz w:val="28"/>
          <w:szCs w:val="28"/>
          <w:rtl w:val="true"/>
          <w:lang w:bidi="fa-IR"/>
        </w:rPr>
        <w:t xml:space="preserve">ونحوهما فالوجه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مجمع الفائدة </w:t>
      </w:r>
      <w:r>
        <w:rPr>
          <w:rStyle w:val="FootnoteAnchor"/>
          <w:rtl w:val="true"/>
        </w:rPr>
        <w:footnoteReference w:id="1902"/>
      </w:r>
      <w:r>
        <w:rPr>
          <w:rFonts w:ascii="Amiri" w:hAnsi="Amiri" w:eastAsia="Amiri" w:cs="Amiri"/>
          <w:color w:val="111111"/>
          <w:sz w:val="28"/>
          <w:sz w:val="28"/>
          <w:szCs w:val="28"/>
          <w:rtl w:val="true"/>
          <w:lang w:bidi="ar-SA"/>
        </w:rPr>
        <w:t xml:space="preserve">بعد ما فسّر المتعدّي بالمتفاحش بحيث يخرج عن العادة ويصل إلى الألية كما اعتبروا ذلك في عدم عفو ماء الاستنجاء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دعوى المصنّف الاجماع في التذكرة </w:t>
      </w:r>
      <w:r>
        <w:rPr>
          <w:rStyle w:val="FootnoteAnchor"/>
          <w:rtl w:val="true"/>
        </w:rPr>
        <w:footnoteReference w:id="1903"/>
      </w:r>
      <w:r>
        <w:rPr>
          <w:rFonts w:ascii="Amiri" w:hAnsi="Amiri" w:eastAsia="Amiri" w:cs="Amiri"/>
          <w:color w:val="111111"/>
          <w:sz w:val="28"/>
          <w:sz w:val="28"/>
          <w:szCs w:val="28"/>
          <w:rtl w:val="true"/>
          <w:lang w:bidi="ar-SA"/>
        </w:rPr>
        <w:t xml:space="preserve">على أنّ المتعدّي هو ما يتعدّى عن المخرج في الجملة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الأصحاب بالتعدّي هو ما قلناه ؛ لعموم الأدلّة وعدم المخصّص ، ثمّ قال </w:t>
      </w:r>
      <w:r>
        <w:rPr>
          <w:rStyle w:val="FootnoteAnchor"/>
          <w:rtl w:val="true"/>
        </w:rPr>
        <w:footnoteReference w:id="1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في الدليل عدم الالتفات إلى هذه الأمور وحصول التطهير مطلقا إلّا على وجه ؛ لعدم تنجّس غير الموضع المتعارف والمعدى </w:t>
      </w:r>
      <w:r>
        <w:rPr>
          <w:rStyle w:val="FootnoteAnchor"/>
          <w:rtl w:val="true"/>
        </w:rPr>
        <w:footnoteReference w:id="1905"/>
      </w:r>
      <w:r>
        <w:rPr>
          <w:rFonts w:ascii="Amiri" w:hAnsi="Amiri" w:eastAsia="Amiri" w:cs="Amiri"/>
          <w:color w:val="111111"/>
          <w:sz w:val="28"/>
          <w:sz w:val="28"/>
          <w:szCs w:val="28"/>
          <w:rtl w:val="true"/>
          <w:lang w:bidi="ar-SA"/>
        </w:rPr>
        <w:t>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كلامهم </w:t>
      </w:r>
      <w:r>
        <w:rPr>
          <w:rStyle w:val="FootnoteAnchor"/>
          <w:rtl w:val="true"/>
        </w:rPr>
        <w:footnoteReference w:id="1906"/>
      </w:r>
      <w:r>
        <w:rPr>
          <w:rFonts w:ascii="Amiri" w:hAnsi="Amiri" w:eastAsia="Amiri" w:cs="Amiri"/>
          <w:color w:val="111111"/>
          <w:sz w:val="28"/>
          <w:sz w:val="28"/>
          <w:szCs w:val="28"/>
          <w:rtl w:val="true"/>
          <w:lang w:bidi="ar-SA"/>
        </w:rPr>
        <w:t>هو اختيار ما قلناه وأمّا اعتبار الوصول إلى الألية كما يظهر من أوّل كلامه فبعيد جدّا ؛ لوضوح صدق التعدي من دونه ، ولذا نصّ جماعة بحصول التعدّي وإن لم يبلغ الأليتين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بعض العبارات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اخترنا فالوجه في عدم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ممّا لا خفاء فيه من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الأصحاب أنّ المدار على التجاوز من المخرج وإن لم يتفاحش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بعيد ؛ إذ لا دليل على تعيّن الماء حينئذ ، وإطلاق المستفيضة الدالّة على جواز الاستجمار </w:t>
      </w:r>
      <w:r>
        <w:rPr>
          <w:rStyle w:val="FootnoteAnchor"/>
          <w:rtl w:val="true"/>
        </w:rPr>
        <w:footnoteReference w:id="1907"/>
      </w:r>
      <w:r>
        <w:rPr>
          <w:rFonts w:ascii="Amiri" w:hAnsi="Amiri" w:eastAsia="Amiri" w:cs="Amiri"/>
          <w:color w:val="111111"/>
          <w:sz w:val="28"/>
          <w:sz w:val="28"/>
          <w:szCs w:val="28"/>
          <w:rtl w:val="true"/>
          <w:lang w:bidi="ar-SA"/>
        </w:rPr>
        <w:t>أوضح شاهد على فساده لغلبة التجاوز عن عين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لاها فلا أقلّ من عدم الخروج عن النحو المعتاد الذي يصرف إليه الإطلاق</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هناك إجماعات محكيّة متكثّرة دالّة على أنّ الغائط إذا تعدّى المخرج يتعيّن غسله بالماء ، فقد يستظهر منه مجرّد التعدي وإن لم يتفاحش ، وقد يجعل ذلك دليلا على التفسير </w:t>
      </w:r>
    </w:p>
    <w:p>
      <w:pPr>
        <w:pStyle w:val="BookText"/>
        <w:rPr/>
      </w:pP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ذلك من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ما ذكرنا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الاقتصار على الماء في محلّ التعدية واضح لا خفاء فيه كما عرفت ، وأمّا في المخرج فمقتضى الإطلاقات جواز الاستجمار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ربّما دلّت الرواية المذكورة على المنع إلّا أنّها عاميّة ، مع أنّها غير صريحة فيه ؛ إذ غاية ما يقتضيه عدم الاكتفاء بالأحجار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 عليه إطلاق الأصحاب ، فمقصودهم إذن عدم جواز الاقتصار على الاستجمار ، لا عدم الاكتفاء به في محل النجو </w:t>
      </w:r>
      <w:r>
        <w:rPr>
          <w:rStyle w:val="FootnoteAnchor"/>
          <w:rtl w:val="true"/>
        </w:rPr>
        <w:footnoteReference w:id="1908"/>
      </w:r>
      <w:r>
        <w:rPr>
          <w:rFonts w:ascii="Amiri" w:hAnsi="Amiri" w:eastAsia="Amiri" w:cs="Amiri"/>
          <w:color w:val="111111"/>
          <w:sz w:val="28"/>
          <w:sz w:val="28"/>
          <w:szCs w:val="28"/>
          <w:rtl w:val="true"/>
          <w:lang w:bidi="ar-SA"/>
        </w:rPr>
        <w:t>وإن استعمل الماء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الإجماعات المحكيّة على تعيّن الماء حينئذ عليه ، وإن كان الظاهر منها ومن كلام الأصحاب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الاطلاع على نصّ من الأصحاب بشي‌ء ، وإثبات وجوب غسل الجميع لا يخلو من إشكال إن لم يكن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صريح كلامهم في ذلك إلّا أن ظاهر عباراتهم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تلك الظواهر على ما قلناه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ذلك قطعهم بالمسألة من غير نقل خلاف فيه مع عدم قيام شي‌ء من الأدلّة على الإطلاق ، وما هو معلوم من طريقة المتأخرين في الأحكام الاتفاقيّة عند إعواز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Style w:val="FootnoteAnchor"/>
          <w:rtl w:val="true"/>
        </w:rPr>
        <w:footnoteReference w:id="1910"/>
      </w:r>
      <w:r>
        <w:rPr>
          <w:rFonts w:ascii="Amiri" w:hAnsi="Amiri" w:eastAsia="Amiri" w:cs="Amiri"/>
          <w:color w:val="111111"/>
          <w:sz w:val="28"/>
          <w:sz w:val="28"/>
          <w:szCs w:val="28"/>
          <w:rtl w:val="true"/>
          <w:lang w:bidi="ar-SA"/>
        </w:rPr>
        <w:t xml:space="preserve">بعد تفسير التعدي بما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فالأمر واضح</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 منه ما في الذخيرة ، ويرشد عليه أيضا أنّه مع انفصال محلّ التعدية عن المخرج لا ينبغي الريب في الاجتزاء به فيه ؛ إذ لا دخل لتنجس محلّ آخر في ارتفاع حكم المحلّ مع أنّه لو بنى على ظاهر إطلاقهم قضي بالمنع ، وهم لا يقولون به قطعا ، فالأقوى الاكتفاء إذن بالأحجار في محلّ النجو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شيخنا البهائي رحمه‌اللّه</w:t>
      </w:r>
      <w:r>
        <w:rPr>
          <w:rFonts w:eastAsia="Amiri" w:cs="Amiri" w:ascii="Amiri" w:hAnsi="Amiri"/>
          <w:color w:val="111111"/>
          <w:sz w:val="28"/>
          <w:szCs w:val="28"/>
          <w:rtl w:val="true"/>
          <w:lang w:bidi="ar-SA"/>
        </w:rPr>
        <w:t xml:space="preserve">. </w:t>
      </w:r>
      <w:bookmarkStart w:id="332" w:name="pg15827_173939"/>
    </w:p>
    <w:p>
      <w:pPr>
        <w:pStyle w:val="Heading4"/>
        <w:numPr>
          <w:ilvl w:val="3"/>
          <w:numId w:val="1"/>
        </w:numPr>
        <w:rPr/>
      </w:pPr>
      <w:bookmarkStart w:id="333" w:name="__RefHeading___Toc14099823_2142443653"/>
      <w:bookmarkStart w:id="334" w:name="_Toc118"/>
      <w:bookmarkEnd w:id="332"/>
      <w:bookmarkEnd w:id="333"/>
      <w:r>
        <w:rPr>
          <w:rtl w:val="true"/>
        </w:rPr>
        <w:t>تبصرة</w:t>
      </w:r>
      <w:r>
        <w:rPr>
          <w:rtl w:val="true"/>
        </w:rPr>
        <w:t xml:space="preserve">: [ </w:t>
      </w:r>
      <w:r>
        <w:rPr>
          <w:rtl w:val="true"/>
        </w:rPr>
        <w:t xml:space="preserve">في الاستنجاء بالماء والأحجار وما قام مقامها </w:t>
      </w:r>
      <w:r>
        <w:rPr>
          <w:rtl w:val="true"/>
        </w:rPr>
        <w:t>]</w:t>
      </w:r>
      <w:bookmarkEnd w:id="334"/>
    </w:p>
    <w:p>
      <w:pPr>
        <w:pStyle w:val="BookText"/>
        <w:rPr/>
      </w:pPr>
      <w:r>
        <w:rPr>
          <w:rFonts w:ascii="Amiri" w:hAnsi="Amiri" w:eastAsia="Amiri" w:cs="Amiri"/>
          <w:color w:val="111111"/>
          <w:sz w:val="28"/>
          <w:sz w:val="28"/>
          <w:szCs w:val="28"/>
          <w:rtl w:val="true"/>
          <w:lang w:bidi="ar-SA"/>
        </w:rPr>
        <w:t>يتخيّر في محلّ النجو بين الاستنجاء بالماء والأحجار وما قام مقامها بلا خلاف بين الطائفة بل الامّة إلّا ما حكي عن شذاذ من أهل الباطل حيث ذهبوا إلى تعيّن الماء مع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 منهم حيث نفوا الاستنجاء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مدفوعان بالنصّ من صاحب الشرع وإجماع 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الاجتزاء بكلّ جسم قالع للعين إلّا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الديلمي اعتبار كونه ممّا أصله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الاستنجاء بالأحجار أو ما قام مقامها من المدر والخزف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الإسكافي </w:t>
      </w:r>
      <w:r>
        <w:rPr>
          <w:rStyle w:val="FootnoteAnchor"/>
          <w:rtl w:val="true"/>
        </w:rPr>
        <w:footnoteReference w:id="1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يحضر الأحجار تمسح بالكرسف أو ما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يعطي الترتيب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الأوّل ؛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للاستنجاء حد؟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حتّى ينقي مأثمة </w:t>
      </w:r>
      <w:r>
        <w:rPr>
          <w:rFonts w:eastAsia="Amiri" w:cs="Amiri" w:ascii="Amiri" w:hAnsi="Amiri"/>
          <w:color w:val="111111"/>
          <w:sz w:val="28"/>
          <w:szCs w:val="28"/>
          <w:rtl w:val="true"/>
          <w:lang w:bidi="ar-SA"/>
        </w:rPr>
        <w:t xml:space="preserve">» </w:t>
      </w:r>
      <w:r>
        <w:rPr>
          <w:rStyle w:val="FootnoteAnchor"/>
          <w:rtl w:val="true"/>
        </w:rPr>
        <w:footnoteReference w:id="1914"/>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يغسل ذكره </w:t>
      </w:r>
      <w:r>
        <w:rPr>
          <w:rStyle w:val="FootnoteAnchor"/>
          <w:rtl w:val="true"/>
        </w:rPr>
        <w:footnoteReference w:id="1916"/>
      </w:r>
      <w:r>
        <w:rPr>
          <w:rFonts w:ascii="Amiri" w:hAnsi="Amiri" w:eastAsia="Amiri" w:cs="Amiri"/>
          <w:color w:val="111111"/>
          <w:sz w:val="28"/>
          <w:sz w:val="28"/>
          <w:szCs w:val="28"/>
          <w:rtl w:val="true"/>
          <w:lang w:bidi="ar-SA"/>
        </w:rPr>
        <w:t xml:space="preserve">ويذهب الغائط </w:t>
      </w:r>
      <w:r>
        <w:rPr>
          <w:rFonts w:eastAsia="Amiri" w:cs="Amiri" w:ascii="Amiri" w:hAnsi="Amiri"/>
          <w:color w:val="111111"/>
          <w:sz w:val="28"/>
          <w:szCs w:val="28"/>
          <w:rtl w:val="true"/>
          <w:lang w:bidi="ar-SA"/>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 لتعليق الحكم فيهما على مطلق النقاء </w:t>
      </w:r>
    </w:p>
    <w:p>
      <w:pPr>
        <w:pStyle w:val="BookText"/>
        <w:rPr/>
      </w:pPr>
      <w:r>
        <w:rPr>
          <w:rFonts w:ascii="Amiri" w:hAnsi="Amiri" w:eastAsia="Amiri" w:cs="Amiri"/>
          <w:color w:val="111111"/>
          <w:sz w:val="28"/>
          <w:sz w:val="28"/>
          <w:szCs w:val="28"/>
          <w:rtl w:val="true"/>
          <w:lang w:bidi="ar-SA"/>
        </w:rPr>
        <w:t xml:space="preserve">والإذهاب المصانعين </w:t>
      </w:r>
      <w:r>
        <w:rPr>
          <w:rStyle w:val="FootnoteAnchor"/>
          <w:rtl w:val="true"/>
        </w:rPr>
        <w:footnoteReference w:id="1918"/>
      </w:r>
      <w:r>
        <w:rPr>
          <w:rFonts w:ascii="Amiri" w:hAnsi="Amiri" w:eastAsia="Amiri" w:cs="Amiri"/>
          <w:color w:val="111111"/>
          <w:sz w:val="28"/>
          <w:sz w:val="28"/>
          <w:szCs w:val="28"/>
          <w:rtl w:val="true"/>
          <w:lang w:bidi="ar-SA"/>
        </w:rPr>
        <w:t>مع كلّ ما يقلع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الشهرة المعلومة والمنقولة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w:t>
      </w:r>
      <w:r>
        <w:rPr>
          <w:rStyle w:val="FootnoteAnchor"/>
          <w:rtl w:val="true"/>
        </w:rPr>
        <w:footnoteReference w:id="1919"/>
      </w:r>
      <w:r>
        <w:rPr>
          <w:rFonts w:ascii="Amiri" w:hAnsi="Amiri" w:eastAsia="Amiri" w:cs="Amiri"/>
          <w:color w:val="111111"/>
          <w:sz w:val="28"/>
          <w:sz w:val="28"/>
          <w:szCs w:val="28"/>
          <w:rtl w:val="true"/>
          <w:lang w:bidi="ar-SA"/>
        </w:rPr>
        <w:t>في الأدلّة ما يقتضي اعتبار خصوصيّة بعض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ورد ما يفيد الاكتفاء بجملة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والكرسف والمدر </w:t>
      </w:r>
      <w:r>
        <w:rPr>
          <w:rStyle w:val="FootnoteAnchor"/>
          <w:rtl w:val="true"/>
        </w:rPr>
        <w:footnoteReference w:id="1920"/>
      </w:r>
      <w:r>
        <w:rPr>
          <w:rFonts w:ascii="Amiri" w:hAnsi="Amiri" w:eastAsia="Amiri" w:cs="Amiri"/>
          <w:color w:val="111111"/>
          <w:sz w:val="28"/>
          <w:sz w:val="28"/>
          <w:szCs w:val="28"/>
          <w:rtl w:val="true"/>
          <w:lang w:bidi="ar-SA"/>
        </w:rPr>
        <w:t xml:space="preserve">والخزف على بعض النسخ ، ولا إشارة فيها إلى عدم الاجتزاء بغيرها ، بل وربّما استفيد منها ارادة المثل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إزالة العين كيف ما كان ، مضافا إلى النهي عن خصوص الزفت والرمة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وتعليله في بعض الأخبار بأنّه طعام الجنّ ، فيومي ذلك إلى جواز غيرهما ، فتأمّل بعض الأفاضل في خصوص غير المنصوص للمناقشة في شمول الخبرين ليس في محلّه ، ولم نعثر للديلمي على حجّة بل يدفعه إطلاق ما دلّ على الاجتزاء بالخرق ؛ لصدقها على المنسوجة عن الصوف وليس ممّا أصله الأرض ، وتعميمه لذلك يوجب انطباقه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لابن الجنيد بالمرسل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الاستنجاء بثلاثة أحجار </w:t>
      </w:r>
      <w:r>
        <w:rPr>
          <w:rFonts w:eastAsia="Amiri" w:cs="Amiri" w:ascii="Amiri" w:hAnsi="Amiri"/>
          <w:color w:val="111111"/>
          <w:sz w:val="28"/>
          <w:szCs w:val="28"/>
          <w:rtl w:val="true"/>
          <w:lang w:bidi="ar-SA"/>
        </w:rPr>
        <w:t xml:space="preserve">: » </w:t>
      </w:r>
      <w:r>
        <w:rPr>
          <w:rStyle w:val="FootnoteAnchor"/>
          <w:rtl w:val="true"/>
        </w:rPr>
        <w:footnoteReference w:id="1922"/>
      </w:r>
      <w:r>
        <w:rPr>
          <w:rFonts w:ascii="IRNazanin" w:hAnsi="IRNazanin" w:eastAsia="IRNazanin"/>
          <w:color w:val="111111"/>
          <w:sz w:val="28"/>
          <w:sz w:val="28"/>
          <w:szCs w:val="28"/>
          <w:rtl w:val="true"/>
          <w:lang w:bidi="fa-IR"/>
        </w:rPr>
        <w:t xml:space="preserve">الخبر بحمل </w:t>
      </w:r>
      <w:r>
        <w:rPr>
          <w:rStyle w:val="FootnoteAnchor"/>
          <w:rtl w:val="true"/>
        </w:rPr>
        <w:footnoteReference w:id="1923"/>
      </w:r>
      <w:r>
        <w:rPr>
          <w:rFonts w:ascii="Amiri" w:hAnsi="Amiri" w:eastAsia="Amiri" w:cs="Amiri"/>
          <w:color w:val="111111"/>
          <w:sz w:val="28"/>
          <w:sz w:val="28"/>
          <w:szCs w:val="28"/>
          <w:rtl w:val="true"/>
          <w:lang w:bidi="ar-SA"/>
        </w:rPr>
        <w:t>ما دلّ على اجزاء غيره على صورة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اعتبر فيما استنجي به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1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علمائنا أجمع</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مضافا إلى ذلك انصراف الإطلاقات في مقام التطهير إلى الطاهر ، وهو </w:t>
      </w:r>
    </w:p>
    <w:p>
      <w:pPr>
        <w:pStyle w:val="BookText"/>
        <w:rPr/>
      </w:pPr>
      <w:r>
        <w:rPr>
          <w:rFonts w:ascii="Amiri" w:hAnsi="Amiri" w:eastAsia="Amiri" w:cs="Amiri"/>
          <w:color w:val="111111"/>
          <w:sz w:val="28"/>
          <w:sz w:val="28"/>
          <w:szCs w:val="28"/>
          <w:rtl w:val="true"/>
          <w:lang w:bidi="ar-SA"/>
        </w:rPr>
        <w:t xml:space="preserve">المعهود في إزالة النجاسة ، ولا أقل من الشك في شمولها للنجس ، وهو كاف في المقام لقضاء الأصل بالنجاسة ، مضافا إلى أنّه مع نجاسته ينجس به المحلّ مع ملاقاته رطبا كما هو الغالب ، ويتعين إذن تطهيره بالماء </w:t>
      </w:r>
      <w:r>
        <w:rPr>
          <w:rStyle w:val="FootnoteAnchor"/>
          <w:rtl w:val="true"/>
        </w:rPr>
        <w:footnoteReference w:id="1925"/>
      </w:r>
      <w:r>
        <w:rPr>
          <w:rFonts w:ascii="Amiri" w:hAnsi="Amiri" w:eastAsia="Amiri" w:cs="Amiri"/>
          <w:color w:val="111111"/>
          <w:sz w:val="28"/>
          <w:sz w:val="28"/>
          <w:szCs w:val="28"/>
          <w:rtl w:val="true"/>
          <w:lang w:bidi="ar-SA"/>
        </w:rPr>
        <w:t>فكيف يصحّ إزالتها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يحتجّ عليه أيضا بالمرسل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الاستنجاء بثلاثة أحجار ابكار ويتبع بالماء </w:t>
      </w:r>
      <w:r>
        <w:rPr>
          <w:rFonts w:eastAsia="Amiri" w:cs="Amiri" w:ascii="Amiri" w:hAnsi="Amiri"/>
          <w:color w:val="111111"/>
          <w:sz w:val="28"/>
          <w:szCs w:val="28"/>
          <w:rtl w:val="true"/>
          <w:lang w:bidi="ar-SA"/>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ومجرّد ذكر الإتباع بالماء لا يقضي بحمل الأول على الاستحباب ، والقول بأنّ البكارة ليست معتبرة اتفاقا لجواز الاستنجاء بها بعد غسلها بلا خلاف ، فيتعيّن حمله على الندب ؛ مدفوع بأنّه لا كراهة أيضا في استعماله بعد الغسل ، فالظاهر اندراج المستعمل بعد تطهيره في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يستشكل فيه بأنّ ظاهره المنع من استعمال المستعمل مع عدم </w:t>
      </w:r>
      <w:r>
        <w:rPr>
          <w:rStyle w:val="FootnoteAnchor"/>
          <w:rtl w:val="true"/>
        </w:rPr>
        <w:footnoteReference w:id="1927"/>
      </w:r>
      <w:r>
        <w:rPr>
          <w:rFonts w:ascii="Amiri" w:hAnsi="Amiri" w:eastAsia="Amiri" w:cs="Amiri"/>
          <w:color w:val="111111"/>
          <w:sz w:val="28"/>
          <w:sz w:val="28"/>
          <w:szCs w:val="28"/>
          <w:rtl w:val="true"/>
          <w:lang w:bidi="ar-SA"/>
        </w:rPr>
        <w:t xml:space="preserve">تنجيسه بالاستعمال أو إذا استعمل غيره </w:t>
      </w:r>
      <w:r>
        <w:rPr>
          <w:rStyle w:val="FootnoteAnchor"/>
          <w:rtl w:val="true"/>
        </w:rPr>
        <w:footnoteReference w:id="1928"/>
      </w:r>
      <w:r>
        <w:rPr>
          <w:rFonts w:ascii="Amiri" w:hAnsi="Amiri" w:eastAsia="Amiri" w:cs="Amiri"/>
          <w:color w:val="111111"/>
          <w:sz w:val="28"/>
          <w:sz w:val="28"/>
          <w:szCs w:val="28"/>
          <w:rtl w:val="true"/>
          <w:lang w:bidi="ar-SA"/>
        </w:rPr>
        <w:t>وضع النجاسة منه ، ولا مانع فيه عند القائلين بعدم المنع من استعمال المستعمل إلّا أن تقيّد الإطلاق به عند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بأولى من الحمل على الاستحباب إلّا أن يجعل الشهرة مرجّحة للحمل على الأوّل أو يقال بحجيّة الرواية في مورد الشهرة خاصّة ، فلا تنهض حجّة فيما عداه ، فتأمّل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 وقد ذهب إلى اعتباره جماعة من الأصحاب منهم الفاضل في المنتهى </w:t>
      </w:r>
      <w:r>
        <w:rPr>
          <w:rStyle w:val="FootnoteAnchor"/>
          <w:rtl w:val="true"/>
        </w:rPr>
        <w:footnoteReference w:id="1929"/>
      </w:r>
      <w:r>
        <w:rPr>
          <w:rFonts w:ascii="Amiri" w:hAnsi="Amiri" w:eastAsia="Amiri" w:cs="Amiri"/>
          <w:color w:val="111111"/>
          <w:sz w:val="28"/>
          <w:sz w:val="28"/>
          <w:szCs w:val="28"/>
          <w:rtl w:val="true"/>
          <w:lang w:bidi="ar-SA"/>
        </w:rPr>
        <w:t xml:space="preserve">والشهيد الثاني في الروض </w:t>
      </w:r>
      <w:r>
        <w:rPr>
          <w:rStyle w:val="FootnoteAnchor"/>
          <w:rtl w:val="true"/>
        </w:rPr>
        <w:footnoteReference w:id="1930"/>
      </w:r>
      <w:r>
        <w:rPr>
          <w:rFonts w:ascii="Amiri" w:hAnsi="Amiri" w:eastAsia="Amiri" w:cs="Amiri"/>
          <w:color w:val="111111"/>
          <w:sz w:val="28"/>
          <w:sz w:val="28"/>
          <w:szCs w:val="28"/>
          <w:rtl w:val="true"/>
          <w:lang w:bidi="ar-SA"/>
        </w:rPr>
        <w:t xml:space="preserve">والروضة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وعزاه في الحدائق </w:t>
      </w:r>
      <w:r>
        <w:rPr>
          <w:rStyle w:val="FootnoteAnchor"/>
          <w:rtl w:val="true"/>
        </w:rPr>
        <w:footnoteReference w:id="1932"/>
      </w:r>
      <w:r>
        <w:rPr>
          <w:rFonts w:ascii="Amiri" w:hAnsi="Amiri" w:eastAsia="Amiri" w:cs="Amiri"/>
          <w:color w:val="111111"/>
          <w:sz w:val="28"/>
          <w:sz w:val="28"/>
          <w:szCs w:val="28"/>
          <w:rtl w:val="true"/>
          <w:lang w:bidi="ar-SA"/>
        </w:rPr>
        <w:t>إلى صريح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آخرين منهم عدم اشتراطه حيث لم يذكروا ذلك في 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ويوجّه اشتراطه بذلك تارة بأنّه مع الرطوبة لا تنشف به المحلّ ، وتارة بأنّ البلل الذي فيه ينجس بالملاقاة ، فيسري منه النجاسة إلى الحجر ، ومع تنجّسه لا يصلح للتطهير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الرطب لا يزيل النجاسة بل يزيد التلويث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 الجميع بأنّ المعتبر هو قلع النجاسة دون تنشيف المحلّ ، ولو من غير رطوبة النجس ، وإلّا لم يمكن التطهير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إنّما يتمّ بالنسبة إلى المسحة الثالثة ، وإنّ تنجّس الحجر بذلك إنّما هو بواسطة نجاسة المحلّ لأجل الاستعمال ، وهو لا يضرّ بالحال ، وإلّا لم يمكن التطهير بالماء عند القائل بالانفعال وإنّ المفروض إزالة النجاسة بها ؛ إذ مع عدمها لا مجال للمقال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ثبت من الأدلّة انتفاء المانع من جهة تنجس الأحجار عن المحلّ ، وأمّا الرطوبة الحاصلة فيها فلا دليل على خروجها عن القاعدة ، فهي نجسة منجّسة للأحجار ، فلا يجوز استعمالها ؛ لما عرفت من اشتراطها بالطهارة لأنّها مع رطوبتها تسري النجاسة منها إلى المحلّ فينجس بها ، ولا دليل على العفو من الرطوبة النجسة الحاصلة منها ، ولا على الاكتفاء منها </w:t>
      </w:r>
      <w:r>
        <w:rPr>
          <w:rStyle w:val="FootnoteAnchor"/>
          <w:rtl w:val="true"/>
        </w:rPr>
        <w:footnoteReference w:id="1933"/>
      </w:r>
      <w:r>
        <w:rPr>
          <w:rFonts w:ascii="IRNazanin" w:hAnsi="IRNazanin" w:eastAsia="IRNazanin"/>
          <w:color w:val="111111"/>
          <w:sz w:val="28"/>
          <w:sz w:val="28"/>
          <w:szCs w:val="28"/>
          <w:rtl w:val="true"/>
          <w:lang w:bidi="fa-IR"/>
        </w:rPr>
        <w:t>بالاستجمار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وقياس ذلك على الرطوبة الباقية و </w:t>
      </w:r>
      <w:r>
        <w:rPr>
          <w:rStyle w:val="FootnoteAnchor"/>
          <w:rtl w:val="true"/>
        </w:rPr>
        <w:footnoteReference w:id="1934"/>
      </w:r>
      <w:r>
        <w:rPr>
          <w:rFonts w:ascii="Amiri" w:hAnsi="Amiri" w:eastAsia="Amiri" w:cs="Amiri"/>
          <w:color w:val="111111"/>
          <w:sz w:val="28"/>
          <w:sz w:val="28"/>
          <w:szCs w:val="28"/>
          <w:rtl w:val="true"/>
          <w:lang w:bidi="ar-SA"/>
        </w:rPr>
        <w:t>الاستنجاء بالماء فاسد ؛ إذ لا شاهد على التسرية ، فيتعيّن في إزالتها الماء ، فلا فائدة إذن في التجفيف الحاصل بالحجر اللاحق ، فبملاحظة ذلك يتقوّى القول باعتبار الجفاف ، مضافا إلى اعتضاده بالاستصحاب</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كانت الرطوبة الحاصلة فيه غير مسرية فالظاهر أنّه لا مانع عنها ، وكأنّها خارجة عن محلّ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مستعملا ، وإليه ذهب جماعة منهم الشيخ في النهاية </w:t>
      </w:r>
      <w:r>
        <w:rPr>
          <w:rStyle w:val="FootnoteAnchor"/>
          <w:rtl w:val="true"/>
        </w:rPr>
        <w:footnoteReference w:id="1935"/>
      </w:r>
      <w:r>
        <w:rPr>
          <w:rFonts w:ascii="Amiri" w:hAnsi="Amiri" w:eastAsia="Amiri" w:cs="Amiri"/>
          <w:color w:val="111111"/>
          <w:sz w:val="28"/>
          <w:sz w:val="28"/>
          <w:szCs w:val="28"/>
          <w:rtl w:val="true"/>
          <w:lang w:bidi="ar-SA"/>
        </w:rPr>
        <w:t xml:space="preserve">والقاضي </w:t>
      </w:r>
      <w:r>
        <w:rPr>
          <w:rStyle w:val="FootnoteAnchor"/>
          <w:rtl w:val="true"/>
        </w:rPr>
        <w:footnoteReference w:id="1936"/>
      </w:r>
      <w:r>
        <w:rPr>
          <w:rFonts w:ascii="Amiri" w:hAnsi="Amiri" w:eastAsia="Amiri" w:cs="Amiri"/>
          <w:color w:val="111111"/>
          <w:sz w:val="28"/>
          <w:sz w:val="28"/>
          <w:szCs w:val="28"/>
          <w:rtl w:val="true"/>
          <w:lang w:bidi="ar-SA"/>
        </w:rPr>
        <w:t xml:space="preserve">والطوسي </w:t>
      </w:r>
      <w:r>
        <w:rPr>
          <w:rStyle w:val="FootnoteAnchor"/>
          <w:rtl w:val="true"/>
        </w:rPr>
        <w:footnoteReference w:id="1937"/>
      </w:r>
      <w:r>
        <w:rPr>
          <w:rFonts w:ascii="Amiri" w:hAnsi="Amiri" w:eastAsia="Amiri" w:cs="Amiri"/>
          <w:color w:val="111111"/>
          <w:sz w:val="28"/>
          <w:sz w:val="28"/>
          <w:szCs w:val="28"/>
          <w:rtl w:val="true"/>
          <w:lang w:bidi="ar-SA"/>
        </w:rPr>
        <w:t>وابنا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ذلك يعمّ ما تنجّس بالاستعمال أو لا سواء استعمل موضع النجاسة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المرسلة المتقدمة الدالّة على اعتبار البكارة في الأحجار ، وهي ضعيفة الإسناد غير قابلة لتقييد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إرادة الطهارة كما مرّت الإشارة إليه ، وربّما يحمل عليه كلام الجماعة ، ولذا ذهب آخرون إلى عدم اعتباره حيث لم يذكروا ذلك في الشرائط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يظهر من المختلف </w:t>
      </w:r>
      <w:r>
        <w:rPr>
          <w:rStyle w:val="FootnoteAnchor"/>
          <w:rtl w:val="true"/>
        </w:rPr>
        <w:footnoteReference w:id="1938"/>
      </w:r>
      <w:r>
        <w:rPr>
          <w:rFonts w:ascii="Amiri" w:hAnsi="Amiri" w:eastAsia="Amiri" w:cs="Amiri"/>
          <w:color w:val="111111"/>
          <w:sz w:val="28"/>
          <w:sz w:val="28"/>
          <w:szCs w:val="28"/>
          <w:rtl w:val="true"/>
          <w:lang w:bidi="ar-SA"/>
        </w:rPr>
        <w:t>أنّ استعمال المحلّ الطاهر منه ثانيا في استنجاء آخر من المسلّمات ، ولو غسله فالظاهر عدم الخلاف في جواز استعماله ، ولو كسر موضع النجاسة ففي جواز استعمال الباقي وجهان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قالعا لعين النجاسة فلا يجزي الرخو </w:t>
      </w:r>
      <w:r>
        <w:rPr>
          <w:rStyle w:val="FootnoteAnchor"/>
          <w:rtl w:val="true"/>
        </w:rPr>
        <w:footnoteReference w:id="1939"/>
      </w:r>
      <w:r>
        <w:rPr>
          <w:rFonts w:ascii="Amiri" w:hAnsi="Amiri" w:eastAsia="Amiri" w:cs="Amiri"/>
          <w:color w:val="111111"/>
          <w:sz w:val="28"/>
          <w:sz w:val="28"/>
          <w:szCs w:val="28"/>
          <w:rtl w:val="true"/>
          <w:lang w:bidi="ar-SA"/>
        </w:rPr>
        <w:t>ولا الصيقل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هذا الشرط واضح بل لا حاجة إلى اشتراطه ؛ إذ المفروض </w:t>
      </w:r>
      <w:r>
        <w:rPr>
          <w:rFonts w:eastAsia="Amiri" w:cs="Amiri" w:ascii="Amiri" w:hAnsi="Amiri"/>
          <w:color w:val="111111"/>
          <w:sz w:val="28"/>
          <w:szCs w:val="28"/>
          <w:rtl w:val="true"/>
          <w:lang w:bidi="ar-SA"/>
        </w:rPr>
        <w:t xml:space="preserve">[ ... ]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 xml:space="preserve">. </w:t>
      </w:r>
      <w:bookmarkStart w:id="335" w:name="pg15827_173944"/>
    </w:p>
    <w:p>
      <w:pPr>
        <w:pStyle w:val="Heading4"/>
        <w:numPr>
          <w:ilvl w:val="3"/>
          <w:numId w:val="1"/>
        </w:numPr>
        <w:rPr/>
      </w:pPr>
      <w:bookmarkStart w:id="336" w:name="__RefHeading___Toc14099825_2142443653"/>
      <w:bookmarkStart w:id="337" w:name="_Toc119"/>
      <w:bookmarkEnd w:id="335"/>
      <w:bookmarkEnd w:id="336"/>
      <w:r>
        <w:rPr>
          <w:rtl w:val="true"/>
        </w:rPr>
        <w:t>تبصرة</w:t>
      </w:r>
      <w:r>
        <w:rPr>
          <w:rtl w:val="true"/>
        </w:rPr>
        <w:t xml:space="preserve">: [ </w:t>
      </w:r>
      <w:r>
        <w:rPr>
          <w:rtl w:val="true"/>
        </w:rPr>
        <w:t xml:space="preserve">في مستحبات المتخلّي </w:t>
      </w:r>
      <w:r>
        <w:rPr>
          <w:rtl w:val="true"/>
        </w:rPr>
        <w:t>]</w:t>
      </w:r>
      <w:bookmarkEnd w:id="337"/>
    </w:p>
    <w:p>
      <w:pPr>
        <w:pStyle w:val="BookText"/>
        <w:rPr/>
      </w:pPr>
      <w:r>
        <w:rPr>
          <w:rFonts w:ascii="Amiri" w:hAnsi="Amiri" w:eastAsia="Amiri" w:cs="Amiri"/>
          <w:color w:val="111111"/>
          <w:sz w:val="28"/>
          <w:sz w:val="28"/>
          <w:szCs w:val="28"/>
          <w:rtl w:val="true"/>
          <w:lang w:bidi="ar-SA"/>
        </w:rPr>
        <w:t xml:space="preserve">يستحب للمتخلّي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البدن كلّا </w:t>
      </w:r>
      <w:r>
        <w:rPr>
          <w:rStyle w:val="FootnoteAnchor"/>
          <w:rtl w:val="true"/>
        </w:rPr>
        <w:footnoteReference w:id="1941"/>
      </w:r>
      <w:r>
        <w:rPr>
          <w:rFonts w:ascii="Amiri" w:hAnsi="Amiri" w:eastAsia="Amiri" w:cs="Amiri"/>
          <w:color w:val="111111"/>
          <w:sz w:val="28"/>
          <w:sz w:val="28"/>
          <w:szCs w:val="28"/>
          <w:rtl w:val="true"/>
          <w:lang w:bidi="ar-SA"/>
        </w:rPr>
        <w:t>عن الناظر مطلقا ، تأسّيا بالنبي صلى‌اللّه‌عليه‌وآله ، فإنّه لم ير في بول ولا غائط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الصادق عليه‌السلام في وصف لقمان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ير واحد من الناس على بول ولا غائط ولا اغتسال لشدّة تستّرته وتحفّظه في أمره </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أتى الغائط فليتستّر </w:t>
      </w:r>
      <w:r>
        <w:rPr>
          <w:rFonts w:eastAsia="Amiri" w:cs="Amiri" w:ascii="Amiri" w:hAnsi="Amiri"/>
          <w:color w:val="111111"/>
          <w:sz w:val="28"/>
          <w:szCs w:val="28"/>
          <w:rtl w:val="true"/>
          <w:lang w:bidi="ar-SA"/>
        </w:rPr>
        <w:t xml:space="preserve">»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حمّاد ، عن الصادق عليه‌السلام ، عن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قضاء حاجتك فأبعد المذهب في الأرض </w:t>
      </w:r>
      <w:r>
        <w:rPr>
          <w:rFonts w:eastAsia="Amiri" w:cs="Amiri" w:ascii="Amiri" w:hAnsi="Amiri"/>
          <w:color w:val="111111"/>
          <w:sz w:val="28"/>
          <w:szCs w:val="28"/>
          <w:rtl w:val="true"/>
          <w:lang w:bidi="ar-SA"/>
        </w:rPr>
        <w:t xml:space="preserve">»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اعتبار التمييز فيه ، فلا يستحب التستّر عن غير المميّز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 على ستر الشخص لا جسم البدن ، ويحصل بكلّ ما يحصل به خفاء الشخص من الدخول في البيت والولوج في الحفيرة والدخول تحت البناء </w:t>
      </w:r>
      <w:r>
        <w:rPr>
          <w:rStyle w:val="FootnoteAnchor"/>
          <w:rtl w:val="true"/>
        </w:rPr>
        <w:footnoteReference w:id="1945"/>
      </w:r>
      <w:r>
        <w:rPr>
          <w:rFonts w:ascii="IRNazanin" w:hAnsi="IRNazanin" w:eastAsia="IRNazanin"/>
          <w:color w:val="111111"/>
          <w:sz w:val="28"/>
          <w:sz w:val="28"/>
          <w:szCs w:val="28"/>
          <w:rtl w:val="true"/>
          <w:lang w:bidi="fa-IR"/>
        </w:rPr>
        <w:t xml:space="preserve">وإبعاد المذهب </w:t>
      </w:r>
      <w:r>
        <w:rPr>
          <w:rStyle w:val="FootnoteAnchor"/>
          <w:rtl w:val="true"/>
        </w:rPr>
        <w:footnoteReference w:id="1946"/>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الأخير خاصّة في رواية حمّاد لفرضه ظاهرا في السفر ، والغالب فيه عدم حصول مواراة الشخص بدونه ، وهو الوجه فيما رواه جنيد بن عبد اللّه من فعل امير المؤمنين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يكتفي بالظلمة الشديدة أو عن الناظر؟ وجهان ؛ أقواهما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صاحبه إذن بالحال ففي ثبوت الكراهة مع قرب محله منه احتمال يعضده مراعاة بعض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ويعمّ الحكم حال كلّ من البول والغائط ؛ لإطلاق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النبويّة المذكورة خاصّة بالغائط ، وقد يعمّم أيضا للبول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من غير واحد من الأخبار عدم استحباب الاستتار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الحمل على عدم تأكّده بالنسبة إليه كما هو ظاهر الاعتبار أو على عدم التمكّن من الاستتار </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أو حصول مشقة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المتأخرين إلى عدم الكراهة فيه استنادا إلى جملة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ثبوت الحكم لحال الاستنجاء أيضا وجه ، وقد يستفاد ذلك من رواية جنيد 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يقعد للغائط </w:t>
      </w:r>
      <w:r>
        <w:rPr>
          <w:rFonts w:eastAsia="Amiri" w:cs="Amiri" w:ascii="Amiri" w:hAnsi="Amiri"/>
          <w:color w:val="111111"/>
          <w:sz w:val="28"/>
          <w:szCs w:val="28"/>
          <w:rtl w:val="true"/>
          <w:lang w:bidi="ar-SA"/>
        </w:rPr>
        <w:t xml:space="preserve">»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عن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في رواية عبد الرحمن بن كثير الحاكية للضوء البياني إشارة إلى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الرأس على ما نصّ عليه جماعة من الأصحاب ؛ لكونها من سنن النبيّ صلى‌اللّه‌عليه‌وآله كما نصّ عليه المفيد في المقنعة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أنّه يأمن به من خبث الشيطان ، ومن وصول الرائحة الخبيثة إلى دماغه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الروضة </w:t>
      </w:r>
      <w:r>
        <w:rPr>
          <w:rStyle w:val="FootnoteAnchor"/>
          <w:rtl w:val="true"/>
        </w:rPr>
        <w:footnoteReference w:id="1950"/>
      </w:r>
      <w:r>
        <w:rPr>
          <w:rFonts w:ascii="Amiri" w:hAnsi="Amiri" w:eastAsia="Amiri" w:cs="Amiri"/>
          <w:color w:val="111111"/>
          <w:sz w:val="28"/>
          <w:sz w:val="28"/>
          <w:szCs w:val="28"/>
          <w:rtl w:val="true"/>
          <w:lang w:bidi="ar-SA"/>
        </w:rPr>
        <w:t xml:space="preserve">والمدارك </w:t>
      </w:r>
      <w:r>
        <w:rPr>
          <w:rStyle w:val="FootnoteAnchor"/>
          <w:rtl w:val="true"/>
        </w:rPr>
        <w:footnoteReference w:id="1951"/>
      </w:r>
      <w:r>
        <w:rPr>
          <w:rFonts w:ascii="Amiri" w:hAnsi="Amiri" w:eastAsia="Amiri" w:cs="Amiri"/>
          <w:color w:val="111111"/>
          <w:sz w:val="28"/>
          <w:sz w:val="28"/>
          <w:szCs w:val="28"/>
          <w:rtl w:val="true"/>
          <w:lang w:bidi="ar-SA"/>
        </w:rPr>
        <w:t>أيضا أنها من سنن النبيّ صلى‌اللّه‌عليه‌وآله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أنّهما أخذاه من المفيد رحمه‌اللّه ؛ إذ </w:t>
      </w:r>
      <w:r>
        <w:rPr>
          <w:rStyle w:val="FootnoteAnchor"/>
          <w:rtl w:val="true"/>
        </w:rPr>
        <w:footnoteReference w:id="1952"/>
      </w:r>
      <w:r>
        <w:rPr>
          <w:rFonts w:ascii="Amiri" w:hAnsi="Amiri" w:eastAsia="Amiri" w:cs="Amiri"/>
          <w:color w:val="111111"/>
          <w:sz w:val="28"/>
          <w:sz w:val="28"/>
          <w:szCs w:val="28"/>
          <w:rtl w:val="true"/>
          <w:lang w:bidi="ar-SA"/>
        </w:rPr>
        <w:t>لم نجده فيه نقلا عن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953"/>
      </w:r>
      <w:r>
        <w:rPr>
          <w:rFonts w:ascii="Amiri" w:hAnsi="Amiri" w:eastAsia="Amiri" w:cs="Amiri"/>
          <w:color w:val="111111"/>
          <w:sz w:val="28"/>
          <w:sz w:val="28"/>
          <w:szCs w:val="28"/>
          <w:rtl w:val="true"/>
          <w:lang w:bidi="ar-SA"/>
        </w:rPr>
        <w:t xml:space="preserve">والذكرى </w:t>
      </w:r>
      <w:r>
        <w:rPr>
          <w:rStyle w:val="FootnoteAnchor"/>
          <w:rtl w:val="true"/>
        </w:rPr>
        <w:footnoteReference w:id="1954"/>
      </w:r>
      <w:r>
        <w:rPr>
          <w:rFonts w:ascii="Amiri" w:hAnsi="Amiri" w:eastAsia="Amiri" w:cs="Amiri"/>
          <w:color w:val="111111"/>
          <w:sz w:val="28"/>
          <w:sz w:val="28"/>
          <w:szCs w:val="28"/>
          <w:rtl w:val="true"/>
          <w:lang w:bidi="ar-SA"/>
        </w:rPr>
        <w:t>أنّ عليه اتفاق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التقنّع لقوله صلى‌اللّه‌عليه‌وآله في وصيته لأبي 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استحي من اللّه ، فإنّي والذي نفسي بيده لأظلّ حين أذهب إلى الغائط مقنّعا بثوبي استحياء من الملكين اللّذين معي </w:t>
      </w:r>
      <w:r>
        <w:rPr>
          <w:rFonts w:eastAsia="Amiri" w:cs="Amiri" w:ascii="Amiri" w:hAnsi="Amiri"/>
          <w:color w:val="111111"/>
          <w:sz w:val="28"/>
          <w:szCs w:val="28"/>
          <w:rtl w:val="true"/>
          <w:lang w:bidi="ar-SA"/>
        </w:rPr>
        <w:t xml:space="preserve">» </w:t>
      </w:r>
      <w:r>
        <w:rPr>
          <w:rStyle w:val="FootnoteAnchor"/>
          <w:rtl w:val="true"/>
        </w:rPr>
        <w:footnoteReference w:id="1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الكنيف تقنّع رأسه </w:t>
      </w:r>
      <w:r>
        <w:rPr>
          <w:rFonts w:eastAsia="Amiri" w:cs="Amiri" w:ascii="Amiri" w:hAnsi="Amiri"/>
          <w:color w:val="111111"/>
          <w:sz w:val="28"/>
          <w:szCs w:val="28"/>
          <w:rtl w:val="true"/>
          <w:lang w:bidi="ar-SA"/>
        </w:rPr>
        <w:t xml:space="preserve">»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ويحصل به تغطية الرأس أو كان مكشوفا ، بل الظاهر من جماعة الأصحاب حيث استدلّوا على الأوّل بحديث التقنيع أنّ مقصودهم من التغطية هو التقنّع كما في المعتبر </w:t>
      </w:r>
      <w:r>
        <w:rPr>
          <w:rStyle w:val="FootnoteAnchor"/>
          <w:rtl w:val="true"/>
        </w:rPr>
        <w:footnoteReference w:id="1957"/>
      </w:r>
      <w:r>
        <w:rPr>
          <w:rFonts w:ascii="Amiri" w:hAnsi="Amiri" w:eastAsia="Amiri" w:cs="Amiri"/>
          <w:color w:val="111111"/>
          <w:sz w:val="28"/>
          <w:sz w:val="28"/>
          <w:szCs w:val="28"/>
          <w:rtl w:val="true"/>
          <w:lang w:bidi="ar-SA"/>
        </w:rPr>
        <w:t xml:space="preserve">وغيره إلّا أنّه ذكر في الروضة </w:t>
      </w:r>
      <w:r>
        <w:rPr>
          <w:rStyle w:val="FootnoteAnchor"/>
          <w:rtl w:val="true"/>
        </w:rPr>
        <w:footnoteReference w:id="1958"/>
      </w:r>
      <w:r>
        <w:rPr>
          <w:rFonts w:ascii="Amiri" w:hAnsi="Amiri" w:eastAsia="Amiri" w:cs="Amiri"/>
          <w:color w:val="111111"/>
          <w:sz w:val="28"/>
          <w:sz w:val="28"/>
          <w:szCs w:val="28"/>
          <w:rtl w:val="true"/>
          <w:lang w:bidi="ar-SA"/>
        </w:rPr>
        <w:t>أنّه روى التقنّع مع التغطية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أشار به إلى ما حكاه في المقنعة ، ولا يبعد أن يكون إشارة إلى التقنّع ؛ إذ هو الوارد في الرواية ، فاستحباب التغطية من دون التقنّع لا يخلو عن تأمّل وإن كان قضيّة إطلاق جماعة منهم ذلك ، بل عدم استحباب التقنّع فوقها حيث لم يذكروه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w:t>
      </w:r>
      <w:r>
        <w:rPr>
          <w:rStyle w:val="FootnoteAnchor"/>
          <w:rtl w:val="true"/>
        </w:rPr>
        <w:footnoteReference w:id="1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استحباب تغطية الرأس في الخلاء ، والذي يظهر من الأخبار والتعليلات الواردة فيها وفي كلام بعض الأصحاب أنّه يستحب التقنّع بأن يسدل على رأسه ثوبا يقع على منافذ الرأس ويمنع وصول الرائحة الخبيثة إلى الدماغ وأن كان متعمّما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أظهر وأحوط</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رحمه‌اللّه غير بعيد ؛ إذ ليس على استحباب التغطية مستقلّا دليل في الأخبار ولا شاهد من الاعتبار غير دعوى منع وصول الرائحة الخبيثة إلى الدماغ ، وبعد تسليمه لا </w:t>
      </w:r>
    </w:p>
    <w:p>
      <w:pPr>
        <w:pStyle w:val="BookText"/>
        <w:rPr/>
      </w:pPr>
      <w:r>
        <w:rPr>
          <w:rFonts w:ascii="Amiri" w:hAnsi="Amiri" w:eastAsia="Amiri" w:cs="Amiri"/>
          <w:color w:val="111111"/>
          <w:sz w:val="28"/>
          <w:sz w:val="28"/>
          <w:szCs w:val="28"/>
          <w:rtl w:val="true"/>
          <w:lang w:bidi="ar-SA"/>
        </w:rPr>
        <w:t xml:space="preserve">يفيد الاستحباب إلّا أنّ الوقوف على ظاهر كلام الجماعة أظهر خصوصا بعد ما عرفت من استنادها </w:t>
      </w:r>
      <w:r>
        <w:rPr>
          <w:rStyle w:val="FootnoteAnchor"/>
          <w:rtl w:val="true"/>
        </w:rPr>
        <w:footnoteReference w:id="1960"/>
      </w:r>
      <w:r>
        <w:rPr>
          <w:rFonts w:ascii="Amiri" w:hAnsi="Amiri" w:eastAsia="Amiri" w:cs="Amiri"/>
          <w:color w:val="111111"/>
          <w:sz w:val="28"/>
          <w:sz w:val="28"/>
          <w:szCs w:val="28"/>
          <w:rtl w:val="true"/>
          <w:lang w:bidi="ar-SA"/>
        </w:rPr>
        <w:t>إلى الرواية للتسامح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ارتياد موضع مناسب للبول بحيث لا يرشّش عليه كالجلوس على مرتفع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فقه الرجل أن يرتاد موضعا لبوله </w:t>
      </w:r>
      <w:r>
        <w:rPr>
          <w:rFonts w:eastAsia="Amiri" w:cs="Amiri" w:ascii="Amiri" w:hAnsi="Amiri"/>
          <w:color w:val="111111"/>
          <w:sz w:val="28"/>
          <w:szCs w:val="28"/>
          <w:rtl w:val="true"/>
          <w:lang w:bidi="ar-SA"/>
        </w:rPr>
        <w:t xml:space="preserve">»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أنّه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أشدّ الناس توقّيا للبول </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كان إذا أراد البول عهد إلى مكان مرتفع من الأرض أو مكان تكون فيه التراب كراهية أن ينتضح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تخصيص الحكم بما إذا ترتب فائدة على الاحتراز ، وأما إذا كان نجسا وأراد الدخول في الماء فلا ، إلا أن يقال باستحباب التحرّز عن ترشّش البول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اليسرى في الدخول واليمنى في الخروج عكس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الصدوق </w:t>
      </w:r>
      <w:r>
        <w:rPr>
          <w:rStyle w:val="FootnoteAnchor"/>
          <w:rtl w:val="true"/>
        </w:rPr>
        <w:footnoteReference w:id="1963"/>
      </w:r>
      <w:r>
        <w:rPr>
          <w:rFonts w:ascii="Amiri" w:hAnsi="Amiri" w:eastAsia="Amiri" w:cs="Amiri"/>
          <w:color w:val="111111"/>
          <w:sz w:val="28"/>
          <w:sz w:val="28"/>
          <w:szCs w:val="28"/>
          <w:rtl w:val="true"/>
          <w:lang w:bidi="ar-SA"/>
        </w:rPr>
        <w:t xml:space="preserve">والشيخ </w:t>
      </w:r>
      <w:r>
        <w:rPr>
          <w:rStyle w:val="FootnoteAnchor"/>
          <w:rtl w:val="true"/>
        </w:rPr>
        <w:footnoteReference w:id="1964"/>
      </w:r>
      <w:r>
        <w:rPr>
          <w:rFonts w:ascii="Amiri" w:hAnsi="Amiri" w:eastAsia="Amiri" w:cs="Amiri"/>
          <w:color w:val="111111"/>
          <w:sz w:val="28"/>
          <w:sz w:val="28"/>
          <w:szCs w:val="28"/>
          <w:rtl w:val="true"/>
          <w:lang w:bidi="ar-SA"/>
        </w:rPr>
        <w:t xml:space="preserve">وجماعة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وعزاه في منتهى المطلب </w:t>
      </w:r>
      <w:r>
        <w:rPr>
          <w:rStyle w:val="FootnoteAnchor"/>
          <w:rtl w:val="true"/>
        </w:rPr>
        <w:footnoteReference w:id="1966"/>
      </w:r>
      <w:r>
        <w:rPr>
          <w:rFonts w:ascii="Amiri" w:hAnsi="Amiri" w:eastAsia="Amiri" w:cs="Amiri"/>
          <w:color w:val="111111"/>
          <w:sz w:val="28"/>
          <w:sz w:val="28"/>
          <w:szCs w:val="28"/>
          <w:rtl w:val="true"/>
          <w:lang w:bidi="ar-SA"/>
        </w:rPr>
        <w:t>إلى الأصحاب ، ولم نعرف مستنده الا ان في الاعتماد على الجماعة في ذلك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هو الظاهر من طريقة الصدوق من عدم التعدية عن مضامين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يختص الحكم بالأبنية أو يعمّ غيرها؟ وجهان ، نص العلّامة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بعضهم اختيار الأول ؛ لعدم صدق الدخول هناك</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فالمعتبر موضع جلوسه كما نصّ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المعتبر في الدخول في الأمكنة المتّسعة كأفنية الدور ونحوها على الدخول فيها أو موضع الجلوس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إلحاقها بالصحاري ، فيجري فيها الوجهان المذكوران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في المواضع المبنيّة على الدخول في الفضاء الذي يقعد فيه لا الدخول في موضع المبني في وجه قوي ، وإن كان مراعاة الأمرين في بعض الصور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عند باب المتوضأ والالتفات إلى الملكين والقول بالمأثور ، فعن أمير المؤمنين عليه‌السلام أنه كان اذا أراد الحاجة وقف عند باب المتوضأ ثم التفت عن يمينه ويساره إلى ملكيه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أميطا عني فلكما اللّه على أن لا أحدث بلساني حتى أخرج إليكما </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عند الدخول 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ويقوى الاعتبار في الصحاري بمحل الخلاء ، وفي الأماكن المتّسعة الوجهان الماضيان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ويجزي ذلك في ساير الأحكام المتعلّقة بالدخول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بالمأثور عند الدخول ، ففي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دخلت المخرج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إني أعوذ بك من الخبيث المخبث الرجس النجس الشيطان الرجيم </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كثر عليه السهو في الصلاة فليقل إذا دخل الخلاء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من الرجس النجس الشيطان الرجيم إن اللّه 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هذه الرواية اختصاص الدعاء المذكور بصورة قصد الغائط وإطلاق الأخبار ظاهره الأول ، وغيرها يعمّ قصد البول أيضا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النبي صلى‌اللّه‌عليه‌وآله أنه كان إذا أراد دخول المتوضّى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أعوذ بك من الرجس </w:t>
      </w:r>
    </w:p>
    <w:p>
      <w:pPr>
        <w:pStyle w:val="BookText"/>
        <w:rPr/>
      </w:pPr>
      <w:r>
        <w:rPr>
          <w:rFonts w:ascii="Amiri" w:hAnsi="Amiri" w:eastAsia="Amiri" w:cs="Amiri"/>
          <w:color w:val="111111"/>
          <w:sz w:val="28"/>
          <w:sz w:val="28"/>
          <w:szCs w:val="28"/>
          <w:rtl w:val="true"/>
          <w:lang w:bidi="ar-SA"/>
        </w:rPr>
        <w:t xml:space="preserve">النجس الخبيث المخبث الشيطان الرجيم اللّهم أمط </w:t>
      </w:r>
      <w:r>
        <w:rPr>
          <w:rStyle w:val="FootnoteAnchor"/>
          <w:rtl w:val="true"/>
        </w:rPr>
        <w:footnoteReference w:id="1972"/>
      </w:r>
      <w:r>
        <w:rPr>
          <w:rFonts w:ascii="Amiri" w:hAnsi="Amiri" w:eastAsia="Amiri" w:cs="Amiri"/>
          <w:color w:val="111111"/>
          <w:sz w:val="28"/>
          <w:sz w:val="28"/>
          <w:szCs w:val="28"/>
          <w:rtl w:val="true"/>
          <w:lang w:bidi="ar-SA"/>
        </w:rPr>
        <w:t xml:space="preserve">عنّي الأذى وأعذني من الشيطان الرجيم </w:t>
      </w:r>
      <w:r>
        <w:rPr>
          <w:rFonts w:eastAsia="Amiri" w:cs="Amiri" w:ascii="Amiri" w:hAnsi="Amiri"/>
          <w:color w:val="111111"/>
          <w:sz w:val="28"/>
          <w:szCs w:val="28"/>
          <w:rtl w:val="true"/>
          <w:lang w:bidi="ar-SA"/>
        </w:rPr>
        <w:t xml:space="preserve">»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صريحة في كون الدعاء قبل الدخول في الخلاء أو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المراد من الأخبار الأخر أيضا وإن كان ظاهر الشرط قاضيا بكونه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يجعل كل منهما مستحبّا برأسه ، اللّهم إنّهم لم يبنوا عليه ، مضافا إلى أن تلك العبارة ممّا يقال عرفا عند إرادة الدخول مع اقترانه بالتسمية المؤمية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عند الكشف البول أو غيره ؛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تكشف أحدكم لبول أو غير ذلك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فإنّ الشيطان يغضّ بصره </w:t>
      </w:r>
      <w:r>
        <w:rPr>
          <w:rFonts w:eastAsia="Amiri" w:cs="Amiri" w:ascii="Amiri" w:hAnsi="Amiri"/>
          <w:color w:val="111111"/>
          <w:sz w:val="28"/>
          <w:szCs w:val="28"/>
          <w:rtl w:val="true"/>
          <w:lang w:bidi="ar-SA"/>
        </w:rPr>
        <w:t xml:space="preserve">»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Style w:val="FootnoteAnchor"/>
          <w:rtl w:val="true"/>
        </w:rPr>
        <w:footnoteReference w:id="1975"/>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بصره عنه حتى يفرغ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بغضّ البصر معناه الحقيقي أو أنه كناية عن عدم التعرض لوسوسته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حال الفعل ، فروى الصدوق ،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انزجر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أطعمتنيه طيبا في عافية فأخرجه مني خبيثا في عافية </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طاوس ، عن الباقر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جلس يقضي حاجته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أذهب عني الأذى وهنّئني طعامي </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تعم قبل الفعل أيضا على وجه ، فظاهره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النظر إلى الحدث ، فعن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عبد إلّا وبه ملك موكّل يلوي حتى ينظر إلى حدثه ثم 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هذا رزقك فانظر </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 xml:space="preserve">من أين أخذته وإلى ما صار ، فعند ذلك ينبغي للعبد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الحلال وجنّبني الحرام </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الفراغ من الحاجة ، ففي رواية أبي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قضى حاجته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أماط عنّي الأذى وهنّأني طعامي </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أسامة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أخرج منّي من الأذى في يسر منه وعافية </w:t>
      </w:r>
      <w:r>
        <w:rPr>
          <w:rFonts w:eastAsia="Amiri" w:cs="Amiri" w:ascii="Amiri" w:hAnsi="Amiri"/>
          <w:color w:val="111111"/>
          <w:sz w:val="28"/>
          <w:szCs w:val="28"/>
          <w:rtl w:val="true"/>
          <w:lang w:bidi="ar-SA"/>
        </w:rPr>
        <w:t xml:space="preserve">»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من البلاء وأماط عنّي الأذى </w:t>
      </w:r>
      <w:r>
        <w:rPr>
          <w:rFonts w:eastAsia="Amiri" w:cs="Amiri" w:ascii="Amiri" w:hAnsi="Amiri"/>
          <w:color w:val="111111"/>
          <w:sz w:val="28"/>
          <w:szCs w:val="28"/>
          <w:rtl w:val="true"/>
          <w:lang w:bidi="ar-SA"/>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هذه الروايات تصريح بكون هذه الدعوات بعد الفراغ من الغائط ، فيحتمل ثبوت الحكم للبول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الظاهر من سياقها إرادة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أخرى لأبي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أماط عنّي الأذى وأذهب عنّي الغائط وهنّأني وعافاني ، والحمد لله الذي يسّر وسهّل المخرج وأمضى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وأماط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الأذى </w:t>
      </w:r>
      <w:r>
        <w:rPr>
          <w:rFonts w:eastAsia="Amiri" w:cs="Amiri" w:ascii="Amiri" w:hAnsi="Amiri"/>
          <w:color w:val="111111"/>
          <w:sz w:val="28"/>
          <w:szCs w:val="28"/>
          <w:rtl w:val="true"/>
          <w:lang w:bidi="ar-SA"/>
        </w:rPr>
        <w:t xml:space="preserve">»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 اليمنى ، والدعاء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وباللّه الحمد لله الذي جعل الماء </w:t>
      </w:r>
    </w:p>
    <w:p>
      <w:pPr>
        <w:pStyle w:val="BookText"/>
        <w:rPr/>
      </w:pPr>
      <w:r>
        <w:rPr>
          <w:rFonts w:ascii="Amiri" w:hAnsi="Amiri" w:eastAsia="Amiri" w:cs="Amiri"/>
          <w:color w:val="111111"/>
          <w:sz w:val="28"/>
          <w:sz w:val="28"/>
          <w:szCs w:val="28"/>
          <w:rtl w:val="true"/>
          <w:lang w:bidi="ar-SA"/>
        </w:rPr>
        <w:t xml:space="preserve">طهورا ولم يجعله نجسا </w:t>
      </w:r>
      <w:r>
        <w:rPr>
          <w:rFonts w:eastAsia="Amiri" w:cs="Amiri" w:ascii="Amiri" w:hAnsi="Amiri"/>
          <w:color w:val="111111"/>
          <w:sz w:val="28"/>
          <w:szCs w:val="28"/>
          <w:rtl w:val="true"/>
          <w:lang w:bidi="ar-SA"/>
        </w:rPr>
        <w:t xml:space="preserve">» </w:t>
      </w:r>
      <w:r>
        <w:rPr>
          <w:rStyle w:val="FootnoteAnchor"/>
          <w:rtl w:val="true"/>
        </w:rPr>
        <w:footnoteReference w:id="1984"/>
      </w:r>
      <w:r>
        <w:rPr>
          <w:rFonts w:ascii="Amiri" w:hAnsi="Amiri" w:eastAsia="Amiri" w:cs="Amiri"/>
          <w:color w:val="111111"/>
          <w:sz w:val="28"/>
          <w:sz w:val="28"/>
          <w:szCs w:val="28"/>
          <w:rtl w:val="true"/>
          <w:lang w:bidi="ar-SA"/>
        </w:rPr>
        <w:t>؛ لرواية عبد الرحمن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التسمية هنا أيضا مستحبا برأسه ، ولا يبعد أن يكون استحباب غسل اليد عند كون الآنية مفتوح الرأس ليحتاج إلى إدخال اليد في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حال الاستنجاء ، فعن أمير المؤمنين عليه‌السلام أنّه استنجى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حصّن فرجي واعفه واستر عورتي وحرّمني على النار </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صلى‌اللّه‌عليه‌وآله أنّه إذا استوى جالسا للوضوء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أذهب عنّي القذى والأذى 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يعمّ حال الاستنجاء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الاستنجاء ، ففي الفقه المنسوب إلى مولانا الرضا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الاستنجاء على ما هو الظاهر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التوابين واجعلني من المتطهرين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المشارق </w:t>
      </w:r>
      <w:r>
        <w:rPr>
          <w:rStyle w:val="FootnoteAnchor"/>
          <w:rtl w:val="true"/>
        </w:rPr>
        <w:footnoteReference w:id="1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باستحباب الدعاء بعد الفراغ من الاستنجاء أشهر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القيام من الحاجة ، فعن النبي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نوح كبير الأنبياء إذا قام من الحاجة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أذاقني طعمه وأبقى في جسدي منفعته وأخرج عنّي أذاه ومشقّته </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بعد الخروج ومسح البطن ؛ لما حكاه في الغنية عن 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w:t>
      </w:r>
    </w:p>
    <w:p>
      <w:pPr>
        <w:pStyle w:val="BookText"/>
        <w:rPr/>
      </w:pPr>
      <w:r>
        <w:rPr>
          <w:rFonts w:ascii="Amiri" w:hAnsi="Amiri" w:eastAsia="Amiri" w:cs="Amiri"/>
          <w:color w:val="111111"/>
          <w:sz w:val="28"/>
          <w:sz w:val="28"/>
          <w:szCs w:val="28"/>
          <w:rtl w:val="true"/>
          <w:lang w:bidi="ar-SA"/>
        </w:rPr>
        <w:t xml:space="preserve">خرج مسح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أخرج منّي أذاه وأبقى </w:t>
      </w:r>
      <w:r>
        <w:rPr>
          <w:rStyle w:val="FootnoteAnchor"/>
          <w:rtl w:val="true"/>
        </w:rPr>
        <w:footnoteReference w:id="1990"/>
      </w:r>
      <w:r>
        <w:rPr>
          <w:rFonts w:ascii="Amiri" w:hAnsi="Amiri" w:eastAsia="Amiri" w:cs="Amiri"/>
          <w:color w:val="111111"/>
          <w:sz w:val="28"/>
          <w:sz w:val="28"/>
          <w:szCs w:val="28"/>
          <w:rtl w:val="true"/>
          <w:lang w:bidi="ar-SA"/>
        </w:rPr>
        <w:t xml:space="preserve">قوّته ، فيا لها من نعمة لا يعذر القادرون قدرها </w:t>
      </w:r>
      <w:r>
        <w:rPr>
          <w:rFonts w:eastAsia="Amiri" w:cs="Amiri" w:ascii="Amiri" w:hAnsi="Amiri"/>
          <w:color w:val="111111"/>
          <w:sz w:val="28"/>
          <w:szCs w:val="28"/>
          <w:rtl w:val="true"/>
          <w:lang w:bidi="ar-SA"/>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الرواية كون استحباب المسح منضمّا إلى الدعاء ، فما ذكره بعض الأصحاب من استحباب مسح البطن حينئذ مستقلّا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كان إذا خرج من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لذّته وأبقى قوّته في جسدي وأخرج عنّي أذاه ، يا لها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خرجت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والحمد لله الذي عافاني من الخبيث المخبث وأماط عنّي الأذى </w:t>
      </w:r>
      <w:r>
        <w:rPr>
          <w:rFonts w:eastAsia="Amiri" w:cs="Amiri" w:ascii="Amiri" w:hAnsi="Amiri"/>
          <w:color w:val="111111"/>
          <w:sz w:val="28"/>
          <w:szCs w:val="28"/>
          <w:rtl w:val="true"/>
          <w:lang w:bidi="ar-SA"/>
        </w:rPr>
        <w:t xml:space="preserve">»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كما مرّ أن يراد به حال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فيمكن عدّ التسمية للخروج مستحبّا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اليسرى حال الجلوس ؛ لأنّه عليه‌السلام علّم أصحابه الاتّكاء على اليسرى كما في النهاية </w:t>
      </w:r>
      <w:r>
        <w:rPr>
          <w:rStyle w:val="FootnoteAnchor"/>
          <w:rtl w:val="true"/>
        </w:rPr>
        <w:footnoteReference w:id="1994"/>
      </w:r>
      <w:r>
        <w:rPr>
          <w:rFonts w:ascii="Amiri" w:hAnsi="Amiri" w:eastAsia="Amiri" w:cs="Amiri"/>
          <w:color w:val="111111"/>
          <w:sz w:val="28"/>
          <w:sz w:val="28"/>
          <w:szCs w:val="28"/>
          <w:rtl w:val="true"/>
          <w:lang w:bidi="ar-SA"/>
        </w:rPr>
        <w:t xml:space="preserve">، وأسنده في الذكرى </w:t>
      </w:r>
      <w:r>
        <w:rPr>
          <w:rStyle w:val="FootnoteAnchor"/>
          <w:rtl w:val="true"/>
        </w:rPr>
        <w:footnoteReference w:id="1995"/>
      </w:r>
      <w:r>
        <w:rPr>
          <w:rFonts w:ascii="Amiri" w:hAnsi="Amiri" w:eastAsia="Amiri" w:cs="Amiri"/>
          <w:color w:val="111111"/>
          <w:sz w:val="28"/>
          <w:sz w:val="28"/>
          <w:szCs w:val="28"/>
          <w:rtl w:val="true"/>
          <w:lang w:bidi="ar-SA"/>
        </w:rPr>
        <w:t xml:space="preserve">إلى الرواية ، وزاد في الروضة </w:t>
      </w:r>
      <w:r>
        <w:rPr>
          <w:rStyle w:val="FootnoteAnchor"/>
          <w:rtl w:val="true"/>
        </w:rPr>
        <w:footnoteReference w:id="1996"/>
      </w:r>
      <w:r>
        <w:rPr>
          <w:rFonts w:ascii="Amiri" w:hAnsi="Amiri" w:eastAsia="Amiri" w:cs="Amiri"/>
          <w:color w:val="111111"/>
          <w:sz w:val="28"/>
          <w:sz w:val="28"/>
          <w:szCs w:val="28"/>
          <w:rtl w:val="true"/>
          <w:lang w:bidi="ar-SA"/>
        </w:rPr>
        <w:t>استحباب فتح اليمنى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نجد مأخذة وكأنّه جعله لازما للأوّل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البدأة بالمقعدة ثمّ بالإحليل ؛ للموثق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يعلّل بعدم تنجّس اليد عند الاستبراء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 الاستنجاء من البول ؛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انقطعت درة </w:t>
      </w:r>
      <w:r>
        <w:rPr>
          <w:rStyle w:val="FootnoteAnchor"/>
          <w:rtl w:val="true"/>
        </w:rPr>
        <w:footnoteReference w:id="1997"/>
      </w:r>
      <w:r>
        <w:rPr>
          <w:rFonts w:ascii="IRNazanin" w:hAnsi="IRNazanin" w:eastAsia="IRNazanin"/>
          <w:color w:val="111111"/>
          <w:sz w:val="28"/>
          <w:sz w:val="28"/>
          <w:szCs w:val="28"/>
          <w:rtl w:val="true"/>
          <w:lang w:bidi="fa-IR"/>
        </w:rPr>
        <w:t xml:space="preserve">البول فصبّ الماء </w:t>
      </w:r>
      <w:r>
        <w:rPr>
          <w:rFonts w:eastAsia="IRNazanin" w:cs="IRNazanin"/>
          <w:color w:val="111111"/>
          <w:sz w:val="28"/>
          <w:szCs w:val="28"/>
          <w:rtl w:val="true"/>
          <w:lang w:bidi="fa-IR"/>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عليه‌السلام يبول غير مرّة ويتعاول كوزا صغيرا ويصبّ عليه الماء من ساعته </w:t>
      </w:r>
      <w:r>
        <w:rPr>
          <w:rFonts w:eastAsia="Amiri" w:cs="Amiri" w:ascii="Amiri" w:hAnsi="Amiri"/>
          <w:color w:val="111111"/>
          <w:sz w:val="28"/>
          <w:szCs w:val="28"/>
          <w:rtl w:val="true"/>
          <w:lang w:bidi="ar-SA"/>
        </w:rPr>
        <w:t xml:space="preserve">»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يعم الحكم للاستنجاء من الغائط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الماء في مخرج الغائط مع عدم التعدّي عن المعتاد ؛ للمستفيضة </w:t>
      </w:r>
      <w:r>
        <w:rPr>
          <w:rStyle w:val="FootnoteAnchor"/>
          <w:rtl w:val="true"/>
        </w:rPr>
        <w:footnoteReference w:id="2000"/>
      </w:r>
      <w:r>
        <w:rPr>
          <w:rFonts w:ascii="Amiri" w:hAnsi="Amiri" w:eastAsia="Amiri" w:cs="Amiri"/>
          <w:color w:val="111111"/>
          <w:sz w:val="28"/>
          <w:sz w:val="28"/>
          <w:szCs w:val="28"/>
          <w:rtl w:val="true"/>
          <w:lang w:bidi="ar-SA"/>
        </w:rPr>
        <w:t xml:space="preserve">الواردة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الصحيح والمعتبرة </w:t>
      </w:r>
      <w:r>
        <w:rPr>
          <w:rStyle w:val="FootnoteAnchor"/>
          <w:rtl w:val="true"/>
        </w:rPr>
        <w:footnoteReference w:id="200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باستحبابه أفضليّته من الآخر ، فلا ينافي وجوبه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الندب عينا بالخصوصيّة ، فلا ينافي وجوب تعيين الازالة من حيث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بعدم المنافاة بين وجوب الطبيعية وندبية الفرد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أظهر على ما هو الظاهر من امتناع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منه الجمع بين المطهّرين في المتعدّي وغيره ، وخصّه الشهيد بالأوّل مقدّما للأحجار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جرت السنّة في الاستنجاء بثلاث أحجار أبكار ويتبع بالماء </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 لما فيه من تنزيه اليد عن مباشرة النجاسة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حصول السنّة بإزالة عين النجاسة بما لا يوجب طهر المحل كاستعمال النجس أو الاكتفاء بما دون الثلاث إذا نقي المحل به وجه يقضي به التعليل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احتمله </w:t>
      </w:r>
      <w:r>
        <w:rPr>
          <w:rStyle w:val="FootnoteAnchor"/>
          <w:rtl w:val="true"/>
        </w:rPr>
        <w:footnoteReference w:id="2004"/>
      </w:r>
      <w:r>
        <w:rPr>
          <w:rFonts w:ascii="Amiri" w:hAnsi="Amiri" w:eastAsia="Amiri" w:cs="Amiri"/>
          <w:color w:val="111111"/>
          <w:sz w:val="28"/>
          <w:sz w:val="28"/>
          <w:szCs w:val="28"/>
          <w:rtl w:val="true"/>
          <w:lang w:bidi="ar-SA"/>
        </w:rPr>
        <w:t>في الروضة إلّا أنّ ثبوت الحكم الشرعي بمجرّده لا يخلو من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w:t>
      </w:r>
      <w:r>
        <w:rPr>
          <w:rStyle w:val="FootnoteAnchor"/>
          <w:rtl w:val="true"/>
        </w:rPr>
        <w:footnoteReference w:id="2005"/>
      </w:r>
      <w:r>
        <w:rPr>
          <w:rFonts w:ascii="Amiri" w:hAnsi="Amiri" w:eastAsia="Amiri" w:cs="Amiri"/>
          <w:color w:val="111111"/>
          <w:sz w:val="28"/>
          <w:sz w:val="28"/>
          <w:szCs w:val="28"/>
          <w:rtl w:val="true"/>
          <w:lang w:bidi="ar-SA"/>
        </w:rPr>
        <w:t xml:space="preserve">في الاستنجاء إذا حصل النقاء بما دونه ؛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استنجى أحدكم فليوتر بها وترا إذا لم يكن الماء </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الأصحاب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ذهب أحدكم إلى الغائط فليندب معه بثلاثة أحجار ، فإنّها تجزي </w:t>
      </w:r>
      <w:r>
        <w:rPr>
          <w:rFonts w:eastAsia="Amiri" w:cs="Amiri" w:ascii="Amiri" w:hAnsi="Amiri"/>
          <w:color w:val="111111"/>
          <w:sz w:val="28"/>
          <w:szCs w:val="28"/>
          <w:rtl w:val="true"/>
          <w:lang w:bidi="ar-SA"/>
        </w:rPr>
        <w:t xml:space="preserve">»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هنيئة قبل الاستبراء </w:t>
      </w:r>
      <w:r>
        <w:rPr>
          <w:rStyle w:val="FootnoteAnchor"/>
          <w:rtl w:val="true"/>
        </w:rPr>
        <w:footnoteReference w:id="2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العلّامة والشهيد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نعرف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خلافه بظاهر الخبرين الماضيين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الاستبراء على المعروف من المذهب ، بل الظاهر انعقاد الإجماع عليه ؛ إذ لا يعرف خلاف فيه إلّا من الشيخ في الاستبصار </w:t>
      </w:r>
      <w:r>
        <w:rPr>
          <w:rStyle w:val="FootnoteAnchor"/>
          <w:rtl w:val="true"/>
        </w:rPr>
        <w:footnoteReference w:id="2009"/>
      </w:r>
      <w:r>
        <w:rPr>
          <w:rFonts w:ascii="Amiri" w:hAnsi="Amiri" w:eastAsia="Amiri" w:cs="Amiri"/>
          <w:color w:val="111111"/>
          <w:sz w:val="28"/>
          <w:sz w:val="28"/>
          <w:szCs w:val="28"/>
          <w:rtl w:val="true"/>
          <w:lang w:bidi="ar-SA"/>
        </w:rPr>
        <w:t>حيث عنون الباب لوجوب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إرادة مطلق الثبوت ليس بالبعيد ، ولذا ناقش بعض المتأخّرين في إسناد الوجوب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فاحتجّ له بظاهر الطلب الوارد في صحيحتي حفص وابن مسلم ، ودلالتهما على ذلك في غاية الضعف ، بل الظاهر بملاحظة المقام عدمه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فهم الأصحاب بل وإطباقهم على خلافه مع تأيّده بالأصل وخلوّ سائر الأخبار عنه ، بل قد يستظهر من جملة من الأخبار وعدمه كالخبرين المتقدمين ، وفي رواية </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 أبو عبد اللّه عليه‌السلام وأنا قائم على رأسه </w:t>
      </w:r>
      <w:r>
        <w:rPr>
          <w:rStyle w:val="FootnoteAnchor"/>
          <w:rtl w:val="true"/>
        </w:rPr>
        <w:footnoteReference w:id="2010"/>
      </w:r>
      <w:r>
        <w:rPr>
          <w:rFonts w:ascii="IRNazanin" w:hAnsi="IRNazanin" w:eastAsia="IRNazanin"/>
          <w:color w:val="111111"/>
          <w:sz w:val="28"/>
          <w:sz w:val="28"/>
          <w:szCs w:val="28"/>
          <w:rtl w:val="true"/>
          <w:lang w:bidi="fa-IR"/>
        </w:rPr>
        <w:t xml:space="preserve">، فلمّا انقطع خشب </w:t>
      </w:r>
      <w:r>
        <w:rPr>
          <w:rStyle w:val="FootnoteAnchor"/>
          <w:rtl w:val="true"/>
        </w:rPr>
        <w:footnoteReference w:id="2011"/>
      </w:r>
      <w:r>
        <w:rPr>
          <w:rFonts w:ascii="Amiri" w:hAnsi="Amiri" w:eastAsia="Amiri" w:cs="Amiri"/>
          <w:color w:val="111111"/>
          <w:sz w:val="28"/>
          <w:sz w:val="28"/>
          <w:szCs w:val="28"/>
          <w:rtl w:val="true"/>
          <w:lang w:bidi="ar-SA"/>
        </w:rPr>
        <w:t xml:space="preserve">البول قال بيده إليّ هكذا فناولته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مكانه </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كلام الأصحاب وظواهر الأخبار اختلاف في كيفيّة الاستبراء ، فذهب المفيد </w:t>
      </w:r>
      <w:r>
        <w:rPr>
          <w:rStyle w:val="FootnoteAnchor"/>
          <w:rtl w:val="true"/>
        </w:rPr>
        <w:footnoteReference w:id="2013"/>
      </w:r>
      <w:r>
        <w:rPr>
          <w:rFonts w:ascii="Amiri" w:hAnsi="Amiri" w:eastAsia="Amiri" w:cs="Amiri"/>
          <w:color w:val="111111"/>
          <w:sz w:val="28"/>
          <w:sz w:val="28"/>
          <w:szCs w:val="28"/>
          <w:rtl w:val="true"/>
          <w:lang w:bidi="ar-SA"/>
        </w:rPr>
        <w:t>إلى الاكتفاء فيه بأربع مسحات حيث اعتبر المسح باصبعه الوسطى تحت أنثييه إلى أصل القضيب مرّتين أو ثلاثا ووضع مسحته تحت القضيب وإبهامه فوقه وإمرارها عليه باعتماد قوي من أصله إلى رأس الحشفة مرّتين أو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2014"/>
      </w:r>
      <w:r>
        <w:rPr>
          <w:rFonts w:ascii="Amiri" w:hAnsi="Amiri" w:eastAsia="Amiri" w:cs="Amiri"/>
          <w:color w:val="111111"/>
          <w:sz w:val="28"/>
          <w:sz w:val="28"/>
          <w:szCs w:val="28"/>
          <w:rtl w:val="true"/>
          <w:lang w:bidi="ar-SA"/>
        </w:rPr>
        <w:t>أنّه نتر الذكر من أصله إلى طرفه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ذلك عن الاسكافي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الهداية </w:t>
      </w:r>
      <w:r>
        <w:rPr>
          <w:rStyle w:val="FootnoteAnchor"/>
          <w:rtl w:val="true"/>
        </w:rPr>
        <w:footnoteReference w:id="2015"/>
      </w:r>
      <w:r>
        <w:rPr>
          <w:rFonts w:ascii="Amiri" w:hAnsi="Amiri" w:eastAsia="Amiri" w:cs="Amiri"/>
          <w:color w:val="111111"/>
          <w:sz w:val="28"/>
          <w:sz w:val="28"/>
          <w:szCs w:val="28"/>
          <w:rtl w:val="true"/>
          <w:lang w:bidi="ar-SA"/>
        </w:rPr>
        <w:t xml:space="preserve">والغنية </w:t>
      </w:r>
      <w:r>
        <w:rPr>
          <w:rStyle w:val="FootnoteAnchor"/>
          <w:rtl w:val="true"/>
        </w:rPr>
        <w:footnoteReference w:id="2016"/>
      </w:r>
      <w:r>
        <w:rPr>
          <w:rFonts w:ascii="Amiri" w:hAnsi="Amiri" w:eastAsia="Amiri" w:cs="Amiri"/>
          <w:color w:val="111111"/>
          <w:sz w:val="28"/>
          <w:sz w:val="28"/>
          <w:szCs w:val="28"/>
          <w:rtl w:val="true"/>
          <w:lang w:bidi="ar-SA"/>
        </w:rPr>
        <w:t>أنّه المسح باصبعه من عند مقعده إلى الأنثيين ونتر ذكره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الوسيلة </w:t>
      </w:r>
      <w:r>
        <w:rPr>
          <w:rStyle w:val="FootnoteAnchor"/>
          <w:rtl w:val="true"/>
        </w:rPr>
        <w:footnoteReference w:id="2017"/>
      </w:r>
      <w:r>
        <w:rPr>
          <w:rFonts w:ascii="Amiri" w:hAnsi="Amiri" w:eastAsia="Amiri" w:cs="Amiri"/>
          <w:color w:val="111111"/>
          <w:sz w:val="28"/>
          <w:sz w:val="28"/>
          <w:szCs w:val="28"/>
          <w:rtl w:val="true"/>
          <w:lang w:bidi="ar-SA"/>
        </w:rPr>
        <w:t>إلّا أنّه اعتبر النتر بكونه بين الإبهام والسبابة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المبسوط </w:t>
      </w:r>
      <w:r>
        <w:rPr>
          <w:rStyle w:val="FootnoteAnchor"/>
          <w:rtl w:val="true"/>
        </w:rPr>
        <w:footnoteReference w:id="2018"/>
      </w:r>
      <w:r>
        <w:rPr>
          <w:rFonts w:ascii="Amiri" w:hAnsi="Amiri" w:eastAsia="Amiri" w:cs="Amiri"/>
          <w:color w:val="111111"/>
          <w:sz w:val="28"/>
          <w:sz w:val="28"/>
          <w:szCs w:val="28"/>
          <w:rtl w:val="true"/>
          <w:lang w:bidi="ar-SA"/>
        </w:rPr>
        <w:t xml:space="preserve">والنهاية </w:t>
      </w:r>
      <w:r>
        <w:rPr>
          <w:rStyle w:val="FootnoteAnchor"/>
          <w:rtl w:val="true"/>
        </w:rPr>
        <w:footnoteReference w:id="2019"/>
      </w:r>
      <w:r>
        <w:rPr>
          <w:rFonts w:ascii="Amiri" w:hAnsi="Amiri" w:eastAsia="Amiri" w:cs="Amiri"/>
          <w:color w:val="111111"/>
          <w:sz w:val="28"/>
          <w:sz w:val="28"/>
          <w:szCs w:val="28"/>
          <w:rtl w:val="true"/>
          <w:lang w:bidi="ar-SA"/>
        </w:rPr>
        <w:t>أنه مسح ما بين المقعدة والأنثيين ثلاثا ، ومسح القضيب ونتره ثلاثا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يرجع إلى كلام الصدوق إن جعل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ونتره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للمسح وإلّا رجع إلى </w:t>
      </w:r>
    </w:p>
    <w:p>
      <w:pPr>
        <w:pStyle w:val="BookText"/>
        <w:rPr/>
      </w:pPr>
      <w:r>
        <w:rPr>
          <w:rFonts w:ascii="Amiri" w:hAnsi="Amiri" w:eastAsia="Amiri" w:cs="Amiri"/>
          <w:color w:val="111111"/>
          <w:sz w:val="28"/>
          <w:sz w:val="28"/>
          <w:szCs w:val="28"/>
          <w:rtl w:val="true"/>
          <w:lang w:bidi="ar-SA"/>
        </w:rPr>
        <w:t xml:space="preserve">اعتبار التسع كما في الشرائع </w:t>
      </w:r>
      <w:r>
        <w:rPr>
          <w:rStyle w:val="FootnoteAnchor"/>
          <w:rtl w:val="true"/>
        </w:rPr>
        <w:footnoteReference w:id="2020"/>
      </w:r>
      <w:r>
        <w:rPr>
          <w:rFonts w:ascii="IRNazanin" w:hAnsi="IRNazanin" w:eastAsia="IRNazanin"/>
          <w:color w:val="111111"/>
          <w:sz w:val="28"/>
          <w:sz w:val="28"/>
          <w:szCs w:val="28"/>
          <w:rtl w:val="true"/>
          <w:lang w:bidi="fa-IR"/>
        </w:rPr>
        <w:t xml:space="preserve">والمنتهى </w:t>
      </w:r>
      <w:r>
        <w:rPr>
          <w:rStyle w:val="FootnoteAnchor"/>
          <w:rtl w:val="true"/>
        </w:rPr>
        <w:footnoteReference w:id="2021"/>
      </w:r>
      <w:r>
        <w:rPr>
          <w:rFonts w:ascii="IRNazanin" w:hAnsi="IRNazanin" w:eastAsia="IRNazanin"/>
          <w:color w:val="111111"/>
          <w:sz w:val="28"/>
          <w:sz w:val="28"/>
          <w:szCs w:val="28"/>
          <w:rtl w:val="true"/>
          <w:lang w:bidi="fa-IR"/>
        </w:rPr>
        <w:t xml:space="preserve">والقواعد </w:t>
      </w:r>
      <w:r>
        <w:rPr>
          <w:rStyle w:val="FootnoteAnchor"/>
          <w:rtl w:val="true"/>
        </w:rPr>
        <w:footnoteReference w:id="2022"/>
      </w:r>
      <w:r>
        <w:rPr>
          <w:rFonts w:ascii="IRNazanin" w:hAnsi="IRNazanin" w:eastAsia="IRNazanin"/>
          <w:color w:val="111111"/>
          <w:sz w:val="28"/>
          <w:sz w:val="28"/>
          <w:szCs w:val="28"/>
          <w:rtl w:val="true"/>
          <w:lang w:bidi="fa-IR"/>
        </w:rPr>
        <w:t xml:space="preserve">والروض </w:t>
      </w:r>
      <w:r>
        <w:rPr>
          <w:rStyle w:val="FootnoteAnchor"/>
          <w:rtl w:val="true"/>
        </w:rPr>
        <w:footnoteReference w:id="2023"/>
      </w:r>
      <w:r>
        <w:rPr>
          <w:rFonts w:ascii="Amiri" w:hAnsi="Amiri" w:eastAsia="Amiri" w:cs="Amiri"/>
          <w:color w:val="111111"/>
          <w:sz w:val="28"/>
          <w:sz w:val="28"/>
          <w:szCs w:val="28"/>
          <w:rtl w:val="true"/>
          <w:lang w:bidi="ar-SA"/>
        </w:rPr>
        <w:t>وغيرها حيث اعتبر فيها المسح من المقعدة إلى أصل القضيب ، ثمّ مسح القضيب ثلاثا ثمّ نتره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السرائر </w:t>
      </w:r>
      <w:r>
        <w:rPr>
          <w:rStyle w:val="FootnoteAnchor"/>
          <w:rtl w:val="true"/>
        </w:rPr>
        <w:footnoteReference w:id="2024"/>
      </w:r>
      <w:r>
        <w:rPr>
          <w:rFonts w:ascii="Amiri" w:hAnsi="Amiri" w:eastAsia="Amiri" w:cs="Amiri"/>
          <w:color w:val="111111"/>
          <w:sz w:val="28"/>
          <w:sz w:val="28"/>
          <w:szCs w:val="28"/>
          <w:rtl w:val="true"/>
          <w:lang w:bidi="ar-SA"/>
        </w:rPr>
        <w:t>انّه المسح باصبعه من عند مخرج النجو إلى أصل القضيب ثلاثا ثمّ يمرّ إصبعه على القضيب ويخرطه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ويجزي فيه الوجهان المذكوران ، والأظهر فيه الأوّل وجرى </w:t>
      </w:r>
      <w:r>
        <w:rPr>
          <w:rStyle w:val="FootnoteAnchor"/>
          <w:rtl w:val="true"/>
        </w:rPr>
        <w:footnoteReference w:id="2025"/>
      </w:r>
      <w:r>
        <w:rPr>
          <w:rFonts w:ascii="Amiri" w:hAnsi="Amiri" w:eastAsia="Amiri" w:cs="Amiri"/>
          <w:color w:val="111111"/>
          <w:sz w:val="28"/>
          <w:sz w:val="28"/>
          <w:szCs w:val="28"/>
          <w:rtl w:val="true"/>
          <w:lang w:bidi="ar-SA"/>
        </w:rPr>
        <w:t>إليه القول بكونه نتر القضيب من أصله إلى رأسه من غير اعتبار عدد ولا شي‌ء 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2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المسح من المقعدة إلى أصل القضيب ثمّ إلى رأسه ثمّ عصر الحشفة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البيان </w:t>
      </w:r>
      <w:r>
        <w:rPr>
          <w:rStyle w:val="FootnoteAnchor"/>
          <w:rtl w:val="true"/>
        </w:rPr>
        <w:footnoteReference w:id="2027"/>
      </w:r>
      <w:r>
        <w:rPr>
          <w:rFonts w:ascii="Amiri" w:hAnsi="Amiri" w:eastAsia="Amiri" w:cs="Amiri"/>
          <w:color w:val="111111"/>
          <w:sz w:val="28"/>
          <w:sz w:val="28"/>
          <w:szCs w:val="28"/>
          <w:rtl w:val="true"/>
          <w:lang w:bidi="ar-SA"/>
        </w:rPr>
        <w:t xml:space="preserve">والروضة </w:t>
      </w:r>
      <w:r>
        <w:rPr>
          <w:rStyle w:val="FootnoteAnchor"/>
          <w:rtl w:val="true"/>
        </w:rPr>
        <w:footnoteReference w:id="2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مسح ما بين المقعدة وأصل القضيب ثلاثا ثمّ عصر الحشفة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أقوال ستّة أو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بيانه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حفص بن البختري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ينتره ثلاثا ثمّ إن سال حتّى يبلغ الساق فلا يبالي </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يعصر أصل ذكره إلى طرفه </w:t>
      </w:r>
      <w:r>
        <w:rPr>
          <w:rFonts w:eastAsia="Amiri" w:cs="Amiri" w:ascii="Amiri" w:hAnsi="Amiri"/>
          <w:color w:val="111111"/>
          <w:sz w:val="28"/>
          <w:szCs w:val="28"/>
          <w:rtl w:val="true"/>
          <w:lang w:bidi="ar-SA"/>
        </w:rPr>
        <w:t xml:space="preserve">» </w:t>
      </w:r>
      <w:r>
        <w:rPr>
          <w:rStyle w:val="FootnoteAnchor"/>
          <w:rtl w:val="true"/>
        </w:rPr>
        <w:footnoteReference w:id="2030"/>
      </w:r>
      <w:r>
        <w:rPr>
          <w:rFonts w:ascii="Amiri" w:hAnsi="Amiri" w:eastAsia="Amiri" w:cs="Amiri"/>
          <w:color w:val="111111"/>
          <w:sz w:val="28"/>
          <w:sz w:val="28"/>
          <w:szCs w:val="28"/>
          <w:rtl w:val="true"/>
          <w:lang w:bidi="ar-SA"/>
        </w:rPr>
        <w:t xml:space="preserve">كما في الكافي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2032"/>
      </w:r>
      <w:r>
        <w:rPr>
          <w:rFonts w:ascii="Amiri" w:hAnsi="Amiri" w:eastAsia="Amiri" w:cs="Amiri"/>
          <w:color w:val="111111"/>
          <w:sz w:val="28"/>
          <w:sz w:val="28"/>
          <w:szCs w:val="28"/>
          <w:rtl w:val="true"/>
          <w:lang w:bidi="ar-SA"/>
        </w:rPr>
        <w:t xml:space="preserve">وإلى رأس ذكره كما في الاستبصار </w:t>
      </w:r>
      <w:r>
        <w:rPr>
          <w:rStyle w:val="FootnoteAnchor"/>
          <w:rtl w:val="true"/>
        </w:rPr>
        <w:footnoteReference w:id="20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عصرات ونتر طرفه فإن خرج بعد ذلك شي‌ء فليس من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الحلي في مستطرفات السرائر </w:t>
      </w:r>
      <w:r>
        <w:rPr>
          <w:rStyle w:val="FootnoteAnchor"/>
          <w:rtl w:val="true"/>
        </w:rPr>
        <w:footnoteReference w:id="2034"/>
      </w:r>
      <w:r>
        <w:rPr>
          <w:rFonts w:ascii="Amiri" w:hAnsi="Amiri" w:eastAsia="Amiri" w:cs="Amiri"/>
          <w:color w:val="111111"/>
          <w:sz w:val="28"/>
          <w:sz w:val="28"/>
          <w:szCs w:val="28"/>
          <w:rtl w:val="true"/>
          <w:lang w:bidi="ar-SA"/>
        </w:rPr>
        <w:t>عن كتاب حريز ، عن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عبد الملك بن عمرو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فخرط ما بين المقعدة والأنثيين ثلاث مرّات وغمز ما بينهما ثمّ استنجى ، فإن سال حتّى يبلغ الساق فلا يبال </w:t>
      </w:r>
      <w:r>
        <w:rPr>
          <w:rFonts w:eastAsia="Amiri" w:cs="Amiri" w:ascii="Amiri" w:hAnsi="Amiri"/>
          <w:color w:val="111111"/>
          <w:sz w:val="28"/>
          <w:szCs w:val="28"/>
          <w:rtl w:val="true"/>
          <w:lang w:bidi="ar-SA"/>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الراوندي بإسناده عن موسى بن إسماعيل بن موسى عليه‌السلام ، عن أبيه ، عن جده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بال فليضع إصبعه الوسطى في أصل العجان ثمّ يسلّها ثلاثا </w:t>
      </w:r>
      <w:r>
        <w:rPr>
          <w:rFonts w:eastAsia="Amiri" w:cs="Amiri" w:ascii="Amiri" w:hAnsi="Amiri"/>
          <w:color w:val="111111"/>
          <w:sz w:val="28"/>
          <w:szCs w:val="28"/>
          <w:rtl w:val="true"/>
          <w:lang w:bidi="ar-SA"/>
        </w:rPr>
        <w:t xml:space="preserve">»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بإسناده المذكور </w:t>
      </w:r>
      <w:r>
        <w:rPr>
          <w:rStyle w:val="FootnoteAnchor"/>
          <w:rtl w:val="true"/>
        </w:rPr>
        <w:footnoteReference w:id="2037"/>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صلى‌اللّه‌عليه‌وآله إذا بال نتر ذكره ثلاث مرّات </w:t>
      </w:r>
      <w:r>
        <w:rPr>
          <w:rFonts w:eastAsia="Amiri" w:cs="Amiri" w:ascii="Amiri" w:hAnsi="Amiri"/>
          <w:color w:val="111111"/>
          <w:sz w:val="28"/>
          <w:szCs w:val="28"/>
          <w:rtl w:val="true"/>
          <w:lang w:bidi="ar-SA"/>
        </w:rPr>
        <w:t xml:space="preserve">»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الأخبار كما ترى مختلفة ، ولا يوافق ظاهر شي‌ء منها شيئا من الأحوال المذكورة سوى الصحيحة الأولى والرواية الأخيرة ، فإنّهما منطبقان على مذهب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يتقوّى القول المذكور كما قوّاه جماعة من المتأخرين مع اعتضاده بما دفعه للأصل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اعتبار </w:t>
      </w:r>
      <w:r>
        <w:rPr>
          <w:rStyle w:val="FootnoteAnchor"/>
          <w:rtl w:val="true"/>
        </w:rPr>
        <w:footnoteReference w:id="2039"/>
      </w:r>
      <w:r>
        <w:rPr>
          <w:rFonts w:ascii="Amiri" w:hAnsi="Amiri" w:eastAsia="Amiri" w:cs="Amiri"/>
          <w:color w:val="111111"/>
          <w:sz w:val="28"/>
          <w:sz w:val="28"/>
          <w:szCs w:val="28"/>
          <w:rtl w:val="true"/>
          <w:lang w:bidi="ar-SA"/>
        </w:rPr>
        <w:t>التسع بالجمع بين الأخبار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ريب في كونه أحوط وأبلغ في الاستظهار ، ولا يبعد القول بجواز كلّ من الوجوه المذكورة في الأخبار المعتبرة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اختلاف الأخبار هو أنّ المناط حصول الاطمئنان بعدم بقاء شي‌ء </w:t>
      </w:r>
      <w:r>
        <w:rPr>
          <w:rStyle w:val="FootnoteAnchor"/>
          <w:rtl w:val="true"/>
        </w:rPr>
        <w:footnoteReference w:id="2040"/>
      </w:r>
      <w:r>
        <w:rPr>
          <w:rFonts w:ascii="Amiri" w:hAnsi="Amiri" w:eastAsia="Amiri" w:cs="Amiri"/>
          <w:color w:val="111111"/>
          <w:sz w:val="28"/>
          <w:sz w:val="28"/>
          <w:szCs w:val="28"/>
          <w:rtl w:val="true"/>
          <w:lang w:bidi="ar-SA"/>
        </w:rPr>
        <w:t>في الممرّ ، فبأيّ نحو حصل من الوجوه المذكورة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فيحتمل الاكتفاء بغير ذلك ممّا يوجب الطمأنينة بذلك ككثرة المشي ونحوها ، فيجري عليها حكم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على القول باعتبار المسحات فيه استيعاب المسح بالنسبة إلى مجرى البول ، فلا يعتبر فيه مسح جميع ظاهر الجلد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والمعروف ثبوت حكم الاستبراء في خصوص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تستبرئ عرضا ، وهو خروج عن مدلول النصّ ، فإن سلّم استحبابه لما فيه من مراعاة الاحتياط ، فلا تأمّل في عدم جريان حكمها من بعض الطهارة بالبلل المشتبه الخارج به أو قبله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يجري ذلك في الخنثى؟ وجهان يجريان في غير المشكل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فيه العدم</w:t>
      </w:r>
      <w:r>
        <w:rPr>
          <w:rFonts w:eastAsia="Amiri" w:cs="Amiri" w:ascii="Amiri" w:hAnsi="Amiri"/>
          <w:color w:val="111111"/>
          <w:sz w:val="28"/>
          <w:szCs w:val="28"/>
          <w:rtl w:val="true"/>
          <w:lang w:bidi="ar-SA"/>
        </w:rPr>
        <w:t xml:space="preserve">. </w:t>
      </w:r>
      <w:bookmarkStart w:id="338" w:name="pg15827_173959"/>
    </w:p>
    <w:p>
      <w:pPr>
        <w:pStyle w:val="Heading4"/>
        <w:numPr>
          <w:ilvl w:val="3"/>
          <w:numId w:val="1"/>
        </w:numPr>
        <w:rPr/>
      </w:pPr>
      <w:bookmarkStart w:id="339" w:name="__RefHeading___Toc14099827_2142443653"/>
      <w:bookmarkStart w:id="340" w:name="_Toc120"/>
      <w:bookmarkEnd w:id="338"/>
      <w:bookmarkEnd w:id="339"/>
      <w:r>
        <w:rPr>
          <w:rtl w:val="true"/>
        </w:rPr>
        <w:t>تبصرة</w:t>
      </w:r>
      <w:r>
        <w:rPr>
          <w:rtl w:val="true"/>
        </w:rPr>
        <w:t xml:space="preserve">: [ </w:t>
      </w:r>
      <w:r>
        <w:rPr>
          <w:rtl w:val="true"/>
        </w:rPr>
        <w:t xml:space="preserve">في مكروهات التخلّي </w:t>
      </w:r>
      <w:r>
        <w:rPr>
          <w:rtl w:val="true"/>
        </w:rPr>
        <w:t>]</w:t>
      </w:r>
      <w:bookmarkEnd w:id="340"/>
    </w:p>
    <w:p>
      <w:pPr>
        <w:pStyle w:val="BookText"/>
        <w:rPr/>
      </w:pPr>
      <w:r>
        <w:rPr>
          <w:rFonts w:ascii="Amiri" w:hAnsi="Amiri" w:eastAsia="Amiri" w:cs="Amiri"/>
          <w:color w:val="111111"/>
          <w:sz w:val="28"/>
          <w:sz w:val="28"/>
          <w:szCs w:val="28"/>
          <w:rtl w:val="true"/>
          <w:lang w:bidi="ar-SA"/>
        </w:rPr>
        <w:t xml:space="preserve">يكره للمتخلّي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جرمي الشمس والقمر بالقبل والدبر حال البول والغائط ؛ لقوله عليه‌السلام في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يبولنّ أحدكم وفرجه باد للقمر يستقبل به </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عليه‌السلام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يستقبل الرجل الشمس والقمر بفرجه وهو يبول </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المناهي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أن يبول الرجل وفرجه باد للشمس أو للقمر </w:t>
      </w:r>
      <w:r>
        <w:rPr>
          <w:rFonts w:eastAsia="Amiri" w:cs="Amiri" w:ascii="Amiri" w:hAnsi="Amiri"/>
          <w:color w:val="111111"/>
          <w:sz w:val="28"/>
          <w:szCs w:val="28"/>
          <w:rtl w:val="true"/>
          <w:lang w:bidi="ar-SA"/>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الثلاثة دالّة على حكم خصوص الاستقبال في البول ، وكأنّه لذا اقتصر الشيخ في جملة من كتبه وغيره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الفقيه في حدّ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يستقبل الهلال ولا يستدبره </w:t>
      </w:r>
      <w:r>
        <w:rPr>
          <w:rFonts w:eastAsia="Amiri" w:cs="Amiri" w:ascii="Amiri" w:hAnsi="Amiri"/>
          <w:color w:val="111111"/>
          <w:sz w:val="28"/>
          <w:szCs w:val="28"/>
          <w:rtl w:val="true"/>
          <w:lang w:bidi="ar-SA"/>
        </w:rPr>
        <w:t xml:space="preserve">»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الكافي المذكورة في حدّ الغائط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يستقبل الشمس ولا القمر </w:t>
      </w:r>
      <w:r>
        <w:rPr>
          <w:rFonts w:eastAsia="Amiri" w:cs="Amiri" w:ascii="Amiri" w:hAnsi="Amiri"/>
          <w:color w:val="111111"/>
          <w:sz w:val="28"/>
          <w:szCs w:val="28"/>
          <w:rtl w:val="true"/>
          <w:lang w:bidi="ar-SA"/>
        </w:rPr>
        <w:t xml:space="preserve">»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تدلّان على حكم الغائط إلّا أنّهما لا تدلّان على حكم الاستدبار سوى استدبار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بالاستقبال فيها الاستدبار ، فيكون المتروك حكم الاستقبال في الغائط</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 فالأظهر شمول الحكم للصورتين كما يجي‌ء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قضيّة الأخبار المذكورة هو التحريم ؛ لظاهر النهي إلّا أنّه محمول على الكراهة ؛ لفهم جمهور الأصحاب منها ذلك </w:t>
      </w:r>
      <w:r>
        <w:rPr>
          <w:rStyle w:val="FootnoteAnchor"/>
          <w:rtl w:val="true"/>
        </w:rPr>
        <w:footnoteReference w:id="2046"/>
      </w:r>
      <w:r>
        <w:rPr>
          <w:rFonts w:ascii="Amiri" w:hAnsi="Amiri" w:eastAsia="Amiri" w:cs="Amiri"/>
          <w:color w:val="111111"/>
          <w:sz w:val="28"/>
          <w:sz w:val="28"/>
          <w:szCs w:val="28"/>
          <w:rtl w:val="true"/>
          <w:lang w:bidi="ar-SA"/>
        </w:rPr>
        <w:t>، ولخلوّ الأخبار المذكورة في حدّ الغائط عنه الظاهرة في عدم حرمته ، ولضعف كثير منها ، فلا تنهض حجّة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بذلك ضعف ما عزي إلى المفيد من تحريم استقبال النيّرين بالفرج حال البول والغائط ، وما حكي عن الديلمي من النهي عن استقبال النيّرين في البول إن حمل على الحرمة ، وما ذكره محمّد بن ابراهيم بن هاشم من قدماء الأصحاب من عدم جواز استقبالها </w:t>
      </w:r>
      <w:r>
        <w:rPr>
          <w:rStyle w:val="FootnoteAnchor"/>
          <w:rtl w:val="true"/>
        </w:rPr>
        <w:footnoteReference w:id="2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بقبل ولا دبر </w:t>
      </w:r>
      <w:r>
        <w:rPr>
          <w:rFonts w:eastAsia="IRNazanin" w:cs="IRNazanin"/>
          <w:color w:val="111111"/>
          <w:sz w:val="28"/>
          <w:szCs w:val="28"/>
          <w:rtl w:val="true"/>
          <w:lang w:bidi="fa-IR"/>
        </w:rPr>
        <w:t xml:space="preserve">» </w:t>
      </w:r>
      <w:r>
        <w:rPr>
          <w:rStyle w:val="FootnoteAnchor"/>
          <w:rtl w:val="true"/>
        </w:rPr>
        <w:footnoteReference w:id="2048"/>
      </w:r>
      <w:r>
        <w:rPr>
          <w:rFonts w:ascii="Amiri" w:hAnsi="Amiri" w:eastAsia="Amiri" w:cs="Amiri"/>
          <w:color w:val="111111"/>
          <w:sz w:val="28"/>
          <w:sz w:val="28"/>
          <w:szCs w:val="28"/>
          <w:rtl w:val="true"/>
          <w:lang w:bidi="ar-SA"/>
        </w:rPr>
        <w:t>معلّلا بأنّهما آيتان من آيات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عزي إلى الصدوق من تحريم الجلوس للبول والغائط مستقبل الهلال أو مستدبره </w:t>
      </w:r>
      <w:r>
        <w:rPr>
          <w:rStyle w:val="FootnoteAnchor"/>
          <w:rtl w:val="true"/>
        </w:rPr>
        <w:footnoteReference w:id="2049"/>
      </w:r>
      <w:r>
        <w:rPr>
          <w:rFonts w:ascii="Amiri" w:hAnsi="Amiri" w:eastAsia="Amiri" w:cs="Amiri"/>
          <w:color w:val="111111"/>
          <w:sz w:val="28"/>
          <w:sz w:val="28"/>
          <w:szCs w:val="28"/>
          <w:rtl w:val="true"/>
          <w:lang w:bidi="ar-SA"/>
        </w:rPr>
        <w:t>يحتمل ذلك تحريم كلّ من الأمرين على كلّ من الحالين وتحريم الاستقبال حال البول والاستدبار عند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الاستقبال على نفس الفرج دون البدن ؛ لظاهر جملة من الأخبار المذكورة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ظاهر الشرائع </w:t>
      </w:r>
      <w:r>
        <w:rPr>
          <w:rStyle w:val="FootnoteAnchor"/>
          <w:rtl w:val="true"/>
        </w:rPr>
        <w:footnoteReference w:id="2050"/>
      </w:r>
      <w:r>
        <w:rPr>
          <w:rFonts w:ascii="IRNazanin" w:hAnsi="IRNazanin" w:eastAsia="IRNazanin"/>
          <w:color w:val="111111"/>
          <w:sz w:val="28"/>
          <w:sz w:val="28"/>
          <w:szCs w:val="28"/>
          <w:rtl w:val="true"/>
          <w:lang w:bidi="fa-IR"/>
        </w:rPr>
        <w:t xml:space="preserve">والمنتهى </w:t>
      </w:r>
      <w:r>
        <w:rPr>
          <w:rStyle w:val="FootnoteAnchor"/>
          <w:rtl w:val="true"/>
        </w:rPr>
        <w:footnoteReference w:id="2051"/>
      </w:r>
      <w:r>
        <w:rPr>
          <w:rFonts w:ascii="IRNazanin" w:hAnsi="IRNazanin" w:eastAsia="IRNazanin"/>
          <w:color w:val="111111"/>
          <w:sz w:val="28"/>
          <w:sz w:val="28"/>
          <w:szCs w:val="28"/>
          <w:rtl w:val="true"/>
          <w:lang w:bidi="fa-IR"/>
        </w:rPr>
        <w:t xml:space="preserve">والقواعد </w:t>
      </w:r>
      <w:r>
        <w:rPr>
          <w:rStyle w:val="FootnoteAnchor"/>
          <w:rtl w:val="true"/>
        </w:rPr>
        <w:footnoteReference w:id="2052"/>
      </w:r>
      <w:r>
        <w:rPr>
          <w:rFonts w:ascii="Amiri" w:hAnsi="Amiri" w:eastAsia="Amiri" w:cs="Amiri"/>
          <w:color w:val="111111"/>
          <w:sz w:val="28"/>
          <w:sz w:val="28"/>
          <w:szCs w:val="28"/>
          <w:rtl w:val="true"/>
          <w:lang w:bidi="ar-SA"/>
        </w:rPr>
        <w:t>وغيرها ممّا قيّد فيه الاستقبال بكونه بالفرج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2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 الأكثر على ذكر الاستقبال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الاستقبال في الإرشاد </w:t>
      </w:r>
      <w:r>
        <w:rPr>
          <w:rStyle w:val="FootnoteAnchor"/>
          <w:rtl w:val="true"/>
        </w:rPr>
        <w:footnoteReference w:id="2054"/>
      </w:r>
      <w:r>
        <w:rPr>
          <w:rFonts w:ascii="IRNazanin" w:hAnsi="IRNazanin" w:eastAsia="IRNazanin"/>
          <w:color w:val="111111"/>
          <w:sz w:val="28"/>
          <w:sz w:val="28"/>
          <w:szCs w:val="28"/>
          <w:rtl w:val="true"/>
          <w:lang w:bidi="fa-IR"/>
        </w:rPr>
        <w:t xml:space="preserve">والدروس </w:t>
      </w:r>
      <w:r>
        <w:rPr>
          <w:rStyle w:val="FootnoteAnchor"/>
          <w:rtl w:val="true"/>
        </w:rPr>
        <w:footnoteReference w:id="2055"/>
      </w:r>
      <w:r>
        <w:rPr>
          <w:rFonts w:ascii="Amiri" w:hAnsi="Amiri" w:eastAsia="Amiri" w:cs="Amiri"/>
          <w:color w:val="111111"/>
          <w:sz w:val="28"/>
          <w:sz w:val="28"/>
          <w:szCs w:val="28"/>
          <w:rtl w:val="true"/>
          <w:lang w:bidi="ar-SA"/>
        </w:rPr>
        <w:t xml:space="preserve">والبيان </w:t>
      </w:r>
      <w:r>
        <w:rPr>
          <w:rStyle w:val="FootnoteAnchor"/>
          <w:rtl w:val="true"/>
        </w:rPr>
        <w:footnoteReference w:id="2056"/>
      </w:r>
      <w:r>
        <w:rPr>
          <w:rFonts w:ascii="Amiri" w:hAnsi="Amiri" w:eastAsia="Amiri" w:cs="Amiri"/>
          <w:color w:val="111111"/>
          <w:sz w:val="28"/>
          <w:sz w:val="28"/>
          <w:szCs w:val="28"/>
          <w:rtl w:val="true"/>
          <w:lang w:bidi="ar-SA"/>
        </w:rPr>
        <w:t xml:space="preserve">واللمعة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يعطي أنّه كالقبلة يراعى فيه البدن ، ويمكن حمله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المتأخرين نفي البعد عن كراهته </w:t>
      </w:r>
      <w:r>
        <w:rPr>
          <w:rStyle w:val="FootnoteAnchor"/>
          <w:rtl w:val="true"/>
        </w:rPr>
        <w:footnoteReference w:id="205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لإطلاق الروايتين الأخيرتين مع ادّعاء عدم دلالة الأخبار الاخر على نفي الكراهة عن الاستقبال بغير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يتقوّى في النظر اختصاص الحكم في البول بالاستقبال بخصوص الفرج ؛ لنصّ الأخبار المذكورة ، وأمّا في الغائط فظاهر الخبرين اعتبار استقبال الشخص ، مضافا إلى أنّ الغالب عدم حصول استقبال الفرج هناك فيقيّد الإطلاق به في غاية البعد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جماعة من الأصحاب منهم المحقّق في الشرائع </w:t>
      </w:r>
      <w:r>
        <w:rPr>
          <w:rStyle w:val="FootnoteAnchor"/>
          <w:rtl w:val="true"/>
        </w:rPr>
        <w:footnoteReference w:id="2059"/>
      </w:r>
      <w:r>
        <w:rPr>
          <w:rFonts w:ascii="Amiri" w:hAnsi="Amiri" w:eastAsia="Amiri" w:cs="Amiri"/>
          <w:color w:val="111111"/>
          <w:sz w:val="28"/>
          <w:sz w:val="28"/>
          <w:szCs w:val="28"/>
          <w:rtl w:val="true"/>
          <w:lang w:bidi="ar-SA"/>
        </w:rPr>
        <w:t xml:space="preserve">والعلّامة </w:t>
      </w:r>
      <w:r>
        <w:rPr>
          <w:rStyle w:val="FootnoteAnchor"/>
          <w:rtl w:val="true"/>
        </w:rPr>
        <w:footnoteReference w:id="2060"/>
      </w:r>
      <w:r>
        <w:rPr>
          <w:rFonts w:ascii="Amiri" w:hAnsi="Amiri" w:eastAsia="Amiri" w:cs="Amiri"/>
          <w:color w:val="111111"/>
          <w:sz w:val="28"/>
          <w:sz w:val="28"/>
          <w:szCs w:val="28"/>
          <w:rtl w:val="true"/>
          <w:lang w:bidi="ar-SA"/>
        </w:rPr>
        <w:t xml:space="preserve">في غير واحد من كتبه والشهيد في الدروس </w:t>
      </w:r>
      <w:r>
        <w:rPr>
          <w:rStyle w:val="FootnoteAnchor"/>
          <w:rtl w:val="true"/>
        </w:rPr>
        <w:footnoteReference w:id="2061"/>
      </w:r>
      <w:r>
        <w:rPr>
          <w:rFonts w:ascii="Amiri" w:hAnsi="Amiri" w:eastAsia="Amiri" w:cs="Amiri"/>
          <w:color w:val="111111"/>
          <w:sz w:val="28"/>
          <w:sz w:val="28"/>
          <w:szCs w:val="28"/>
          <w:rtl w:val="true"/>
          <w:lang w:bidi="ar-SA"/>
        </w:rPr>
        <w:t xml:space="preserve">واللمعة </w:t>
      </w:r>
      <w:r>
        <w:rPr>
          <w:rStyle w:val="FootnoteAnchor"/>
          <w:rtl w:val="true"/>
        </w:rPr>
        <w:footnoteReference w:id="2062"/>
      </w:r>
      <w:r>
        <w:rPr>
          <w:rFonts w:ascii="Amiri" w:hAnsi="Amiri" w:eastAsia="Amiri" w:cs="Amiri"/>
          <w:color w:val="111111"/>
          <w:sz w:val="28"/>
          <w:sz w:val="28"/>
          <w:szCs w:val="28"/>
          <w:rtl w:val="true"/>
          <w:lang w:bidi="ar-SA"/>
        </w:rPr>
        <w:t xml:space="preserve">اختصاص الكراهة بالاستقبال حال البول والاستدبار حال الغائط ، فلا يمكن </w:t>
      </w:r>
      <w:r>
        <w:rPr>
          <w:rStyle w:val="FootnoteAnchor"/>
          <w:rtl w:val="true"/>
        </w:rPr>
        <w:footnoteReference w:id="2063"/>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 نصّ في نهاية الإحكام </w:t>
      </w:r>
      <w:r>
        <w:rPr>
          <w:rStyle w:val="FootnoteAnchor"/>
          <w:rtl w:val="true"/>
        </w:rPr>
        <w:footnoteReference w:id="2064"/>
      </w:r>
      <w:r>
        <w:rPr>
          <w:rFonts w:ascii="Amiri" w:hAnsi="Amiri" w:eastAsia="Amiri" w:cs="Amiri"/>
          <w:color w:val="111111"/>
          <w:sz w:val="28"/>
          <w:sz w:val="28"/>
          <w:szCs w:val="28"/>
          <w:rtl w:val="true"/>
          <w:lang w:bidi="ar-SA"/>
        </w:rPr>
        <w:t xml:space="preserve">والمدارك </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القول بعموم الكراهة للحالين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الغائط ؛ لعدم التفاوت في النسبة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ولظاهر مرسلة الصدوق المتقدمة ، وثبوتها بالنسبة إلى الهلال قاض بثبوتها في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منه الحكم في الشمس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البول فالظاهر اختصاص الكراهة فيه بالاستعمال ؛ لظاهر النصوص المذكورة وعدم قيام شاهد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عليه بمساواته الاستقبال في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بالاستقبال هنا ظهوره مقابل أحد النيّرين ؛ لظاهر الأخبار المذكورة ، فلا عبرة هنا بالجهة ، فلو حصل بينهما حاجب من غيم أو جدار أو يد أو ثوب أو غير ذلك ارتفعت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نصّ في المنتهى </w:t>
      </w:r>
      <w:r>
        <w:rPr>
          <w:rStyle w:val="FootnoteAnchor"/>
          <w:rtl w:val="true"/>
        </w:rPr>
        <w:footnoteReference w:id="2066"/>
      </w:r>
      <w:r>
        <w:rPr>
          <w:rFonts w:ascii="IRNazanin" w:hAnsi="IRNazanin" w:eastAsia="IRNazanin"/>
          <w:color w:val="111111"/>
          <w:sz w:val="28"/>
          <w:sz w:val="28"/>
          <w:szCs w:val="28"/>
          <w:rtl w:val="true"/>
          <w:lang w:bidi="fa-IR"/>
        </w:rPr>
        <w:t xml:space="preserve">والروض </w:t>
      </w:r>
      <w:r>
        <w:rPr>
          <w:rStyle w:val="FootnoteAnchor"/>
          <w:rtl w:val="true"/>
        </w:rPr>
        <w:footnoteReference w:id="2067"/>
      </w:r>
      <w:r>
        <w:rPr>
          <w:rFonts w:ascii="Amiri" w:hAnsi="Amiri" w:eastAsia="Amiri" w:cs="Amiri"/>
          <w:color w:val="111111"/>
          <w:sz w:val="28"/>
          <w:sz w:val="28"/>
          <w:szCs w:val="28"/>
          <w:rtl w:val="true"/>
          <w:lang w:bidi="ar-SA"/>
        </w:rPr>
        <w:t xml:space="preserve">والمدارك </w:t>
      </w:r>
      <w:r>
        <w:rPr>
          <w:rStyle w:val="FootnoteAnchor"/>
          <w:rtl w:val="true"/>
        </w:rPr>
        <w:footnoteReference w:id="206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الظاهر من الباقين ؛ لظهور الاستقبال فيه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ظهور تمام القرص وبعضه كما عند طلوعه أو غروبه وكمال وضوحه وعدمه كما عند الغيم الخفيف أو الحاجب الغير الساتر بعينه وإضاءته وعدمها كما في القمر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اعتبار رؤيته ، فلو استقبل الشمس والقمر في المحاق لم يلزم منه استقباله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فرق بين أمارته وكسوفه كلّا أو بعضا إلّا أنّه عند كسوف الشمس يكون الاستقبال للقمر ، كذا في الروض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تأمّل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الاستقبال لهما مع كون الكسوف جزئيا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الثمرة في ذلك أيضا في النذر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الأخبار والفتاوى إناطة الحكم باستقبال الفرج ، ففي انسحاب الحكم إلى كلّ مخرج للبول والغائط ولو كان عارضيا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اعتبار الاعتياد في الحاصل بالعارض ، أمّا المجبوب فالظاهر أنّ حكمه حكم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المذكور بين الرجل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الأصحاب وإن كان مورد الأخبار خصوص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في الصبيّ والصبيّة وجه قويّ ، فيكره لغيرهما استقباله بهما كذلك حال أحد الأمرين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الريح واستدبارها حال البول والغائط ؛ لقوله عليه‌السلام في رواية الخصال </w:t>
      </w:r>
      <w:r>
        <w:rPr>
          <w:rStyle w:val="FootnoteAnchor"/>
          <w:rtl w:val="true"/>
        </w:rPr>
        <w:footnoteReference w:id="20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يستقبل ببوله الريح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الحسن عليه‌السلام في مرفوعة عبد الحميد بعد السؤال عن حدّ الغائط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تستقبل الريح ولا تستدبرها </w:t>
      </w:r>
      <w:r>
        <w:rPr>
          <w:rFonts w:eastAsia="Amiri" w:cs="Amiri" w:ascii="Amiri" w:hAnsi="Amiri"/>
          <w:color w:val="111111"/>
          <w:sz w:val="28"/>
          <w:szCs w:val="28"/>
          <w:rtl w:val="true"/>
          <w:lang w:bidi="ar-SA"/>
        </w:rPr>
        <w:t xml:space="preserve">»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مرفوعة محمّد بن يحيى العطّار ، عن أبي الحسن عليه‌السلام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المقنع </w:t>
      </w:r>
      <w:r>
        <w:rPr>
          <w:rStyle w:val="FootnoteAnchor"/>
          <w:rtl w:val="true"/>
        </w:rPr>
        <w:footnoteReference w:id="2072"/>
      </w:r>
      <w:r>
        <w:rPr>
          <w:rFonts w:ascii="Amiri" w:hAnsi="Amiri" w:eastAsia="Amiri" w:cs="Amiri"/>
          <w:color w:val="111111"/>
          <w:sz w:val="28"/>
          <w:sz w:val="28"/>
          <w:szCs w:val="28"/>
          <w:rtl w:val="true"/>
          <w:lang w:bidi="ar-SA"/>
        </w:rPr>
        <w:t>مرسلا عن الرضا عليه‌السلام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المراد بالغائط هنا ما يعمّ البول على نحو ما ذكروا في الآية ، فالمقصود بيان حال التخلّي أو خصّ بالذكر من جهة ملازمته للبول ، والأكثر اقتصروا على ذكر استقبال الريح ، فلم </w:t>
      </w:r>
    </w:p>
    <w:p>
      <w:pPr>
        <w:pStyle w:val="BookText"/>
        <w:rPr/>
      </w:pPr>
      <w:r>
        <w:rPr>
          <w:rFonts w:ascii="Amiri" w:hAnsi="Amiri" w:eastAsia="Amiri" w:cs="Amiri"/>
          <w:color w:val="111111"/>
          <w:sz w:val="28"/>
          <w:sz w:val="28"/>
          <w:szCs w:val="28"/>
          <w:rtl w:val="true"/>
          <w:lang w:bidi="ar-SA"/>
        </w:rPr>
        <w:t>يذكروا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لجمود الحكم بالغائط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نظروا إلى رواية الخصال أو إلى ما علّلوه به من خوف الترشّش مع ما ورد من الحثّ على التوقّي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الشهيد في الدروس واللمعة كراهة استقبالها حال التخلّي ، فيعمّ كلا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في الأخير على كراهة الاستدبار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في الروض على عدم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 الروضة بكلا التعميمين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الأقوى ؛ لما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الخصال والعلّة المذكوران لا تدلّان على انتفاء الكراهة في غير الصورة المفروضة ، مع أنّه يحتمل أن يكون العلّة احترام الريح من جهة الملك المصاحب لها كما ذكره بعض القدماء </w:t>
      </w:r>
      <w:r>
        <w:rPr>
          <w:rStyle w:val="FootnoteAnchor"/>
          <w:rtl w:val="true"/>
        </w:rPr>
        <w:footnoteReference w:id="2073"/>
      </w:r>
      <w:r>
        <w:rPr>
          <w:rFonts w:ascii="Amiri" w:hAnsi="Amiri" w:eastAsia="Amiri" w:cs="Amiri"/>
          <w:color w:val="111111"/>
          <w:sz w:val="28"/>
          <w:sz w:val="28"/>
          <w:szCs w:val="28"/>
          <w:rtl w:val="true"/>
          <w:lang w:bidi="ar-SA"/>
        </w:rPr>
        <w:t>؛ تعليلا للحكم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غفلة صاحب الحدائق عن الرواية المذكورة ، فتعجب من الجماعة حيث خصّوا الكراهة بالبول معلّلين بخوف الردّ والاستقبال مع اختصاص الرواية بالغائط من دون التعليل واشتمالها على الاستدبار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الشوارع ، وهي الطرق النافذة والمشارع ، وهي موارد المياه كشطوط الأنهار ، ونحوها رءوس الآبار وظل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الظلّ المعدّ لنزول القوافل كظلالة الجدران والأشجار المعدّة لذلك ومواضع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في الصحيح بأبواب الدور </w:t>
      </w:r>
      <w:r>
        <w:rPr>
          <w:rStyle w:val="FootnoteAnchor"/>
          <w:rtl w:val="true"/>
        </w:rPr>
        <w:footnoteReference w:id="2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محمول على المثال ، فيعم المذكورات وغيرها ممّا يوجب إيذاء الناس كالمواضع المتّسعة أمام المساجد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Style w:val="FootnoteAnchor"/>
          <w:rtl w:val="true"/>
        </w:rPr>
        <w:footnoteReference w:id="2075"/>
      </w:r>
      <w:r>
        <w:rPr>
          <w:rFonts w:ascii="IRNazanin" w:hAnsi="IRNazanin" w:eastAsia="IRNazanin"/>
          <w:color w:val="111111"/>
          <w:sz w:val="28"/>
          <w:sz w:val="28"/>
          <w:szCs w:val="28"/>
          <w:rtl w:val="true"/>
          <w:lang w:bidi="fa-IR"/>
        </w:rPr>
        <w:t xml:space="preserve">والدروس </w:t>
      </w:r>
      <w:r>
        <w:rPr>
          <w:rStyle w:val="FootnoteAnchor"/>
          <w:rtl w:val="true"/>
        </w:rPr>
        <w:footnoteReference w:id="2076"/>
      </w:r>
      <w:r>
        <w:rPr>
          <w:rFonts w:ascii="Amiri" w:hAnsi="Amiri" w:eastAsia="Amiri" w:cs="Amiri"/>
          <w:color w:val="111111"/>
          <w:sz w:val="28"/>
          <w:sz w:val="28"/>
          <w:szCs w:val="28"/>
          <w:rtl w:val="true"/>
          <w:lang w:bidi="ar-SA"/>
        </w:rPr>
        <w:t xml:space="preserve">، وصرّح بالتعميم لأفنية المساجد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والدور والبساتين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اللثام </w:t>
      </w:r>
      <w:r>
        <w:rPr>
          <w:rStyle w:val="FootnoteAnchor"/>
          <w:rtl w:val="true"/>
        </w:rPr>
        <w:footnoteReference w:id="2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للدخول في مواضع اللعن وإلّا فالموجود في الرواية هو أفنية المساجد </w:t>
      </w:r>
      <w:r>
        <w:rPr>
          <w:rFonts w:eastAsia="Amiri" w:cs="Amiri" w:ascii="Amiri" w:hAnsi="Amiri"/>
          <w:color w:val="111111"/>
          <w:sz w:val="28"/>
          <w:szCs w:val="28"/>
          <w:rtl w:val="true"/>
          <w:lang w:bidi="ar-SA"/>
        </w:rPr>
        <w:t xml:space="preserve">) </w:t>
      </w:r>
      <w:r>
        <w:rPr>
          <w:rStyle w:val="FootnoteAnchor"/>
          <w:rtl w:val="true"/>
        </w:rPr>
        <w:footnoteReference w:id="2078"/>
      </w:r>
      <w:r>
        <w:rPr>
          <w:rFonts w:ascii="Amiri" w:hAnsi="Amiri" w:eastAsia="Amiri" w:cs="Amiri"/>
          <w:color w:val="111111"/>
          <w:sz w:val="28"/>
          <w:sz w:val="28"/>
          <w:szCs w:val="28"/>
          <w:rtl w:val="true"/>
          <w:lang w:bidi="ar-SA"/>
        </w:rPr>
        <w:t>كلّ ذلك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اختصاص الكراهة بما إذا كانت الأماكن المذكورة على الإباحة ، وأمّا إذا كانت وقفا فلا تأمّل في الحرمة إذا استضرّ به الموقوف عليهم كما في الأغلب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ملكا حرم التصرف فيه من دون 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يكره ذلك للمالك؟ وجهان ؛ أقواهما ذلك مع جعلها موردا للوارد ، فلو كان النّهر في ملكه المحصور قوي انتفاء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النهاية </w:t>
      </w:r>
      <w:r>
        <w:rPr>
          <w:rStyle w:val="FootnoteAnchor"/>
          <w:rtl w:val="true"/>
        </w:rPr>
        <w:footnoteReference w:id="2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التغوّط على شطوط الأنهار والطرق النافذة وأبواب الدور وفي‌ء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المقنعة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على المشارع والشوارع والأفنية ومنازل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حملت على ظاهرها من المنع فمستندها بعض النواهي الدالّة على المنع ، وهي محمولة على الكراهة كما يرشد به سياقها ، مضافا إلى 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اختصّ نزول القوافل فيها بوقت مخصوص ففي ثبوت الكراهة في غيره وجهان ؛ من عدم إضرارهم ، ومن الإطلاق وتضرّرهم بتنجّس المحلّ إن علموا بالحال أو لم يعلموا به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ثبوت الكراهة في ذلك كلّه في المواضع الّتي لا يتردّد فيها المسلمون وجهان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التخلّي على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وبينها ؛ للصحيح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تخلّى على قبر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فأصابه شي‌ء من الشيطان لم يدعه إلّا أن يشاء اللّه وأسرع ما يكون الشيطان إلى الانسان </w:t>
      </w:r>
    </w:p>
    <w:p>
      <w:pPr>
        <w:pStyle w:val="BookText"/>
        <w:rPr/>
      </w:pPr>
      <w:r>
        <w:rPr>
          <w:rFonts w:ascii="IRNazanin" w:hAnsi="IRNazanin" w:eastAsia="IRNazanin"/>
          <w:color w:val="111111"/>
          <w:sz w:val="28"/>
          <w:sz w:val="28"/>
          <w:szCs w:val="28"/>
          <w:rtl w:val="true"/>
          <w:lang w:bidi="fa-IR"/>
        </w:rPr>
        <w:t xml:space="preserve">وهو على بعض هذه الحالات </w:t>
      </w:r>
      <w:r>
        <w:rPr>
          <w:rFonts w:eastAsia="IRNazanin" w:cs="IRNazanin"/>
          <w:color w:val="111111"/>
          <w:sz w:val="28"/>
          <w:szCs w:val="28"/>
          <w:rtl w:val="true"/>
          <w:lang w:bidi="fa-IR"/>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ثلاثة يتخوف منها الجنون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منها التغوّط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استفادة كراهة البول من ذلك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في محلّ مباح ، وأمّا إذا كان في المملوك فلا تأمّل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 الكراهة إذن للمالك أو لمن 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في التخلّي فيها هتك للمذهب حرم قطعا ، بل ربّما أوجب كفر الفاعل كقبور من يجب احترام قبورهم من الشهداء والعلماء والزهّاد وأهل الفضل والصلاح ممّن له مزيد اعتناء عند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ثبوت الكراهة بالنسبة إلى قبور الكفّار أيضا ، لإطلاق الروايات وإنّ الحكمة فيه عدم عود الضرر إلى الفاعل كما هو ظاهر الأخبار لا مراعاة حال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تخلّى على القبر في أبنية ، ففي ثبوت الكراهة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العدم لخروجه عن مدلول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يسقط الكراهة مع اندراس الميّت وجهان ؛ أقواهما بقاء الكراهة إلّا إذا خرج عن اسم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قبور البالغين والأطفال إلّا في نحو السقط ؛ للشك في شمول الإطلاق سيّما إذا لم تلجه الروح ، وإذا كان مدفنا لبعض الإنسان أو عظامه تبع لصدق اسم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 تحت النخيل والأشجار المثمرة ؛ للأخبار المستفيضة ، وهي محمولة على الكراهة كما يظهر من سياقها ، ولخلوّ الأخبار الواردة في حدّ الغائط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الصدوق </w:t>
      </w:r>
      <w:r>
        <w:rPr>
          <w:rStyle w:val="FootnoteAnchor"/>
          <w:rtl w:val="true"/>
        </w:rPr>
        <w:footnoteReference w:id="2082"/>
      </w:r>
      <w:r>
        <w:rPr>
          <w:rFonts w:ascii="Amiri" w:hAnsi="Amiri" w:eastAsia="Amiri" w:cs="Amiri"/>
          <w:color w:val="111111"/>
          <w:sz w:val="28"/>
          <w:sz w:val="28"/>
          <w:szCs w:val="28"/>
          <w:rtl w:val="true"/>
          <w:lang w:bidi="ar-SA"/>
        </w:rPr>
        <w:t xml:space="preserve">والمفيد </w:t>
      </w:r>
      <w:r>
        <w:rPr>
          <w:rStyle w:val="FootnoteAnchor"/>
          <w:rtl w:val="true"/>
        </w:rPr>
        <w:footnoteReference w:id="2083"/>
      </w:r>
      <w:r>
        <w:rPr>
          <w:rFonts w:ascii="Amiri" w:hAnsi="Amiri" w:eastAsia="Amiri" w:cs="Amiri"/>
          <w:color w:val="111111"/>
          <w:sz w:val="28"/>
          <w:sz w:val="28"/>
          <w:szCs w:val="28"/>
          <w:rtl w:val="true"/>
          <w:lang w:bidi="ar-SA"/>
        </w:rPr>
        <w:t>الحكم بعدم الجواز</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والمدار في الأثمار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لكلّ ذوات الأحمال ممّا يؤكل حملها ممّا لم يعد ثمرة كالسمّاق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الموجود في عدة أخبار إطلاق الشجرة المثمرة ، وذكر في بعضها مساقط الثمار ، وعن جماعة من الأصحاب حمله على ما شأنه الإثمار وإن لم تكن مثمرة بالفعل ؛ معلّلا بعدم اشتراط بقاء المبدأ في صدق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سلّم فهو أخصّ من المطلوب ؛ إذ بناء المسألة على ذلك يقتضي اعتبار حصول لفظ الثمرة الإثمار منه ولو مرّة ، واعتبار الثانية أعمّ منه ، فلا يتمّ التعليل إلّا أن يختصّ المدّعى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بأنّ المتبادر من لفظ الثمرة عرفا هو ذلك ، فلا يبتني المسألة على صدق المشتقّ مع زوال المبدأ إلّا أنّ ما ذكر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دلالة غير واحد من الأخبار على اعتبار وجود الثمرة فيها كرواية الخصال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أن يحدث الرجل تحت شجرة قد أينعت أو نخلة قد أينعت أي أثمرت </w:t>
      </w:r>
      <w:r>
        <w:rPr>
          <w:rFonts w:eastAsia="Amiri" w:cs="Amiri" w:ascii="Amiri" w:hAnsi="Amiri"/>
          <w:color w:val="111111"/>
          <w:sz w:val="28"/>
          <w:szCs w:val="28"/>
          <w:rtl w:val="true"/>
          <w:lang w:bidi="ar-SA"/>
        </w:rPr>
        <w:t xml:space="preserve">»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نهى رسول اللّه صلى‌اللّه‌عليه‌وآله أن يضرب أحد من المسلمين خلاءه تحت شجرة أو نخلة قد اثمرت لمكان الملائكة الموكّلين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يكون الشجر والنخل انسا إذا كان فيها حمله لأنّ الملائكة تحضره </w:t>
      </w:r>
      <w:r>
        <w:rPr>
          <w:rFonts w:eastAsia="Amiri" w:cs="Amiri" w:ascii="Amiri" w:hAnsi="Amiri"/>
          <w:color w:val="111111"/>
          <w:sz w:val="28"/>
          <w:szCs w:val="28"/>
          <w:rtl w:val="true"/>
          <w:lang w:bidi="ar-SA"/>
        </w:rPr>
        <w:t xml:space="preserve">»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في وصيّة النبي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أن يحدث الإنسان تحت شجرة أو نخلة قد أثمرت </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الأخبار شهادة على أنّ ذلك هو المقصود من الإطلاقات ، ولذا اختاره جماعة من المتأخرين ، ومال إليه في المدارك </w:t>
      </w:r>
      <w:r>
        <w:rPr>
          <w:rStyle w:val="FootnoteAnchor"/>
          <w:rtl w:val="true"/>
        </w:rPr>
        <w:footnoteReference w:id="2087"/>
      </w:r>
      <w:r>
        <w:rPr>
          <w:rFonts w:ascii="Amiri" w:hAnsi="Amiri" w:eastAsia="Amiri" w:cs="Amiri"/>
          <w:color w:val="111111"/>
          <w:sz w:val="28"/>
          <w:sz w:val="28"/>
          <w:szCs w:val="28"/>
          <w:rtl w:val="true"/>
          <w:lang w:bidi="ar-SA"/>
        </w:rPr>
        <w:t xml:space="preserve">والذخيرة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بناء على ما اخترناه لا يتوقّف الحكم على اتباع الثمرة كما قد يومي الرواية المتقدمة لإطلاق غيرها ، مضافا إلى تفسير الإتباع فيها بالإثمار ؛ إذ لا أقلّ من كون التفسير من الراوي وهو كاف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يتوقّف على صدق اسم الثمرة عليه أو يكفي فيه مجرّد البروز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صدق اسم الإثمار بمجرّد ذلك وإن لم يصدق اسم الثمرة على الحمل ، أمّا مجرّد ظهور الطلع فليست إثمارا قطعا ، ولو يبست الثمرة عليها بحيث خرجت عن اسمها كأن صار الرطب تمرا والعنب زبيبا ففي بقاء الكراهة وجهان ، كان أظهرهما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تخلّى تحت الشجرة في أفنية ونحوها مما يخرجها عمّا تحتها من دون تنجيس المحلّ ففي ثبوت الكراهة وجهان ؛ أقواهما ذلك نظرا إلى العلّة المذكورة ، ولظاهر سائر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علّل الحكم بعدم تنجيس الأثمار الواقعة تحت الشي‌ء أمكن القول بارتفاع الكراهة حينئذ ، لكن 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حاجب بين الشجرة وبينه لخباء ونحوه قوي ارتفاع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الماء جاريا كان أو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 الأصحاب أنّ الأوّل تورث السلس ، والثاني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الأخير في رواية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النسيان </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يكون ذهاب العقل </w:t>
      </w:r>
      <w:r>
        <w:rPr>
          <w:rFonts w:eastAsia="Amiri" w:cs="Amiri" w:ascii="Amiri" w:hAnsi="Amiri"/>
          <w:color w:val="111111"/>
          <w:sz w:val="28"/>
          <w:szCs w:val="28"/>
          <w:rtl w:val="true"/>
          <w:lang w:bidi="ar-SA"/>
        </w:rPr>
        <w:t xml:space="preserve">»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أشدّ كراهة ، وهو الوجه في الجمع بين الأخبار ممّا يدلّ على إطلاق الكراهة وما يدلّ على الكراهة في خصوص الراكد ، وعلى ثبوته في خصوص الجاري وعلى عدمها فيه ، وعلى التفصيل بين القسمين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أن يبول الرجل في الماء الجاري وكره أن يبول في الراكد </w:t>
      </w:r>
      <w:r>
        <w:rPr>
          <w:rFonts w:eastAsia="Amiri" w:cs="Amiri" w:ascii="Amiri" w:hAnsi="Amiri"/>
          <w:color w:val="111111"/>
          <w:sz w:val="28"/>
          <w:szCs w:val="28"/>
          <w:rtl w:val="true"/>
          <w:lang w:bidi="ar-SA"/>
        </w:rPr>
        <w:t xml:space="preserve">»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ذهب الصدوقان </w:t>
      </w:r>
      <w:r>
        <w:rPr>
          <w:rStyle w:val="FootnoteAnchor"/>
          <w:rtl w:val="true"/>
        </w:rPr>
        <w:footnoteReference w:id="2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كلامهما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التفصيل إلّا أنّ ظاهرهما المنع في الراكد ، وهو ظاهر المفيد في المقنعة </w:t>
      </w:r>
      <w:r>
        <w:rPr>
          <w:rStyle w:val="FootnoteAnchor"/>
          <w:rtl w:val="true"/>
        </w:rPr>
        <w:footnoteReference w:id="2093"/>
      </w:r>
      <w:r>
        <w:rPr>
          <w:rFonts w:ascii="Amiri" w:hAnsi="Amiri" w:eastAsia="Amiri" w:cs="Amiri"/>
          <w:color w:val="111111"/>
          <w:sz w:val="28"/>
          <w:sz w:val="28"/>
          <w:szCs w:val="28"/>
          <w:rtl w:val="true"/>
          <w:lang w:bidi="ar-SA"/>
        </w:rPr>
        <w:t>إلّا أنّه وافق الأكثر في كراهته في الجارى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يرجع قولهم بالمنع في الراكد إلى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البحار </w:t>
      </w:r>
      <w:r>
        <w:rPr>
          <w:rStyle w:val="FootnoteAnchor"/>
          <w:rtl w:val="true"/>
        </w:rPr>
        <w:footnoteReference w:id="2094"/>
      </w:r>
      <w:r>
        <w:rPr>
          <w:rFonts w:ascii="Amiri" w:hAnsi="Amiri" w:eastAsia="Amiri" w:cs="Amiri"/>
          <w:color w:val="111111"/>
          <w:sz w:val="28"/>
          <w:sz w:val="28"/>
          <w:szCs w:val="28"/>
          <w:rtl w:val="true"/>
          <w:lang w:bidi="ar-SA"/>
        </w:rPr>
        <w:t xml:space="preserve">توقّفه في الكراهة بالنسبة إلى الجاري ، بل ربّما يظهر منه الميل إلى نفيها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كثير من الأخبار عدم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دلالة غير واحد من النصوص على كراهيته بالخصوص كرواية الخصال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يبولنّ في ماء جار ، فإن فعل ذلك فأصابه شي‌ء فلا يلومنّ إلّا نفسه فإنّ للماء أهلا </w:t>
      </w:r>
      <w:r>
        <w:rPr>
          <w:rFonts w:eastAsia="Amiri" w:cs="Amiri" w:ascii="Amiri" w:hAnsi="Amiri"/>
          <w:color w:val="111111"/>
          <w:sz w:val="28"/>
          <w:szCs w:val="28"/>
          <w:rtl w:val="true"/>
          <w:lang w:bidi="ar-SA"/>
        </w:rPr>
        <w:t xml:space="preserve">»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مسمع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يبول الرجل في الماء الجاري إلّا من ضرورة </w:t>
      </w:r>
      <w:r>
        <w:rPr>
          <w:rFonts w:eastAsia="Amiri" w:cs="Amiri" w:ascii="Amiri" w:hAnsi="Amiri"/>
          <w:color w:val="111111"/>
          <w:sz w:val="28"/>
          <w:szCs w:val="28"/>
          <w:rtl w:val="true"/>
          <w:lang w:bidi="ar-SA"/>
        </w:rPr>
        <w:t xml:space="preserve">»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تأيّدها بالإطلاقات وإطلاق كثير من الأصحاب ، فيحمل ما عارضهما على إرادة خفّة الكراهة ، بل كثير ممّا عارضهما ليس بصريح في انتفاء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بالجاري هنا هو الجاري من المادّة أو مطلق النابع على الخلاف أو المقصود مطلق الجريان ، أقواهما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فالنابع الواقف ملحق بالراكد ؛ لظواهر الأخبار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بال خارجا عن الماء فجرى إليه ففي ثبوت الكراهة وجهان ؛ أقواهما ذلك لظاهر التعليل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يجي‌ء احتمال ثبوت الكراهة في صبّ البول في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التعليل إن بني عليه كراهة صبّه على البول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احتمال كراهة في اجراء المياه إلى الميضات ؛ لإخراج ما فيها من القذارات كما هو المعتاد في بعض البلاد إلّا أنّ الحكم بالكراهة في ذلك كلّه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فلا تأمّل في عدم الكراهة في الاستنجاء في الميضات بل وصبّ الماء فيها للتطهير ، وأمّا البول فيها مع اجتماع الغسالات فيها فالظاهر أنّه لا مانع منه أيضا ؛ لجريان السيرة عليه ، ولأن الغرض </w:t>
      </w:r>
      <w:r>
        <w:rPr>
          <w:rStyle w:val="FootnoteAnchor"/>
          <w:rtl w:val="true"/>
        </w:rPr>
        <w:footnoteReference w:id="2097"/>
      </w:r>
      <w:r>
        <w:rPr>
          <w:rFonts w:ascii="Amiri" w:hAnsi="Amiri" w:eastAsia="Amiri" w:cs="Amiri"/>
          <w:color w:val="111111"/>
          <w:sz w:val="28"/>
          <w:sz w:val="28"/>
          <w:szCs w:val="28"/>
          <w:rtl w:val="true"/>
          <w:lang w:bidi="ar-SA"/>
        </w:rPr>
        <w:t>عدم تلويث الماء بتلك القذارة ، وهي حاصلة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ينقدح احتمال زوال الكراهة بالنسبة إلى المياه والقذرة المصاحبة للنجاسات إلّا أنّ البناء على الإطلاق فيها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امتزج البول بالدم بحيث خرج عن اسم البول ففي ثبوت الكراهة فيه أيضا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ذلك نظرا إلى العلّة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في نهاية الإحكام </w:t>
      </w:r>
      <w:r>
        <w:rPr>
          <w:rStyle w:val="FootnoteAnchor"/>
          <w:rtl w:val="true"/>
        </w:rPr>
        <w:footnoteReference w:id="2098"/>
      </w:r>
      <w:r>
        <w:rPr>
          <w:rFonts w:ascii="Amiri" w:hAnsi="Amiri" w:eastAsia="Amiri" w:cs="Amiri"/>
          <w:color w:val="111111"/>
          <w:sz w:val="28"/>
          <w:sz w:val="28"/>
          <w:szCs w:val="28"/>
          <w:rtl w:val="true"/>
          <w:lang w:bidi="ar-SA"/>
        </w:rPr>
        <w:t>أنّ البول في الماء في الليل أشدّ ؛ لما قيل من أنّ الماء في الليل للجنّ فلا يبال فيه ولا يغتسل ؛ حذرا من أصابتهم ، فإن عني به شدّة الكراهة فلم نعثر عليه في الأخبار وكراهة الاغتسال فيه إن بني على إطلاقه فهو مخالف لسائر إطلاقاتهم ، بل لم نعثر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وفي جريان الحكم إلى الغائط وجهان ؛ من اختصاص النصوص بالبول ، ومن استفادته من التعليل أو من طريق الاولويّة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 وعزي إلى الشيخين والأكثر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الدعائم عنهم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الماء القائم من الجفاء ونهى عنه وعن الغائط فيه وفي النهر </w:t>
      </w:r>
      <w:r>
        <w:rPr>
          <w:rFonts w:eastAsia="Amiri" w:cs="Amiri" w:ascii="Amiri" w:hAnsi="Amiri"/>
          <w:color w:val="111111"/>
          <w:sz w:val="28"/>
          <w:szCs w:val="28"/>
          <w:rtl w:val="true"/>
          <w:lang w:bidi="ar-SA"/>
        </w:rPr>
        <w:t xml:space="preserve">»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المفيد </w:t>
      </w:r>
      <w:r>
        <w:rPr>
          <w:rStyle w:val="FootnoteAnchor"/>
          <w:rtl w:val="true"/>
        </w:rPr>
        <w:footnoteReference w:id="2100"/>
      </w:r>
      <w:r>
        <w:rPr>
          <w:rFonts w:ascii="Amiri" w:hAnsi="Amiri" w:eastAsia="Amiri" w:cs="Amiri"/>
          <w:color w:val="111111"/>
          <w:sz w:val="28"/>
          <w:sz w:val="28"/>
          <w:szCs w:val="28"/>
          <w:rtl w:val="true"/>
          <w:lang w:bidi="ar-SA"/>
        </w:rPr>
        <w:t>المنع منه في الجاري والراكد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الديلمي نهيه عن 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لهما المرسلة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 وفي البحار </w:t>
      </w:r>
      <w:r>
        <w:rPr>
          <w:rStyle w:val="FootnoteAnchor"/>
          <w:rtl w:val="true"/>
        </w:rPr>
        <w:footnoteReference w:id="2101"/>
      </w:r>
      <w:r>
        <w:rPr>
          <w:rFonts w:ascii="Amiri" w:hAnsi="Amiri" w:eastAsia="Amiri" w:cs="Amiri"/>
          <w:color w:val="111111"/>
          <w:sz w:val="28"/>
          <w:sz w:val="28"/>
          <w:szCs w:val="28"/>
          <w:rtl w:val="true"/>
          <w:lang w:bidi="ar-SA"/>
        </w:rPr>
        <w:t>أنّه لا خلاف في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عدّة أخبار كالقوي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قائما من غير علّة من الجفاء </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العادلة من الأحوال الّتي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صاحبه شي‌ء من الشيطان لم يدعه إلّا أن يشاء اللّه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ما يكون الشيطان إلى الإنسان وهو على بعض هذه الأحوال </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الحال في التغوّط ؛ لرواية الخصال في وصية النبي صلى‌اللّه‌عليه‌وآله لعلي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وكره أن يحدث الرجل وهو قائم </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ما إذا خاف من ترشّش البول عليه وعدمه وما إذا كان على حالة يفضي إلى الاحتراز عنه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الإحكام </w:t>
      </w:r>
      <w:r>
        <w:rPr>
          <w:rStyle w:val="FootnoteAnchor"/>
          <w:rtl w:val="true"/>
        </w:rPr>
        <w:footnoteReference w:id="2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 أنّ العلّة هي التوقّي من البول ، فلو كان في </w:t>
      </w:r>
      <w:r>
        <w:rPr>
          <w:rStyle w:val="FootnoteAnchor"/>
          <w:rtl w:val="true"/>
        </w:rPr>
        <w:footnoteReference w:id="2106"/>
      </w:r>
      <w:r>
        <w:rPr>
          <w:rFonts w:ascii="Amiri" w:hAnsi="Amiri" w:eastAsia="Amiri" w:cs="Amiri"/>
          <w:color w:val="111111"/>
          <w:sz w:val="28"/>
          <w:sz w:val="28"/>
          <w:szCs w:val="28"/>
          <w:rtl w:val="true"/>
          <w:lang w:bidi="ar-SA"/>
        </w:rPr>
        <w:t>حال لم يقتصر إلى الاحتراز عنه كالحمّام زالت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بعيد ؛ إذ ما ذكره استنباط محض لا شاهد عليه ، بل نصّ الرواية المذكورة دافعة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مرسلة ابن أبي عمير </w:t>
      </w:r>
      <w:r>
        <w:rPr>
          <w:rStyle w:val="FootnoteAnchor"/>
          <w:rtl w:val="true"/>
        </w:rPr>
        <w:footnoteReference w:id="2107"/>
      </w:r>
      <w:r>
        <w:rPr>
          <w:rFonts w:ascii="Amiri" w:hAnsi="Amiri" w:eastAsia="Amiri" w:cs="Amiri"/>
          <w:color w:val="111111"/>
          <w:sz w:val="28"/>
          <w:sz w:val="28"/>
          <w:szCs w:val="28"/>
          <w:rtl w:val="true"/>
          <w:lang w:bidi="ar-SA"/>
        </w:rPr>
        <w:t>نفي البأس فيه حال النورة ، فقد يؤذن بتخصيص الحكم 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حسنة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وكأنّه لتضرّره حينئذ بالجلوس كما في مرسلة الفقيه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جلس وهو متنوّر خيف عليه من الفتق </w:t>
      </w:r>
      <w:r>
        <w:rPr>
          <w:rFonts w:eastAsia="Amiri" w:cs="Amiri" w:ascii="Amiri" w:hAnsi="Amiri"/>
          <w:color w:val="111111"/>
          <w:sz w:val="28"/>
          <w:szCs w:val="28"/>
          <w:rtl w:val="true"/>
          <w:lang w:bidi="ar-SA"/>
        </w:rPr>
        <w:t xml:space="preserve">» </w:t>
      </w:r>
      <w:r>
        <w:rPr>
          <w:rStyle w:val="FootnoteAnchor"/>
          <w:rtl w:val="true"/>
        </w:rPr>
        <w:footnoteReference w:id="2108"/>
      </w:r>
      <w:r>
        <w:rPr>
          <w:rFonts w:ascii="Amiri" w:hAnsi="Amiri" w:eastAsia="Amiri" w:cs="Amiri"/>
          <w:color w:val="111111"/>
          <w:sz w:val="28"/>
          <w:sz w:val="28"/>
          <w:szCs w:val="28"/>
          <w:rtl w:val="true"/>
          <w:lang w:bidi="ar-SA"/>
        </w:rPr>
        <w:t>، فلا يبعد تقييد الإطلاقات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يحملان على الرخصة وتخفيف الكراهة حينئذ ، وكأنّه لذا </w:t>
      </w:r>
      <w:r>
        <w:rPr>
          <w:rStyle w:val="FootnoteAnchor"/>
          <w:rtl w:val="true"/>
        </w:rPr>
        <w:footnoteReference w:id="2109"/>
      </w:r>
      <w:r>
        <w:rPr>
          <w:rFonts w:ascii="Amiri" w:hAnsi="Amiri" w:eastAsia="Amiri" w:cs="Amiri"/>
          <w:color w:val="111111"/>
          <w:sz w:val="28"/>
          <w:sz w:val="28"/>
          <w:szCs w:val="28"/>
          <w:rtl w:val="true"/>
          <w:lang w:bidi="ar-SA"/>
        </w:rPr>
        <w:t>اطلقت الكراهة في كلام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تطميح البول في الهواء إمّا بالكون على مرتفع أو غيره ؛ للأخبار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التعليل بأنّ للهواء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مرّ من استحباب </w:t>
      </w:r>
      <w:r>
        <w:rPr>
          <w:rStyle w:val="FootnoteAnchor"/>
          <w:rtl w:val="true"/>
        </w:rPr>
        <w:footnoteReference w:id="211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 </w:t>
      </w:r>
      <w:r>
        <w:rPr>
          <w:rStyle w:val="FootnoteAnchor"/>
          <w:rtl w:val="true"/>
        </w:rPr>
        <w:footnoteReference w:id="2111"/>
      </w:r>
      <w:r>
        <w:rPr>
          <w:rFonts w:ascii="Amiri" w:hAnsi="Amiri" w:eastAsia="Amiri" w:cs="Amiri"/>
          <w:color w:val="111111"/>
          <w:sz w:val="28"/>
          <w:sz w:val="28"/>
          <w:szCs w:val="28"/>
          <w:rtl w:val="true"/>
          <w:lang w:bidi="ar-SA"/>
        </w:rPr>
        <w:t>المكان للبول كالكون على مرتفع ؛ إذ المقصود هناك التحرّز من ترشّش البول ، وهو حاصل بما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النصوص كراهة التطميح بمعنى رميه من المكان المرتفع ، والمستفاد من كلام جماعة من أهل اللغة أنّه عبارة عن رميه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عليه في الصحاح </w:t>
      </w:r>
      <w:r>
        <w:rPr>
          <w:rStyle w:val="FootnoteAnchor"/>
          <w:rtl w:val="true"/>
        </w:rPr>
        <w:footnoteReference w:id="2112"/>
      </w:r>
      <w:r>
        <w:rPr>
          <w:rFonts w:ascii="IRNazanin" w:hAnsi="IRNazanin" w:eastAsia="IRNazanin"/>
          <w:color w:val="111111"/>
          <w:sz w:val="28"/>
          <w:sz w:val="28"/>
          <w:szCs w:val="28"/>
          <w:rtl w:val="true"/>
          <w:lang w:bidi="fa-IR"/>
        </w:rPr>
        <w:t xml:space="preserve">والقاموس </w:t>
      </w:r>
      <w:r>
        <w:rPr>
          <w:rStyle w:val="FootnoteAnchor"/>
          <w:rtl w:val="true"/>
        </w:rPr>
        <w:footnoteReference w:id="2113"/>
      </w:r>
      <w:r>
        <w:rPr>
          <w:rFonts w:ascii="Amiri" w:hAnsi="Amiri" w:eastAsia="Amiri" w:cs="Amiri"/>
          <w:color w:val="111111"/>
          <w:sz w:val="28"/>
          <w:sz w:val="28"/>
          <w:szCs w:val="28"/>
          <w:rtl w:val="true"/>
          <w:lang w:bidi="ar-SA"/>
        </w:rPr>
        <w:t>، وهو أعمّ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المراد بناء على الأظهر ؛ لإطلاق بعض ما دلّ على كراهة التطميح ، ولا دلالة في تلك الأخبار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جماعة من الأصحاب ، بل عزي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نصّ في كشف اللثام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في البحار </w:t>
      </w:r>
      <w:r>
        <w:rPr>
          <w:rStyle w:val="FootnoteAnchor"/>
          <w:rtl w:val="true"/>
        </w:rPr>
        <w:footnoteReference w:id="2115"/>
      </w:r>
      <w:r>
        <w:rPr>
          <w:rFonts w:ascii="Amiri" w:hAnsi="Amiri" w:eastAsia="Amiri" w:cs="Amiri"/>
          <w:color w:val="111111"/>
          <w:sz w:val="28"/>
          <w:sz w:val="28"/>
          <w:szCs w:val="28"/>
          <w:rtl w:val="true"/>
          <w:lang w:bidi="ar-SA"/>
        </w:rPr>
        <w:t>على إرادة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الحكم في البول في البلاليع العتيقة ونحوها وجهان ؛ أقواهما العدم للشكّ في دخوله في التطميح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Style w:val="FootnoteAnchor"/>
          <w:rtl w:val="true"/>
        </w:rPr>
        <w:footnoteReference w:id="2116"/>
      </w:r>
      <w:r>
        <w:rPr>
          <w:rFonts w:ascii="Amiri" w:hAnsi="Amiri" w:eastAsia="Amiri" w:cs="Amiri"/>
          <w:color w:val="111111"/>
          <w:sz w:val="28"/>
          <w:sz w:val="28"/>
          <w:szCs w:val="28"/>
          <w:rtl w:val="true"/>
          <w:lang w:bidi="ar-SA"/>
        </w:rPr>
        <w:t>أنه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الكراهة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تسرية الحكم إلى الغائط وجه ؛ نظرا إلى ظاهر العلّة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الصلبة كما نصّ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البحار </w:t>
      </w:r>
      <w:r>
        <w:rPr>
          <w:rStyle w:val="FootnoteAnchor"/>
          <w:rtl w:val="true"/>
        </w:rPr>
        <w:footnoteReference w:id="2117"/>
      </w:r>
      <w:r>
        <w:rPr>
          <w:rFonts w:ascii="IRNazanin" w:hAnsi="IRNazanin" w:eastAsia="IRNazanin"/>
          <w:color w:val="111111"/>
          <w:sz w:val="28"/>
          <w:sz w:val="28"/>
          <w:szCs w:val="28"/>
          <w:rtl w:val="true"/>
          <w:lang w:bidi="fa-IR"/>
        </w:rPr>
        <w:t>إلى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ما مرّ من استحباب </w:t>
      </w:r>
      <w:r>
        <w:rPr>
          <w:rStyle w:val="FootnoteAnchor"/>
          <w:rtl w:val="true"/>
        </w:rPr>
        <w:footnoteReference w:id="211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 </w:t>
      </w:r>
      <w:r>
        <w:rPr>
          <w:rStyle w:val="FootnoteAnchor"/>
          <w:rtl w:val="true"/>
        </w:rPr>
        <w:footnoteReference w:id="2119"/>
      </w:r>
      <w:r>
        <w:rPr>
          <w:rFonts w:ascii="Amiri" w:hAnsi="Amiri" w:eastAsia="Amiri" w:cs="Amiri"/>
          <w:color w:val="111111"/>
          <w:sz w:val="28"/>
          <w:sz w:val="28"/>
          <w:szCs w:val="28"/>
          <w:rtl w:val="true"/>
          <w:lang w:bidi="ar-SA"/>
        </w:rPr>
        <w:t>المكان ما دلّ على التأكيد في التوقّي من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ذلك إنّما يقتضي الكراهة مع خوف الترشّش خاصّة ، بل إذا كان على حالة يرجّح له التوقّي من النجاسة كما مرّ ؛ فإن حمل إطلاقهم عليه وإلّا فلا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مدخل في الحكم لخصوص الصلبة ، لعدم وروده في الاخبار ، وإنّما المناط ما ذكرناه من استحباب الماء والمحافظة عن البول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الحمّام ، فعن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يورث الفقر </w:t>
      </w:r>
      <w:r>
        <w:rPr>
          <w:rFonts w:eastAsia="Amiri" w:cs="Amiri" w:ascii="Amiri" w:hAnsi="Amiri"/>
          <w:color w:val="111111"/>
          <w:sz w:val="28"/>
          <w:szCs w:val="28"/>
          <w:rtl w:val="true"/>
          <w:lang w:bidi="ar-SA"/>
        </w:rPr>
        <w:t xml:space="preserve">»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في جحر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بعدم الأمن من جراح حيوان </w:t>
      </w:r>
      <w:r>
        <w:rPr>
          <w:rStyle w:val="FootnoteAnchor"/>
          <w:rtl w:val="true"/>
        </w:rPr>
        <w:footnoteReference w:id="2122"/>
      </w:r>
      <w:r>
        <w:rPr>
          <w:rFonts w:ascii="Amiri" w:hAnsi="Amiri" w:eastAsia="Amiri" w:cs="Amiri"/>
          <w:color w:val="111111"/>
          <w:sz w:val="28"/>
          <w:sz w:val="28"/>
          <w:szCs w:val="28"/>
          <w:rtl w:val="true"/>
          <w:lang w:bidi="ar-SA"/>
        </w:rPr>
        <w:t xml:space="preserve">يلسعه ، حكي </w:t>
      </w:r>
    </w:p>
    <w:p>
      <w:pPr>
        <w:pStyle w:val="BookText"/>
        <w:rPr/>
      </w:pPr>
      <w:r>
        <w:rPr>
          <w:rFonts w:ascii="Amiri" w:hAnsi="Amiri" w:eastAsia="Amiri" w:cs="Amiri"/>
          <w:color w:val="111111"/>
          <w:sz w:val="28"/>
          <w:sz w:val="28"/>
          <w:szCs w:val="28"/>
          <w:rtl w:val="true"/>
          <w:lang w:bidi="ar-SA"/>
        </w:rPr>
        <w:t xml:space="preserve">أنّ سعد بن قتادة </w:t>
      </w:r>
      <w:r>
        <w:rPr>
          <w:rStyle w:val="FootnoteAnchor"/>
          <w:rtl w:val="true"/>
        </w:rPr>
        <w:footnoteReference w:id="2123"/>
      </w:r>
      <w:r>
        <w:rPr>
          <w:rFonts w:ascii="Amiri" w:hAnsi="Amiri" w:eastAsia="Amiri" w:cs="Amiri"/>
          <w:color w:val="111111"/>
          <w:sz w:val="28"/>
          <w:sz w:val="28"/>
          <w:szCs w:val="28"/>
          <w:rtl w:val="true"/>
          <w:lang w:bidi="ar-SA"/>
        </w:rPr>
        <w:t xml:space="preserve">بال في جحر فاستلقى ميّتا فسمعت الجنّ تنوح عليه بالمدينة وتقول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قتادة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ورميناه بسهمين فلم تخط فؤاده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الخلاء ، فعن عليّ والباقر عليهما‌السلام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يورث الباسور </w:t>
      </w:r>
      <w:r>
        <w:rPr>
          <w:rFonts w:eastAsia="Amiri" w:cs="Amiri" w:ascii="Amiri" w:hAnsi="Amiri"/>
          <w:color w:val="111111"/>
          <w:sz w:val="28"/>
          <w:szCs w:val="28"/>
          <w:rtl w:val="true"/>
          <w:lang w:bidi="ar-SA"/>
        </w:rPr>
        <w:t xml:space="preserve">»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مولاه أطال الجلوس على الخلاء فناداه أنّ طول الجلوس على الحاجة تفجع الكبد ويورث منه الباسور ويصعد الحرارة إلى الرأس ، فاجلس هونا وقم هونا ، فكتب حكمته على باب الحش </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الكراهة مخصوصة بالجلوس على النحو المعروف كما هو ظاهر التعليل المذكور ، فلو لم يكن التقيّة من محلّ الجلوس لم يبعد ارتفاع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الذكر باليمين بعد البول ؛ لمرسلة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بال الرجل فلا يمسّ ذكره بيمينه </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باليمين ؛ للقوي نهى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يستنجى الرجل بيمينه </w:t>
      </w:r>
      <w:r>
        <w:rPr>
          <w:rFonts w:eastAsia="Amiri" w:cs="Amiri" w:ascii="Amiri" w:hAnsi="Amiri"/>
          <w:color w:val="111111"/>
          <w:sz w:val="28"/>
          <w:szCs w:val="28"/>
          <w:rtl w:val="true"/>
          <w:lang w:bidi="ar-SA"/>
        </w:rPr>
        <w:t xml:space="preserve">»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الاستنجاء باليمين </w:t>
      </w:r>
      <w:r>
        <w:rPr>
          <w:rStyle w:val="FootnoteAnchor"/>
          <w:rtl w:val="true"/>
        </w:rPr>
        <w:footnoteReference w:id="2130"/>
      </w:r>
      <w:r>
        <w:rPr>
          <w:rFonts w:ascii="IRNazanin" w:hAnsi="IRNazanin" w:eastAsia="IRNazanin"/>
          <w:color w:val="111111"/>
          <w:sz w:val="28"/>
          <w:sz w:val="28"/>
          <w:szCs w:val="28"/>
          <w:rtl w:val="true"/>
          <w:lang w:bidi="fa-IR"/>
        </w:rPr>
        <w:t xml:space="preserve">من الجفاء </w:t>
      </w:r>
      <w:r>
        <w:rPr>
          <w:rFonts w:eastAsia="IRNazanin" w:cs="IRNazanin"/>
          <w:color w:val="111111"/>
          <w:sz w:val="28"/>
          <w:szCs w:val="28"/>
          <w:rtl w:val="true"/>
          <w:lang w:bidi="fa-IR"/>
        </w:rPr>
        <w:t xml:space="preserve">»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وللفرق بين ما إذا أوجبت تلوّث اليد بالنجاسة أو لا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بين الاستنجاء بالماء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يكره صبّ الماء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تعميم الحكم للاستنجاء من البول إذا افتقر إلى المباشرة وجه ؛ لصدق الاستنجاء باليد </w:t>
      </w:r>
      <w:r>
        <w:rPr>
          <w:rStyle w:val="FootnoteAnchor"/>
          <w:rtl w:val="true"/>
        </w:rPr>
        <w:footnoteReference w:id="2132"/>
      </w:r>
      <w:r>
        <w:rPr>
          <w:rFonts w:ascii="Amiri" w:hAnsi="Amiri" w:eastAsia="Amiri" w:cs="Amiri"/>
          <w:color w:val="111111"/>
          <w:sz w:val="28"/>
          <w:sz w:val="28"/>
          <w:szCs w:val="28"/>
          <w:rtl w:val="true"/>
          <w:lang w:bidi="ar-SA"/>
        </w:rPr>
        <w:t>بالنسبة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كراهة مسّ الذكر باليمنى بعد البول كما سيجي‌ء إلّا أنّه اعتبار آخر غير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باليد الّتي فيها خاتم عليه اسم اللّه ؛ للمستفيضة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وظاهرها يعطي التحريم كما هو الظاهر من بعض أفاضل المتأخرين إلّا أنّ جمهور الأصحاب حملوها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وهب بن وهب دلالة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نقش خاتمه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جميعا ، وكان في يساره يستنجي بها ، وكان نقش خاتم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لله ، وكان في يده اليسرى يستنجي بها </w:t>
      </w:r>
      <w:r>
        <w:rPr>
          <w:rFonts w:eastAsia="Amiri" w:cs="Amiri" w:ascii="Amiri" w:hAnsi="Amiri"/>
          <w:color w:val="111111"/>
          <w:sz w:val="28"/>
          <w:szCs w:val="28"/>
          <w:rtl w:val="true"/>
          <w:lang w:bidi="ar-SA"/>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وسياق هذه الرواية ظاهرة في التقيّة ، وإلّا فظاهرها عدم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فالاستناد إلى فهم الأصحاب في حمل تلك الأخبار على الكراهة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 من الأصحاب إلحاق أسماء الأنبياء والأئمّة عليهم‌السلام للاشتراك في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إلحاق آي القرآن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الإلحاق بناء على القول بالمنع ؛ لخروجه عن مدلول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يوجب تنجّس الكتابة ، ومعها فلا تأمّل في الحرمة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خاتم فيه اسم اللّه سبحانه أو شي‌ء من القرآن لجملة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يدخل المخرج </w:t>
      </w:r>
      <w:r>
        <w:rPr>
          <w:rFonts w:eastAsia="Amiri" w:cs="Amiri" w:ascii="Amiri" w:hAnsi="Amiri"/>
          <w:color w:val="111111"/>
          <w:sz w:val="28"/>
          <w:szCs w:val="28"/>
          <w:rtl w:val="true"/>
          <w:lang w:bidi="ar-SA"/>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علي بن جعفر ، عن أخيه المرويّة في قرب الإسناد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يجامع </w:t>
      </w:r>
    </w:p>
    <w:p>
      <w:pPr>
        <w:pStyle w:val="BookText"/>
        <w:rPr/>
      </w:pPr>
      <w:r>
        <w:rPr>
          <w:rFonts w:ascii="Amiri" w:hAnsi="Amiri" w:eastAsia="Amiri" w:cs="Amiri"/>
          <w:color w:val="111111"/>
          <w:sz w:val="28"/>
          <w:sz w:val="28"/>
          <w:szCs w:val="28"/>
          <w:rtl w:val="true"/>
          <w:lang w:bidi="ar-SA"/>
        </w:rPr>
        <w:t xml:space="preserve">ويدخل الكنيف وعليه الخاتم فيه ذكر اللّه أو شي‌ء من القرآن أيصلح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يريد الخلا وعليه خاتم فيه اسم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 محمّد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 xml:space="preserve">»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شاهد على حمل غيره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كونه في غير اليد الّتي يستنجي بها كما هو صريح غير واحد من الروايات صراحة في عدم التحريم ، بل ربّما قضى ظاهرها بعدم 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تسرية الحكم إلى اسم النبي صلى‌اللّه‌عليه‌وآله وسائر الأنبياء صلوات اللّه عليهم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الرواية الأخيرة انتفاء الكراهة ، وكذا الكلام في آي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الكراهة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تسرية الحكم إلى غير الخاتم ممّا يصحبه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حكم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الحرّة فرج زوجها من غير علّة ، ففي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تغسل فرج زوجها؟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من سقم </w:t>
      </w:r>
      <w:r>
        <w:rPr>
          <w:rFonts w:eastAsia="Amiri" w:cs="Amiri" w:ascii="Amiri" w:hAnsi="Amiri"/>
          <w:color w:val="111111"/>
          <w:sz w:val="28"/>
          <w:szCs w:val="28"/>
          <w:rtl w:val="true"/>
          <w:lang w:bidi="ar-SA"/>
        </w:rPr>
        <w:t xml:space="preserve">» </w:t>
      </w:r>
      <w:r>
        <w:rPr>
          <w:rStyle w:val="FootnoteAnchor"/>
          <w:rtl w:val="true"/>
        </w:rPr>
        <w:footnoteReference w:id="2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احبّ للحرّة أن تفعل ، فأمّا الأمة فلا تضر </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الكراهة للزوجة أو للزوج أو لهما؟ وجوه ، وظاهر الفقرة الأولى من الجواب هو الأول ، والفقرة ظاهرة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على ما نصّ عليه جماعة الأصحاب ؛ لمنافاتهما للحياء </w:t>
      </w:r>
      <w:r>
        <w:rPr>
          <w:rStyle w:val="FootnoteAnchor"/>
          <w:rtl w:val="true"/>
        </w:rPr>
        <w:footnoteReference w:id="2139"/>
      </w:r>
      <w:r>
        <w:rPr>
          <w:rFonts w:ascii="IRNazanin" w:hAnsi="IRNazanin" w:eastAsia="IRNazanin"/>
          <w:color w:val="111111"/>
          <w:sz w:val="28"/>
          <w:sz w:val="28"/>
          <w:szCs w:val="28"/>
          <w:rtl w:val="true"/>
          <w:lang w:bidi="fa-IR"/>
        </w:rPr>
        <w:t>المطلوب حال الخلاء</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مرسلة الفقيه المرويّة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وجد لقمة في القذر فأخذها وغسلها ، ورفعها إلى مملوك معه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معك لآكلها إذا خرجت ، فلمّا خرج عليه‌السلام قال </w:t>
      </w:r>
    </w:p>
    <w:p>
      <w:pPr>
        <w:pStyle w:val="BookText"/>
        <w:rPr/>
      </w:pPr>
      <w:r>
        <w:rPr>
          <w:rFonts w:ascii="Amiri" w:hAnsi="Amiri" w:eastAsia="Amiri" w:cs="Amiri"/>
          <w:color w:val="111111"/>
          <w:sz w:val="28"/>
          <w:sz w:val="28"/>
          <w:szCs w:val="28"/>
          <w:rtl w:val="true"/>
          <w:lang w:bidi="ar-SA"/>
        </w:rPr>
        <w:t xml:space="preserve">للملوك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اللقمة؟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أكلتها يا بن رسول اللّه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استقرّت في جوف أحد إلّا وجبت له الجنّة </w:t>
      </w:r>
      <w:r>
        <w:rPr>
          <w:rFonts w:eastAsia="Amiri" w:cs="Amiri" w:ascii="Amiri" w:hAnsi="Amiri"/>
          <w:color w:val="111111"/>
          <w:sz w:val="28"/>
          <w:szCs w:val="28"/>
          <w:rtl w:val="true"/>
          <w:lang w:bidi="ar-SA"/>
        </w:rPr>
        <w:t xml:space="preserve">» </w:t>
      </w:r>
      <w:r>
        <w:rPr>
          <w:rStyle w:val="FootnoteAnchor"/>
          <w:rtl w:val="true"/>
        </w:rPr>
        <w:footnoteReference w:id="214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نحو من ذلك عن مولانا الحسين عليه‌السلام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دلالة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كراهة الأكل ، ويمكن أن يستفاد منه الحكم في الشرب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التكلّم بغير ما استثني على المعروف بين الأصحاب ؛ للروايات المستفيضة كالصحيح بعد ما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التسبيح في المخرج وقراءة القرآن لم يرخّص في الكنيف أكثر من آية الكرسي والحمد لله أو آية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تتكلّم على الخلاء فانّ من تكلّم على الخلاء لم يقض له حاجة </w:t>
      </w:r>
      <w:r>
        <w:rPr>
          <w:rFonts w:eastAsia="Amiri" w:cs="Amiri" w:ascii="Amiri" w:hAnsi="Amiri"/>
          <w:color w:val="111111"/>
          <w:sz w:val="28"/>
          <w:szCs w:val="28"/>
          <w:rtl w:val="true"/>
          <w:lang w:bidi="ar-SA"/>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صفوان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نهى رسول اللّه صلى‌اللّه‌عليه‌وآله أن يجيب الرجل آخر وهو على الغائط أو يكلّمه حتّى يفرغ </w:t>
      </w:r>
      <w:r>
        <w:rPr>
          <w:rFonts w:eastAsia="Amiri" w:cs="Amiri" w:ascii="Amiri" w:hAnsi="Amiri"/>
          <w:color w:val="111111"/>
          <w:sz w:val="28"/>
          <w:szCs w:val="28"/>
          <w:rtl w:val="true"/>
          <w:lang w:bidi="ar-SA"/>
        </w:rPr>
        <w:t xml:space="preserve">»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منافاته الاستحياء المطلق ، وظاهر الصدوق القول بالمنع ؛ لظاهر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تكلّمه لنفسه أو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تكلّمه بغير الموضوع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استثنى من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الكلام واجبا فوريّا كردّ السلام أو الدلالة على الوديعة مع طلب صاحبها أو جواب من يجب طاعته إذا تعلّق غرضه بالجواب في الحال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الوجوب تخييريّا ففي ارتفاع الكراهة وجهان أقواهما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ارتفاعها بكون السائل مؤمنا سيّما إذا تعلّق بحاجة ضروريّة أو كان موجبا لكسر قلبه وجه قويّ ، وإن كان قضيّة إطلاق الرواية الأخيرة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حاجة بتأخيره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جماعة من الأصحاب وتركه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بأنّ في الامتناع منه ضررا ، وهو منفي بالآية والرواية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بدّ أن يكون بحيث لا يمكن أداؤه </w:t>
      </w:r>
      <w:r>
        <w:rPr>
          <w:rStyle w:val="FootnoteAnchor"/>
          <w:rtl w:val="true"/>
        </w:rPr>
        <w:footnoteReference w:id="2145"/>
      </w:r>
      <w:r>
        <w:rPr>
          <w:rFonts w:ascii="Amiri" w:hAnsi="Amiri" w:eastAsia="Amiri" w:cs="Amiri"/>
          <w:color w:val="111111"/>
          <w:sz w:val="28"/>
          <w:sz w:val="28"/>
          <w:szCs w:val="28"/>
          <w:rtl w:val="true"/>
          <w:lang w:bidi="ar-SA"/>
        </w:rPr>
        <w:t xml:space="preserve">بغير الكلام كالتصفيق والتسبيح </w:t>
      </w:r>
      <w:r>
        <w:rPr>
          <w:rStyle w:val="FootnoteAnchor"/>
          <w:rtl w:val="true"/>
        </w:rPr>
        <w:footnoteReference w:id="2146"/>
      </w:r>
      <w:r>
        <w:rPr>
          <w:rFonts w:ascii="Amiri" w:hAnsi="Amiri" w:eastAsia="Amiri" w:cs="Amiri"/>
          <w:color w:val="111111"/>
          <w:sz w:val="28"/>
          <w:sz w:val="28"/>
          <w:szCs w:val="28"/>
          <w:rtl w:val="true"/>
          <w:lang w:bidi="ar-SA"/>
        </w:rPr>
        <w:t>كما نصّ عليه جماعة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ما إذا لحقه بتأخيره ضرر كفسخ معاملة بنقض خياره بالتاخير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لو كانت الحاجة لمؤمن أو لحقه بتأخيره ضرر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إمكان الاستعجال في قضاء الحاجة وأدائها بعد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تعالى ؛ لقول الصادق عليه‌السلام في رواية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بأس بذكر اللّه وأنت تقول إنّ ذكر اللّه حسن على كلّ حال ، ولا تسأم من ذكر اللّه </w:t>
      </w:r>
      <w:r>
        <w:rPr>
          <w:rFonts w:eastAsia="Amiri" w:cs="Amiri" w:ascii="Amiri" w:hAnsi="Amiri"/>
          <w:color w:val="111111"/>
          <w:sz w:val="28"/>
          <w:szCs w:val="28"/>
          <w:rtl w:val="true"/>
          <w:lang w:bidi="ar-SA"/>
        </w:rPr>
        <w:t xml:space="preserve">»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ذكر اللّه على تلك الحال ، فإنّ ذكر اللّه حسن على كلّ حال </w:t>
      </w:r>
      <w:r>
        <w:rPr>
          <w:rFonts w:eastAsia="Amiri" w:cs="Amiri" w:ascii="Amiri" w:hAnsi="Amiri"/>
          <w:color w:val="111111"/>
          <w:sz w:val="28"/>
          <w:szCs w:val="28"/>
          <w:rtl w:val="true"/>
          <w:lang w:bidi="ar-SA"/>
        </w:rPr>
        <w:t xml:space="preserve">»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في بيان بعض ما أوحى اللّه إلى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 ذكري على كلّ حال </w:t>
      </w:r>
      <w:r>
        <w:rPr>
          <w:rFonts w:eastAsia="Amiri" w:cs="Amiri" w:ascii="Amiri" w:hAnsi="Amiri"/>
          <w:color w:val="111111"/>
          <w:sz w:val="28"/>
          <w:szCs w:val="28"/>
          <w:rtl w:val="true"/>
          <w:lang w:bidi="ar-SA"/>
        </w:rPr>
        <w:t xml:space="preserve">.. » </w:t>
      </w:r>
      <w:r>
        <w:rPr>
          <w:rStyle w:val="FootnoteAnchor"/>
          <w:rtl w:val="true"/>
        </w:rPr>
        <w:footnoteReference w:id="2149"/>
      </w:r>
      <w:r>
        <w:rPr>
          <w:rFonts w:ascii="Amiri" w:hAnsi="Amiri" w:eastAsia="Amiri" w:cs="Amiri"/>
          <w:color w:val="111111"/>
          <w:sz w:val="28"/>
          <w:sz w:val="28"/>
          <w:szCs w:val="28"/>
          <w:rtl w:val="true"/>
          <w:lang w:bidi="ar-SA"/>
        </w:rPr>
        <w:t>إلى غير ذلك ، وظاهر هذه الأخبار شمول الذكر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يومى بعض الأخبار إلى كونه بالقلب كقوله عليه‌السلام في قويّة مسعدة بن صدقة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عطس أحدكم وهو على الخلاء فليحمد اللّه في نفسه </w:t>
      </w:r>
      <w:r>
        <w:rPr>
          <w:rFonts w:eastAsia="Amiri" w:cs="Amiri" w:ascii="Amiri" w:hAnsi="Amiri"/>
          <w:color w:val="111111"/>
          <w:sz w:val="28"/>
          <w:szCs w:val="28"/>
          <w:rtl w:val="true"/>
          <w:lang w:bidi="ar-SA"/>
        </w:rPr>
        <w:t xml:space="preserve">»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عليه‌السلام إذا دخل الخلاء تقنع برأسه ويقول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w:t>
      </w:r>
      <w:r>
        <w:rPr>
          <w:rFonts w:eastAsia="Amiri" w:cs="Amiri" w:ascii="Amiri" w:hAnsi="Amiri"/>
          <w:color w:val="111111"/>
          <w:sz w:val="28"/>
          <w:szCs w:val="28"/>
          <w:rtl w:val="true"/>
          <w:lang w:bidi="ar-SA"/>
        </w:rPr>
        <w:t xml:space="preserve">» </w:t>
      </w:r>
      <w:r>
        <w:rPr>
          <w:rStyle w:val="FootnoteAnchor"/>
          <w:rtl w:val="true"/>
        </w:rPr>
        <w:footnoteReference w:id="2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لذا قال الشيخ </w:t>
      </w:r>
      <w:r>
        <w:rPr>
          <w:rStyle w:val="FootnoteAnchor"/>
          <w:rtl w:val="true"/>
        </w:rPr>
        <w:footnoteReference w:id="2152"/>
      </w:r>
      <w:r>
        <w:rPr>
          <w:rFonts w:ascii="Amiri" w:hAnsi="Amiri" w:eastAsia="Amiri" w:cs="Amiri"/>
          <w:color w:val="111111"/>
          <w:sz w:val="28"/>
          <w:sz w:val="28"/>
          <w:szCs w:val="28"/>
          <w:rtl w:val="true"/>
          <w:lang w:bidi="ar-SA"/>
        </w:rPr>
        <w:t xml:space="preserve">في جملة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يذكر فيما بينه وبين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ذلك كلّه على الإخفات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استفاضة الدعوات المأثورة حال الخلاء ، وحملها على ذلك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الصحيحة المتقدّمة دلالة على كراهة ما عدا التحميد من الذكر إلّا أنّها لا تقاوم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آية الكرسي ، للصحيحة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يخصّص ما 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سبعة لا يقرءون القرآن </w:t>
      </w:r>
      <w:r>
        <w:rPr>
          <w:rFonts w:eastAsia="Amiri" w:cs="Amiri" w:ascii="Amiri" w:hAnsi="Amiri"/>
          <w:color w:val="111111"/>
          <w:sz w:val="28"/>
          <w:szCs w:val="28"/>
          <w:rtl w:val="true"/>
          <w:lang w:bidi="ar-SA"/>
        </w:rPr>
        <w:t xml:space="preserve">.. » </w:t>
      </w:r>
      <w:r>
        <w:rPr>
          <w:rStyle w:val="FootnoteAnchor"/>
          <w:rtl w:val="true"/>
        </w:rPr>
        <w:footnoteReference w:id="2153"/>
      </w:r>
      <w:r>
        <w:rPr>
          <w:rFonts w:ascii="Amiri" w:hAnsi="Amiri" w:eastAsia="Amiri" w:cs="Amiri"/>
          <w:color w:val="111111"/>
          <w:sz w:val="28"/>
          <w:sz w:val="28"/>
          <w:szCs w:val="28"/>
          <w:rtl w:val="true"/>
          <w:lang w:bidi="ar-SA"/>
        </w:rPr>
        <w:t>وعدّ منها الشخص يكون في الكنيف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يستثنى منه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للصحيحة المتقدمة إلّا أنّ احتمال الترديد من الراوي يسقط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الظاهر دخولها في الذكر ، وبذلك يتّجه القول بنفي الكراهة في سائر الآيات الداخلة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القول باختلاف الحكم لاختلاف القصد ، فيكره بقصد التلاوة دون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فاستثناء الآية المزبورة محلّ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التهذيب </w:t>
      </w:r>
      <w:r>
        <w:rPr>
          <w:rStyle w:val="FootnoteAnchor"/>
          <w:rtl w:val="true"/>
        </w:rPr>
        <w:footnoteReference w:id="2154"/>
      </w:r>
      <w:r>
        <w:rPr>
          <w:rFonts w:ascii="Amiri" w:hAnsi="Amiri" w:eastAsia="Amiri" w:cs="Amiri"/>
          <w:color w:val="111111"/>
          <w:sz w:val="28"/>
          <w:sz w:val="28"/>
          <w:szCs w:val="28"/>
          <w:rtl w:val="true"/>
          <w:lang w:bidi="ar-SA"/>
        </w:rPr>
        <w:t xml:space="preserve">ذكر الآية مطلقا ، ومعه يبعد الاحتمال المذكور ، فيتمّ الاستدلال بها في مطلق الآية إلّا أنّه يضعّفه وجود التقييد في الفقيه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الأذان لقول الباقر عليه‌السلام في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المنادي ينادي بالأذان وأنت على الخلاء فاذكر اللّه عزوجل وقل كما يقول </w:t>
      </w:r>
      <w:r>
        <w:rPr>
          <w:rFonts w:eastAsia="Amiri" w:cs="Amiri" w:ascii="Amiri" w:hAnsi="Amiri"/>
          <w:color w:val="111111"/>
          <w:sz w:val="28"/>
          <w:szCs w:val="28"/>
          <w:rtl w:val="true"/>
          <w:lang w:bidi="ar-SA"/>
        </w:rPr>
        <w:t xml:space="preserve">»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الصادق عليه‌السلام في 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سمعت الأذان وأنت على الخلاء فقل مثل ما يقول المؤذن ولا تدع ذكر اللّه عزوجل في تلك الحال لأنّ ذكر اللّه حسن على كلّ حال </w:t>
      </w:r>
      <w:r>
        <w:rPr>
          <w:rFonts w:eastAsia="Amiri" w:cs="Amiri" w:ascii="Amiri" w:hAnsi="Amiri"/>
          <w:color w:val="111111"/>
          <w:sz w:val="28"/>
          <w:szCs w:val="28"/>
          <w:rtl w:val="true"/>
          <w:lang w:bidi="ar-SA"/>
        </w:rPr>
        <w:t xml:space="preserve">»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للإنسان إذا سمع الأذان أن يقول كما يقول المؤذن وإن كان على البول والغائط؟</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ذلك يزيد في الرزق </w:t>
      </w:r>
      <w:r>
        <w:rPr>
          <w:rFonts w:eastAsia="Amiri" w:cs="Amiri" w:ascii="Amiri" w:hAnsi="Amiri"/>
          <w:color w:val="111111"/>
          <w:sz w:val="28"/>
          <w:szCs w:val="28"/>
          <w:rtl w:val="true"/>
          <w:lang w:bidi="ar-SA"/>
        </w:rPr>
        <w:t xml:space="preserve">»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الروضة </w:t>
      </w:r>
      <w:r>
        <w:rPr>
          <w:rStyle w:val="FootnoteAnchor"/>
          <w:rtl w:val="true"/>
        </w:rPr>
        <w:footnoteReference w:id="2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حكاية الأذان إذا سمعه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ذلك إلى تأمّل منه في الحكم ، وكذا الشهيد في الذكرى </w:t>
      </w:r>
      <w:r>
        <w:rPr>
          <w:rStyle w:val="FootnoteAnchor"/>
          <w:rtl w:val="true"/>
        </w:rPr>
        <w:footnoteReference w:id="2160"/>
      </w:r>
      <w:r>
        <w:rPr>
          <w:rFonts w:ascii="IRNazanin" w:hAnsi="IRNazanin" w:eastAsia="IRNazanin"/>
          <w:color w:val="111111"/>
          <w:sz w:val="28"/>
          <w:sz w:val="28"/>
          <w:szCs w:val="28"/>
          <w:rtl w:val="true"/>
          <w:lang w:bidi="fa-IR"/>
        </w:rPr>
        <w:t xml:space="preserve">والدروس </w:t>
      </w:r>
      <w:r>
        <w:rPr>
          <w:rStyle w:val="FootnoteAnchor"/>
          <w:rtl w:val="true"/>
        </w:rPr>
        <w:footnoteReference w:id="2161"/>
      </w:r>
      <w:r>
        <w:rPr>
          <w:rFonts w:ascii="Amiri" w:hAnsi="Amiri" w:eastAsia="Amiri" w:cs="Amiri"/>
          <w:color w:val="111111"/>
          <w:sz w:val="28"/>
          <w:sz w:val="28"/>
          <w:szCs w:val="28"/>
          <w:rtl w:val="true"/>
          <w:lang w:bidi="ar-SA"/>
        </w:rPr>
        <w:t>حيث أسنده فيهما إلى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الروض </w:t>
      </w:r>
      <w:r>
        <w:rPr>
          <w:rStyle w:val="FootnoteAnchor"/>
          <w:rtl w:val="true"/>
        </w:rPr>
        <w:footnoteReference w:id="2162"/>
      </w:r>
      <w:r>
        <w:rPr>
          <w:rFonts w:ascii="Amiri" w:hAnsi="Amiri" w:eastAsia="Amiri" w:cs="Amiri"/>
          <w:color w:val="111111"/>
          <w:sz w:val="28"/>
          <w:sz w:val="28"/>
          <w:szCs w:val="28"/>
          <w:rtl w:val="true"/>
          <w:lang w:bidi="ar-SA"/>
        </w:rPr>
        <w:t>أنّه حسن في فصوله الّتي فيها ذكر دون الحيعلات ؛ لعدم نصّ عليه بالخصوص إلّا أن يبدل بالحوقلة كما ذكر في حكايته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لذلك بعد ما عرفت من النصوص الواردة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وكأنّهما رحمه‌اللّه غفلا عن الأخبار المذكورة ، بل المستفاد من الروايتين الأوليين كون الأذان كلّه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النبيّ وآله عند سماع اسمه الشريف ؛ للخبر الأكيد عليه حتّى قيل بوجوبه كما ذهب إليه المفيد وجماعة وعليه ، فهو داخل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وإدخالها في الذكر كما في كشف اللثام لا يخلو عن تأمّل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التحميد عند العطاس ، وقد سمعت الرواية الواردة فيه ، وهو داخل في الذكر فلا فائدة في إفراده بالذكر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التسميت للعاطس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المنتهى </w:t>
      </w:r>
      <w:r>
        <w:rPr>
          <w:rStyle w:val="FootnoteAnchor"/>
          <w:rtl w:val="true"/>
        </w:rPr>
        <w:footnoteReference w:id="2163"/>
      </w:r>
      <w:r>
        <w:rPr>
          <w:rFonts w:ascii="Amiri" w:hAnsi="Amiri" w:eastAsia="Amiri" w:cs="Amiri"/>
          <w:color w:val="111111"/>
          <w:sz w:val="28"/>
          <w:sz w:val="28"/>
          <w:szCs w:val="28"/>
          <w:rtl w:val="true"/>
          <w:lang w:bidi="ar-SA"/>
        </w:rPr>
        <w:t xml:space="preserve">ونهاية </w:t>
      </w:r>
      <w:r>
        <w:rPr>
          <w:rStyle w:val="FootnoteAnchor"/>
          <w:rtl w:val="true"/>
        </w:rPr>
        <w:footnoteReference w:id="2164"/>
      </w:r>
      <w:r>
        <w:rPr>
          <w:rFonts w:ascii="Amiri" w:hAnsi="Amiri" w:eastAsia="Amiri" w:cs="Amiri"/>
          <w:color w:val="111111"/>
          <w:sz w:val="28"/>
          <w:sz w:val="28"/>
          <w:szCs w:val="28"/>
          <w:rtl w:val="true"/>
          <w:lang w:bidi="ar-SA"/>
        </w:rPr>
        <w:t>الإحكام ؛ لكونه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أنّ ما دلّ على كراهة الكلام إنّما يدلّ على مرجوحيّة التكلّم على النحو المعتاد ، فشموله لمثل الدعاء والذكر وقراءة القرآن غير معلوم ، بل الظاهر خلافه فيبقى العمومات الدالّة على رجحانها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الصحيحة الأولى ربّما تدلّ على </w:t>
      </w:r>
      <w:r>
        <w:rPr>
          <w:rStyle w:val="FootnoteAnchor"/>
          <w:rtl w:val="true"/>
        </w:rPr>
        <w:footnoteReference w:id="2166"/>
      </w:r>
      <w:r>
        <w:rPr>
          <w:rFonts w:ascii="Amiri" w:hAnsi="Amiri" w:eastAsia="Amiri" w:cs="Amiri"/>
          <w:color w:val="111111"/>
          <w:sz w:val="28"/>
          <w:sz w:val="28"/>
          <w:szCs w:val="28"/>
          <w:rtl w:val="true"/>
          <w:lang w:bidi="ar-SA"/>
        </w:rPr>
        <w:t>كراهة الجميع سوى ما استثني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السؤال فيها مخصّص بالتسبيح وقراءة القرآن ، والممنوع منه في الجواب غير مذكور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فيحمل على إرادة العموم وإرادة خصوص المذكور في السؤال ، ومع حصول الاحتمال يسقط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التحميد في الجواب قاض بإرادة العموم ؛ لعدم ذكره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ذلك إذا لم يقم احتمال الترديد من الراوي فيه ، ومعه يحتمل أن يكون المذكور في كلام الإمام عليه‌السلام خصوص آية الكرسي وآية الحمد لله ربّ العالمين ، فلا يبعد إذن أن يكون المقصود خصوص المنع من قراءة القرآن سوى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يقرّبه عدم المنع من الذكر الشامل للتسبيح مطلقا كما هو قضية النصوص المستفيضة ، فلا يتمّ إطلاق المنع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البناء على ما ذكر بكون جملة من المستثنيات المذكورة على حكم الأصل ، وبكون الدعاء أيضا كالذكر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ويختصّ الكراهة بالتكلّم وقراءة القرآن عدا ما استثني منهما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يتّجه عدم كراهة التسميت ؛ لدخوله في الدعاء مع احتمال اندراجه في الكلام من جهة توجيهه إلى المخاطب ، فتأمل</w:t>
      </w:r>
      <w:r>
        <w:rPr>
          <w:rFonts w:eastAsia="Amiri" w:cs="Amiri" w:ascii="Amiri" w:hAnsi="Amiri"/>
          <w:color w:val="111111"/>
          <w:sz w:val="28"/>
          <w:szCs w:val="28"/>
          <w:rtl w:val="true"/>
          <w:lang w:bidi="ar-SA"/>
        </w:rPr>
        <w:t xml:space="preserve">. </w:t>
      </w:r>
      <w:bookmarkStart w:id="341" w:name="pg15827_173983"/>
    </w:p>
    <w:p>
      <w:pPr>
        <w:pStyle w:val="Heading3"/>
        <w:numPr>
          <w:ilvl w:val="2"/>
          <w:numId w:val="1"/>
        </w:numPr>
        <w:rPr/>
      </w:pPr>
      <w:bookmarkStart w:id="342" w:name="__RefHeading___Toc14099829_2142443653"/>
      <w:bookmarkStart w:id="343" w:name="_Toc121"/>
      <w:bookmarkEnd w:id="341"/>
      <w:bookmarkEnd w:id="342"/>
      <w:r>
        <w:rPr>
          <w:rtl w:val="true"/>
        </w:rPr>
        <w:t xml:space="preserve">البحث </w:t>
      </w:r>
      <w:r>
        <w:rPr>
          <w:rtl w:val="true"/>
        </w:rPr>
        <w:t xml:space="preserve">[ </w:t>
      </w:r>
      <w:r>
        <w:rPr>
          <w:rtl w:val="true"/>
        </w:rPr>
        <w:t xml:space="preserve">الأول </w:t>
      </w:r>
      <w:r>
        <w:rPr>
          <w:rtl w:val="true"/>
        </w:rPr>
        <w:t xml:space="preserve">]: </w:t>
      </w:r>
      <w:r>
        <w:rPr>
          <w:rtl w:val="true"/>
        </w:rPr>
        <w:t>في أفعال الوضوء</w:t>
      </w:r>
      <w:bookmarkEnd w:id="343"/>
    </w:p>
    <w:p>
      <w:pPr>
        <w:pStyle w:val="Heading4"/>
        <w:numPr>
          <w:ilvl w:val="3"/>
          <w:numId w:val="1"/>
        </w:numPr>
        <w:rPr/>
      </w:pPr>
      <w:bookmarkStart w:id="344" w:name="__RefHeading___Toc14099831_2142443653"/>
      <w:bookmarkStart w:id="345" w:name="_Toc122"/>
      <w:bookmarkEnd w:id="344"/>
      <w:r>
        <w:rPr>
          <w:rtl w:val="true"/>
        </w:rPr>
        <w:t>تبصرة</w:t>
      </w:r>
      <w:r>
        <w:rPr>
          <w:rtl w:val="true"/>
        </w:rPr>
        <w:t xml:space="preserve">: [ </w:t>
      </w:r>
      <w:r>
        <w:rPr>
          <w:rtl w:val="true"/>
        </w:rPr>
        <w:t xml:space="preserve">في نية القربة </w:t>
      </w:r>
      <w:r>
        <w:rPr>
          <w:rtl w:val="true"/>
        </w:rPr>
        <w:t>]</w:t>
      </w:r>
      <w:bookmarkEnd w:id="345"/>
    </w:p>
    <w:p>
      <w:pPr>
        <w:pStyle w:val="BookText"/>
        <w:rPr/>
      </w:pPr>
      <w:r>
        <w:rPr>
          <w:rFonts w:ascii="Amiri" w:hAnsi="Amiri" w:eastAsia="Amiri" w:cs="Amiri"/>
          <w:color w:val="111111"/>
          <w:sz w:val="28"/>
          <w:sz w:val="28"/>
          <w:szCs w:val="28"/>
          <w:rtl w:val="true"/>
          <w:lang w:bidi="ar-SA"/>
        </w:rPr>
        <w:t>لا بدّ في الوضوء من نية القربة بلا خلاف بين الفرقة ، وكذا غيرها من الطهارات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إجماع الفرقة عليه جماعة من الأجلّة ، وبذلك اندرجت في تلك العبادات وإزالة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بعد ذلك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مُخْلِصِينَ لَهُ الدِّينَ وَما أُمِرُوا إِلّا لِيَعْبُدُوا اللّهَ </w:t>
      </w:r>
      <w:r>
        <w:rPr>
          <w:rFonts w:eastAsia="Amiri" w:cs="Amiri" w:ascii="Amiri" w:hAnsi="Amiri"/>
          <w:color w:val="111111"/>
          <w:sz w:val="28"/>
          <w:szCs w:val="28"/>
          <w:rtl w:val="true"/>
          <w:lang w:bidi="ar-SA"/>
        </w:rPr>
        <w:t xml:space="preserve">) </w:t>
      </w:r>
      <w:r>
        <w:rPr>
          <w:rStyle w:val="FootnoteAnchor"/>
          <w:rtl w:val="true"/>
        </w:rPr>
        <w:footnoteReference w:id="2167"/>
      </w:r>
      <w:r>
        <w:rPr>
          <w:rFonts w:ascii="Amiri" w:hAnsi="Amiri" w:eastAsia="Amiri" w:cs="Amiri"/>
          <w:color w:val="111111"/>
          <w:sz w:val="28"/>
          <w:sz w:val="28"/>
          <w:szCs w:val="28"/>
          <w:rtl w:val="true"/>
          <w:lang w:bidi="ar-SA"/>
        </w:rPr>
        <w:t>، فإن ظاهره اعتبار الإخلاص في النيّة في جميع التكاليف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ويومي إليه ما دلّ على وجوب طاعته صلى‌اللّه‌عليه‌وآله ، إذ حقيقة الإطاعة هو موافقة إرادته في أمره ونهيه من حيث إنّه أمر به أو نهى عنه ، وهو معنى القربة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w:t>
      </w:r>
      <w:r>
        <w:rPr>
          <w:rStyle w:val="FootnoteAnchor"/>
          <w:rtl w:val="true"/>
        </w:rPr>
        <w:footnoteReference w:id="2168"/>
      </w:r>
      <w:r>
        <w:rPr>
          <w:rFonts w:ascii="Amiri" w:hAnsi="Amiri" w:eastAsia="Amiri" w:cs="Amiri"/>
          <w:color w:val="111111"/>
          <w:sz w:val="28"/>
          <w:sz w:val="28"/>
          <w:szCs w:val="28"/>
          <w:rtl w:val="true"/>
          <w:lang w:bidi="ar-SA"/>
        </w:rPr>
        <w:t>خلا عنه لم يحصل الامتثال إلّا أنّ ذلك إنّما يفيد اعتبار قصد الطاعة في الجملة لا عدم جواز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ففيه تأييد لما قلنا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بعض الأفاضل إشكال في الفرق بين الطهارة من الحدث والخبث ؛ لورود الأخبار فيهما على حدّ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 النية </w:t>
      </w:r>
      <w:r>
        <w:rPr>
          <w:rStyle w:val="FootnoteAnchor"/>
          <w:rtl w:val="true"/>
        </w:rPr>
        <w:footnoteReference w:id="2169"/>
      </w:r>
      <w:r>
        <w:rPr>
          <w:rFonts w:ascii="Amiri" w:hAnsi="Amiri" w:eastAsia="Amiri" w:cs="Amiri"/>
          <w:color w:val="111111"/>
          <w:sz w:val="28"/>
          <w:sz w:val="28"/>
          <w:szCs w:val="28"/>
          <w:rtl w:val="true"/>
          <w:lang w:bidi="ar-SA"/>
        </w:rPr>
        <w:t xml:space="preserve">إنّما يجب في الأفعال دون التروك </w:t>
      </w:r>
    </w:p>
    <w:p>
      <w:pPr>
        <w:pStyle w:val="BookText"/>
        <w:rPr/>
      </w:pPr>
      <w:r>
        <w:rPr>
          <w:rFonts w:ascii="Amiri" w:hAnsi="Amiri" w:eastAsia="Amiri" w:cs="Amiri"/>
          <w:color w:val="111111"/>
          <w:sz w:val="28"/>
          <w:sz w:val="28"/>
          <w:szCs w:val="28"/>
          <w:rtl w:val="true"/>
          <w:lang w:bidi="ar-SA"/>
        </w:rPr>
        <w:t>منقوض بالصوم والإحرام ، والجواب أنّ الترك فيهما كالفعل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من أقوى الأدلّة على سهولة الخطب في النيّة ، فإنّ المعتبر فيها تخيل المنوي بأدنى توجّه ، وهذا القدر أمر لا ينفكّ عنه </w:t>
      </w:r>
      <w:r>
        <w:rPr>
          <w:rStyle w:val="FootnoteAnchor"/>
          <w:rtl w:val="true"/>
        </w:rPr>
        <w:footnoteReference w:id="2170"/>
      </w:r>
      <w:r>
        <w:rPr>
          <w:rFonts w:ascii="Amiri" w:hAnsi="Amiri" w:eastAsia="Amiri" w:cs="Amiri"/>
          <w:color w:val="111111"/>
          <w:sz w:val="28"/>
          <w:sz w:val="28"/>
          <w:szCs w:val="28"/>
          <w:rtl w:val="true"/>
          <w:lang w:bidi="ar-SA"/>
        </w:rPr>
        <w:t>أحد من العقلاء كما يشهد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متين لمن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يكفي في الفرق بين المقامين قيام الإجماع بل الضرورة على عدم اعتبار النيّة في رفع الخبث ، وقد دلّ عليه الأخبار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 البصر فقد طهر وغيره مع عدم قيام دليل هنا على عدم اعتبار النيّة ، فتبقى تحت الأصل ، وخلو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ذكرها فيه بالخصوص لا يفيد عدم اعتبارها كما هو الشأن في كثير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إزالة النجاسة المطلوبة حاصلة بمجرّد الغسل ، فليس للنيّة مدخليّة فيها بخلاف الطهارة من الأحداث ؛ إذ لا يصدق شي‌ء من أساميها من دون قصدها ؛ لصحة وقوع تلك الأفعال على وجوه متعددة ، فالنيّة مقوّمة فيها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المناط فيما يعتبر فيه النيّة وما لا يعتبر فيها ، وكأنّ ذلك هو مقصود المجيب ؛ إذ الغالب في التروك أنّها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الوجه إنّما يفيد الفرق بين الأمرين في اعتبار النيّة بالمعنى الأعمّ دون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ما ذكره من الاكتفاء في النيّة يتخيّل </w:t>
      </w:r>
      <w:r>
        <w:rPr>
          <w:rStyle w:val="FootnoteAnchor"/>
          <w:rtl w:val="true"/>
        </w:rPr>
        <w:footnoteReference w:id="2171"/>
      </w:r>
      <w:r>
        <w:rPr>
          <w:rFonts w:ascii="Amiri" w:hAnsi="Amiri" w:eastAsia="Amiri" w:cs="Amiri"/>
          <w:color w:val="111111"/>
          <w:sz w:val="28"/>
          <w:sz w:val="28"/>
          <w:szCs w:val="28"/>
          <w:rtl w:val="true"/>
          <w:lang w:bidi="ar-SA"/>
        </w:rPr>
        <w:t xml:space="preserve">المنوىّ الّذي لا ينفكّ عنه أحد من العقلاء عند شي‌ء من الأفعال ممّا لا وجه له ، إذ النيّة المعتبرة في الوضوء وسائر العبادات ليست مجرّد ذلك بالضرورة ، كيف و </w:t>
      </w:r>
      <w:r>
        <w:rPr>
          <w:rStyle w:val="FootnoteAnchor"/>
          <w:rtl w:val="true"/>
        </w:rPr>
        <w:footnoteReference w:id="2172"/>
      </w:r>
      <w:r>
        <w:rPr>
          <w:rFonts w:ascii="Amiri" w:hAnsi="Amiri" w:eastAsia="Amiri" w:cs="Amiri"/>
          <w:color w:val="111111"/>
          <w:sz w:val="28"/>
          <w:sz w:val="28"/>
          <w:szCs w:val="28"/>
          <w:rtl w:val="true"/>
          <w:lang w:bidi="ar-SA"/>
        </w:rPr>
        <w:t>لا ينبغي إذن فرق بين العبادات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حكاه من بعض الفضلاء إن حمل على ظاهره فهو بيّن الفساد</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بعض المحققين عن بعض المحدّثين تحقيقا في المقام واستحسنه ، وهو أنّ المطلوب من العبد إمّا إيجاد أمر في الخارج كالركوع والسجود أو في الذهن كمعرفة أن لا يتعمّد شيئا من </w:t>
      </w:r>
    </w:p>
    <w:p>
      <w:pPr>
        <w:pStyle w:val="BookText"/>
        <w:rPr/>
      </w:pPr>
      <w:r>
        <w:rPr>
          <w:rFonts w:ascii="Amiri" w:hAnsi="Amiri" w:eastAsia="Amiri" w:cs="Amiri"/>
          <w:color w:val="111111"/>
          <w:sz w:val="28"/>
          <w:sz w:val="28"/>
          <w:szCs w:val="28"/>
          <w:rtl w:val="true"/>
          <w:lang w:bidi="ar-SA"/>
        </w:rPr>
        <w:t xml:space="preserve">المفطرات أو وجود حاله كطهارة الثوب في الصورة الأولى بين العبادة وغيرها كاللعب بالنية ، وفي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المطلوبة هي نفس العزم المقيّد بقيد فلا حاجة إلى إرادة اخرى وفي الثالثة ليس المقصود إلّا وجود ذلك الشي‌ء سواء </w:t>
      </w:r>
      <w:r>
        <w:rPr>
          <w:rFonts w:eastAsia="Amiri" w:cs="Amiri" w:ascii="Amiri" w:hAnsi="Amiri"/>
          <w:color w:val="111111"/>
          <w:sz w:val="28"/>
          <w:szCs w:val="28"/>
          <w:rtl w:val="true"/>
          <w:lang w:bidi="ar-SA"/>
        </w:rPr>
        <w:t xml:space="preserve">) </w:t>
      </w:r>
      <w:r>
        <w:rPr>
          <w:rStyle w:val="FootnoteAnchor"/>
          <w:rtl w:val="true"/>
        </w:rPr>
        <w:footnoteReference w:id="2173"/>
      </w:r>
      <w:r>
        <w:rPr>
          <w:rFonts w:ascii="Amiri" w:hAnsi="Amiri" w:eastAsia="Amiri" w:cs="Amiri"/>
          <w:color w:val="111111"/>
          <w:sz w:val="28"/>
          <w:sz w:val="28"/>
          <w:szCs w:val="28"/>
          <w:rtl w:val="true"/>
          <w:lang w:bidi="ar-SA"/>
        </w:rPr>
        <w:t>حصل بإيجاده أو بغيره قارن النية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الفرق بين الصورتين الأوليين ممّا لا وجه له بل الظاهر أنّه لا فرق بينهما في شي‌ء ؛ إذ الحاصل في الذهن لا ينحصر في النيّة وعلى فرضه فالفرق فيها بين العبادة وغيرها إنّما هو بقصد القربة وغيره ، وهو المناط في الصورة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لا يفيد شيئا في المقام ؛ إذ الكلام في الفرق بين الطهارة الحدثيّة والخبثيّة ، وهما مشتركان في كون المراد وجود الحالة ، مع أنّ حصولها في الأوّل موقوف على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يعرف أنّ ما ذكره من عدم الحاجة إلى النيّة فيما يكون المقصود فيه وجود الحالة ممّا لا وجه له نعم ذلك إنّما يصحّ في الامور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المقاصد الشرعيّة فيتوقّف حصولها على النحو الذي قرّره الشرع فإن أخذ فيه قصد القربة توقف عليه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البحث عن النيّة من المطالب المهمّة ؛ إذ هي من الامور المقوّمة لجميع العبادات الشرعيّة ، وقد تعلّق بها مسائل عديدة فالأولى أن نفصّل الكلام أوّلا في مطلق النية ، ثمّ نتبعه بالبحث عن خصوص نيّة الوضوء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تأمّل في أنّ الفعل الصادر عن الفاعل المختار يتوقّف على تصوّر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 وإلّا لكان طالبا للمجهول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محال ، وعلى تصوّر غاية لذلك الفعل </w:t>
      </w:r>
      <w:r>
        <w:rPr>
          <w:rFonts w:eastAsia="Amiri" w:cs="Amiri" w:ascii="Amiri" w:hAnsi="Amiri"/>
          <w:color w:val="111111"/>
          <w:sz w:val="28"/>
          <w:szCs w:val="28"/>
          <w:rtl w:val="true"/>
          <w:lang w:bidi="ar-SA"/>
        </w:rPr>
        <w:t xml:space="preserve">) </w:t>
      </w:r>
      <w:r>
        <w:rPr>
          <w:rStyle w:val="FootnoteAnchor"/>
          <w:rtl w:val="true"/>
        </w:rPr>
        <w:footnoteReference w:id="2174"/>
      </w:r>
      <w:r>
        <w:rPr>
          <w:rFonts w:ascii="Amiri" w:hAnsi="Amiri" w:eastAsia="Amiri" w:cs="Amiri"/>
          <w:color w:val="111111"/>
          <w:sz w:val="28"/>
          <w:sz w:val="28"/>
          <w:szCs w:val="28"/>
          <w:rtl w:val="true"/>
          <w:lang w:bidi="ar-SA"/>
        </w:rPr>
        <w:t>ليكون داعيا إلى الفعل وإلّا لكان توجه النفس إليه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محال كما تقرّر في محلّه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المقدار من النيّة مشترك بين جميع الأفعال الاختياريّة ويستحيل خلوها عنه ، فلو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كلّفنا اللّه تعالى بإيقاع الفعل من غير نيّة لكان تكليفا بالمحال ، لكن مجرّد ذلك ليس كافيا في العبادات بالضرورة ، بل المعتبر في كلّ من الأمرين شي‌ء مخصوص ، وفي كلّ من المقامين خلاف معروف كما ستعرف إن شاء اللّه</w:t>
      </w:r>
      <w:r>
        <w:rPr>
          <w:rFonts w:eastAsia="Amiri" w:cs="Amiri" w:ascii="Amiri" w:hAnsi="Amiri"/>
          <w:color w:val="111111"/>
          <w:sz w:val="28"/>
          <w:szCs w:val="28"/>
          <w:rtl w:val="true"/>
          <w:lang w:bidi="ar-SA"/>
        </w:rPr>
        <w:t xml:space="preserve">. </w:t>
      </w:r>
      <w:bookmarkStart w:id="346" w:name="pg15827_173987"/>
    </w:p>
    <w:p>
      <w:pPr>
        <w:pStyle w:val="Heading4"/>
        <w:numPr>
          <w:ilvl w:val="3"/>
          <w:numId w:val="1"/>
        </w:numPr>
        <w:rPr/>
      </w:pPr>
      <w:bookmarkStart w:id="347" w:name="__RefHeading___Toc14099833_2142443653"/>
      <w:bookmarkStart w:id="348" w:name="_Toc123"/>
      <w:bookmarkEnd w:id="346"/>
      <w:bookmarkEnd w:id="347"/>
      <w:r>
        <w:rPr>
          <w:rtl w:val="true"/>
        </w:rPr>
        <w:t>تبصرة</w:t>
      </w:r>
      <w:r>
        <w:rPr>
          <w:rtl w:val="true"/>
        </w:rPr>
        <w:t xml:space="preserve">: [ </w:t>
      </w:r>
      <w:r>
        <w:rPr>
          <w:rtl w:val="true"/>
        </w:rPr>
        <w:t xml:space="preserve">في اعتبار التعيين في النية </w:t>
      </w:r>
      <w:r>
        <w:rPr>
          <w:rtl w:val="true"/>
        </w:rPr>
        <w:t>]</w:t>
      </w:r>
      <w:bookmarkEnd w:id="348"/>
    </w:p>
    <w:p>
      <w:pPr>
        <w:pStyle w:val="BookText"/>
        <w:rPr/>
      </w:pPr>
      <w:r>
        <w:rPr>
          <w:rFonts w:ascii="Amiri" w:hAnsi="Amiri" w:eastAsia="Amiri" w:cs="Amiri"/>
          <w:color w:val="111111"/>
          <w:sz w:val="28"/>
          <w:sz w:val="28"/>
          <w:szCs w:val="28"/>
          <w:rtl w:val="true"/>
          <w:lang w:bidi="ar-SA"/>
        </w:rPr>
        <w:t xml:space="preserve">يعتبر في المقام الأوّل تعيين نوع الفعل ؛ إذ مع عدمه لا يتعيّن الفعل لذلك النوع ؛ لصلاحية الفعل له ولغيره ، وانصرافه إلى المكلّف </w:t>
      </w:r>
      <w:r>
        <w:rPr>
          <w:rStyle w:val="FootnoteAnchor"/>
          <w:rtl w:val="true"/>
        </w:rPr>
        <w:footnoteReference w:id="2175"/>
      </w:r>
      <w:r>
        <w:rPr>
          <w:rFonts w:ascii="Amiri" w:hAnsi="Amiri" w:eastAsia="Amiri" w:cs="Amiri"/>
          <w:color w:val="111111"/>
          <w:sz w:val="28"/>
          <w:sz w:val="28"/>
          <w:szCs w:val="28"/>
          <w:rtl w:val="true"/>
          <w:lang w:bidi="ar-SA"/>
        </w:rPr>
        <w:t>به فرع قصد الفاعل له فلا ينصرف إليه مع انتفاء قصده ، فلا 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اندرج الفعل تحت أنواع من التّكليف تعيّن بتعيين أحدها ؛ لما عرفت من عدم انصراف الفعل إليه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دار بين تكاليف من نوع واحد فهل يكتفي بمجرّد قصد الامتثال أو لا بدّ أيضا من التعيين؟ وجهان أوجههما الأخير ؛ لتوقّف امتثال كلّ من تلك الأوامر على قصده ، فمع عدم قصده التعيّن لا يكون امتثالا لشي‌ء منها ، إذ </w:t>
      </w:r>
      <w:r>
        <w:rPr>
          <w:rStyle w:val="FootnoteAnchor"/>
          <w:rtl w:val="true"/>
        </w:rPr>
        <w:footnoteReference w:id="2176"/>
      </w:r>
      <w:r>
        <w:rPr>
          <w:rFonts w:ascii="Amiri" w:hAnsi="Amiri" w:eastAsia="Amiri" w:cs="Amiri"/>
          <w:color w:val="111111"/>
          <w:sz w:val="28"/>
          <w:sz w:val="28"/>
          <w:szCs w:val="28"/>
          <w:rtl w:val="true"/>
          <w:lang w:bidi="ar-SA"/>
        </w:rPr>
        <w:t xml:space="preserve">إرجاعها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دون الآخر ترجيح من غير مرجّح ، ولا يمكن إرجاعه إلى الجميع فيقع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أمكن إرجاعها إلى الجميع </w:t>
      </w:r>
      <w:r>
        <w:rPr>
          <w:rFonts w:eastAsia="Amiri" w:cs="Amiri" w:ascii="Amiri" w:hAnsi="Amiri"/>
          <w:color w:val="111111"/>
          <w:sz w:val="28"/>
          <w:szCs w:val="28"/>
          <w:rtl w:val="true"/>
          <w:lang w:bidi="ar-SA"/>
        </w:rPr>
        <w:t xml:space="preserve">) </w:t>
      </w:r>
      <w:r>
        <w:rPr>
          <w:rStyle w:val="FootnoteAnchor"/>
          <w:rtl w:val="true"/>
        </w:rPr>
        <w:footnoteReference w:id="2177"/>
      </w:r>
      <w:r>
        <w:rPr>
          <w:rFonts w:ascii="Amiri" w:hAnsi="Amiri" w:eastAsia="Amiri" w:cs="Amiri"/>
          <w:color w:val="111111"/>
          <w:sz w:val="28"/>
          <w:sz w:val="28"/>
          <w:szCs w:val="28"/>
          <w:rtl w:val="true"/>
          <w:lang w:bidi="ar-SA"/>
        </w:rPr>
        <w:t xml:space="preserve">على نحو الإشاعة كما لو تعلّق بذمّته زكاة الأموال ، فدفع مقدار الزكاة من دون قصد شي‌ء منها بالخصوص ، فإنّه ينصرف إلى الجميع على نحو </w:t>
      </w:r>
      <w:r>
        <w:rPr>
          <w:rStyle w:val="FootnoteAnchor"/>
          <w:rtl w:val="true"/>
        </w:rPr>
        <w:footnoteReference w:id="2178"/>
      </w:r>
      <w:r>
        <w:rPr>
          <w:rFonts w:ascii="Amiri" w:hAnsi="Amiri" w:eastAsia="Amiri" w:cs="Amiri"/>
          <w:color w:val="111111"/>
          <w:sz w:val="28"/>
          <w:sz w:val="28"/>
          <w:szCs w:val="28"/>
          <w:rtl w:val="true"/>
          <w:lang w:bidi="ar-SA"/>
        </w:rPr>
        <w:t>الإشاعة في وجه قويّ</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تعيين الفعل إمّا أن يكون بنفسه أو بلازم من لوازمه كقصد الأداء أو القضاء أو الوجوب أو الندب أو القصر أو التمام أو المركّب منها ، ولو عيّنه بالامور الطارية عليه فالظاهر </w:t>
      </w:r>
    </w:p>
    <w:p>
      <w:pPr>
        <w:pStyle w:val="BookText"/>
        <w:rPr/>
      </w:pPr>
      <w:r>
        <w:rPr>
          <w:rFonts w:ascii="Amiri" w:hAnsi="Amiri" w:eastAsia="Amiri" w:cs="Amiri"/>
          <w:color w:val="111111"/>
          <w:sz w:val="28"/>
          <w:sz w:val="28"/>
          <w:szCs w:val="28"/>
          <w:rtl w:val="true"/>
          <w:lang w:bidi="ar-SA"/>
        </w:rPr>
        <w:t>الجواز كما لو فاته إحدى الرباعيّات من اليوميّة فينوي الفائت كما هو المشهور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الحلبي وجوب التعدّد ، وهو مبنيّ على وجوب نيّة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أنّه لا دليل عليه ، ويكفي في صدق الامتثال قصده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ذكرناه جواز التعيين بفعل الغير كما إذا نوى الصلاة الّتي نواها الإمام أو عيّنه بما يقتضيه فعله السابق مع الجهل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عن قوّة إلّا أنّ الأحوط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عيّنه بما يعيّنه أو غيره بعد ذلك فالأظهر المنع ؛ لعدم الاطمينان باليقين اللّاحق </w:t>
      </w:r>
      <w:r>
        <w:rPr>
          <w:rStyle w:val="FootnoteAnchor"/>
          <w:rtl w:val="true"/>
        </w:rPr>
        <w:footnoteReference w:id="2179"/>
      </w:r>
      <w:r>
        <w:rPr>
          <w:rFonts w:ascii="IRNazanin" w:hAnsi="IRNazanin" w:eastAsia="IRNazanin"/>
          <w:color w:val="111111"/>
          <w:sz w:val="28"/>
          <w:sz w:val="28"/>
          <w:szCs w:val="28"/>
          <w:rtl w:val="true"/>
          <w:lang w:bidi="fa-IR"/>
        </w:rPr>
        <w:t xml:space="preserve">لا لعدم حصول </w:t>
      </w:r>
      <w:r>
        <w:rPr>
          <w:rStyle w:val="FootnoteAnchor"/>
          <w:rtl w:val="true"/>
        </w:rPr>
        <w:footnoteReference w:id="2180"/>
      </w:r>
      <w:r>
        <w:rPr>
          <w:rFonts w:ascii="Amiri" w:hAnsi="Amiri" w:eastAsia="Amiri" w:cs="Amiri"/>
          <w:color w:val="111111"/>
          <w:sz w:val="28"/>
          <w:sz w:val="28"/>
          <w:szCs w:val="28"/>
          <w:rtl w:val="true"/>
          <w:lang w:bidi="ar-SA"/>
        </w:rPr>
        <w:t>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مع تعيين الفعل بما يعيّنه واقعا لا حاجة إلى تعيين نوع الفعل عند الفاعل ولا صفاته الحاصلة فيه كالوجوب والندب والأداء والقضاء والقصر والتمام ، ولا تعيينه حال </w:t>
      </w:r>
      <w:r>
        <w:rPr>
          <w:rStyle w:val="FootnoteAnchor"/>
          <w:rtl w:val="true"/>
        </w:rPr>
        <w:footnoteReference w:id="2181"/>
      </w:r>
      <w:r>
        <w:rPr>
          <w:rFonts w:ascii="Amiri" w:hAnsi="Amiri" w:eastAsia="Amiri" w:cs="Amiri"/>
          <w:color w:val="111111"/>
          <w:sz w:val="28"/>
          <w:sz w:val="28"/>
          <w:szCs w:val="28"/>
          <w:rtl w:val="true"/>
          <w:lang w:bidi="ar-SA"/>
        </w:rPr>
        <w:t xml:space="preserve">الفعل ، فلو دار الصلاة بين كونه </w:t>
      </w:r>
      <w:r>
        <w:rPr>
          <w:rStyle w:val="FootnoteAnchor"/>
          <w:rtl w:val="true"/>
        </w:rPr>
        <w:footnoteReference w:id="2182"/>
      </w:r>
      <w:r>
        <w:rPr>
          <w:rFonts w:ascii="Amiri" w:hAnsi="Amiri" w:eastAsia="Amiri" w:cs="Amiri"/>
          <w:color w:val="111111"/>
          <w:sz w:val="28"/>
          <w:sz w:val="28"/>
          <w:szCs w:val="28"/>
          <w:rtl w:val="true"/>
          <w:lang w:bidi="ar-SA"/>
        </w:rPr>
        <w:t>واجبة في نفسها أو بالنذر أو استيجار لم يجب تعيين الخصوصيّة بعد تعيينه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دار الصوم الّذي في ذمّته بين كونه قضاء أو منذورا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احتمل اشتغال ذمته بالواجب مع اشتغالها بذلك الفعل ندبا أيضا فنوى بالصوم الواجب فنوى ما في ذمّته فيها بين الواجب والمندوب صحّ ، لعدم الابهام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اشتملت النيّة على الترديد ظاهر كما إذا احتمل اشتغال ذمته بالصوم الواجب فنوى ما في ذمّته مرتّبا بين الأمرين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 جماعة من الأصحاب في الصلاة إلى اعتبار تعيين نفس الفعل كالظّهر والعصر مثلا وصفاته من الوجوب والندب والأداء والقضاء ، وقضيّة كلامهم اعتبار المعرفة بنوع الفعل وتعيين صفاته المميّزة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يوجّه ذلك بعدم تمييز الفعل من دون تعيين نوعه وكذا صفاته إذا وقع ذلك الفعل على وجوه متعددة كصلاة الظهر مثلا ؛ لجواز وقوعه أداء وقضاء واجبة ومندوبة ، فإنّما يتميّز بالقصد ، وليست العلّة في اختلاف الأوامر إيقاع المكلّف لها على ذلك الوجه ، بل المقصود بيان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وردت الأوامر على سبيل التنويع تارة بالتهديد والوعيد ، وأخرى بالترغيب وجواز الترك ، وتارة دلّت على الوجوب وأخرى على السنّة والتطوّع ، وما ذاك إلّا ليعلم المكلّف إذا أوقع بذلك التكاليف كيف يوقعها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الواجب إيقاع الفعل على وجهه أي وجهه المأمور به شرعا وإيقاع الفعل كيف ما اتفق ولم يكلّف به ، وقضية التعليلات المذكورة اعتبار ذكر الصفات مع وقوعه على الجهات المختلفة ، وبدونه فلا وجه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ويضعّفها بأنّ المفروض تعيين الفعل واقعا بما عيّنه وهو كاف في تميز الفعل ، وإن لم يتعيّن هذا العامل ؛ إذ لا دليل على اعتبار التعيين ، وليست العلّة في اختلاف الأوامر إيقاع المكلّف لهما على ذلك الوجه بل المقصود بيان الحكم ،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الواجب إيقاع الفعل على وجهه أوّل الكلام إن أريد به الجهات المذكورة وإلّا فلا ربط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يتوهّم من أنّه مع </w:t>
      </w:r>
      <w:r>
        <w:rPr>
          <w:rStyle w:val="FootnoteAnchor"/>
          <w:rtl w:val="true"/>
        </w:rPr>
        <w:footnoteReference w:id="2183"/>
      </w:r>
      <w:r>
        <w:rPr>
          <w:rFonts w:ascii="Amiri" w:hAnsi="Amiri" w:eastAsia="Amiri" w:cs="Amiri"/>
          <w:color w:val="111111"/>
          <w:sz w:val="28"/>
          <w:sz w:val="28"/>
          <w:szCs w:val="28"/>
          <w:rtl w:val="true"/>
          <w:lang w:bidi="ar-SA"/>
        </w:rPr>
        <w:t xml:space="preserve">عدم تعيين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قاصدا لامتثال الأمر المتعلّق به ، فلا يعدّ ممتثلا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الجهات الّتي يختلف الفعل </w:t>
      </w:r>
      <w:r>
        <w:rPr>
          <w:rFonts w:eastAsia="Amiri" w:cs="Amiri" w:ascii="Amiri" w:hAnsi="Amiri"/>
          <w:color w:val="111111"/>
          <w:sz w:val="28"/>
          <w:szCs w:val="28"/>
          <w:rtl w:val="true"/>
          <w:lang w:bidi="ar-SA"/>
        </w:rPr>
        <w:t xml:space="preserve">) </w:t>
      </w:r>
      <w:r>
        <w:rPr>
          <w:rStyle w:val="FootnoteAnchor"/>
          <w:rtl w:val="true"/>
        </w:rPr>
        <w:footnoteReference w:id="2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أنّه لو أتى بالواجب على وجه المندوب </w:t>
      </w:r>
      <w:r>
        <w:rPr>
          <w:rStyle w:val="FootnoteAnchor"/>
          <w:rtl w:val="true"/>
        </w:rPr>
        <w:footnoteReference w:id="2185"/>
      </w:r>
      <w:r>
        <w:rPr>
          <w:rFonts w:ascii="Amiri" w:hAnsi="Amiri" w:eastAsia="Amiri" w:cs="Amiri"/>
          <w:color w:val="111111"/>
          <w:sz w:val="28"/>
          <w:sz w:val="28"/>
          <w:szCs w:val="28"/>
          <w:rtl w:val="true"/>
          <w:lang w:bidi="ar-SA"/>
        </w:rPr>
        <w:t xml:space="preserve">أو بالعكس لم يعد ممتثلا بل كان مشرّعا مدفوع بأنّ مجرّد قصد الاشتغال </w:t>
      </w:r>
      <w:r>
        <w:rPr>
          <w:rStyle w:val="FootnoteAnchor"/>
          <w:rtl w:val="true"/>
        </w:rPr>
        <w:footnoteReference w:id="2186"/>
      </w:r>
    </w:p>
    <w:p>
      <w:pPr>
        <w:pStyle w:val="BookText"/>
        <w:rPr/>
      </w:pPr>
      <w:r>
        <w:rPr>
          <w:rFonts w:ascii="Amiri" w:hAnsi="Amiri" w:eastAsia="Amiri" w:cs="Amiri"/>
          <w:color w:val="111111"/>
          <w:sz w:val="28"/>
          <w:sz w:val="28"/>
          <w:szCs w:val="28"/>
          <w:rtl w:val="true"/>
          <w:lang w:bidi="ar-SA"/>
        </w:rPr>
        <w:t xml:space="preserve">بالفعل كاف في حصول الامتثال عرفا </w:t>
      </w:r>
      <w:r>
        <w:rPr>
          <w:rStyle w:val="FootnoteAnchor"/>
          <w:rtl w:val="true"/>
        </w:rPr>
        <w:footnoteReference w:id="2187"/>
      </w:r>
      <w:r>
        <w:rPr>
          <w:rFonts w:ascii="Amiri" w:hAnsi="Amiri" w:eastAsia="Amiri" w:cs="Amiri"/>
          <w:color w:val="111111"/>
          <w:sz w:val="28"/>
          <w:sz w:val="28"/>
          <w:szCs w:val="28"/>
          <w:rtl w:val="true"/>
          <w:lang w:bidi="ar-SA"/>
        </w:rPr>
        <w:t>إن لم يتعيّن خصوص الفعل الممتثل به عنده ، وأنّه فرق بين قصد خلاف الجهة المعتبرة وعدم قصد شي‌ء من الجهات وعدم قصد الجهة المعيّنة على نحو الاجمال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عدم حصول الامتثال فإنّما يسلّم في الأول دون الأخرى ، سيّما الأخير بل الحكم لعدم حصول الامتثال في صورة مخالفة الجهة مع عدم </w:t>
      </w:r>
      <w:r>
        <w:rPr>
          <w:rStyle w:val="FootnoteAnchor"/>
          <w:rtl w:val="true"/>
        </w:rPr>
        <w:footnoteReference w:id="2188"/>
      </w:r>
      <w:r>
        <w:rPr>
          <w:rFonts w:ascii="Amiri" w:hAnsi="Amiri" w:eastAsia="Amiri" w:cs="Amiri"/>
          <w:color w:val="111111"/>
          <w:sz w:val="28"/>
          <w:sz w:val="28"/>
          <w:szCs w:val="28"/>
          <w:rtl w:val="true"/>
          <w:lang w:bidi="ar-SA"/>
        </w:rPr>
        <w:t>كونها بنوعه محلّ إشكال كما إذا نوى الندب في صلاة الظهر أو الصبح ، فإنّ احتمال الصحة فيه قوي ، فيكون القصد المذكور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يفرّق بين </w:t>
      </w:r>
      <w:r>
        <w:rPr>
          <w:rStyle w:val="FootnoteAnchor"/>
          <w:rtl w:val="true"/>
        </w:rPr>
        <w:footnoteReference w:id="2189"/>
      </w:r>
      <w:r>
        <w:rPr>
          <w:rFonts w:ascii="Amiri" w:hAnsi="Amiri" w:eastAsia="Amiri" w:cs="Amiri"/>
          <w:color w:val="111111"/>
          <w:sz w:val="28"/>
          <w:sz w:val="28"/>
          <w:szCs w:val="28"/>
          <w:rtl w:val="true"/>
          <w:lang w:bidi="ar-SA"/>
        </w:rPr>
        <w:t xml:space="preserve">صورة التوصيف المحض وما اذا نوى وقوع الفعل على الجهة المخالفة فانّ ما نوى ايقاعه غير ممكن الوقوع وما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غير المنويّ ولو كانت الجهة منوعة تعيّن بتعيين الجهة ، فلا ينصرف إلى الآخر ولو لم يصح </w:t>
      </w:r>
      <w:r>
        <w:rPr>
          <w:rFonts w:eastAsia="Amiri" w:cs="Amiri" w:ascii="Amiri" w:hAnsi="Amiri"/>
          <w:color w:val="111111"/>
          <w:sz w:val="28"/>
          <w:szCs w:val="28"/>
          <w:rtl w:val="true"/>
          <w:lang w:bidi="ar-SA"/>
        </w:rPr>
        <w:t xml:space="preserve">) </w:t>
      </w:r>
      <w:r>
        <w:rPr>
          <w:rStyle w:val="FootnoteAnchor"/>
          <w:rtl w:val="true"/>
        </w:rPr>
        <w:footnoteReference w:id="2190"/>
      </w:r>
      <w:r>
        <w:rPr>
          <w:rFonts w:ascii="Amiri" w:hAnsi="Amiri" w:eastAsia="Amiri" w:cs="Amiri"/>
          <w:color w:val="111111"/>
          <w:sz w:val="28"/>
          <w:sz w:val="28"/>
          <w:szCs w:val="28"/>
          <w:rtl w:val="true"/>
          <w:lang w:bidi="ar-SA"/>
        </w:rPr>
        <w:t>وقوعه على الجهة المنويّة كما نوى صوم المنذور في شهر رمضان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والاجتزاء بصوم يوم الشكّ بنيّة شعبان إذا تبيّن أنّه من شهر رمضان خارج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القول بأنّ المطلوب هناك وقوع الصوم في شهر رمضان ، فلو صامه وقع من شهر رمضان ، ولو نوى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أنّه يكفي في نيّة الفعل مجرّد المعرفة به إجمالا وتعيينه ببعض خواصّه بحيث يتميّز من بين سائر الأفعال ، ولا يلزمه المعرفة بكنهه وتفاصيل أجزائه وشرائطه ؛ إذ ذاك ممّا لا دليل عليه ، وتعيّن الفعل وقصده ممّا </w:t>
      </w:r>
      <w:r>
        <w:rPr>
          <w:rStyle w:val="FootnoteAnchor"/>
          <w:rtl w:val="true"/>
        </w:rPr>
        <w:footnoteReference w:id="2191"/>
      </w:r>
      <w:r>
        <w:rPr>
          <w:rFonts w:ascii="Amiri" w:hAnsi="Amiri" w:eastAsia="Amiri" w:cs="Amiri"/>
          <w:color w:val="111111"/>
          <w:sz w:val="28"/>
          <w:sz w:val="28"/>
          <w:szCs w:val="28"/>
          <w:rtl w:val="true"/>
          <w:lang w:bidi="ar-SA"/>
        </w:rPr>
        <w:t xml:space="preserve">يتوقف عليه وكذا العلم بالبراءة ؛ لجواز الاتيان بجميع ما شكّ </w:t>
      </w:r>
      <w:r>
        <w:rPr>
          <w:rStyle w:val="FootnoteAnchor"/>
          <w:rtl w:val="true"/>
        </w:rPr>
        <w:footnoteReference w:id="2192"/>
      </w:r>
      <w:r>
        <w:rPr>
          <w:rFonts w:ascii="Amiri" w:hAnsi="Amiri" w:eastAsia="Amiri" w:cs="Amiri"/>
          <w:color w:val="111111"/>
          <w:sz w:val="28"/>
          <w:sz w:val="28"/>
          <w:szCs w:val="28"/>
          <w:rtl w:val="true"/>
          <w:lang w:bidi="ar-SA"/>
        </w:rPr>
        <w:t>اعتباره في الصحّة من الأجزاء والشرائط المحتملة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لم يحتمل المانعيّة في شي‌ء منها ، وإلّا لم يحصل البراءة إلّا بعد المعرفة بالحال ، ولا يجب حينئذ أيضا المعرفة بالتفاصيل قبل الشروع في الفعل ، بل لو كان هناك معلّم يعلّمه حال الفعل جاز الاقتصار عليه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دلّ على توقّف العمل على العلم لا ينافي ما ذكرناه ؛ إذ المفروض العلم بحصول الواجب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دار الواجب بين الفعلين وجب العلم بالتعيين ؛ لعدم إمكان قصد القربة بكلتيهما </w:t>
      </w:r>
      <w:r>
        <w:rPr>
          <w:rStyle w:val="FootnoteAnchor"/>
          <w:rtl w:val="true"/>
        </w:rPr>
        <w:footnoteReference w:id="2193"/>
      </w:r>
      <w:r>
        <w:rPr>
          <w:rFonts w:ascii="Amiri" w:hAnsi="Amiri" w:eastAsia="Amiri" w:cs="Amiri"/>
          <w:color w:val="111111"/>
          <w:sz w:val="28"/>
          <w:sz w:val="28"/>
          <w:szCs w:val="28"/>
          <w:rtl w:val="true"/>
          <w:lang w:bidi="ar-SA"/>
        </w:rPr>
        <w:t>لاحتمال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يمكن العلم ارتفعت البدعة لأجل تحصيل اليقين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بجواز الاكتفاء به في رفعها مع إمكان الاستعلام لم يعلم عليه شاهد قويّ ، مع معارضته بما دلّ على وجوب استعلام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الترديد في أجزاء الفعل لم يجب الاستعلام مع الإتيان بالجميع ، والفرق عدم وجوب نيّة الأجزاء بخصوصها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كان الترديد في أوّل أجزاء الفعل جرى فيه الكلام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فيه أيضا لزوم الاستعلام</w:t>
      </w:r>
      <w:r>
        <w:rPr>
          <w:rFonts w:eastAsia="Amiri" w:cs="Amiri" w:ascii="Amiri" w:hAnsi="Amiri"/>
          <w:color w:val="111111"/>
          <w:sz w:val="28"/>
          <w:szCs w:val="28"/>
          <w:rtl w:val="true"/>
          <w:lang w:bidi="ar-SA"/>
        </w:rPr>
        <w:t xml:space="preserve">. </w:t>
      </w:r>
      <w:bookmarkStart w:id="349" w:name="pg15827_173992"/>
    </w:p>
    <w:p>
      <w:pPr>
        <w:pStyle w:val="Heading4"/>
        <w:numPr>
          <w:ilvl w:val="3"/>
          <w:numId w:val="1"/>
        </w:numPr>
        <w:rPr/>
      </w:pPr>
      <w:bookmarkStart w:id="350" w:name="__RefHeading___Toc14099835_2142443653"/>
      <w:bookmarkStart w:id="351" w:name="_Toc124"/>
      <w:bookmarkEnd w:id="349"/>
      <w:bookmarkEnd w:id="350"/>
      <w:r>
        <w:rPr>
          <w:rtl w:val="true"/>
        </w:rPr>
        <w:t>تبصرة</w:t>
      </w:r>
      <w:r>
        <w:rPr>
          <w:rtl w:val="true"/>
        </w:rPr>
        <w:t xml:space="preserve">: [ </w:t>
      </w:r>
      <w:r>
        <w:rPr>
          <w:rtl w:val="true"/>
        </w:rPr>
        <w:t xml:space="preserve">في داعي النية </w:t>
      </w:r>
      <w:r>
        <w:rPr>
          <w:rtl w:val="true"/>
        </w:rPr>
        <w:t>]</w:t>
      </w:r>
      <w:bookmarkEnd w:id="351"/>
    </w:p>
    <w:p>
      <w:pPr>
        <w:pStyle w:val="Heading5"/>
        <w:numPr>
          <w:ilvl w:val="4"/>
          <w:numId w:val="1"/>
        </w:numPr>
        <w:rPr/>
      </w:pPr>
      <w:bookmarkStart w:id="352" w:name="__RefHeading___Toc14099837_2142443653"/>
      <w:bookmarkStart w:id="353" w:name="_Toc125"/>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يعتبر في المقام الثاني كون الداعي إلى الفعل هو امتثال أمره تعالى لا غيره من مراءات </w:t>
      </w:r>
      <w:r>
        <w:rPr>
          <w:rStyle w:val="FootnoteAnchor"/>
          <w:rtl w:val="true"/>
        </w:rPr>
        <w:footnoteReference w:id="2194"/>
      </w:r>
      <w:r>
        <w:rPr>
          <w:rFonts w:ascii="Amiri" w:hAnsi="Amiri" w:eastAsia="Amiri" w:cs="Amiri"/>
          <w:color w:val="111111"/>
          <w:sz w:val="28"/>
          <w:sz w:val="28"/>
          <w:szCs w:val="28"/>
          <w:rtl w:val="true"/>
          <w:lang w:bidi="ar-SA"/>
        </w:rPr>
        <w:t>الناس ؛ لدفع ذمّهم أو جلب نفعهم أو غير ذلك من الأمور المطلوبة منهم أو من سائر الغايات المترتّبة على الفعل وإن خلا عن الرياء كقصد البرد في الغسل والوضوء أو قصد تحصيل المال في الجهاد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الكلام في المقام أنّ كلّا من الداعي الإلهي والريائي وغيرهما من الغايات المطلوبة من الفعل إمّا أن يكون مفردا أو لا ، وعلى الثاني فإمّا أن يكون كلّ منهما مستقلا </w:t>
      </w:r>
      <w:r>
        <w:rPr>
          <w:rStyle w:val="FootnoteAnchor"/>
          <w:rtl w:val="true"/>
        </w:rPr>
        <w:footnoteReference w:id="2195"/>
      </w:r>
      <w:r>
        <w:rPr>
          <w:rFonts w:ascii="Amiri" w:hAnsi="Amiri" w:eastAsia="Amiri" w:cs="Amiri"/>
          <w:color w:val="111111"/>
          <w:sz w:val="28"/>
          <w:sz w:val="28"/>
          <w:szCs w:val="28"/>
          <w:rtl w:val="true"/>
          <w:lang w:bidi="ar-SA"/>
        </w:rPr>
        <w:t>في البعث على الفعل لو لو حظ منفردا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إن يكون أحدهما مستقلا والآخر ضميمة بحيث لو خلا عنه لكفى الأوّل في البعث أو أنّهما معا بعثا على الفعل ، فلو انتفى أحدهما لم يستقل الآخر</w:t>
      </w:r>
      <w:r>
        <w:rPr>
          <w:rFonts w:eastAsia="Amiri" w:cs="Amiri" w:ascii="Amiri" w:hAnsi="Amiri"/>
          <w:color w:val="111111"/>
          <w:sz w:val="28"/>
          <w:szCs w:val="28"/>
          <w:rtl w:val="true"/>
          <w:lang w:bidi="ar-SA"/>
        </w:rPr>
        <w:t>.</w:t>
      </w:r>
    </w:p>
    <w:p>
      <w:pPr>
        <w:pStyle w:val="Heading5"/>
        <w:numPr>
          <w:ilvl w:val="4"/>
          <w:numId w:val="1"/>
        </w:numPr>
        <w:rPr/>
      </w:pPr>
      <w:bookmarkStart w:id="354" w:name="__RefHeading___Toc14099839_2142443653"/>
      <w:bookmarkStart w:id="355" w:name="_Toc126"/>
      <w:bookmarkEnd w:id="354"/>
      <w:r>
        <w:rPr>
          <w:rtl w:val="true"/>
        </w:rPr>
        <w:t xml:space="preserve">[ </w:t>
      </w:r>
      <w:r>
        <w:rPr>
          <w:rtl w:val="true"/>
        </w:rPr>
        <w:t xml:space="preserve">مسائل </w:t>
      </w:r>
      <w:r>
        <w:rPr>
          <w:rtl w:val="true"/>
        </w:rPr>
        <w:t>]:</w:t>
      </w:r>
      <w:bookmarkEnd w:id="355"/>
    </w:p>
    <w:p>
      <w:pPr>
        <w:pStyle w:val="BookText"/>
        <w:rPr/>
      </w:pPr>
      <w:r>
        <w:rPr>
          <w:rFonts w:ascii="IRNazanin" w:hAnsi="IRNazanin" w:eastAsia="IRNazanin"/>
          <w:color w:val="111111"/>
          <w:sz w:val="28"/>
          <w:sz w:val="28"/>
          <w:szCs w:val="28"/>
          <w:rtl w:val="true"/>
          <w:lang w:bidi="fa-IR"/>
        </w:rPr>
        <w:t xml:space="preserve">فهاهنا مسائل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الداعي الإلهيّ </w:t>
      </w:r>
      <w:r>
        <w:rPr>
          <w:rStyle w:val="FootnoteAnchor"/>
          <w:rtl w:val="true"/>
        </w:rPr>
        <w:footnoteReference w:id="2196"/>
      </w:r>
      <w:r>
        <w:rPr>
          <w:rFonts w:ascii="Amiri" w:hAnsi="Amiri" w:eastAsia="Amiri" w:cs="Amiri"/>
          <w:color w:val="111111"/>
          <w:sz w:val="28"/>
          <w:sz w:val="28"/>
          <w:szCs w:val="28"/>
          <w:rtl w:val="true"/>
          <w:lang w:bidi="ar-SA"/>
        </w:rPr>
        <w:t xml:space="preserve">منفردا ، ولا إشكال في صحّة الفعل حينئذ كما أنّه لا إشكال في فساده مع انفراد الرياء أو غيره من الأغراض إلّا أنّه عزي إلى السيد عدم وجوب الصلاة الواقعة على جهة الرياء وإن لم يستحقّ بها الأجر ، فيكون مجزية مسقطة للواجب عن </w:t>
      </w:r>
    </w:p>
    <w:p>
      <w:pPr>
        <w:pStyle w:val="BookText"/>
        <w:rPr/>
      </w:pPr>
      <w:r>
        <w:rPr>
          <w:rFonts w:ascii="Amiri" w:hAnsi="Amiri" w:eastAsia="Amiri" w:cs="Amiri"/>
          <w:color w:val="111111"/>
          <w:sz w:val="28"/>
          <w:sz w:val="28"/>
          <w:szCs w:val="28"/>
          <w:rtl w:val="true"/>
          <w:lang w:bidi="ar-SA"/>
        </w:rPr>
        <w:t>الذمّة ، وإن لم يكن مقبولة موجبة لاستحقاق الأجر والثواب ، فلا ملازمة عنده بين الإجزاء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الوجه فيما ذكره حصول الإتيان بالمأمور به مع عدم رجوع دليل على الفساد ؛ إذ غاية ما تقتضيه الأدلّة حرمة الاشتراك في العبادة وعدم ترتّب ثواب على العبادة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يقتضي شي‌ء منهما فساد العمل ؛ لتعلّق الحرمة بأمر خارج وإن ترتّب الثّواب ليس من مقوّمات العبادة ، ويكفي في رجحانها المعتبر فيها إسقاطها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وقد دلّ الآثار الصحيحة على عدم قبول صلاة شارب الخمر إذا أسكر أربعين يوما ، وفيها ما يدلّ على عدم قبول سائر الأعمال إذا لم تقبل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تأمّل لأحد في صحة العبادة مع ذلك ، فظهر بذلك الفرق بين الأجزاء الموجب لسقوط التكليف والقبول الباعث على استحقاق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ظاهر الأخبار الدالّة على عدم ترتّب الأجر عدم ترتّب العقاب المعدّ لتارك ذلك الواجب ، وإلّا لاقتضى المقام ذكره ، فالمستفاد منها أنّ أقصى ما يلزم المرائي في فعله حرمانه من الثواب المعدّ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يصدق الامتثال إذا أتى بالفعل من جهة أمر الآمر كما يدلّ عليه العرف ، فلو كان الحامل له على الفعل مجرّد الرياء لم يكن ممتثلا لأمره تعالى ولا مطيعا له ، فكيف يكون مجزية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يجرى فيما إذا جعل الرّياء ضميمة للقربة مع استقلالها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النواهي حرمة العمل الواقع على جهة الرياء ، بل الظاهر أنّه من الأمور الواضحة الّتي لا يختلف فيها أحد من الأمّة ، وذلك قاض بالفساد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الأدلّة ما هو دالّ على كون المطلوب هو خصوص الواقع على جهة الاخلاص كالآية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النهج عن أمير المؤمنين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في غير رياء ولا سمعة </w:t>
      </w:r>
      <w:r>
        <w:rPr>
          <w:rFonts w:eastAsia="Amiri" w:cs="Amiri" w:ascii="Amiri" w:hAnsi="Amiri"/>
          <w:color w:val="111111"/>
          <w:sz w:val="28"/>
          <w:szCs w:val="28"/>
          <w:rtl w:val="true"/>
          <w:lang w:bidi="ar-SA"/>
        </w:rPr>
        <w:t xml:space="preserve">» </w:t>
      </w:r>
      <w:r>
        <w:rPr>
          <w:rStyle w:val="FootnoteAnchor"/>
          <w:rtl w:val="true"/>
        </w:rPr>
        <w:footnoteReference w:id="2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فلا وجه للقول بإتيانه بالمأمور به الموجب لحصول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إشعار في الأخبار الدالّة على عدم ترتّب الأجر على فعل الرياء بصحّة الفعل وعدم ترتّب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 ولو أفاد ذلك لدلّ على عدم حرمة الرياء ، مع أنّ تحريمه من ضروريّات العقل والدين ، فالظاهر أنّ ذلك لمّا كان من المفاسد الشنيعة المترتبة عليه ورد بيانه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اشتملت عليه من القريب إلى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عدم ترتّب الأجر عليه من أدلّة فساده ؛ إذ لو صحّ وحصل به امتثال الأمر لزمه ترتّب الأجر ؛ إذ الظاهر عدم الفرق بين الإجزاء والقبول في العبادات الصرفة ، وما يوهم بظاهره الفرق محمول على إرادة القبول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ما ورد من توقّف القبول على بعض المستحبّات كالإقبال في الصلاة ، مع أنّه لا خلاف في قبولها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يتمّ الفرق المذكور في غير العبادات كإنقاذ الغريق وتكفين الأموات ودفنهم ، فإنّ ذلك لو فعل على قصد الرياء أو غيره من الوجوه المحرّمة أجزأ لكن لا يترتّب عليه الثواب لانتفاء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جهة الرياء أو غيره مستقلا ، وينضم إليها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كسابقه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جهة الامتثال منضما إلى جهة الرياء بحيث يكون الفعل ناشئا منهما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تأمّل أيضا في الفساد ، وكثير من الأخبار الواردة في الرياء ظاهر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إلّا أنّ المفروض فيها أن تكون الضميمة غير الرياء من المقاصد الأخر ، ولا تأمّل أيضا في فساد العبادة ؛ لمنافاته للإخلاص المطلوب في العمل ، ولعدم إسناد </w:t>
      </w:r>
    </w:p>
    <w:p>
      <w:pPr>
        <w:pStyle w:val="BookText"/>
        <w:rPr/>
      </w:pPr>
      <w:r>
        <w:rPr>
          <w:rFonts w:ascii="Amiri" w:hAnsi="Amiri" w:eastAsia="Amiri" w:cs="Amiri"/>
          <w:color w:val="111111"/>
          <w:sz w:val="28"/>
          <w:sz w:val="28"/>
          <w:szCs w:val="28"/>
          <w:rtl w:val="true"/>
          <w:lang w:bidi="ar-SA"/>
        </w:rPr>
        <w:t>الفعل إلى أمر الآمر المعتبر في صدق الامتثال إليه</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كلّ من قصد القربة والرياء مستقلّاً بمعنى أنّه لو انفرد كلّ منهما كفى في البعث على الفعل ولا تأمّل أيضا ؛ إذ هو أيضا من الإشراك في العبارة ، وربّما نفصّل فيه بما يأتي الإشارة إليه </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إلّا أنّ الباعث إلى صرفها غير الرياء من سائر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صحّة العمل حينئذ وجهان ؛ من استقلال القربة وعدم حصول الاشراك المنهيّ عنه في العبادة ، ومن منافاته للإخلاص المعتبر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الأظهر ؛ نظرا إلى أنّ الظاهر استناد الفعل إلى الجهتين ، فاستقلال القربة إنّما هو بالفرض ، وإلّا لزم توارد العلّتين على معلول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كانت القربة سببا مستقلا بالفعل على البعث وكانت سببيّة الآخر فرضا محضا بمعنى أنّه لو خلا القصد عن الأوّل لأثر الآخر قوي الصحة ؛ لكونه إذن من المقارنات الصرفة ؛ إذ المفروض عدم استناد ذلك الفعل إليه بوجه ، فلا منافاة فيه للفرض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ويجرى الوجه المذكور في الصورة السابقة أيضا ، وفيها أيضا يتقوّى البناء على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Style w:val="FootnoteAnchor"/>
          <w:rtl w:val="true"/>
        </w:rPr>
        <w:footnoteReference w:id="2199"/>
      </w:r>
      <w:r>
        <w:rPr>
          <w:rFonts w:ascii="Amiri" w:hAnsi="Amiri" w:eastAsia="Amiri" w:cs="Amiri"/>
          <w:color w:val="111111"/>
          <w:sz w:val="28"/>
          <w:sz w:val="28"/>
          <w:szCs w:val="28"/>
          <w:rtl w:val="true"/>
          <w:lang w:bidi="ar-SA"/>
        </w:rPr>
        <w:t>أن يكون قصد الامتثال مستقلّا ويضمّ إليه قصد الرّياء من غير استقلاله في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العلّامة الحلي فيه صحّة العمل ، وحكى القول به عن بعض المحقّقين ؛ حملا لما دلّ على حرمة الترك في العبادة وأنّه تعالى خير شريك يدع كلّ العمل لشريكه على غير هذه الصورة ممّا لا يستقلّ فيه القربة إنّما هو على فرض خلوّ القصد عن الأخير</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استند الفعل إلى محض القربة وكان الآخر مجرّد خطور بالبال عن غير تعيينه منه على الفعل فعلا قوي فيه الصحّة كما قدّمنا ؛ لحصول الخلوص معه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ثامنها </w:t>
      </w:r>
      <w:r>
        <w:rPr>
          <w:rFonts w:eastAsia="IRNazanin" w:cs="IRNazanin"/>
          <w:color w:val="111111"/>
          <w:sz w:val="28"/>
          <w:szCs w:val="28"/>
          <w:rtl w:val="true"/>
          <w:lang w:bidi="fa-IR"/>
        </w:rPr>
        <w:t xml:space="preserve">: </w:t>
      </w:r>
      <w:r>
        <w:rPr>
          <w:rStyle w:val="FootnoteAnchor"/>
          <w:rtl w:val="true"/>
        </w:rPr>
        <w:footnoteReference w:id="2200"/>
      </w:r>
      <w:r>
        <w:rPr>
          <w:rFonts w:ascii="Amiri" w:hAnsi="Amiri" w:eastAsia="Amiri" w:cs="Amiri"/>
          <w:color w:val="111111"/>
          <w:sz w:val="28"/>
          <w:sz w:val="28"/>
          <w:szCs w:val="28"/>
          <w:rtl w:val="true"/>
          <w:lang w:bidi="ar-SA"/>
        </w:rPr>
        <w:t>الصورة بحالها مع تبديل قصد الرياء بسائر القصود ممّا عدا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الصحّة هنا أقوى من السابق ؛ لعدم اندراجه فيما دلّ على حرمة الرّياء ، وكذا ما دلّ على المنع من الاشتراك في العمل ؛ إذ الظاهر منه ارادة خصوص الرياء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فيه الفساد أيضا ؛ لعدم الخلوص معه إلّا مع عدم كونه دخيلا في البحث على الفعل بوجه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عدم البأس بالضميمة في الصور المذكورة مع خلوّها عن تأثير في البعث سواء كانت ريائيّة أو غيرها ومنعها عن الصحة معه من غير فرق بينهما أيضا ، فلا يمنع صحة العمل صيرورة على اطلاع الغير على عمله حال الفعل ولا بعده ، وكذا مجرد حبّه لاختيار الناس به إلّا أنّ ذلك قلّما يخلو من داعية الرياء ومداخل الشيطان فيه في غاية الخفاء ، وقد جعل الرياء في العمل أخفى من دبيب النمل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عدّ ذلك من علامات المرائين وليس الاتّصاف به من صفات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ولو كانت الضميمة راجحة في الشرع وكان الباعث على ملاحظتها رجحانها لم يمنع من الصحة ، بل كانت مؤكدة للقربة لحصول الامتثال إذن من وجهين كما لو تجاهر بالعبادة لرغبة الناس في العمل واقتدائهم به في ذلك أو كانت الضميمة إجابة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لاحظ في اجتهاده في العبادة تعظيمه في قلوب المكلّفين يستعين </w:t>
      </w:r>
      <w:r>
        <w:rPr>
          <w:rStyle w:val="FootnoteAnchor"/>
          <w:rtl w:val="true"/>
        </w:rPr>
        <w:footnoteReference w:id="2201"/>
      </w:r>
      <w:r>
        <w:rPr>
          <w:rFonts w:ascii="Amiri" w:hAnsi="Amiri" w:eastAsia="Amiri" w:cs="Amiri"/>
          <w:color w:val="111111"/>
          <w:sz w:val="28"/>
          <w:sz w:val="28"/>
          <w:szCs w:val="28"/>
          <w:rtl w:val="true"/>
          <w:lang w:bidi="ar-SA"/>
        </w:rPr>
        <w:t>بهم على قضاء حوائج المؤمنين على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التقيّة ، فإن كان الداعي عليه إلى فعلها مجرّد القربة حيث إن مطلوب الشرع هو إيقاع الفعل على ذلك الوجه ، فالأمر واضح وإن دعاه إلى الفعل مجرّد الخوف بحيث لو لا خوفه لم يتلبس بالفعل مطلقا ، فالظاهر فساد العمل لانتفاء القربة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الخوف ضميمة مع استقلال القربة سواء كان مستقلا أيضا أو </w:t>
      </w:r>
      <w:r>
        <w:rPr>
          <w:rStyle w:val="FootnoteAnchor"/>
          <w:rtl w:val="true"/>
        </w:rPr>
        <w:footnoteReference w:id="2202"/>
      </w:r>
      <w:r>
        <w:rPr>
          <w:rFonts w:ascii="IRNazanin" w:hAnsi="IRNazanin" w:eastAsia="IRNazanin"/>
          <w:color w:val="111111"/>
          <w:sz w:val="28"/>
          <w:sz w:val="28"/>
          <w:szCs w:val="28"/>
          <w:rtl w:val="true"/>
          <w:lang w:bidi="fa-IR"/>
        </w:rPr>
        <w:t xml:space="preserve">لا احتمل </w:t>
      </w:r>
      <w:r>
        <w:rPr>
          <w:rStyle w:val="FootnoteAnchor"/>
          <w:rtl w:val="true"/>
        </w:rPr>
        <w:footnoteReference w:id="2203"/>
      </w:r>
      <w:r>
        <w:rPr>
          <w:rFonts w:ascii="Amiri" w:hAnsi="Amiri" w:eastAsia="Amiri" w:cs="Amiri"/>
          <w:color w:val="111111"/>
          <w:sz w:val="28"/>
          <w:sz w:val="28"/>
          <w:szCs w:val="28"/>
          <w:rtl w:val="true"/>
          <w:lang w:bidi="ar-SA"/>
        </w:rPr>
        <w:t xml:space="preserve">قويّا </w:t>
      </w:r>
    </w:p>
    <w:p>
      <w:pPr>
        <w:pStyle w:val="BookText"/>
        <w:rPr/>
      </w:pPr>
      <w:r>
        <w:rPr>
          <w:rFonts w:ascii="Amiri" w:hAnsi="Amiri" w:eastAsia="Amiri" w:cs="Amiri"/>
          <w:color w:val="111111"/>
          <w:sz w:val="28"/>
          <w:sz w:val="28"/>
          <w:szCs w:val="28"/>
          <w:rtl w:val="true"/>
          <w:lang w:bidi="ar-SA"/>
        </w:rPr>
        <w:t>البناء على الصحة ، وإن قلنا بالتعيين بالنسبة إلى سائر الضمائم ؛ لإطلاق ما دلّ على صحة العمل مع التقيّة ، وعدم انفكاكها في كثير من الأحوال بالنسبة إلى كثير من الناس عن ذلك ، فلو كان العمل فاسدا معها لأشير إليه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الداعي إلى نفس الفعل مجرّد القربة وإلى أدائه من غير ملاحظة القربة فيه بطريق التقيّة مجرّد الخوف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ذكرناه من الإطلاق البناء على الصحّة أيضا إلّا أنّه لا يخلو عن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الحكم بين تعلّق الرّياء بالواجب أو الندب أو </w:t>
      </w:r>
      <w:r>
        <w:rPr>
          <w:rStyle w:val="FootnoteAnchor"/>
          <w:rtl w:val="true"/>
        </w:rPr>
        <w:footnoteReference w:id="2204"/>
      </w:r>
      <w:r>
        <w:rPr>
          <w:rFonts w:ascii="Amiri" w:hAnsi="Amiri" w:eastAsia="Amiri" w:cs="Amiri"/>
          <w:color w:val="111111"/>
          <w:sz w:val="28"/>
          <w:sz w:val="28"/>
          <w:szCs w:val="28"/>
          <w:rtl w:val="true"/>
          <w:lang w:bidi="ar-SA"/>
        </w:rPr>
        <w:t>الجزء الواجب بين الواجب أو الندب أو الكيفيّة الواجبة أو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بالرياء في الجزء أنّما يقضي بفساده خاصّة ، فلا وجه للقول بتسرية الفساد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 تعلّق الرياء بالكلّ بواسطة ذلك أو كان من الأذكار الموجبة حرمتها لإلحاقها بالكلام المفسد للصلاة أو اقتصر على ذلك الجزء مع وجوبه قضي بالفساد من تلك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تسرية الرياء غالبا إلى أصل الفعل في كلّ موضع يكون الأجزاء منه مرتبطا بعضها بالبعض نظرا إلى وحدة الفعل إذن في العرف</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لو فرض عدم تسرية الرياء منه إلى أصل الفعل كما إذا قصد الرياء لجزء من دون ملاحظة ذلك في خصوص ما أتاه من الكلّ قوي الصحّة مع إعادة الجزء إذا كان واجبا ولو تعلّق الرياء ببعض الأمور المكمّلة للفعل كما ترك بعض الأمور</w:t>
      </w:r>
      <w:r>
        <w:rPr>
          <w:rFonts w:eastAsia="Amiri" w:cs="Amiri" w:ascii="Amiri" w:hAnsi="Amiri"/>
          <w:color w:val="111111"/>
          <w:sz w:val="28"/>
          <w:szCs w:val="28"/>
          <w:rtl w:val="true"/>
          <w:lang w:bidi="ar-SA"/>
        </w:rPr>
        <w:t xml:space="preserve">. </w:t>
      </w:r>
      <w:bookmarkStart w:id="356" w:name="pg15827_173998"/>
    </w:p>
    <w:p>
      <w:pPr>
        <w:pStyle w:val="Heading4"/>
        <w:numPr>
          <w:ilvl w:val="3"/>
          <w:numId w:val="1"/>
        </w:numPr>
        <w:rPr/>
      </w:pPr>
      <w:bookmarkStart w:id="357" w:name="__RefHeading___Toc14099841_2142443653"/>
      <w:bookmarkStart w:id="358" w:name="_Toc127"/>
      <w:bookmarkEnd w:id="356"/>
      <w:bookmarkEnd w:id="357"/>
      <w:r>
        <w:rPr>
          <w:rtl w:val="true"/>
        </w:rPr>
        <w:t>تبصرة</w:t>
      </w:r>
      <w:r>
        <w:rPr>
          <w:rtl w:val="true"/>
        </w:rPr>
        <w:t xml:space="preserve">: </w:t>
      </w:r>
      <w:r>
        <w:rPr>
          <w:rtl w:val="true"/>
        </w:rPr>
        <w:t>في بيان كيفيّة النيّة في الوضوء</w:t>
      </w:r>
      <w:bookmarkEnd w:id="358"/>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2205"/>
      </w:r>
      <w:r>
        <w:rPr>
          <w:rFonts w:ascii="Amiri" w:hAnsi="Amiri" w:eastAsia="Amiri" w:cs="Amiri"/>
          <w:color w:val="111111"/>
          <w:sz w:val="28"/>
          <w:sz w:val="28"/>
          <w:szCs w:val="28"/>
          <w:rtl w:val="true"/>
          <w:lang w:bidi="ar-SA"/>
        </w:rPr>
        <w:t>بيان كيفيّة النيّة في الوضوء</w:t>
      </w:r>
    </w:p>
    <w:p>
      <w:pPr>
        <w:pStyle w:val="BookText"/>
        <w:rPr/>
      </w:pPr>
      <w:r>
        <w:rPr>
          <w:rFonts w:ascii="Amiri" w:hAnsi="Amiri" w:eastAsia="Amiri" w:cs="Amiri"/>
          <w:color w:val="111111"/>
          <w:sz w:val="28"/>
          <w:sz w:val="28"/>
          <w:szCs w:val="28"/>
          <w:rtl w:val="true"/>
          <w:lang w:bidi="ar-SA"/>
        </w:rPr>
        <w:t xml:space="preserve">وقد اختلفوا فيها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بمطلق القربة ، وعزي إلى الشيخين والبصروي وابن طاوس في 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يرجع ما حكي عن الجعفي والديلمي من الاكتفاء بمطلق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رفع الحدث واستباحة الصلاة ، وإن حكاه في الذكرى قولا آخر أو غيرهما ممّا يشترط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القول اعتبار القربة أيضا ؛ إذ قد عرفت أنّه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 عليه بعض من يقول به ، وحكي القول به عن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الاستباحة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السيد ، والظاهر اعتباره قصد القربة معه أيضا وإن ترك ذلك في 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الجمع بين القربة والوجه والرفع والاستباحة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 إلى الحلبي والقاضي والراوندي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من المتأخرين المحقّق الجزائري مع دعوى اتّحاد رفع الحدث واستباحة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الحلبي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الأوّل ؛ أخذا بالإطلاقات مع عدم قيام شاهد على اعتبار شي‌ء من المذكورات ؛ إذ لا دليل في المقام سوى ما دلّ على اعتبار النيّة في مطلق العبادة ، وغاية ما يقتضيه ذلك كما عرفت هو تعيين نوع الفعل وكون الداعي إليه امتثال الأمر والمفروض في المقام حصول الثاني ، والأوّل حاصل بقصد مطلق الوضوء ؛ إذ الظاهر من الشرع أنّه عمل واحد وفعل متميّز من سائر الأفعال لا إجمال فيه بحيث يندرج تحته أنواع متعدّدة كالصلاة </w:t>
      </w:r>
    </w:p>
    <w:p>
      <w:pPr>
        <w:pStyle w:val="BookText"/>
        <w:rPr/>
      </w:pPr>
      <w:r>
        <w:rPr>
          <w:rFonts w:ascii="Amiri" w:hAnsi="Amiri" w:eastAsia="Amiri" w:cs="Amiri"/>
          <w:color w:val="111111"/>
          <w:sz w:val="28"/>
          <w:sz w:val="28"/>
          <w:szCs w:val="28"/>
          <w:rtl w:val="true"/>
          <w:lang w:bidi="ar-SA"/>
        </w:rPr>
        <w:t>والصوم وإعطاء الفقير الشامل للزكاة والصدقة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يكاد يخفى على من تأمّل في الأخبار ، وكلام العلماء الأبرار ، وينادي به المعلوم من حال المتشرّعة والتامّل في موارد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إنّما يختلف بحسب اختلاف الصفات والغايات الملحوظة فيه ، وهي أمور خارجة عن حقيقة غير مقوّمة 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بعض الأعلام أنّ غسل تلك الأعضاء يمكن أن يقع على وجوه شتّى منها التنظيف ومنها غيره من أنواع الوضوء ، فالوضوء لغة النظافة ، فإذا قصد به القربة كان مثابا عليه كما ذكروه في إزالة النجاسات من أنّه يثاب عليها بذلك القصد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قربة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أنّي أنظّف هذه الأعضاء لتحصيل القرب ، وهذا ليس من وضوء الصلاة في شي‌ء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أنّه لا فرق بين معنى الوضوء لغة وشرعا إلّا النيّة ، وذلك أن الوضوء للصلاة تنظيف خاص لبعض الأعضاء وليس مجرّد القرب إلى اللّه تعالى فارقا ؛ لأنّه حاصل غالبا ، وغير غالب في الوضوء اللغويّ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بينهما فارق سوى أنّ الوضوء تنظيف بهذه الأعضاء الخاصّة لفعل خاصّ كالصلاة مثلا ممّن لا يخطر بباله حال الوضوء لم يكن قد أتى بالواجب الشرعيّ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بيّن الاندفاع ؛ إذ لا تأمّل لأحد في لزوم قصد الوضوء أعني الأفعال المخصوصة الموضوعة في الشرع ، فلا يكفي في حصوله مجرد قصد غسل الأعضاء المعلومة وإن ضمّ إليه قصد القربة ، بلا خلاف فيه </w:t>
      </w:r>
      <w:r>
        <w:rPr>
          <w:rStyle w:val="FootnoteAnchor"/>
          <w:rtl w:val="true"/>
        </w:rPr>
        <w:footnoteReference w:id="2206"/>
      </w:r>
      <w:r>
        <w:rPr>
          <w:rFonts w:ascii="Amiri" w:hAnsi="Amiri" w:eastAsia="Amiri" w:cs="Amiri"/>
          <w:color w:val="111111"/>
          <w:sz w:val="28"/>
          <w:sz w:val="28"/>
          <w:szCs w:val="28"/>
          <w:rtl w:val="true"/>
          <w:lang w:bidi="ar-SA"/>
        </w:rPr>
        <w:t>في عدم تسميته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إنّما هو في الاكتفاء بذلك مع عدم ضمّ قصد الرفع أو الاستباحة ، والقول بانحصار جهة التعيين في قصد الغاية المخصوصة بيّن الفساد ؛ إذ الوضوء الشرعي أمر متميّز لا اشتراك فيه فمجرّد قصده كاف في تعيينه وإن لم ينو شيئا من غاياته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أنّه مع جواز وقوع الوضوء على كلّ من جهتي الوجوب والندب فيما إذا كان </w:t>
      </w:r>
    </w:p>
    <w:p>
      <w:pPr>
        <w:pStyle w:val="BookText"/>
        <w:rPr/>
      </w:pPr>
      <w:r>
        <w:rPr>
          <w:rFonts w:ascii="Amiri" w:hAnsi="Amiri" w:eastAsia="Amiri" w:cs="Amiri"/>
          <w:color w:val="111111"/>
          <w:sz w:val="28"/>
          <w:sz w:val="28"/>
          <w:szCs w:val="28"/>
          <w:rtl w:val="true"/>
          <w:lang w:bidi="ar-SA"/>
        </w:rPr>
        <w:t xml:space="preserve">هناك جهة موجبة وأخرى مرجّحة لا يقع الفعل واجبا ولا مندوبا من دون تعيين أحد الوجهين ؛ إذ انصرافه إلى أحدهما ترجيح من غير مرجّح ، وأيضا مع قصد مطلق القربة من دون تعيين </w:t>
      </w:r>
      <w:r>
        <w:rPr>
          <w:rStyle w:val="FootnoteAnchor"/>
          <w:rtl w:val="true"/>
        </w:rPr>
        <w:footnoteReference w:id="2207"/>
      </w:r>
      <w:r>
        <w:rPr>
          <w:rFonts w:ascii="Amiri" w:hAnsi="Amiri" w:eastAsia="Amiri" w:cs="Amiri"/>
          <w:color w:val="111111"/>
          <w:sz w:val="28"/>
          <w:sz w:val="28"/>
          <w:szCs w:val="28"/>
          <w:rtl w:val="true"/>
          <w:lang w:bidi="ar-SA"/>
        </w:rPr>
        <w:t>الجهتين لا يكون امتثالا لشي‌ء من الطلبين ، وليس القدر المشترك بين الحكمين تكليفا واردا من الشرع ، فيكون ذلك امتثالا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الأوّل أنّه مع حصول جهة الوجوب يقع واجبا في الواقع وإن لم يكن بملاحظة الغاية المتداولة واجبا ، وعدم ملاحظة الغاية الواجبة لا يخرجه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سائر الواجبات النفسيّة من غير العبادات لو أتى بها المكلّف لا من جهة امتثال الأمر قد أتى بالواجب واتّصف به </w:t>
      </w:r>
      <w:r>
        <w:rPr>
          <w:rStyle w:val="FootnoteAnchor"/>
          <w:rtl w:val="true"/>
        </w:rPr>
        <w:footnoteReference w:id="2208"/>
      </w:r>
      <w:r>
        <w:rPr>
          <w:rFonts w:ascii="Amiri" w:hAnsi="Amiri" w:eastAsia="Amiri" w:cs="Amiri"/>
          <w:color w:val="111111"/>
          <w:sz w:val="28"/>
          <w:sz w:val="28"/>
          <w:szCs w:val="28"/>
          <w:rtl w:val="true"/>
          <w:lang w:bidi="ar-SA"/>
        </w:rPr>
        <w:t>فعله بالوجوب وإن لم يكن ممتثلا لإطلاق متعلّق الأمر بالنسبة إليها ، إذ ليس المأمور به فيها إلّا الإتيان بالفعل لا خصوص الاتيان به مقيّدا بقصد الامتثال كما في العبادات ؛ إذ لا دليل على ذلك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بانصراف الأمر عرفا إلى ذلك في حيّز المنع ، بل واضح الفساد ، وإلّا لما كان فرق بين العبادة وغيرها أو كان الأصل في جميع التكاليف الشرعيّة وغيرها أن تكون عبادات مشروطة بقصد الامتثال إلّا ما خرج بالدليل ومن الظاهر خلافه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يتخيّل من أنّها المقدّمة لو كانت واجبة مع خلوّها عن قصد التوصّل بها إلى ذيها يصحّ إذن قصد التقرّب بها كما هو الشأن في سائر الواجبات بل الرجحان </w:t>
      </w:r>
      <w:r>
        <w:rPr>
          <w:rStyle w:val="FootnoteAnchor"/>
          <w:rtl w:val="true"/>
        </w:rPr>
        <w:footnoteReference w:id="2209"/>
      </w:r>
      <w:r>
        <w:rPr>
          <w:rFonts w:ascii="Amiri" w:hAnsi="Amiri" w:eastAsia="Amiri" w:cs="Amiri"/>
          <w:color w:val="111111"/>
          <w:sz w:val="28"/>
          <w:sz w:val="28"/>
          <w:szCs w:val="28"/>
          <w:rtl w:val="true"/>
          <w:lang w:bidi="ar-SA"/>
        </w:rPr>
        <w:t xml:space="preserve">وفساده كاشف عن بعد وجوبها الغيري بما إذا لوحظ الوصلة بها إلى الواجب ، مدفوع بأنّه لا شبهة في تقييد إيجاب المقدّمة بملاحظة ذيها ، فوجوبها أيضا إنّما يكون بتلك الملاحظة ، لكن ملاحظة الأمر ذلك في إيجابها لا يقتضي تقييد فعل الفاعل بذلك ليكون الواجب عليه إيقاعها على ذلك الوجه ؛ إذ لا </w:t>
      </w:r>
    </w:p>
    <w:p>
      <w:pPr>
        <w:pStyle w:val="BookText"/>
        <w:rPr/>
      </w:pPr>
      <w:r>
        <w:rPr>
          <w:rFonts w:ascii="Amiri" w:hAnsi="Amiri" w:eastAsia="Amiri" w:cs="Amiri"/>
          <w:color w:val="111111"/>
          <w:sz w:val="28"/>
          <w:sz w:val="28"/>
          <w:szCs w:val="28"/>
          <w:rtl w:val="true"/>
          <w:lang w:bidi="ar-SA"/>
        </w:rPr>
        <w:t xml:space="preserve">ملازمة بين الأمرين قصد </w:t>
      </w:r>
      <w:r>
        <w:rPr>
          <w:rStyle w:val="FootnoteAnchor"/>
          <w:rtl w:val="true"/>
        </w:rPr>
        <w:footnoteReference w:id="2210"/>
      </w:r>
      <w:r>
        <w:rPr>
          <w:rFonts w:ascii="Amiri" w:hAnsi="Amiri" w:eastAsia="Amiri" w:cs="Amiri"/>
          <w:color w:val="111111"/>
          <w:sz w:val="28"/>
          <w:sz w:val="28"/>
          <w:szCs w:val="28"/>
          <w:rtl w:val="true"/>
          <w:lang w:bidi="ar-SA"/>
        </w:rPr>
        <w:t xml:space="preserve">التقرّب بها يتوقّف على تلك الملازمة </w:t>
      </w:r>
      <w:r>
        <w:rPr>
          <w:rStyle w:val="FootnoteAnchor"/>
          <w:rtl w:val="true"/>
        </w:rPr>
        <w:footnoteReference w:id="2211"/>
      </w:r>
      <w:r>
        <w:rPr>
          <w:rFonts w:ascii="Amiri" w:hAnsi="Amiri" w:eastAsia="Amiri" w:cs="Amiri"/>
          <w:color w:val="111111"/>
          <w:sz w:val="28"/>
          <w:sz w:val="28"/>
          <w:szCs w:val="28"/>
          <w:rtl w:val="true"/>
          <w:lang w:bidi="ar-SA"/>
        </w:rPr>
        <w:t>وإن لم يتوقّف عليه الحكم بوجوب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نحوه في الواجبات النفسيّة كما إذا أمر المولى </w:t>
      </w:r>
      <w:r>
        <w:rPr>
          <w:rStyle w:val="FootnoteAnchor"/>
          <w:rtl w:val="true"/>
        </w:rPr>
        <w:footnoteReference w:id="2212"/>
      </w:r>
      <w:r>
        <w:rPr>
          <w:rFonts w:ascii="Amiri" w:hAnsi="Amiri" w:eastAsia="Amiri" w:cs="Amiri"/>
          <w:color w:val="111111"/>
          <w:sz w:val="28"/>
          <w:sz w:val="28"/>
          <w:szCs w:val="28"/>
          <w:rtl w:val="true"/>
          <w:lang w:bidi="ar-SA"/>
        </w:rPr>
        <w:t>بإكرام صالح فأكرم صالحا لا من جهة صلاحه لم يكن ممتثلا ، ولا صحّ منه التقرب به إليه وإن اتّصف أصل فعله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فرق بيّن بين امتثال الأمر والاتيان بالواجب ؛ لاختصاص الأوّل بما قصد به الامتثال دون الآخر ، وإنّما يصحّ التقرّب مع حصول الامتثال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الّذي يظهر من إمعان النظر في الأدلّة أنّ المعتبر في العبادة ليس إلّا القربة وملاحظة جهة الامتثال لا غير ، سواء لوحظ الأمر الخاص بتلك العبادة أو غيرها مع اتّحاد نوع الفعل كما إذا أعاد الحاضرة المؤدّاة فرادى جماعة على وجه الندب ، فانكشف بعدها فساد الأوّل ، فإنّ الأظهر صحّة الصلاة وإجزائها عن الفرض وإن لم يقصد بها الوجوب لعدم اعتبار قصد الوجه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لِيَعْبُدُوا اللّهَ مُخْلِصِينَ </w:t>
      </w:r>
      <w:r>
        <w:rPr>
          <w:rFonts w:eastAsia="Amiri" w:cs="Amiri" w:ascii="Amiri" w:hAnsi="Amiri"/>
          <w:color w:val="111111"/>
          <w:sz w:val="28"/>
          <w:szCs w:val="28"/>
          <w:rtl w:val="true"/>
          <w:lang w:bidi="ar-SA"/>
        </w:rPr>
        <w:t xml:space="preserve">) </w:t>
      </w:r>
      <w:r>
        <w:rPr>
          <w:rStyle w:val="FootnoteAnchor"/>
          <w:rtl w:val="true"/>
        </w:rPr>
        <w:footnoteReference w:id="2213"/>
      </w:r>
      <w:r>
        <w:rPr>
          <w:rFonts w:ascii="Amiri" w:hAnsi="Amiri" w:eastAsia="Amiri" w:cs="Amiri"/>
          <w:color w:val="111111"/>
          <w:sz w:val="28"/>
          <w:sz w:val="28"/>
          <w:szCs w:val="28"/>
          <w:rtl w:val="true"/>
          <w:lang w:bidi="ar-SA"/>
        </w:rPr>
        <w:t>لا يدلّ على أزيد من اعتبار قصد القربة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دلّ على وجوب الاطاعة وربّما يفيد ذلك إلّا أنّه مع ايقاعه متعلّق الأمر </w:t>
      </w:r>
      <w:r>
        <w:rPr>
          <w:rStyle w:val="FootnoteAnchor"/>
          <w:rtl w:val="true"/>
        </w:rPr>
        <w:footnoteReference w:id="2214"/>
      </w:r>
      <w:r>
        <w:rPr>
          <w:rFonts w:ascii="Amiri" w:hAnsi="Amiri" w:eastAsia="Amiri" w:cs="Amiri"/>
          <w:color w:val="111111"/>
          <w:sz w:val="28"/>
          <w:sz w:val="28"/>
          <w:szCs w:val="28"/>
          <w:rtl w:val="true"/>
          <w:lang w:bidi="ar-SA"/>
        </w:rPr>
        <w:t xml:space="preserve">بقاء للأمر ، فلا مصداق إذن للإطاعة والامتثال ، واحتمال تقييد إطلاق الأمر بما دلّ على وجوب الاطاعة ليكون المأمور به خصوص الفعل بقصد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دليل عليه غاية ما يسلّم أن يكون هناك تكليفان فيسقط الثاني بعد الإتيان بالفعل لا بقصد الامتثال </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في عدم وجوب اعادة غير العبادات إذا أدّاها بغير قصد الامتثال ، فاندفع بذلك الايراد الأخير أيضا ؛ للاجتزاء بالوضوء المفروض عن التكليفين وإن لم يكن امتثالا لخصوص كلّ من الأمرين ؛ إذ مجرّد قصد الامتثال الحاصل مع العلم بكونه راجحا عند </w:t>
      </w:r>
    </w:p>
    <w:p>
      <w:pPr>
        <w:pStyle w:val="BookText"/>
        <w:rPr/>
      </w:pPr>
      <w:r>
        <w:rPr>
          <w:rFonts w:ascii="Amiri" w:hAnsi="Amiri" w:eastAsia="Amiri" w:cs="Amiri"/>
          <w:color w:val="111111"/>
          <w:sz w:val="28"/>
          <w:sz w:val="28"/>
          <w:szCs w:val="28"/>
          <w:rtl w:val="true"/>
          <w:lang w:bidi="ar-SA"/>
        </w:rPr>
        <w:t>الأمر كاف في الصحّة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إنّ محصّل الاستدلال على الصحّة هو التمسّك بالإطلاقات ، وهي لا تنهض مع الشكّ في الصحّة مع الخلوّ عن قصد الوجه والغاية بناء على كون أسامي العبادات بإزاء الصحّة </w:t>
      </w:r>
      <w:r>
        <w:rPr>
          <w:rStyle w:val="FootnoteAnchor"/>
          <w:rtl w:val="true"/>
        </w:rPr>
        <w:footnoteReference w:id="2216"/>
      </w:r>
      <w:r>
        <w:rPr>
          <w:rFonts w:ascii="Amiri" w:hAnsi="Amiri" w:eastAsia="Amiri" w:cs="Amiri"/>
          <w:color w:val="111111"/>
          <w:sz w:val="28"/>
          <w:sz w:val="28"/>
          <w:szCs w:val="28"/>
          <w:rtl w:val="true"/>
          <w:lang w:bidi="ar-SA"/>
        </w:rPr>
        <w:t>المستجمعة لشرائط الصحّة كما هو الأظهر ، فالواجب إذن بعد اليأس عن دليل الصحّة هو الاتيان بالشرط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ورود بيان الوضوء في عدّة أخبار مع خلوّه عن الاعتبار المذكور ، فلا إجمال فيه بعد ذلك ليجب الاحتياط على أنّ ذلك لا يجري فيما إذا قصد أحد الغايات الّتي يستحبّ الوضوء لها ، فاعتبار خصوص الرّفع أو استباحة الصلاة لا دليل عليها </w:t>
      </w:r>
      <w:r>
        <w:rPr>
          <w:rStyle w:val="FootnoteAnchor"/>
          <w:rtl w:val="true"/>
        </w:rPr>
        <w:footnoteReference w:id="2217"/>
      </w:r>
      <w:r>
        <w:rPr>
          <w:rFonts w:ascii="Amiri" w:hAnsi="Amiri" w:eastAsia="Amiri" w:cs="Amiri"/>
          <w:color w:val="111111"/>
          <w:sz w:val="28"/>
          <w:sz w:val="28"/>
          <w:szCs w:val="28"/>
          <w:rtl w:val="true"/>
          <w:lang w:bidi="ar-SA"/>
        </w:rPr>
        <w:t>بوجه ، والوجه في اعتبار قصد الوجه 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يدلّ على 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اعتبار قصد الاستباحة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الآية الشريفة ، فإنّ المستفاد منها ملاحظة الغاية المخصوصة في أداء الصلاة كما هو الظاهر من نظائره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لقاء الأمير فالبس ثيابك ، وإذا أردت لقاء العدوّ فخذ سلاحك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فإذا أوقعه لا بقصده لم يكن ممتثلا للأمر المذكور ، وفيه فالواجب ايقاع الوضوء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المستفاد من التعليق المذكور هو كون العلّة في الطلب هو الغير أي أنّ مطلوبيّته لأجل الغير والتوصل إليه ، وأين ذلك من تقييد نفس المطلوب بأن يكون المقصود خصوص إيجاده بقصد الغير وبينهما من البون ما لا يخفى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امتثال الأمر الإتيان به على النحو المطلوب وإلّا لم يكن إطاعة ، فلو أتى بالواجب الغيري من حيث كونه نفسيا ومطلوبا بالأصالة لم يكن ممتثلا للأمر المتعلّق به ولا مطيعا ، وكذا العكس ، والوضوء كما مرّ من الواجبات الغيريّة ، فلا بدّ فيه من ملاحظة الغير </w:t>
      </w:r>
    </w:p>
    <w:p>
      <w:pPr>
        <w:pStyle w:val="BookText"/>
        <w:rPr/>
      </w:pPr>
      <w:r>
        <w:rPr>
          <w:rFonts w:ascii="Amiri" w:hAnsi="Amiri" w:eastAsia="Amiri" w:cs="Amiri"/>
          <w:color w:val="111111"/>
          <w:sz w:val="28"/>
          <w:sz w:val="28"/>
          <w:szCs w:val="28"/>
          <w:rtl w:val="true"/>
          <w:lang w:bidi="ar-SA"/>
        </w:rPr>
        <w:t>مضافا إلى كونه واجبا بالأصالة أيضا على بعض الفروض ، فكيف يصحّ إطلاق النيّة من دون تعيين أحد الوجهين بل وتعيين الغاية المخصوصة ؛ إذ العبادة المشتركة إنّما تقع مجزئة عن أحد أفرادها بالقصد والنيّة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 عدم صدق الامتثال لا يعطي بقاء التكليف إلّا أن يقال بتعدّد أنواع الوضوء أو </w:t>
      </w:r>
      <w:r>
        <w:rPr>
          <w:rStyle w:val="FootnoteAnchor"/>
          <w:rtl w:val="true"/>
        </w:rPr>
        <w:footnoteReference w:id="2218"/>
      </w:r>
      <w:r>
        <w:rPr>
          <w:rFonts w:ascii="Amiri" w:hAnsi="Amiri" w:eastAsia="Amiri" w:cs="Amiri"/>
          <w:color w:val="111111"/>
          <w:sz w:val="28"/>
          <w:sz w:val="28"/>
          <w:szCs w:val="28"/>
          <w:rtl w:val="true"/>
          <w:lang w:bidi="ar-SA"/>
        </w:rPr>
        <w:t>اعتبار الجهة التقييديّة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فساد الأمرين ، فغاية ما يقتضيه عدم الامتثال عدم ترتّب الثواب المعدّ للوضوء المخصوص عليه ، وذلك لا يقضي بعدم الإتيان بالواجب ؛ لما عرفت من الفرق الظاهر بين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امتثال الأمر حاصل </w:t>
      </w:r>
      <w:r>
        <w:rPr>
          <w:rStyle w:val="FootnoteAnchor"/>
          <w:rtl w:val="true"/>
        </w:rPr>
        <w:footnoteReference w:id="2219"/>
      </w:r>
      <w:r>
        <w:rPr>
          <w:rFonts w:ascii="Amiri" w:hAnsi="Amiri" w:eastAsia="Amiri" w:cs="Amiri"/>
          <w:color w:val="111111"/>
          <w:sz w:val="28"/>
          <w:sz w:val="28"/>
          <w:szCs w:val="28"/>
          <w:rtl w:val="true"/>
          <w:lang w:bidi="ar-SA"/>
        </w:rPr>
        <w:t>مع قصد المأمور به إجمالا وإن لم ينو خصوص الجهة المأخوذة فيه إذا لم ينو خلافه كما إذا نوى ما في ذمته كائنا ما كان ، فلا يفيد ذلك اعتبار خصوص قصد الاستباحة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في الحديث المتواتر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وإنّما لكلّ امرئ ما نوى </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يعطي أنّ صحة الأعمال وكمالها إنّما يناط بنيّاتها ، فكلّ عمل لا يقع على النيّة المطلوبة لا يكون صحيحا والمطلوب من وضوء الصلاة أن يكون ذلك الوضوء لأجلها ، ولا يكون كذلك إلا إذا وقع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الروايتين مسوقتان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دوران الأعمال على حسب تلك النيّات ، ولو سلّم شمولها لغير ذلك أيضا ، فغاية </w:t>
      </w:r>
      <w:r>
        <w:rPr>
          <w:rStyle w:val="FootnoteAnchor"/>
          <w:rtl w:val="true"/>
        </w:rPr>
        <w:footnoteReference w:id="2221"/>
      </w:r>
      <w:r>
        <w:rPr>
          <w:rFonts w:ascii="Amiri" w:hAnsi="Amiri" w:eastAsia="Amiri" w:cs="Amiri"/>
          <w:color w:val="111111"/>
          <w:sz w:val="28"/>
          <w:sz w:val="28"/>
          <w:szCs w:val="28"/>
          <w:rtl w:val="true"/>
          <w:lang w:bidi="ar-SA"/>
        </w:rPr>
        <w:t>ما يستفاد منها انحصار الواقع في المنويّ ، وهو لا يقتضي بقاء التكليف بغيره إلّا بأحد الوجهين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فسادهما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الأحاديث المتكثّرة من الأمر بالوضوء للصلاة ، والمستفاد منها إيقاع </w:t>
      </w:r>
    </w:p>
    <w:p>
      <w:pPr>
        <w:pStyle w:val="BookText"/>
        <w:rPr/>
      </w:pPr>
      <w:r>
        <w:rPr>
          <w:rFonts w:ascii="Amiri" w:hAnsi="Amiri" w:eastAsia="Amiri" w:cs="Amiri"/>
          <w:color w:val="111111"/>
          <w:sz w:val="28"/>
          <w:sz w:val="28"/>
          <w:szCs w:val="28"/>
          <w:rtl w:val="true"/>
          <w:lang w:bidi="ar-SA"/>
        </w:rPr>
        <w:t>الوضوء لأجل الصلاة ، فمتى أوقعه من غير قصد الصلاة لم يتحقّق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نظفر بالأخبار المتكثّرة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في بعض الأخبار أنّ اللّه فرض الطهور للصلاة ، وحمله على ما ذكره غير ظاهر ، بل الظاهر خلافه ؛ إذ المنساق منها خصوص كون الصلاة عليه ؛ لوجوب الطهور كما ورد في غير واحد من أخبار علل الوضوء ، وهو لا يعطي ملاحظة الجهة التقييديّة في الفعل بوجه من الوجوه ، ولو كان هناك في الأخبار نحو ما ذكره فحملها على ما ذكره غير بعيد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يتبيّن لك الاكتفاء بالوضوء الواقع على جهة القربة المطلقة سواء قارنه قصد الرفع أو استباحة الصلاة فريضة أو نافلة أو غيرها من الغايات المطلوبة فيها ارتفاع الحدث وجوبا أو استحبابا أو غيرها أو كانت خالية عنها ، فارتفاع الحدث واستباحة الصلاة مانعان لفعله ، ولا فرق بين إطلاقه رفع الحدث أو قصد خصوص حدث معلوم مع وجود غيره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عيّنه والواقع غيره فالظاهر الإجزاء مع كونه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الفساد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عمدا ففيه وجهان كما لو نوى عدم ارتفاع الحدث به ، وكذا </w:t>
      </w:r>
      <w:r>
        <w:rPr>
          <w:rStyle w:val="FootnoteAnchor"/>
          <w:rtl w:val="true"/>
        </w:rPr>
        <w:footnoteReference w:id="2222"/>
      </w:r>
      <w:r>
        <w:rPr>
          <w:rFonts w:ascii="Amiri" w:hAnsi="Amiri" w:eastAsia="Amiri" w:cs="Amiri"/>
          <w:color w:val="111111"/>
          <w:sz w:val="28"/>
          <w:sz w:val="28"/>
          <w:szCs w:val="28"/>
          <w:rtl w:val="true"/>
          <w:lang w:bidi="ar-SA"/>
        </w:rPr>
        <w:t>لو اعتقد عدم ارتفاع الحدث به كما لو توهّم أنّه جنب فتوضّأ للأكل ، ثمّ تبيّن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الإطلاقات فيه الاجتزاء ، فيقوى بها البناء على الصحة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اختلاف وضوء الجنب ونحوه لسائر الوضوءات الرافعة في النوع حيث إنّه وضوء صوريّ لا غير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الواقع على جهة التجديد إذا تبيّن فساد الأوّل فقد يقال فيه أيضا بنحو ذلك إلّا أنّ البناء فيه على الاجتزاء هو الأقوى ؛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العلّة المشرعة لتجديد احتمال وقوع الحدث عنه ليجوز الطهارة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بعضهم إلى عدم الاكتفاء به ، ويضعّفه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استباحة فريضة بعينها فلا إشكال في استباحة غيرها من الفرائض وكذا الحال لو نرى استباحة النافلة ، ونفى عنه الخلاف في كلام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نرى عدم استباحة تلك الصلاة ففي صحة الوضوء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في البيان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إلقاء النفي أو ما يستباح به صلاة معيّنة هو بعينه ما يستباح به غيرها ، ولو نوى استباحة ما يشترط بالطهارة ما عدا الصلاة كالطواف الواجب فالمشهور استباحة الصلاة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وظاهر الحلي عدم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نوى سائر الغايات ممّا لا يشترط بالوضوء فهناك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مع تعيين الغاية دون ما لو أطلق ولم يقصد غاية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يستحب له الطهارة لأجل الحدث كقراءة القرآن وما ليس كذلك كالتجديد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يستحب له الطهارة لأجل الحدث قصدا لكمال الغاية المنويّة وما لا يستحب له الطهارة أو يستحب لا مع قصد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زيادة قصد الكون على الطهارة ، فيجزي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الأقوال مبتنية على أمور اعتباريّة لا تنهض حجّة في المطالب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ما قلناه من الاجتزاء بذلك في الفريضة إطلاق الطهارة والتطهير ونحوهما على كثير من الوضوءات المذكورة ، وهو قاض بحصول ارتفاع الحدث بها ، فلا مانع إذن من الدخول بها في الصلاة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باختلاف الأحداث بالنسبة إلى الأفعال ، فلا يفيد ارتفاعه بالنسبة إلى الفعل المنويّ ارتفاعه بالنظر إلى غيره سيّما مع كون عناية الشرع بغيره أقوى ، وهو بمكان من البعد كما لا يخفى على من لاحظ الطريقة المألوفة وتأمل في سياق الأخبار المأثورة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يحتجّ بعدم الاكتفاء بها في الصلاة بالآية الشريفة ؛ لقضائها بوجوب الوضوء عند القيام إلى كلّ صلاة خرج عنه ما قام الدليل عليه وبقي غيره ، وبقوله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2223"/>
      </w:r>
      <w:r>
        <w:rPr>
          <w:rFonts w:ascii="Amiri" w:hAnsi="Amiri" w:eastAsia="Amiri" w:cs="Amiri"/>
          <w:color w:val="111111"/>
          <w:sz w:val="28"/>
          <w:sz w:val="28"/>
          <w:szCs w:val="28"/>
          <w:rtl w:val="true"/>
          <w:lang w:bidi="ar-SA"/>
        </w:rPr>
        <w:t>؛ لاقتضائه بوجوب الوضوء ، ولو كان متوضأ لغير الصلاة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مخصوصة بالمحدثين سيّما مع ستر القيام فيها بالقيام من النوم كما في الموثّق وغيره ، ويجري نحو ذلك في الرواية مضافا إلى عدم دلالتها سيّما الأخير على اعتبار الجهة التقييدية في فعل الوضوء ، فيعمّ ما لو أوقعه لأحد الغايات المذكورة أيضا ، فتأمل</w:t>
      </w:r>
      <w:r>
        <w:rPr>
          <w:rFonts w:eastAsia="Amiri" w:cs="Amiri" w:ascii="Amiri" w:hAnsi="Amiri"/>
          <w:color w:val="111111"/>
          <w:sz w:val="28"/>
          <w:szCs w:val="28"/>
          <w:rtl w:val="true"/>
          <w:lang w:bidi="ar-SA"/>
        </w:rPr>
        <w:t xml:space="preserve">. </w:t>
      </w:r>
      <w:bookmarkStart w:id="359" w:name="pg15827_174007"/>
    </w:p>
    <w:p>
      <w:pPr>
        <w:pStyle w:val="Heading4"/>
        <w:numPr>
          <w:ilvl w:val="3"/>
          <w:numId w:val="1"/>
        </w:numPr>
        <w:rPr/>
      </w:pPr>
      <w:bookmarkStart w:id="360" w:name="__RefHeading___Toc14099843_2142443653"/>
      <w:bookmarkStart w:id="361" w:name="_Toc128"/>
      <w:bookmarkEnd w:id="359"/>
      <w:bookmarkEnd w:id="360"/>
      <w:r>
        <w:rPr>
          <w:rtl w:val="true"/>
        </w:rPr>
        <w:t>تبصرة</w:t>
      </w:r>
      <w:r>
        <w:rPr>
          <w:rtl w:val="true"/>
        </w:rPr>
        <w:t xml:space="preserve">: [ </w:t>
      </w:r>
      <w:r>
        <w:rPr>
          <w:rtl w:val="true"/>
        </w:rPr>
        <w:t xml:space="preserve">في غسل الوجه واليدين </w:t>
      </w:r>
      <w:r>
        <w:rPr>
          <w:rtl w:val="true"/>
        </w:rPr>
        <w:t>]</w:t>
      </w:r>
      <w:bookmarkEnd w:id="361"/>
    </w:p>
    <w:p>
      <w:pPr>
        <w:pStyle w:val="BookText"/>
        <w:rPr/>
      </w:pPr>
      <w:r>
        <w:rPr>
          <w:rFonts w:ascii="Amiri" w:hAnsi="Amiri" w:eastAsia="Amiri" w:cs="Amiri"/>
          <w:color w:val="111111"/>
          <w:sz w:val="28"/>
          <w:sz w:val="28"/>
          <w:szCs w:val="28"/>
          <w:rtl w:val="true"/>
          <w:lang w:bidi="ar-SA"/>
        </w:rPr>
        <w:t>من أفعال الوضوء غسل الوجه بالنصّ والإجماع بل الضرورة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الوجه طولا من قصاص الشعر إلى طول الذّقن بلا خلاف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عليه‌السلام أسأله عن حد الوجه؟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 الشعر إلى آخر الوجه وكذلك الجبينين </w:t>
      </w:r>
      <w:r>
        <w:rPr>
          <w:rFonts w:eastAsia="Amiri" w:cs="Amiri" w:ascii="Amiri" w:hAnsi="Amiri"/>
          <w:color w:val="111111"/>
          <w:sz w:val="28"/>
          <w:szCs w:val="28"/>
          <w:rtl w:val="true"/>
          <w:lang w:bidi="ar-SA"/>
        </w:rPr>
        <w:t xml:space="preserve">»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القصاص ممّا يحاذى الجبهة والجنبين ، فلا عبرة بالقصاص من عند الزغبتين ؛ إذ لا قائل ظاهرا بوجوب 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المتأخرين حكاية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وعرضا ما حواه الإبهام والوسطى ممّا يمرّان عليه من ظاهر الوجه من القصاص إلى آخر الذقن على المعروف بين الأصحاب ؛ للصحيح المروي عن الباقر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الذي قال اللّه عزوجل وأمر اللّه تعالى بغسله الّذي لا ينبغي لأحد أن يزيد عليه ولا ينقص منه إن زاد عليه لم يؤجر وإن نقص منه أثم ما دارت عليه الإبهام والوسطى من قصاص الشعر إلى الذقن وما جرت عليه الإصبعان مستديرا فهو من الوجه </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دوران الإصبعين معا من عند القصاص إلى منتهى الذقن كما فهمه الأصحاب ، فيدخل في الوجه ما دخل تحتهما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جرت عليه الإصبعان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وإيضاح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وكأنّ التقييد به إشارة إلى عدم دخول ما خرج عن مستدارة الوجه ممّا يحويه الإصبعان في حوالي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صفة للمصدر المحذوف أي جريانا مستديرا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وحملهما بعض محقّقي المتأخرين على إرادة </w:t>
      </w:r>
      <w:r>
        <w:rPr>
          <w:rStyle w:val="FootnoteAnchor"/>
          <w:rtl w:val="true"/>
        </w:rPr>
        <w:footnoteReference w:id="2226"/>
      </w:r>
      <w:r>
        <w:rPr>
          <w:rFonts w:ascii="Amiri" w:hAnsi="Amiri" w:eastAsia="Amiri" w:cs="Amiri"/>
          <w:color w:val="111111"/>
          <w:sz w:val="28"/>
          <w:sz w:val="28"/>
          <w:szCs w:val="28"/>
          <w:rtl w:val="true"/>
          <w:lang w:bidi="ar-SA"/>
        </w:rPr>
        <w:t>الخطّ الواصل بين القصاص ومنتهى الذقن الّذي هو مقدار ما بين الإصبعين غالبا على نفسه بعد فرض جانب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تحديد الكلّ من طول الوجه وعرضه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هذا الوجه بأنّهم يقولون بخروج النزغتين والصدغين من الوجه ، وإنّما يخرجان عنه بناء على المعنى المذكور دون ما ذكروه ، وعليه فيخرج مواضع التحذيف والعذاران وبعض من العارضين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حمل الرواية على المعنى المذكور بعيد عن العبارة ؛ إذ ظاهرها إدارة الإصبعين معا من القصاص ، ولو حمل على الدائرة لم يمكن ذلك مضافا إلى بعد المعنى المذكور عن متفاهم العرف ، ومخالفته لفهم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حمل على ذلك لزم خروج ما يزيد على النزغتين ممّا يليهما الواقع في أعلى طرفي الجبهة كما هو مقتضي الاستدارة ، والظاهر عدم الخلاف في وجوب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يخرج عنه ما يزيد على العذارين ممّا يقابلهما وكثير من أجزاء العارضين ، والبناء على خروجهما عن الوجه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 فيه على مجرّد الاحتمال المذكور أبعد ، بل ظاهرهم اتفاق على دخول بعض المذكورات ، ولو سلّم تكافؤ الاحتمالين فلا أقلّ من كون الأوّل موافقا للاحتياط محصّلا للقطع بالفراغ بعد اليقين بالشغل ، مع كونه أقرب إلى الوجه العرفي ، فتعيّن ترجيحه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الرواية هي الأصل في تحديد الوجه ، فما حواه التحديد المذكور داخل في الوجه وما خرج منه خارج عنه ، وهاهنا حدود يذكر للوجه قد وقع الخلاف في كثير منها لا بدّ </w:t>
      </w:r>
    </w:p>
    <w:p>
      <w:pPr>
        <w:pStyle w:val="BookText"/>
        <w:rPr/>
      </w:pPr>
      <w:r>
        <w:rPr>
          <w:rFonts w:ascii="Amiri" w:hAnsi="Amiri" w:eastAsia="Amiri" w:cs="Amiri"/>
          <w:color w:val="111111"/>
          <w:sz w:val="28"/>
          <w:sz w:val="28"/>
          <w:szCs w:val="28"/>
          <w:rtl w:val="true"/>
          <w:lang w:bidi="ar-SA"/>
        </w:rPr>
        <w:t xml:space="preserve">من الاشارة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النزغتان ، وهما البياضان اللّذان عن جانبي الناصية ، ولا خلاف ظاهر في عدم وجوب غسلهما ، وقد مرّت الاشارة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شمول التحديد المذكور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أنّ المتبادر من ظاهره بمعونة فهم الأصحاب هو قصاص الناصية وما يحاذيها لمحاذاة النزغتين للناصية الخارجة عن الوجه قطعا ، وخروجهما عن التسطح الّذي يتميّز </w:t>
      </w:r>
      <w:r>
        <w:rPr>
          <w:rStyle w:val="FootnoteAnchor"/>
          <w:rtl w:val="true"/>
        </w:rPr>
        <w:footnoteReference w:id="2227"/>
      </w:r>
      <w:r>
        <w:rPr>
          <w:rFonts w:ascii="IRNazanin" w:hAnsi="IRNazanin" w:eastAsia="IRNazanin"/>
          <w:color w:val="111111"/>
          <w:sz w:val="28"/>
          <w:sz w:val="28"/>
          <w:szCs w:val="28"/>
          <w:rtl w:val="true"/>
          <w:lang w:bidi="fa-IR"/>
        </w:rPr>
        <w:t>به الوجه عن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لو قصرت النزغتان بحيث كانتا قريبتين من محاذاة الجبهة احتمل قويا وجوب غسلهما ؛ لدخولهما في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التحذيف ، وهي أسفل منهما يتّصل أعلاها في النزعة وأسفلها بالصدغ عليها شعر خفيف تحذفها النساء ، ولذا سمّيت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وفسّرها بعضهم بما بين منتهى العذار والنزغة ، وهو تسامح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غسله قولان نصّ العلّامة في غير واحد من كتبه وجماعة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كونها من الرأس نبات الشعر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جملة من الأصحاب القول بدخولها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الشعر النابت عليها إن كان نحو شعر الرأس وإن كان خفيفا لم يجب غسله ؛ لكونه فوق القصاص وإن نبت عليه الشعر الضعيف قوي وجوب غسله سيّما مع البناء على وجوب الاحتياط في صورة الشكّ</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جماعة من أهل اللغة تارة بما بين العين والأذن </w:t>
      </w:r>
      <w:r>
        <w:rPr>
          <w:rStyle w:val="FootnoteAnchor"/>
          <w:rtl w:val="true"/>
        </w:rPr>
        <w:footnoteReference w:id="2228"/>
      </w:r>
      <w:r>
        <w:rPr>
          <w:rFonts w:ascii="Amiri" w:hAnsi="Amiri" w:eastAsia="Amiri" w:cs="Amiri"/>
          <w:color w:val="111111"/>
          <w:sz w:val="28"/>
          <w:sz w:val="28"/>
          <w:szCs w:val="28"/>
          <w:rtl w:val="true"/>
          <w:lang w:bidi="ar-SA"/>
        </w:rPr>
        <w:t xml:space="preserve">وأخرى بالشعر المتدلّي عليه </w:t>
      </w:r>
      <w:r>
        <w:rPr>
          <w:rStyle w:val="FootnoteAnchor"/>
          <w:rtl w:val="true"/>
        </w:rPr>
        <w:footnoteReference w:id="2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جماعة من الأصحاب بعدم وجوب غسله ، بل هو المعروف من </w:t>
      </w:r>
    </w:p>
    <w:p>
      <w:pPr>
        <w:pStyle w:val="BookText"/>
        <w:rPr/>
      </w:pP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النصّ الصحيح </w:t>
      </w:r>
      <w:r>
        <w:rPr>
          <w:rStyle w:val="FootnoteAnchor"/>
          <w:rtl w:val="true"/>
        </w:rPr>
        <w:footnoteReference w:id="2230"/>
      </w:r>
      <w:r>
        <w:rPr>
          <w:rFonts w:ascii="Amiri" w:hAnsi="Amiri" w:eastAsia="Amiri" w:cs="Amiri"/>
          <w:color w:val="111111"/>
          <w:sz w:val="28"/>
          <w:sz w:val="28"/>
          <w:szCs w:val="28"/>
          <w:rtl w:val="true"/>
          <w:lang w:bidi="ar-SA"/>
        </w:rPr>
        <w:t>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الّذي ينبغي القطع به دخول بعضه ؛ نظرا إلى التفسير المذكور ، لدخوله في التحديد المذكور والتزام تخصيصه كما قد يومي إليه كلام بعضهم بيّن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به ما حاذى العذار فوقه المحاذي لرأس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فسّره العلّامة في غير واحد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ويساعده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المقصود في الرواية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تأمل في خروجه عن الوجه ؛ لخروجه عن التحديد المذكور ، مضافا إلى خصوص الصحيح ، مع تأيّده بحكم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الراوندي القول بدخوله في الوجه ، وقد يحمل كلامه على الأوّل بإرادة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 ، وفسّره تارة بالشعر المحاذي للأذن ويتّصل اعلاه بالصدغ وأسفله بالعارض ، وأخرى بالقدر المحاذي للأذن ، وكذلك بينه وبين الأذن بياض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خروجه ؛ لعدم شمول الإصبعين له في الغالب ، ومن ظاهر الشيخ في المبسوط </w:t>
      </w:r>
      <w:r>
        <w:rPr>
          <w:rStyle w:val="FootnoteAnchor"/>
          <w:rtl w:val="true"/>
        </w:rPr>
        <w:footnoteReference w:id="2231"/>
      </w:r>
      <w:r>
        <w:rPr>
          <w:rFonts w:ascii="IRNazanin" w:hAnsi="IRNazanin" w:eastAsia="IRNazanin"/>
          <w:color w:val="111111"/>
          <w:sz w:val="28"/>
          <w:sz w:val="28"/>
          <w:szCs w:val="28"/>
          <w:rtl w:val="true"/>
          <w:lang w:bidi="fa-IR"/>
        </w:rPr>
        <w:t xml:space="preserve">والخلاف </w:t>
      </w:r>
      <w:r>
        <w:rPr>
          <w:rStyle w:val="FootnoteAnchor"/>
          <w:rtl w:val="true"/>
        </w:rPr>
        <w:footnoteReference w:id="2232"/>
      </w:r>
      <w:r>
        <w:rPr>
          <w:rFonts w:ascii="Amiri" w:hAnsi="Amiri" w:eastAsia="Amiri" w:cs="Amiri"/>
          <w:color w:val="111111"/>
          <w:sz w:val="28"/>
          <w:sz w:val="28"/>
          <w:szCs w:val="28"/>
          <w:rtl w:val="true"/>
          <w:lang w:bidi="ar-SA"/>
        </w:rPr>
        <w:t>والإسكافي دخوله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نصّ المحقق الكركي </w:t>
      </w:r>
      <w:r>
        <w:rPr>
          <w:rStyle w:val="FootnoteAnchor"/>
          <w:rtl w:val="true"/>
        </w:rPr>
        <w:footnoteReference w:id="2233"/>
      </w:r>
      <w:r>
        <w:rPr>
          <w:rFonts w:ascii="Amiri" w:hAnsi="Amiri" w:eastAsia="Amiri" w:cs="Amiri"/>
          <w:color w:val="111111"/>
          <w:sz w:val="28"/>
          <w:sz w:val="28"/>
          <w:szCs w:val="28"/>
          <w:rtl w:val="true"/>
          <w:lang w:bidi="ar-SA"/>
        </w:rPr>
        <w:t xml:space="preserve">والشهيد الثاني </w:t>
      </w:r>
      <w:r>
        <w:rPr>
          <w:rStyle w:val="FootnoteAnchor"/>
          <w:rtl w:val="true"/>
        </w:rPr>
        <w:footnoteReference w:id="2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بعضهم بين ما يشمله الإصبعان وغيره ، وبه جمع بين القولين المذكورين ،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 وفسّره غير واحد منهم بالشعر المنحطّ عن محاذاة الأذن المتصل أعلاه بالعذار وأسفله بما يقرب من الذّقن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القاموس </w:t>
      </w:r>
      <w:r>
        <w:rPr>
          <w:rStyle w:val="FootnoteAnchor"/>
          <w:rtl w:val="true"/>
        </w:rPr>
        <w:footnoteReference w:id="2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جانبا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يفسّر بمنبت الشعر المذكور كما يعرف من </w:t>
      </w:r>
    </w:p>
    <w:p>
      <w:pPr>
        <w:pStyle w:val="BookText"/>
        <w:rPr/>
      </w:pPr>
      <w:r>
        <w:rPr>
          <w:rFonts w:ascii="Amiri" w:hAnsi="Amiri" w:eastAsia="Amiri" w:cs="Amiri"/>
          <w:color w:val="111111"/>
          <w:sz w:val="28"/>
          <w:sz w:val="28"/>
          <w:szCs w:val="28"/>
          <w:rtl w:val="true"/>
          <w:lang w:bidi="ar-SA"/>
        </w:rPr>
        <w:t>ملاحظة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قطع الفاضلان بخروجه عن الوجه والشهيدان </w:t>
      </w:r>
      <w:r>
        <w:rPr>
          <w:rStyle w:val="FootnoteAnchor"/>
          <w:rtl w:val="true"/>
        </w:rPr>
        <w:footnoteReference w:id="2236"/>
      </w:r>
      <w:r>
        <w:rPr>
          <w:rFonts w:ascii="IRNazanin" w:hAnsi="IRNazanin" w:eastAsia="IRNazanin"/>
          <w:color w:val="111111"/>
          <w:sz w:val="28"/>
          <w:sz w:val="28"/>
          <w:szCs w:val="28"/>
          <w:rtl w:val="true"/>
          <w:lang w:bidi="fa-IR"/>
        </w:rPr>
        <w:t>بدخوله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وفصّل العلّامة في النهاية </w:t>
      </w:r>
      <w:r>
        <w:rPr>
          <w:rStyle w:val="FootnoteAnchor"/>
          <w:rtl w:val="true"/>
        </w:rPr>
        <w:footnoteReference w:id="2237"/>
      </w:r>
      <w:r>
        <w:rPr>
          <w:rFonts w:ascii="Amiri" w:hAnsi="Amiri" w:eastAsia="Amiri" w:cs="Amiri"/>
          <w:color w:val="111111"/>
          <w:sz w:val="28"/>
          <w:sz w:val="28"/>
          <w:szCs w:val="28"/>
          <w:rtl w:val="true"/>
          <w:lang w:bidi="ar-SA"/>
        </w:rPr>
        <w:t>بين ما ناله الإصبعان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 وقد يحمل عليه القولان الأخيران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أورده بعض الأفاضل على اعتباره بالاصبعين من أنّ التحديد بهما إنّما هو بالنسبة إلى وسط الوجه خاصّة وإلّا لزم غسل ما تجاوز عن العارض أيضا ، وهو باطل إجماعا ؛ إذ التحديد المذكور إنّما هو بالنظر إلى ما يشمله استدارة الوجه كما لا يخفى على من تأمّل في الرواية ، ولو سلّم الإطلاق فخروج ذلك بالإجماع لا يقضي بخروج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اختصاص التحديد بما ذكر فلا بدّ من القول بدخول جميع ما تحته بحكم الغصب </w:t>
      </w:r>
      <w:r>
        <w:rPr>
          <w:rStyle w:val="FootnoteAnchor"/>
          <w:rtl w:val="true"/>
        </w:rPr>
        <w:footnoteReference w:id="2238"/>
      </w:r>
      <w:r>
        <w:rPr>
          <w:rFonts w:ascii="Amiri" w:hAnsi="Amiri" w:eastAsia="Amiri" w:cs="Amiri"/>
          <w:color w:val="111111"/>
          <w:sz w:val="28"/>
          <w:sz w:val="28"/>
          <w:szCs w:val="28"/>
          <w:rtl w:val="true"/>
          <w:lang w:bidi="ar-SA"/>
        </w:rPr>
        <w:t>به ، فقضية الإطلاق احالة الباقي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المدار في الأصابع طولا وقصرا على مستوى الخلقة بحسب العادة ، فطويلها وقصيرها عن المعتاد يرجعان والإصبع </w:t>
      </w:r>
      <w:r>
        <w:rPr>
          <w:rStyle w:val="FootnoteAnchor"/>
          <w:rtl w:val="true"/>
        </w:rPr>
        <w:footnoteReference w:id="2239"/>
      </w:r>
      <w:r>
        <w:rPr>
          <w:rFonts w:ascii="Amiri" w:hAnsi="Amiri" w:eastAsia="Amiri" w:cs="Amiri"/>
          <w:color w:val="111111"/>
          <w:sz w:val="28"/>
          <w:sz w:val="28"/>
          <w:szCs w:val="28"/>
          <w:rtl w:val="true"/>
          <w:lang w:bidi="ar-SA"/>
        </w:rPr>
        <w:t>الخارج عن العادة يرجع إليها أيضا كالأغمّ كذلك ، فيجب عليه غسل موضع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عريض الوجه زائدا على المعتاد أو بعكسه قوي الرجوع في نفسه إلى يد تناسب ذلك الوجه في المعتاد ، وإن لم يكن من مستوى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يذهب عليك أن أشبار مستوى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متفاوته جدّا ، والبناء على خروج ما ذكرناه من حدّ الوجه في العرض إنّما هو على الأغلب</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في أشبار مستوى الخلقة </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الأجزاء من الحدود المذكورة بالفرض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 لزوم مثله ، وربّما يحمل عليه كلمات الأصحاب ؛ إذ لا موجب للتقييد إلّا في الصدغ ، والمعارضة بينه وبين التحديد بالأصابع من قبيل العموم من وجه ، وقضيّة الاحتياط إذن غسله</w:t>
      </w:r>
      <w:r>
        <w:rPr>
          <w:rFonts w:eastAsia="Amiri" w:cs="Amiri" w:ascii="Amiri" w:hAnsi="Amiri"/>
          <w:color w:val="111111"/>
          <w:sz w:val="28"/>
          <w:szCs w:val="28"/>
          <w:rtl w:val="true"/>
          <w:lang w:bidi="ar-SA"/>
        </w:rPr>
        <w:t xml:space="preserve">. </w:t>
      </w:r>
      <w:bookmarkStart w:id="362" w:name="pg15827_174013"/>
    </w:p>
    <w:p>
      <w:pPr>
        <w:pStyle w:val="Heading4"/>
        <w:numPr>
          <w:ilvl w:val="3"/>
          <w:numId w:val="1"/>
        </w:numPr>
        <w:rPr/>
      </w:pPr>
      <w:bookmarkStart w:id="363" w:name="__RefHeading___Toc14099845_2142443653"/>
      <w:bookmarkStart w:id="364" w:name="_Toc129"/>
      <w:bookmarkEnd w:id="362"/>
      <w:bookmarkEnd w:id="363"/>
      <w:r>
        <w:rPr>
          <w:rtl w:val="true"/>
        </w:rPr>
        <w:t>تبصرة</w:t>
      </w:r>
      <w:r>
        <w:rPr>
          <w:rtl w:val="true"/>
        </w:rPr>
        <w:t xml:space="preserve">: [ </w:t>
      </w:r>
      <w:r>
        <w:rPr>
          <w:rtl w:val="true"/>
        </w:rPr>
        <w:t xml:space="preserve">في كفاية مسمّى الغسل </w:t>
      </w:r>
      <w:r>
        <w:rPr>
          <w:rtl w:val="true"/>
        </w:rPr>
        <w:t>]</w:t>
      </w:r>
      <w:bookmarkEnd w:id="364"/>
    </w:p>
    <w:p>
      <w:pPr>
        <w:pStyle w:val="BookText"/>
        <w:rPr/>
      </w:pPr>
      <w:r>
        <w:rPr>
          <w:rFonts w:ascii="Amiri" w:hAnsi="Amiri" w:eastAsia="Amiri" w:cs="Amiri"/>
          <w:color w:val="111111"/>
          <w:sz w:val="28"/>
          <w:sz w:val="28"/>
          <w:szCs w:val="28"/>
          <w:rtl w:val="true"/>
          <w:lang w:bidi="ar-SA"/>
        </w:rPr>
        <w:t xml:space="preserve">الواجب من الغسل أقلّ مسمّاه ، ويحصل بجري الماء من جزء إلى آخر ولو بمعونة اليد على المشهور بين الأصحاب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البناء فيه على الرجوع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الاكتفاء بمثل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ظاهر بين الأقوال المذكورة ؛ لإمكان الانطباق بينها ، وكأنّ الاختلاف في التعبير من جهة احتمال المغايرة ، فعبّر كلّ بما هو المناط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فصّل بعضهم في الاكتفاء بمثل الدهن بين حالتي الاختيار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الشهيد </w:t>
      </w:r>
      <w:r>
        <w:rPr>
          <w:rStyle w:val="FootnoteAnchor"/>
          <w:rtl w:val="true"/>
        </w:rPr>
        <w:footnoteReference w:id="2242"/>
      </w:r>
      <w:r>
        <w:rPr>
          <w:rFonts w:ascii="Amiri" w:hAnsi="Amiri" w:eastAsia="Amiri" w:cs="Amiri"/>
          <w:color w:val="111111"/>
          <w:sz w:val="28"/>
          <w:sz w:val="28"/>
          <w:szCs w:val="28"/>
          <w:rtl w:val="true"/>
          <w:lang w:bidi="ar-SA"/>
        </w:rPr>
        <w:t xml:space="preserve">عن الشيخين </w:t>
      </w:r>
      <w:r>
        <w:rPr>
          <w:rStyle w:val="FootnoteAnchor"/>
          <w:rtl w:val="true"/>
        </w:rPr>
        <w:footnoteReference w:id="2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تأمّل في المغايرة إلّا أن القول به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اعتبار الجريان في الجملة أنّه المتبادر من لفظ الغسل عرفا ، فيثبت كونه كذلك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ذكره بخصوصه في كلام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بعدمه ؛ لاكتفائهم عن ذكره لوضوحه ، ومع الغض عنه فالمتّبع في مثله هو المعنى العرفي عند الدوران بينه وبين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بالاكتفاء فيه أيضا بإفاضة الماء على المحلّ أو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اعتبار الجريان في بعض الصحاح ، وفيه </w:t>
      </w:r>
      <w:r>
        <w:rPr>
          <w:rStyle w:val="FootnoteAnchor"/>
          <w:rtl w:val="true"/>
        </w:rPr>
        <w:footnoteReference w:id="22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الشعر </w:t>
      </w:r>
    </w:p>
    <w:p>
      <w:pPr>
        <w:pStyle w:val="BookText"/>
        <w:rPr/>
      </w:pPr>
      <w:r>
        <w:rPr>
          <w:rFonts w:ascii="Amiri" w:hAnsi="Amiri" w:eastAsia="Amiri" w:cs="Amiri"/>
          <w:color w:val="111111"/>
          <w:sz w:val="28"/>
          <w:sz w:val="28"/>
          <w:szCs w:val="28"/>
          <w:rtl w:val="true"/>
          <w:lang w:bidi="ar-SA"/>
        </w:rPr>
        <w:t xml:space="preserve">ليس للعباد أن يغسلوه ولا يبحثوا عنه ولكن يجري عليه الماء </w:t>
      </w:r>
      <w:r>
        <w:rPr>
          <w:rFonts w:eastAsia="Amiri" w:cs="Amiri" w:ascii="Amiri" w:hAnsi="Amiri"/>
          <w:color w:val="111111"/>
          <w:sz w:val="28"/>
          <w:szCs w:val="28"/>
          <w:rtl w:val="true"/>
          <w:lang w:bidi="ar-SA"/>
        </w:rPr>
        <w:t xml:space="preserve">»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أيضا في الغسل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الجنب ما جرى عليه الماء من جسده فقد أجزأه </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قائل بالفرق مضافا إلى ما في الأخبار الواردة في الوضوء البياني من ذكر الصبّ والإفاضة والغرفة لكلّ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المستفيضة الاكتفاء فيه بمثل الدّهن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المؤمن لا ينجّسه شي‌ء إنّما يكفيه مثل الدهن </w:t>
      </w:r>
      <w:r>
        <w:rPr>
          <w:rFonts w:eastAsia="Amiri" w:cs="Amiri" w:ascii="Amiri" w:hAnsi="Amiri"/>
          <w:color w:val="111111"/>
          <w:sz w:val="28"/>
          <w:szCs w:val="28"/>
          <w:rtl w:val="true"/>
          <w:lang w:bidi="ar-SA"/>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جلدك الماء فحسبك </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آخر في الغسل ، وهي محمولة على بيان أقل مراتب الجريان المعتبر في الغسل ، فظاهر إطلاقها مقيّد بما ذكرنا ، والمعارضة بين إطلاقها وما مرّ من قبيل العموم المطلق ، فلا بدّ من 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بعض الأعلام الميل إلى عدم معارضته بين المقامين ؛ إذ ليس في شي‌ء منهما دلالة على عدم اجزاء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 إذ ما دلّ على اعتبار الغسل والجريان ظاهر في </w:t>
      </w:r>
      <w:r>
        <w:rPr>
          <w:rStyle w:val="FootnoteAnchor"/>
          <w:rtl w:val="true"/>
        </w:rPr>
        <w:footnoteReference w:id="2249"/>
      </w:r>
      <w:r>
        <w:rPr>
          <w:rFonts w:ascii="Amiri" w:hAnsi="Amiri" w:eastAsia="Amiri" w:cs="Amiri"/>
          <w:color w:val="111111"/>
          <w:sz w:val="28"/>
          <w:sz w:val="28"/>
          <w:szCs w:val="28"/>
          <w:rtl w:val="true"/>
          <w:lang w:bidi="ar-SA"/>
        </w:rPr>
        <w:t>تعيينه بخلاف الأخبار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الواجب حصول مسمّى الغسل ، فيعمّ سائر وجوهه من الصبّ عليه أو إدخاله في الماء أو تحريكه تحت الماء أو إخراجه عنه أو الوقوف تحت المطر بحيث يجري الماء على العضو</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جعل العضو تحت غير المطر من المياه النازلة إن لم يكن بصبّ الغير ، وإلّا كان الآخر </w:t>
      </w:r>
    </w:p>
    <w:p>
      <w:pPr>
        <w:pStyle w:val="BookText"/>
        <w:rPr/>
      </w:pPr>
      <w:r>
        <w:rPr>
          <w:rFonts w:ascii="Amiri" w:hAnsi="Amiri" w:eastAsia="Amiri" w:cs="Amiri"/>
          <w:color w:val="111111"/>
          <w:sz w:val="28"/>
          <w:sz w:val="28"/>
          <w:szCs w:val="28"/>
          <w:rtl w:val="true"/>
          <w:lang w:bidi="ar-SA"/>
        </w:rPr>
        <w:t>هو الغاسل ، ولا أقلّ من الشك فلا يتمّ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يتعمد الآخر صبّ الماء عليه ففي الاجتزاء به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نواه بمجرّد الكون في الماء احتمل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الاجتزاء ؛ لمكان الشكّ في صدق اسم الغسل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يتخيّل عدم الاجتزاء في الوجوه المتأخرة ، فلا ينصرف الإطلاق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 أنّ مجرّد جريان الطريقة على نحو مخصوص لا يوجب صرف الإطلاق مع وضوح كون المذكورات من أنواع الغسل ، بل وشيوعها في غسل النجاسات ، سيّما بالنسبة إلى أوّل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الصحيح الاكتفاء فيه بإصابة المطر مع غسله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الاجتزاء بإمرار الخرقة النديّة على العضو بحيث يحصل به إجراء الرطوبة من جزء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أمرّ الثلج أو مسح يده النديّة على العضو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اغسله من أعلا وجهك إلى أسفله بالماء مسحا ، وكذلك فامسح الماء على ذراعيك ورأسك وقدميك </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محمولة على خصوص الجريان في المسح في غير الرأس والقدمين ، فيقيّد ما قلناه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إشارة إلى عدم المباينة بين كلّ من المسح والغسل ، وسيجي‌ء الإشارة إليه</w:t>
      </w:r>
      <w:r>
        <w:rPr>
          <w:rFonts w:eastAsia="Amiri" w:cs="Amiri" w:ascii="Amiri" w:hAnsi="Amiri"/>
          <w:color w:val="111111"/>
          <w:sz w:val="28"/>
          <w:szCs w:val="28"/>
          <w:rtl w:val="true"/>
          <w:lang w:bidi="ar-SA"/>
        </w:rPr>
        <w:t xml:space="preserve">. </w:t>
      </w:r>
      <w:bookmarkStart w:id="365" w:name="pg15827_174016"/>
    </w:p>
    <w:p>
      <w:pPr>
        <w:pStyle w:val="Heading4"/>
        <w:numPr>
          <w:ilvl w:val="3"/>
          <w:numId w:val="1"/>
        </w:numPr>
        <w:rPr/>
      </w:pPr>
      <w:bookmarkStart w:id="366" w:name="__RefHeading___Toc14099847_2142443653"/>
      <w:bookmarkStart w:id="367" w:name="_Toc130"/>
      <w:bookmarkEnd w:id="365"/>
      <w:bookmarkEnd w:id="366"/>
      <w:r>
        <w:rPr>
          <w:rtl w:val="true"/>
        </w:rPr>
        <w:t>تبصرة</w:t>
      </w:r>
      <w:r>
        <w:rPr>
          <w:rtl w:val="true"/>
        </w:rPr>
        <w:t xml:space="preserve">: [ </w:t>
      </w:r>
      <w:r>
        <w:rPr>
          <w:rtl w:val="true"/>
        </w:rPr>
        <w:t xml:space="preserve">في غسل ظاهر الوجه </w:t>
      </w:r>
      <w:r>
        <w:rPr>
          <w:rtl w:val="true"/>
        </w:rPr>
        <w:t>]</w:t>
      </w:r>
      <w:bookmarkEnd w:id="367"/>
    </w:p>
    <w:p>
      <w:pPr>
        <w:pStyle w:val="BookText"/>
        <w:rPr/>
      </w:pPr>
      <w:r>
        <w:rPr>
          <w:rFonts w:ascii="Amiri" w:hAnsi="Amiri" w:eastAsia="Amiri" w:cs="Amiri"/>
          <w:color w:val="111111"/>
          <w:sz w:val="28"/>
          <w:sz w:val="28"/>
          <w:szCs w:val="28"/>
          <w:rtl w:val="true"/>
          <w:lang w:bidi="ar-SA"/>
        </w:rPr>
        <w:t>يجب غسل ظاهر الوجه من البشرة والشعر المختصّ به ، فلا يجب الاستبطان فيما ستره الشعر كالحاجبين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أحاط به الشعر فليس للعباد أن يغسلوه ولا يبحثوا عنه ، ولكن يجري عليه الماء </w:t>
      </w:r>
      <w:r>
        <w:rPr>
          <w:rFonts w:eastAsia="Amiri" w:cs="Amiri" w:ascii="Amiri" w:hAnsi="Amiri"/>
          <w:color w:val="111111"/>
          <w:sz w:val="28"/>
          <w:szCs w:val="28"/>
          <w:rtl w:val="true"/>
          <w:lang w:bidi="ar-SA"/>
        </w:rPr>
        <w:t xml:space="preserve">»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فاللحية الكثيفة لا يجب تخليلها ، وهو محلّ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في اللحية الخفيفة قولان ، والأقوى عدم وجوب غسل ما أحاط به الشعر بحيث يستر البشرة دون ما ترى منه ؛ إذ الظاهر من الصحيحة المتقدمة ذلك ، وهو الظاهر أيضا من الصحيحة الأخرى عن </w:t>
      </w:r>
      <w:r>
        <w:rPr>
          <w:rStyle w:val="FootnoteAnchor"/>
          <w:rtl w:val="true"/>
        </w:rPr>
        <w:footnoteReference w:id="2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يتوضّأ أيبطن لحيته؟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53"/>
      </w:r>
      <w:r>
        <w:rPr>
          <w:rFonts w:ascii="IRNazanin" w:hAnsi="IRNazanin" w:eastAsia="IRNazanin"/>
          <w:color w:val="111111"/>
          <w:sz w:val="28"/>
          <w:sz w:val="28"/>
          <w:szCs w:val="28"/>
          <w:rtl w:val="true"/>
          <w:lang w:bidi="fa-IR"/>
        </w:rPr>
        <w:t xml:space="preserve">؛ إذ ظاهر </w:t>
      </w:r>
      <w:r>
        <w:rPr>
          <w:rStyle w:val="FootnoteAnchor"/>
          <w:rtl w:val="true"/>
        </w:rPr>
        <w:footnoteReference w:id="2254"/>
      </w:r>
      <w:r>
        <w:rPr>
          <w:rFonts w:ascii="Amiri" w:hAnsi="Amiri" w:eastAsia="Amiri" w:cs="Amiri"/>
          <w:color w:val="111111"/>
          <w:sz w:val="28"/>
          <w:sz w:val="28"/>
          <w:szCs w:val="28"/>
          <w:rtl w:val="true"/>
          <w:lang w:bidi="ar-SA"/>
        </w:rPr>
        <w:t>الإبطان ايصال الماء تحت الشعر الحاجب للبشرة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المحكي عن السيد </w:t>
      </w:r>
      <w:r>
        <w:rPr>
          <w:rStyle w:val="FootnoteAnchor"/>
          <w:rtl w:val="true"/>
        </w:rPr>
        <w:footnoteReference w:id="2255"/>
      </w:r>
      <w:r>
        <w:rPr>
          <w:rFonts w:ascii="Amiri" w:hAnsi="Amiri" w:eastAsia="Amiri" w:cs="Amiri"/>
          <w:color w:val="111111"/>
          <w:sz w:val="28"/>
          <w:sz w:val="28"/>
          <w:szCs w:val="28"/>
          <w:rtl w:val="true"/>
          <w:lang w:bidi="ar-SA"/>
        </w:rPr>
        <w:t>والإسكافي في ذلك غير ظاهر ؛ إذ لا إشعار في العبارة المحكيّة عنها في ذلك ، بل الظاهر منها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وجوب غسل المواضع الغير المستورة بالشعر ممّا لا خلاف فيه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المقاصد العليّة حكاية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الأنوار القمريّة نفي الخلاف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الظاهر من جامع المقاصد </w:t>
      </w:r>
      <w:r>
        <w:rPr>
          <w:rStyle w:val="FootnoteAnchor"/>
          <w:rtl w:val="true"/>
        </w:rPr>
        <w:footnoteReference w:id="2256"/>
      </w:r>
      <w:r>
        <w:rPr>
          <w:rFonts w:ascii="IRNazanin" w:hAnsi="IRNazanin" w:eastAsia="IRNazanin"/>
          <w:color w:val="111111"/>
          <w:sz w:val="28"/>
          <w:sz w:val="28"/>
          <w:szCs w:val="28"/>
          <w:rtl w:val="true"/>
          <w:lang w:bidi="fa-IR"/>
        </w:rPr>
        <w:t xml:space="preserve">والروض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المحقّق الكركي أنّه ممّا لا كلام فيه ، فيكون محلّ الخلاف إذن بمقتضى ما ذكره الجماعة في غسل البشرة المستورة بالشعر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تأمّل في وجوب غسل المستورة لما عرفت من الأدلّة بل لا يبعد نفي الخلاف عنه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 الأصحاب دعوى الاتّفاق على عدم وجوب غسله ، وقد جعل النزاع في البشرة الظاهرة على عكس الجماعة المتقدّمة ، فإذا بني على الجمع بين الإجماعين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النزاع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بعد جعل النزاع في كلّ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بعض الأفاضل عن البعض تخصيص الخلاف </w:t>
      </w:r>
      <w:r>
        <w:rPr>
          <w:rStyle w:val="FootnoteAnchor"/>
          <w:rtl w:val="true"/>
        </w:rPr>
        <w:footnoteReference w:id="2258"/>
      </w:r>
      <w:r>
        <w:rPr>
          <w:rFonts w:ascii="Amiri" w:hAnsi="Amiri" w:eastAsia="Amiri" w:cs="Amiri"/>
          <w:color w:val="111111"/>
          <w:sz w:val="28"/>
          <w:sz w:val="28"/>
          <w:szCs w:val="28"/>
          <w:rtl w:val="true"/>
          <w:lang w:bidi="ar-SA"/>
        </w:rPr>
        <w:t xml:space="preserve">بالبشرة المستورة تحت الخفيفة بناء على عدم الخلاف في وجوب غسل الظاهر كما حكي عن آخرين عكسه مدّعيا </w:t>
      </w:r>
      <w:r>
        <w:rPr>
          <w:rStyle w:val="FootnoteAnchor"/>
          <w:rtl w:val="true"/>
        </w:rPr>
        <w:footnoteReference w:id="2259"/>
      </w:r>
      <w:r>
        <w:rPr>
          <w:rFonts w:ascii="Amiri" w:hAnsi="Amiri" w:eastAsia="Amiri" w:cs="Amiri"/>
          <w:color w:val="111111"/>
          <w:sz w:val="28"/>
          <w:sz w:val="28"/>
          <w:szCs w:val="28"/>
          <w:rtl w:val="true"/>
          <w:lang w:bidi="ar-SA"/>
        </w:rPr>
        <w:t>للاتّفاق على عدم وجوب غسل المستورة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خصّ الخلاف بالخفيفة الّذي يكون غالبه مستورا ، ويصدق عليه عرفا أنّه المناط به الشعر وإن لم يصدق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كما ترى</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الخلاف في الخفيف الذي يستر البشرة في بعض الأحيان دون بعض ، فهل يغلب </w:t>
      </w:r>
      <w:r>
        <w:rPr>
          <w:rStyle w:val="FootnoteAnchor"/>
          <w:rtl w:val="true"/>
        </w:rPr>
        <w:footnoteReference w:id="2260"/>
      </w:r>
      <w:r>
        <w:rPr>
          <w:rFonts w:ascii="Amiri" w:hAnsi="Amiri" w:eastAsia="Amiri" w:cs="Amiri"/>
          <w:color w:val="111111"/>
          <w:sz w:val="28"/>
          <w:sz w:val="28"/>
          <w:szCs w:val="28"/>
          <w:rtl w:val="true"/>
          <w:lang w:bidi="ar-SA"/>
        </w:rPr>
        <w:t xml:space="preserve">جانب الستر ، فلا يجب غسله حال الظهور أيضا أو بالعكس؟ </w:t>
      </w:r>
    </w:p>
    <w:p>
      <w:pPr>
        <w:pStyle w:val="BookText"/>
        <w:rPr/>
      </w:pPr>
      <w:r>
        <w:rPr>
          <w:rFonts w:ascii="Amiri" w:hAnsi="Amiri" w:eastAsia="Amiri" w:cs="Amiri"/>
          <w:color w:val="111111"/>
          <w:sz w:val="28"/>
          <w:sz w:val="28"/>
          <w:szCs w:val="28"/>
          <w:rtl w:val="true"/>
          <w:lang w:bidi="ar-SA"/>
        </w:rPr>
        <w:t xml:space="preserve">والأقوى فيه إذن أنّ وجوب الغسل أمّا حال الظهور فظاهر ، وأمّا مع عدمه للشك </w:t>
      </w:r>
      <w:r>
        <w:rPr>
          <w:rStyle w:val="FootnoteAnchor"/>
          <w:rtl w:val="true"/>
        </w:rPr>
        <w:footnoteReference w:id="2261"/>
      </w:r>
      <w:r>
        <w:rPr>
          <w:rFonts w:ascii="Amiri" w:hAnsi="Amiri" w:eastAsia="Amiri" w:cs="Amiri"/>
          <w:color w:val="111111"/>
          <w:sz w:val="28"/>
          <w:sz w:val="28"/>
          <w:szCs w:val="28"/>
          <w:rtl w:val="true"/>
          <w:lang w:bidi="ar-SA"/>
        </w:rPr>
        <w:t>في قيام الشعر مقام البشرة وانتفاء اليقين بالبراءة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التفصيل بين الحالين ، فيجب حال الظهور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ويتقوّى القول به في المتدلّي على البشرة ، فلو </w:t>
      </w:r>
      <w:r>
        <w:rPr>
          <w:rStyle w:val="FootnoteAnchor"/>
          <w:rtl w:val="true"/>
        </w:rPr>
        <w:footnoteReference w:id="2262"/>
      </w:r>
      <w:r>
        <w:rPr>
          <w:rFonts w:ascii="Amiri" w:hAnsi="Amiri" w:eastAsia="Amiri" w:cs="Amiri"/>
          <w:color w:val="111111"/>
          <w:sz w:val="28"/>
          <w:sz w:val="28"/>
          <w:szCs w:val="28"/>
          <w:rtl w:val="true"/>
          <w:lang w:bidi="ar-SA"/>
        </w:rPr>
        <w:t xml:space="preserve">كشف عن الكثيف </w:t>
      </w:r>
      <w:r>
        <w:rPr>
          <w:rStyle w:val="FootnoteAnchor"/>
          <w:rtl w:val="true"/>
        </w:rPr>
        <w:footnoteReference w:id="2263"/>
      </w:r>
      <w:r>
        <w:rPr>
          <w:rFonts w:ascii="Amiri" w:hAnsi="Amiri" w:eastAsia="Amiri" w:cs="Amiri"/>
          <w:color w:val="111111"/>
          <w:sz w:val="28"/>
          <w:sz w:val="28"/>
          <w:szCs w:val="28"/>
          <w:rtl w:val="true"/>
          <w:lang w:bidi="ar-SA"/>
        </w:rPr>
        <w:t xml:space="preserve">فظهرت البشرة احتمل وجوب غسله ، والصحيحة تدلّ على عدم وجوبه </w:t>
      </w:r>
      <w:r>
        <w:rPr>
          <w:rFonts w:eastAsia="Amiri" w:cs="Amiri" w:ascii="Amiri" w:hAnsi="Amiri"/>
          <w:color w:val="111111"/>
          <w:sz w:val="28"/>
          <w:szCs w:val="28"/>
          <w:rtl w:val="true"/>
          <w:lang w:bidi="ar-SA"/>
        </w:rPr>
        <w:t xml:space="preserve">[ .. ] </w:t>
      </w:r>
      <w:r>
        <w:rPr>
          <w:rStyle w:val="FootnoteAnchor"/>
          <w:rtl w:val="true"/>
        </w:rPr>
        <w:footnoteReference w:id="2264"/>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يستر الحاجب لون البشرة وجب غسل ما تحته ، وإنّما يجب غسل ما يتراءى من البشرة تحته دون ما احتجب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إجراء الخلاف في اللحية الخفيفة هنا أيضا ، والأعمّ الخارج عن المعتاد إنّما يغسل ظاهر غمته ، ولا يجب عليه الاستبطان عملا بالاطلاق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سائر الشعور النابتة في الوجه سواء كانت في المحلّ المعدّ له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سقوط الغسل عن البشرة المستورة بتكاثر الشعر ، فالمستورة بتدلّي الشعر الواحد ونحوه لا يسقط غسله ، ولو تدلّى الشعر من غير محلّ الغسل عليه لم يجب غسله بل تعيّن غسل ما تحته ، أمّا المتدلّي من بعض مواضع الغسل على آخر فإن خرج عن حدود الوجه لم يجب غسله قطعا وإن لم يخرج فالظاهر وجوب غسله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يكتفى به عن غسله ما تحته كذلك أو يقتضي بغسل الشعر عن غسل البشرة بالنسبة إلى منابتها وما يفارقها ؛ أخذا بظاهر ما يتراءى من الصحيحة المتقدّمة؟ وجهان ؛ أوجههما الأوّل مع صدق كونه مخاطبا للشعر ، وإلّا لزم غسله في وجه قويّ</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الزيادات الحاصلة في المحلّ المغسول كالبثور واللحم الزائد تابعة للمحلّ في وجوب الغسل ؛ لدخولها في اسم الوجه ، وإن كانت في الذقن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w:t>
      </w:r>
      <w:r>
        <w:rPr>
          <w:rStyle w:val="FootnoteAnchor"/>
          <w:rtl w:val="true"/>
        </w:rPr>
        <w:footnoteReference w:id="2265"/>
      </w:r>
      <w:r>
        <w:rPr>
          <w:rFonts w:ascii="Amiri" w:hAnsi="Amiri" w:eastAsia="Amiri" w:cs="Amiri"/>
          <w:color w:val="111111"/>
          <w:sz w:val="28"/>
          <w:sz w:val="28"/>
          <w:szCs w:val="28"/>
          <w:rtl w:val="true"/>
          <w:lang w:bidi="ar-SA"/>
        </w:rPr>
        <w:t>عدم وجوب غسلها إذا خرجت عن منتهى الذقن ، والظاهر وجوبه مع دخولها في اسم الذقن ، ولذا يجب غسل الشعر النابت عليه المختصّ</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خرجت من حدّه بحيث لا يشمله اسم الوجه ففيه إشكال مع ارتفاع بشرة الوجه معها ، والأظهر فيه أيضا عدم الوجوب</w:t>
      </w:r>
      <w:r>
        <w:rPr>
          <w:rFonts w:eastAsia="Amiri" w:cs="Amiri" w:ascii="Amiri" w:hAnsi="Amiri"/>
          <w:color w:val="111111"/>
          <w:sz w:val="28"/>
          <w:szCs w:val="28"/>
          <w:rtl w:val="true"/>
          <w:lang w:bidi="ar-SA"/>
        </w:rPr>
        <w:t xml:space="preserve">. </w:t>
      </w:r>
      <w:bookmarkStart w:id="368" w:name="pg15827_174020"/>
    </w:p>
    <w:p>
      <w:pPr>
        <w:pStyle w:val="Heading4"/>
        <w:numPr>
          <w:ilvl w:val="3"/>
          <w:numId w:val="1"/>
        </w:numPr>
        <w:rPr/>
      </w:pPr>
      <w:bookmarkStart w:id="369" w:name="__RefHeading___Toc14099849_2142443653"/>
      <w:bookmarkStart w:id="370" w:name="_Toc131"/>
      <w:bookmarkEnd w:id="368"/>
      <w:bookmarkEnd w:id="369"/>
      <w:r>
        <w:rPr>
          <w:rtl w:val="true"/>
        </w:rPr>
        <w:t>تبصرة</w:t>
      </w:r>
      <w:r>
        <w:rPr>
          <w:rtl w:val="true"/>
        </w:rPr>
        <w:t xml:space="preserve">: [ </w:t>
      </w:r>
      <w:r>
        <w:rPr>
          <w:rtl w:val="true"/>
        </w:rPr>
        <w:t xml:space="preserve">في غسل اليدين </w:t>
      </w:r>
      <w:r>
        <w:rPr>
          <w:rtl w:val="true"/>
        </w:rPr>
        <w:t>]</w:t>
      </w:r>
      <w:bookmarkEnd w:id="370"/>
    </w:p>
    <w:p>
      <w:pPr>
        <w:pStyle w:val="BookText"/>
        <w:rPr/>
      </w:pPr>
      <w:r>
        <w:rPr>
          <w:rFonts w:ascii="Amiri" w:hAnsi="Amiri" w:eastAsia="Amiri" w:cs="Amiri"/>
          <w:color w:val="111111"/>
          <w:sz w:val="28"/>
          <w:sz w:val="28"/>
          <w:szCs w:val="28"/>
          <w:rtl w:val="true"/>
          <w:lang w:bidi="ar-SA"/>
        </w:rPr>
        <w:t xml:space="preserve">الثاني والثالث من أفعال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اليدين إلى المرفقين ، بلا خلاف بين الامّة بل هو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غسل المرفقين بلا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ذلك لدخوله في اليد أو لكونه مقدّمة للعلم؟ وجهان ، بل قولان مبنيّان على دخول الغاية في المغيّى وخروجها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وجوب إدخال جزء من العضد في المغسول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الاحتياط في تحصيل البراءة اليقينيّة ترجّح الأوّل سيّما على القول بكون ألفاظ العبادات بإزاء الصحيحة مضافا إلى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تبصرة </w:t>
      </w:r>
      <w:r>
        <w:rPr>
          <w:rStyle w:val="FootnoteAnchor"/>
          <w:rtl w:val="true"/>
        </w:rPr>
        <w:footnoteReference w:id="2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من أفعال الوضوء غسل اليدين إلى المرفقين بلا خلاف فيه بين الأمة ، بل هو من ضروريّات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وجوب غسل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جوامع الجامع </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أهل البيت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قطع الأصحاب بوجوب غسل المرفقين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وعلّله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الغاية مع عدم التميّز داخلة في المغيّى ، </w:t>
      </w:r>
    </w:p>
    <w:p>
      <w:pPr>
        <w:pStyle w:val="BookText"/>
        <w:rPr/>
      </w:pPr>
      <w:r>
        <w:rPr>
          <w:rFonts w:ascii="Amiri" w:hAnsi="Amiri" w:eastAsia="Amiri" w:cs="Amiri"/>
          <w:color w:val="111111"/>
          <w:sz w:val="28"/>
          <w:sz w:val="28"/>
          <w:szCs w:val="28"/>
          <w:rtl w:val="true"/>
          <w:lang w:bidi="ar-SA"/>
        </w:rPr>
        <w:t>فالظاهر من كلامه كون المذهب على وجوب غسلهما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مشرق الشمسين </w:t>
      </w:r>
      <w:r>
        <w:rPr>
          <w:rStyle w:val="FootnoteAnchor"/>
          <w:rtl w:val="true"/>
        </w:rPr>
        <w:footnoteReference w:id="2269"/>
      </w:r>
      <w:r>
        <w:rPr>
          <w:rFonts w:ascii="Amiri" w:hAnsi="Amiri" w:eastAsia="Amiri" w:cs="Amiri"/>
          <w:color w:val="111111"/>
          <w:sz w:val="28"/>
          <w:sz w:val="28"/>
          <w:szCs w:val="28"/>
          <w:rtl w:val="true"/>
          <w:lang w:bidi="ar-SA"/>
        </w:rPr>
        <w:t>بعد ما استند في إدخال المرفق في الغسل إلى فعل المغيّى أنّه قد أطبق جماهير الأمّة أيضا على دخوله ، ولم يخالف في ذلك إلّا شرذمة من العامّة لا يعتدّ بهم ولا بخلافهم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الأنوار القمريّة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الأصحاب أنّه لا خلاف في وجوب غسلهما ، وإنّما الخلاف في سبب وجوبه أنّه النصّ أو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عليهما وجوب إدخاله </w:t>
      </w:r>
      <w:r>
        <w:rPr>
          <w:rStyle w:val="FootnoteAnchor"/>
          <w:rtl w:val="true"/>
        </w:rPr>
        <w:footnoteReference w:id="2270"/>
      </w:r>
      <w:r>
        <w:rPr>
          <w:rFonts w:ascii="Amiri" w:hAnsi="Amiri" w:eastAsia="Amiri" w:cs="Amiri"/>
          <w:color w:val="111111"/>
          <w:sz w:val="28"/>
          <w:sz w:val="28"/>
          <w:szCs w:val="28"/>
          <w:rtl w:val="true"/>
          <w:lang w:bidi="ar-SA"/>
        </w:rPr>
        <w:t>جزء من العضد في المغسول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القول بالأخير عن العلّامة في المنتهى </w:t>
      </w:r>
      <w:r>
        <w:rPr>
          <w:rStyle w:val="FootnoteAnchor"/>
          <w:rtl w:val="true"/>
        </w:rPr>
        <w:footnoteReference w:id="2271"/>
      </w:r>
      <w:r>
        <w:rPr>
          <w:rFonts w:ascii="Amiri" w:hAnsi="Amiri" w:eastAsia="Amiri" w:cs="Amiri"/>
          <w:color w:val="111111"/>
          <w:sz w:val="28"/>
          <w:sz w:val="28"/>
          <w:szCs w:val="28"/>
          <w:rtl w:val="true"/>
          <w:lang w:bidi="ar-SA"/>
        </w:rPr>
        <w:t xml:space="preserve">وجمع من المتأخرين ، ونفي عنه البأس في المدارك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ويضعّفه أنّ غسله من باب المقدمة العلميّة لا يتوقّف على غسل جميع المرفق بل يكتفي فيه ببعض أجزائه المتّصلة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فبملاحظة الاحتياط الواجب في المقام بعد تسليم انتفاء الدلالة على دخول الغاية في المغيّى يرجّح المصير إلى الأوّل ، مضافا إلى الصحيحة الحاكية لفعله عليه‌السلام حيث ذكر فيه وضعه الماء على المرفق بناء على ظهور الفعل في الوجوب النفسي كالقول ، وفي عدة أخبار </w:t>
      </w:r>
      <w:r>
        <w:rPr>
          <w:rStyle w:val="FootnoteAnchor"/>
          <w:rtl w:val="true"/>
        </w:rPr>
        <w:footnoteReference w:id="2273"/>
      </w:r>
      <w:r>
        <w:rPr>
          <w:rFonts w:ascii="Amiri" w:hAnsi="Amiri" w:eastAsia="Amiri" w:cs="Amiri"/>
          <w:color w:val="111111"/>
          <w:sz w:val="28"/>
          <w:sz w:val="28"/>
          <w:szCs w:val="28"/>
          <w:rtl w:val="true"/>
          <w:lang w:bidi="ar-SA"/>
        </w:rPr>
        <w:t xml:space="preserve">كون غسل كلّ من اليدين من المرفق بناء على استظهار دخول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المقصود ، مضافا إلى اعتضاده بظاهر الإجماع المنقول ، وما عزاه في الجوامع إلى مذهب أهل البيت عليهم‌السلام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الأخير الأصل ؛ إذ لا دليل يعتدّ به على دخول المرفق </w:t>
      </w:r>
      <w:r>
        <w:rPr>
          <w:rStyle w:val="FootnoteAnchor"/>
          <w:rtl w:val="true"/>
        </w:rPr>
        <w:footnoteReference w:id="2274"/>
      </w:r>
      <w:r>
        <w:rPr>
          <w:rFonts w:ascii="Amiri" w:hAnsi="Amiri" w:eastAsia="Amiri" w:cs="Amiri"/>
          <w:color w:val="111111"/>
          <w:sz w:val="28"/>
          <w:sz w:val="28"/>
          <w:szCs w:val="28"/>
          <w:rtl w:val="true"/>
          <w:lang w:bidi="ar-SA"/>
        </w:rPr>
        <w:t xml:space="preserve">بالأصالة ، وجعل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مجاز لا يصار إليه إلّا بالقرينة ، وحمله على الغاية كما هو الظاهر يقضي بخروجها بناء على استظهار خروج الغاية عن المغيّى مضافا إلى ما في جملة من الوضوءات البيانيّة من غسل الساعدين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معوّل على الأصل في المقام ، واستظهار خروج الغاية غير واضح سيّما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الساعدين في تلك الأخبار لا يدلّ على خروج المرافق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استيعاب الغسل ظاهر اليدين كما مرّ في غسل الوجه ، ولا بدّ من غسل البشرة والشعر النابت في موضع الغسل إلّا أن يتكاثف الشعر بحيث يحجب البشرة ، فيتقوّى حينئذ الاقتصار على غسل ظاهره ؛ للصحيحة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هنا وجوب الاستبطان </w:t>
      </w:r>
      <w:r>
        <w:rPr>
          <w:rStyle w:val="FootnoteAnchor"/>
          <w:rtl w:val="true"/>
        </w:rPr>
        <w:footnoteReference w:id="2275"/>
      </w:r>
      <w:r>
        <w:rPr>
          <w:rFonts w:ascii="Amiri" w:hAnsi="Amiri" w:eastAsia="Amiri" w:cs="Amiri"/>
          <w:color w:val="111111"/>
          <w:sz w:val="28"/>
          <w:sz w:val="28"/>
          <w:szCs w:val="28"/>
          <w:rtl w:val="true"/>
          <w:lang w:bidi="ar-SA"/>
        </w:rPr>
        <w:t>إلّا أنّ البناء على ظاهر عمومها هو الأظهر سيّما مع صدق غسل اليد عرفا بغسل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محلّ الغسل لحم زائد أو إصبع زائد ونحوها وجب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الحدائق </w:t>
      </w:r>
      <w:r>
        <w:rPr>
          <w:rStyle w:val="FootnoteAnchor"/>
          <w:rtl w:val="true"/>
        </w:rPr>
        <w:footnoteReference w:id="2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فيه إلّا انّه ناقش في مستنده ، ثمّ حكم به من جهة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بعد ذلك دخوله في اسم اليد ، ومجرّد ندرة وجوده لا يقضي بخروجه عن الإطلاق بعد شمول اللفظ له عند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كان بحيث لا يندرج في إطلاق اليد فالظاهر عدم وجوب غسله ولو كان الزائد أخرى أشكل اندراجها في اليد الأصلي إلّا أنّ الأظهر وجوب غسلها ؛ أخذا بيقين الفراغ ، مضافا إلى قطع جماعة من الأصحاب بالوجوب من دون تأمّل فيه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المدارك </w:t>
      </w:r>
      <w:r>
        <w:rPr>
          <w:rStyle w:val="FootnoteAnchor"/>
          <w:rtl w:val="true"/>
        </w:rPr>
        <w:footnoteReference w:id="2277"/>
      </w:r>
      <w:r>
        <w:rPr>
          <w:rFonts w:ascii="Amiri" w:hAnsi="Amiri" w:eastAsia="Amiri" w:cs="Amiri"/>
          <w:color w:val="111111"/>
          <w:sz w:val="28"/>
          <w:sz w:val="28"/>
          <w:szCs w:val="28"/>
          <w:rtl w:val="true"/>
          <w:lang w:bidi="ar-SA"/>
        </w:rPr>
        <w:t>نفي الريب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الزيادة من عند المرفق بني على دخول المرفق في المغسول اصالة وعدمه ولو كانت فوق المرفق لم يجب غسلها مع العلم بالزيادة سواء كان لها مرفق آخر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الأصحاب لزوم غسل الزائد ؛ أخذا بعموم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لعدم شمولها لمثل ذلك ، ومع الغض عنه فالآية من قبيل خطاب المشافهة لا عموم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لم يتميز الأصلي من الزائد أو كانا أصليّين قوي وجوب غسل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في الأخير التخيير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توقّف اليقين بالفراغ على الجمع ، ولو انكشط الجلد عن محلّ الغسل ، جرى في محلّه حكم الغسل ، وإن بقي الجلد </w:t>
      </w:r>
      <w:r>
        <w:rPr>
          <w:rStyle w:val="FootnoteAnchor"/>
          <w:rtl w:val="true"/>
        </w:rPr>
        <w:footnoteReference w:id="2278"/>
      </w:r>
      <w:r>
        <w:rPr>
          <w:rFonts w:ascii="Amiri" w:hAnsi="Amiri" w:eastAsia="Amiri" w:cs="Amiri"/>
          <w:color w:val="111111"/>
          <w:sz w:val="28"/>
          <w:sz w:val="28"/>
          <w:szCs w:val="28"/>
          <w:rtl w:val="true"/>
          <w:lang w:bidi="ar-SA"/>
        </w:rPr>
        <w:t xml:space="preserve">متدلّية وجب غسلها إذا كان بحيث يعدّ من أجزاء اليد كاللّحم الزائد إن تدلّى عن محلّ الغسل سواء انكشط عن محلّ الغسل أو لا ، وإلّا </w:t>
      </w:r>
      <w:r>
        <w:rPr>
          <w:rStyle w:val="FootnoteAnchor"/>
          <w:rtl w:val="true"/>
        </w:rPr>
        <w:footnoteReference w:id="2279"/>
      </w:r>
      <w:r>
        <w:rPr>
          <w:rFonts w:ascii="Amiri" w:hAnsi="Amiri" w:eastAsia="Amiri" w:cs="Amiri"/>
          <w:color w:val="111111"/>
          <w:sz w:val="28"/>
          <w:sz w:val="28"/>
          <w:szCs w:val="28"/>
          <w:rtl w:val="true"/>
          <w:lang w:bidi="ar-SA"/>
        </w:rPr>
        <w:t>لم يجب غسلها</w:t>
      </w:r>
      <w:r>
        <w:rPr>
          <w:rFonts w:eastAsia="Amiri" w:cs="Amiri" w:ascii="Amiri" w:hAnsi="Amiri"/>
          <w:color w:val="111111"/>
          <w:sz w:val="28"/>
          <w:szCs w:val="28"/>
          <w:rtl w:val="true"/>
          <w:lang w:bidi="ar-SA"/>
        </w:rPr>
        <w:t xml:space="preserve">. </w:t>
      </w:r>
      <w:bookmarkStart w:id="371" w:name="pg15827_174024"/>
    </w:p>
    <w:p>
      <w:pPr>
        <w:pStyle w:val="Heading4"/>
        <w:numPr>
          <w:ilvl w:val="3"/>
          <w:numId w:val="1"/>
        </w:numPr>
        <w:rPr/>
      </w:pPr>
      <w:bookmarkStart w:id="372" w:name="__RefHeading___Toc14099851_2142443653"/>
      <w:bookmarkStart w:id="373" w:name="_Toc132"/>
      <w:bookmarkEnd w:id="371"/>
      <w:bookmarkEnd w:id="372"/>
      <w:r>
        <w:rPr>
          <w:rtl w:val="true"/>
        </w:rPr>
        <w:t>تبصرة</w:t>
      </w:r>
      <w:r>
        <w:rPr>
          <w:rtl w:val="true"/>
        </w:rPr>
        <w:t xml:space="preserve">: [ </w:t>
      </w:r>
      <w:r>
        <w:rPr>
          <w:rtl w:val="true"/>
        </w:rPr>
        <w:t xml:space="preserve">في مسح الرأس </w:t>
      </w:r>
      <w:r>
        <w:rPr>
          <w:rtl w:val="true"/>
        </w:rPr>
        <w:t>]</w:t>
      </w:r>
      <w:bookmarkEnd w:id="373"/>
    </w:p>
    <w:p>
      <w:pPr>
        <w:pStyle w:val="Heading5"/>
        <w:numPr>
          <w:ilvl w:val="4"/>
          <w:numId w:val="1"/>
        </w:numPr>
        <w:rPr/>
      </w:pPr>
      <w:bookmarkStart w:id="374" w:name="__RefHeading___Toc14099853_2142443653"/>
      <w:bookmarkStart w:id="375" w:name="_Toc133"/>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الرابع من أفعال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الرأس ، وهو في الجملة ممّا لا خلاف فيه بين المسلمين بل هو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في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المسح هو مسمّاه على المشهور بين المتأخرين ، فلا يتقدّر بقدر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الشيخين </w:t>
      </w:r>
      <w:r>
        <w:rPr>
          <w:rStyle w:val="FootnoteAnchor"/>
          <w:rtl w:val="true"/>
        </w:rPr>
        <w:footnoteReference w:id="2280"/>
      </w:r>
      <w:r>
        <w:rPr>
          <w:rFonts w:ascii="Amiri" w:hAnsi="Amiri" w:eastAsia="Amiri" w:cs="Amiri"/>
          <w:color w:val="111111"/>
          <w:sz w:val="28"/>
          <w:sz w:val="28"/>
          <w:szCs w:val="28"/>
          <w:rtl w:val="true"/>
          <w:lang w:bidi="ar-SA"/>
        </w:rPr>
        <w:t>أنّ أقلّ ما يجزي مقدار إصبع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وعزي القول به إلى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العلّامة في المختلف </w:t>
      </w:r>
      <w:r>
        <w:rPr>
          <w:rStyle w:val="FootnoteAnchor"/>
          <w:rtl w:val="true"/>
        </w:rPr>
        <w:footnoteReference w:id="2281"/>
      </w:r>
      <w:r>
        <w:rPr>
          <w:rFonts w:ascii="Amiri" w:hAnsi="Amiri" w:eastAsia="Amiri" w:cs="Amiri"/>
          <w:color w:val="111111"/>
          <w:sz w:val="28"/>
          <w:sz w:val="28"/>
          <w:szCs w:val="28"/>
          <w:rtl w:val="true"/>
          <w:lang w:bidi="ar-SA"/>
        </w:rPr>
        <w:t xml:space="preserve">والشهيد في الدروس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المختلف </w:t>
      </w:r>
      <w:r>
        <w:rPr>
          <w:rStyle w:val="FootnoteAnchor"/>
          <w:rtl w:val="true"/>
        </w:rPr>
        <w:footnoteReference w:id="2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فيه القول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يؤوّل كلام بعض هؤلاء بأنّ المراد المسح بالإصبع إلا اعتبار كون الممسوح ذلك لا داعي إليه ، وقد يحمل ذكر الإصبع على المثال ، والمقصود حصول المسمّى </w:t>
      </w:r>
      <w:r>
        <w:rPr>
          <w:rStyle w:val="FootnoteAnchor"/>
          <w:rtl w:val="true"/>
        </w:rPr>
        <w:footnoteReference w:id="2284"/>
      </w:r>
      <w:r>
        <w:rPr>
          <w:rFonts w:ascii="Amiri" w:hAnsi="Amiri" w:eastAsia="Amiri" w:cs="Amiri"/>
          <w:color w:val="111111"/>
          <w:sz w:val="28"/>
          <w:sz w:val="28"/>
          <w:szCs w:val="28"/>
          <w:rtl w:val="true"/>
          <w:lang w:bidi="ar-SA"/>
        </w:rPr>
        <w:t>به ، وحمل كلام الشيخ والمنقول عن الراوندي عليه بعيد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ذلك في عبارة المختلف ، بل يتعيّن حملها عليه بقرينة ما ذكره في الاحتجاج على ما اختاره ، وما نصّ عليه في غيره من كتبه كالتذكرة وإرشاد الأذهان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الصدوق في الفقيه </w:t>
      </w:r>
      <w:r>
        <w:rPr>
          <w:rStyle w:val="FootnoteAnchor"/>
          <w:rtl w:val="true"/>
        </w:rPr>
        <w:footnoteReference w:id="2285"/>
      </w:r>
      <w:r>
        <w:rPr>
          <w:rFonts w:ascii="Amiri" w:hAnsi="Amiri" w:eastAsia="Amiri" w:cs="Amiri"/>
          <w:color w:val="111111"/>
          <w:sz w:val="28"/>
          <w:sz w:val="28"/>
          <w:szCs w:val="28"/>
          <w:rtl w:val="true"/>
          <w:lang w:bidi="ar-SA"/>
        </w:rPr>
        <w:t xml:space="preserve">والسيد في المصباح والشيخ في الخلاف </w:t>
      </w:r>
      <w:r>
        <w:rPr>
          <w:rStyle w:val="FootnoteAnchor"/>
          <w:rtl w:val="true"/>
        </w:rPr>
        <w:footnoteReference w:id="2286"/>
      </w:r>
      <w:r>
        <w:rPr>
          <w:rFonts w:ascii="IRNazanin" w:hAnsi="IRNazanin" w:eastAsia="IRNazanin"/>
          <w:color w:val="111111"/>
          <w:sz w:val="28"/>
          <w:sz w:val="28"/>
          <w:szCs w:val="28"/>
          <w:rtl w:val="true"/>
          <w:lang w:bidi="fa-IR"/>
        </w:rPr>
        <w:t>اعتبار المسح بثلاث 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يعزى القول به إلى بعض أصحاب الأئمّة عليهم‌السلام مع تعيينه الأصابع بالسبابة والوسطى والّتي يليها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عليه إطلاق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مذهب ثالث ، وهو التفصيل بين حالتي الاختيار والاضطرار فاعتبرنا الأولى أن يكون بمقدار الأصابع الثلاث المضمومة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في الثانية بالاصبع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 القول به إلى السيّد في مسائل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يعزى إلى بعض المتأخرين أيضا ، والأظهر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إطلاق الكتاب مضافا إلى ما ورد في تفسيره في صحيحة زرارة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فعرفنا حين قال برؤوسكم أنّ المسح ببعض الرأس لمكان الباء </w:t>
      </w:r>
      <w:r>
        <w:rPr>
          <w:rFonts w:eastAsia="Amiri" w:cs="Amiri" w:ascii="Amiri" w:hAnsi="Amiri"/>
          <w:color w:val="111111"/>
          <w:sz w:val="28"/>
          <w:szCs w:val="28"/>
          <w:rtl w:val="true"/>
          <w:lang w:bidi="ar-SA"/>
        </w:rPr>
        <w:t xml:space="preserve">»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الصحيحة بنفسها حجّة كافية فيه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مسحت بشي‌ء من رأسك أو بشي‌ء من قدميك ما بين كعبك إلى أطراف الأصابع فقد أجزأك </w:t>
      </w:r>
      <w:r>
        <w:rPr>
          <w:rFonts w:eastAsia="Amiri" w:cs="Amiri" w:ascii="Amiri" w:hAnsi="Amiri"/>
          <w:color w:val="111111"/>
          <w:sz w:val="28"/>
          <w:szCs w:val="28"/>
          <w:rtl w:val="true"/>
          <w:lang w:bidi="ar-SA"/>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إطلاق الروايات الحاكية للوضوءات البيانية ؛ إذ لم يذكر في شي‌ء منها تعيين الممسوح ، وهو ظاهر في فهمه عدم ملاحظة الخصوصيّة ، وإلّا لأشير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للثاني بالخبرين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يتوضّأ وعليه عمامة </w:t>
      </w:r>
      <w:r>
        <w:rPr>
          <w:rStyle w:val="FootnoteAnchor"/>
          <w:rtl w:val="true"/>
        </w:rPr>
        <w:footnoteReference w:id="2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العمامة بقدر ما يدخل إصبعه </w:t>
      </w:r>
    </w:p>
    <w:p>
      <w:pPr>
        <w:pStyle w:val="BookText"/>
        <w:rPr/>
      </w:pPr>
      <w:r>
        <w:rPr>
          <w:rFonts w:ascii="Amiri" w:hAnsi="Amiri" w:eastAsia="Amiri" w:cs="Amiri"/>
          <w:color w:val="111111"/>
          <w:sz w:val="28"/>
          <w:sz w:val="28"/>
          <w:szCs w:val="28"/>
          <w:rtl w:val="true"/>
          <w:lang w:bidi="ar-SA"/>
        </w:rPr>
        <w:t xml:space="preserve">فيمسح على مقدّم رأسه </w:t>
      </w:r>
      <w:r>
        <w:rPr>
          <w:rFonts w:eastAsia="Amiri" w:cs="Amiri" w:ascii="Amiri" w:hAnsi="Amiri"/>
          <w:color w:val="111111"/>
          <w:sz w:val="28"/>
          <w:szCs w:val="28"/>
          <w:rtl w:val="true"/>
          <w:lang w:bidi="ar-SA"/>
        </w:rPr>
        <w:t xml:space="preserve">»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الرجل يمسح رأسه من خلفه وعليه عمامة باصبعه أيجزيه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مع ضعف الإسناد ومخالفة ظاهر الأخير لإجماع الأصحاب أنّ الأوّل لا إشارة فيه بمقدار الممسوح ، بل ظاهر إطلاقه يقتضي الاكتفاء بمسمّى المسح ، فهو في الحقيقة من الشواهد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إشعار فيه بعدم إجزاء الأقل ، والثالث بخبر مضمر </w:t>
      </w:r>
      <w:r>
        <w:rPr>
          <w:rStyle w:val="FootnoteAnchor"/>
          <w:rtl w:val="true"/>
        </w:rPr>
        <w:footnoteReference w:id="22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يجزي من المسح على الرأس موضع ثلاث أصابع </w:t>
      </w:r>
      <w:r>
        <w:rPr>
          <w:rFonts w:eastAsia="Amiri" w:cs="Amiri" w:ascii="Amiri" w:hAnsi="Amiri"/>
          <w:color w:val="111111"/>
          <w:sz w:val="28"/>
          <w:szCs w:val="28"/>
          <w:rtl w:val="true"/>
          <w:lang w:bidi="ar-SA"/>
        </w:rPr>
        <w:t xml:space="preserve">»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يجزيها من مسح الرأس أن تمسح مقدمه قدر ثلاث أصابع ولا تلقي عنها خمارها </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 لظهور لفظ الإجزاء في أقل الواجب ، وثبوت الحكم في المرأة قاض بثبوته في الرجل ؛ لعدم القائل بالفصل وظهور الاشتراك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الكشي في الصحيح أنّه سأل حريزا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أجلاء الأصحاب </w:t>
      </w:r>
      <w:r>
        <w:rPr>
          <w:rStyle w:val="FootnoteAnchor"/>
          <w:rtl w:val="true"/>
        </w:rPr>
        <w:footnoteReference w:id="2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يونس يذكر عنه فقها كثيرا </w:t>
      </w:r>
      <w:r>
        <w:rPr>
          <w:rStyle w:val="FootnoteAnchor"/>
          <w:rtl w:val="true"/>
        </w:rPr>
        <w:footnoteReference w:id="2297"/>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يجزيك أن تمسح من شعر رأسك في وضوئك للصلاة؟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بقدر ثلاث 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بالسبابة والوسطى والثالثة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ظاهره عدم الاجتزاء بالأقل</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ضعف الرواية الأولى سندا ودلالة ، والثانية دلالة لعدم وضوح دلالة الأجزاء </w:t>
      </w:r>
    </w:p>
    <w:p>
      <w:pPr>
        <w:pStyle w:val="BookText"/>
        <w:rPr/>
      </w:pPr>
      <w:r>
        <w:rPr>
          <w:rFonts w:ascii="Amiri" w:hAnsi="Amiri" w:eastAsia="Amiri" w:cs="Amiri"/>
          <w:color w:val="111111"/>
          <w:sz w:val="28"/>
          <w:sz w:val="28"/>
          <w:szCs w:val="28"/>
          <w:rtl w:val="true"/>
          <w:lang w:bidi="ar-SA"/>
        </w:rPr>
        <w:t>على كونه أقل الواجب ، على أنّه قد يكون التعبير به من جهة عدم القاء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انتفاء القول بالفصل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 وقد عزا الشهيد </w:t>
      </w:r>
      <w:r>
        <w:rPr>
          <w:rStyle w:val="FootnoteAnchor"/>
          <w:rtl w:val="true"/>
        </w:rPr>
        <w:footnoteReference w:id="2299"/>
      </w:r>
      <w:r>
        <w:rPr>
          <w:rFonts w:ascii="Amiri" w:hAnsi="Amiri" w:eastAsia="Amiri" w:cs="Amiri"/>
          <w:color w:val="111111"/>
          <w:sz w:val="28"/>
          <w:sz w:val="28"/>
          <w:szCs w:val="28"/>
          <w:rtl w:val="true"/>
          <w:lang w:bidi="ar-SA"/>
        </w:rPr>
        <w:t>إلى الإسكافي التفصيل بين الرجل والمرأة ، فاكتفى في الأوّل بالاصبع واعتبر في الثانية الأصابع الثلاثة ، وهو قول خامس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استند في المرأة إلى الصحيحة المذكورة وفي الرجل إلى ما دلّ فيه على الاجتزاء بالإصبع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ظاهر ممّا مرّ ، مضافا إلى شذوذ القول به ، وإطباقهم بعده على عدم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روي عن حريز لا حجة فيه ، غاية الأمر أن يكون ذلك مذهبا له ، على </w:t>
      </w:r>
      <w:r>
        <w:rPr>
          <w:rStyle w:val="FootnoteAnchor"/>
          <w:rtl w:val="true"/>
        </w:rPr>
        <w:footnoteReference w:id="2300"/>
      </w:r>
      <w:r>
        <w:rPr>
          <w:rFonts w:ascii="Amiri" w:hAnsi="Amiri" w:eastAsia="Amiri" w:cs="Amiri"/>
          <w:color w:val="111111"/>
          <w:sz w:val="28"/>
          <w:sz w:val="28"/>
          <w:szCs w:val="28"/>
          <w:rtl w:val="true"/>
          <w:lang w:bidi="ar-SA"/>
        </w:rPr>
        <w:t xml:space="preserve">أنّ التعبير عن المندوب بمثل ذلك ليس بذلك البعيد سيّما في عبائر القدماء كما يظهر من ملاحظة فتاوى الشيخ </w:t>
      </w:r>
      <w:r>
        <w:rPr>
          <w:rStyle w:val="FootnoteAnchor"/>
          <w:rtl w:val="true"/>
        </w:rPr>
        <w:footnoteReference w:id="2301"/>
      </w:r>
      <w:r>
        <w:rPr>
          <w:rFonts w:ascii="Amiri" w:hAnsi="Amiri" w:eastAsia="Amiri" w:cs="Amiri"/>
          <w:color w:val="111111"/>
          <w:sz w:val="28"/>
          <w:sz w:val="28"/>
          <w:szCs w:val="28"/>
          <w:rtl w:val="true"/>
          <w:lang w:bidi="ar-SA"/>
        </w:rPr>
        <w:t>والصدوق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قويا حمل عبارة الغنية </w:t>
      </w:r>
      <w:r>
        <w:rPr>
          <w:rStyle w:val="FootnoteAnchor"/>
          <w:rtl w:val="true"/>
        </w:rPr>
        <w:footnoteReference w:id="2302"/>
      </w:r>
      <w:r>
        <w:rPr>
          <w:rFonts w:ascii="Amiri" w:hAnsi="Amiri" w:eastAsia="Amiri" w:cs="Amiri"/>
          <w:color w:val="111111"/>
          <w:sz w:val="28"/>
          <w:sz w:val="28"/>
          <w:szCs w:val="28"/>
          <w:rtl w:val="true"/>
          <w:lang w:bidi="ar-SA"/>
        </w:rPr>
        <w:t xml:space="preserve">والنهاية </w:t>
      </w:r>
      <w:r>
        <w:rPr>
          <w:rStyle w:val="FootnoteAnchor"/>
          <w:rtl w:val="true"/>
        </w:rPr>
        <w:footnoteReference w:id="2303"/>
      </w:r>
      <w:r>
        <w:rPr>
          <w:rFonts w:ascii="Amiri" w:hAnsi="Amiri" w:eastAsia="Amiri" w:cs="Amiri"/>
          <w:color w:val="111111"/>
          <w:sz w:val="28"/>
          <w:sz w:val="28"/>
          <w:szCs w:val="28"/>
          <w:rtl w:val="true"/>
          <w:lang w:bidi="ar-SA"/>
        </w:rPr>
        <w:t xml:space="preserve">عليه أيضا ، مضافا إلى أنّ تعيين الأصابع بما ذكر غير مذكور في رواية ولا فتوى ففيه كما أشرنا إليه وللرابع الجمع بين ما دلّ على اعتبار الإصبع ، وما دلّ على الثلاث بحمل الأوّل على صورة الاضطرار 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توضّأ وهو سقيم ، فيثقل عليه نزع العمامة لمكان البرد؟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إصبعه </w:t>
      </w:r>
      <w:r>
        <w:rPr>
          <w:rFonts w:eastAsia="Amiri" w:cs="Amiri" w:ascii="Amiri" w:hAnsi="Amiri"/>
          <w:color w:val="111111"/>
          <w:sz w:val="28"/>
          <w:szCs w:val="28"/>
          <w:rtl w:val="true"/>
          <w:lang w:bidi="ar-SA"/>
        </w:rPr>
        <w:t xml:space="preserve">»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بعد الحمل المذكور وعدم ظهور الرواية في الاضطرار وضعف إسنادها فلا ينهض حجة على ذلك ، مضافا إلى ما عرفت</w:t>
      </w:r>
      <w:r>
        <w:rPr>
          <w:rFonts w:eastAsia="Amiri" w:cs="Amiri" w:ascii="Amiri" w:hAnsi="Amiri"/>
          <w:color w:val="111111"/>
          <w:sz w:val="28"/>
          <w:szCs w:val="28"/>
          <w:rtl w:val="true"/>
          <w:lang w:bidi="ar-SA"/>
        </w:rPr>
        <w:t xml:space="preserve">. </w:t>
      </w:r>
      <w:bookmarkStart w:id="376" w:name="pg15827_174028"/>
    </w:p>
    <w:p>
      <w:pPr>
        <w:pStyle w:val="Heading5"/>
        <w:numPr>
          <w:ilvl w:val="4"/>
          <w:numId w:val="1"/>
        </w:numPr>
        <w:rPr/>
      </w:pPr>
      <w:bookmarkStart w:id="377" w:name="__RefHeading___Toc14099855_2142443653"/>
      <w:bookmarkStart w:id="378" w:name="_Toc134"/>
      <w:bookmarkEnd w:id="376"/>
      <w:bookmarkEnd w:id="377"/>
      <w:r>
        <w:rPr>
          <w:rtl w:val="true"/>
        </w:rPr>
        <w:t xml:space="preserve">[ </w:t>
      </w:r>
      <w:r>
        <w:rPr>
          <w:rtl w:val="true"/>
        </w:rPr>
        <w:t xml:space="preserve">تنبيهات </w:t>
      </w:r>
      <w:r>
        <w:rPr>
          <w:rtl w:val="true"/>
        </w:rPr>
        <w:t>]</w:t>
      </w:r>
      <w:bookmarkEnd w:id="378"/>
    </w:p>
    <w:p>
      <w:pPr>
        <w:pStyle w:val="BookText"/>
        <w:rPr/>
      </w:pPr>
      <w:r>
        <w:rPr>
          <w:rFonts w:ascii="Amiri" w:hAnsi="Amiri" w:eastAsia="Amiri" w:cs="Amiri"/>
          <w:color w:val="111111"/>
          <w:sz w:val="28"/>
          <w:sz w:val="28"/>
          <w:szCs w:val="28"/>
          <w:rtl w:val="true"/>
          <w:lang w:bidi="ar-SA"/>
        </w:rPr>
        <w:t xml:space="preserve">وهاهنا أمور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روايات الباب أنّ المقصود من تعيين الأصابع الثلاث هو بيان مقدار الممسوح من الرأس لا تعيين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ويحتمله أيضا ما دلّ على اعتبار الإصبع ، وظاهر عبارة الفقيه اعتبار المسح بالثلاث ، فإن حملت على ظاهرها فلا شاهد عليه ، ولا يبعد تطبيقها على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دلالة في الأخبار المحدودة </w:t>
      </w:r>
      <w:r>
        <w:rPr>
          <w:rStyle w:val="FootnoteAnchor"/>
          <w:rtl w:val="true"/>
        </w:rPr>
        <w:footnoteReference w:id="2305"/>
      </w:r>
      <w:r>
        <w:rPr>
          <w:rFonts w:ascii="Amiri" w:hAnsi="Amiri" w:eastAsia="Amiri" w:cs="Amiri"/>
          <w:color w:val="111111"/>
          <w:sz w:val="28"/>
          <w:sz w:val="28"/>
          <w:szCs w:val="28"/>
          <w:rtl w:val="true"/>
          <w:lang w:bidi="ar-SA"/>
        </w:rPr>
        <w:t>للمسح كونه في عرض الرأس أو طوله ، فقضيّة إطلاقها جواز كلّ من الوجهين وتأدية الواجب أو المندوب بكلّ من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 المحقّق الكركي </w:t>
      </w:r>
      <w:r>
        <w:rPr>
          <w:rStyle w:val="FootnoteAnchor"/>
          <w:rtl w:val="true"/>
        </w:rPr>
        <w:footnoteReference w:id="2306"/>
      </w:r>
      <w:r>
        <w:rPr>
          <w:rFonts w:ascii="Amiri" w:hAnsi="Amiri" w:eastAsia="Amiri" w:cs="Amiri"/>
          <w:color w:val="111111"/>
          <w:sz w:val="28"/>
          <w:sz w:val="28"/>
          <w:szCs w:val="28"/>
          <w:rtl w:val="true"/>
          <w:lang w:bidi="ar-SA"/>
        </w:rPr>
        <w:t>بأنّ المراد من تعيين الثلاث هو ما كان في عرض الرأس ، وأمّا الطول فيكفي فيه بالمسمّى ، ولو بجزء من 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 نحو ذلك إلّا أنّه ذكر الإصبع بدل المسمّى</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يستظهر ممّا دلّ على اعتبار الثلاث أن يكون المسح بمجموع الثلاث طولا وعرضا كما هو ظاهر لفظ الأصابع ، فإنّه اسم لمجموع العضو ، وكأنّه الظاهر من الأصحاب المفتين بمضمونه ، فحينئذ يتحدد بذلك طول الممسوح وعرضه غير أنّه يشمل صورة وضع عرض الأصابع على طول الرأس وبالعكس ، فما ذكره المحقق المذكور من ملاحظة التحديد في العرض ثمّ الاكتفاء بالمسمّى في الطول </w:t>
      </w:r>
      <w:r>
        <w:rPr>
          <w:rFonts w:eastAsia="Amiri" w:cs="Amiri" w:ascii="Amiri" w:hAnsi="Amiri"/>
          <w:color w:val="111111"/>
          <w:sz w:val="28"/>
          <w:szCs w:val="28"/>
          <w:rtl w:val="true"/>
          <w:lang w:bidi="ar-SA"/>
        </w:rPr>
        <w:t xml:space="preserve">.. </w:t>
      </w:r>
      <w:bookmarkStart w:id="379" w:name="pg15827_174029"/>
    </w:p>
    <w:p>
      <w:pPr>
        <w:pStyle w:val="Heading4"/>
        <w:numPr>
          <w:ilvl w:val="3"/>
          <w:numId w:val="1"/>
        </w:numPr>
        <w:rPr/>
      </w:pPr>
      <w:bookmarkStart w:id="380" w:name="__RefHeading___Toc14099857_2142443653"/>
      <w:bookmarkStart w:id="381" w:name="_Toc135"/>
      <w:bookmarkEnd w:id="379"/>
      <w:bookmarkEnd w:id="380"/>
      <w:r>
        <w:rPr>
          <w:rtl w:val="true"/>
        </w:rPr>
        <w:t>تبصرة</w:t>
      </w:r>
      <w:r>
        <w:rPr>
          <w:rtl w:val="true"/>
        </w:rPr>
        <w:t xml:space="preserve">: [ </w:t>
      </w:r>
      <w:r>
        <w:rPr>
          <w:rtl w:val="true"/>
        </w:rPr>
        <w:t xml:space="preserve">في مسح الرجلين </w:t>
      </w:r>
      <w:r>
        <w:rPr>
          <w:rtl w:val="true"/>
        </w:rPr>
        <w:t>]</w:t>
      </w:r>
      <w:bookmarkEnd w:id="381"/>
    </w:p>
    <w:p>
      <w:pPr>
        <w:pStyle w:val="BookText"/>
        <w:rPr/>
      </w:pPr>
      <w:r>
        <w:rPr>
          <w:rFonts w:ascii="Amiri" w:hAnsi="Amiri" w:eastAsia="Amiri" w:cs="Amiri"/>
          <w:color w:val="111111"/>
          <w:sz w:val="28"/>
          <w:sz w:val="28"/>
          <w:szCs w:val="28"/>
          <w:rtl w:val="true"/>
          <w:lang w:bidi="ar-SA"/>
        </w:rPr>
        <w:t>الخامس والسادس من الأفعال مسح كلّ من الرجلين بلا خلاف فيه بين أصحابنا ، بل الظاهر أنّه من ضروريّات مذهبنا ، ومحلّ المسح هنا من رءوس الأصابع إلى الكعبين بالكتاب والسنة والإجماع ، والمشهور وجوب استيعاب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السيد وغيره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شذوذ من المتأخرين إلى الاكتفاء به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واحتمله في الذكرى مع القطع في غيره بوجوب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فيه في الحدائق مع الميل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الأوّل ؛ لظاهر الآية ، وعدّ من الأخبار المعتبرة نحو الآية الشريفة ، بل بعضها أظهر من الآية ؛ لعدم ذكر الغاية في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الغاية للممسوح لا ينافيه ؛ لظهور </w:t>
      </w:r>
      <w:r>
        <w:rPr>
          <w:rStyle w:val="FootnoteAnchor"/>
          <w:rtl w:val="true"/>
        </w:rPr>
        <w:footnoteReference w:id="2307"/>
      </w:r>
      <w:r>
        <w:rPr>
          <w:rFonts w:ascii="Amiri" w:hAnsi="Amiri" w:eastAsia="Amiri" w:cs="Amiri"/>
          <w:color w:val="111111"/>
          <w:sz w:val="28"/>
          <w:sz w:val="28"/>
          <w:szCs w:val="28"/>
          <w:rtl w:val="true"/>
          <w:lang w:bidi="ar-SA"/>
        </w:rPr>
        <w:t>العبارة أيضا في مسح الجميع ، مضافا إلى بعده عن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قراءة الجر لا يخلو ذلك عن مناقشة ، ولا يجري ذلك فيما لم يذكر فيه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ومجرّد كون الغاية في الأوّل للمغسول لا يدلّ عليه الأخبار الواردة فيه ، وممّا يدلّ عليه موثقة الآخرين </w:t>
      </w:r>
      <w:r>
        <w:rPr>
          <w:rStyle w:val="FootnoteAnchor"/>
          <w:rtl w:val="true"/>
        </w:rPr>
        <w:footnoteReference w:id="2308"/>
      </w:r>
      <w:r>
        <w:rPr>
          <w:rFonts w:ascii="Amiri" w:hAnsi="Amiri" w:eastAsia="Amiri" w:cs="Amiri"/>
          <w:color w:val="111111"/>
          <w:sz w:val="28"/>
          <w:sz w:val="28"/>
          <w:szCs w:val="28"/>
          <w:rtl w:val="true"/>
          <w:lang w:bidi="ar-SA"/>
        </w:rPr>
        <w:t xml:space="preserve">الحاكية للوضوء الفعلي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رأسه وقدميه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مضافا إلى الإجماع المحكيّ عليه المعتضد بإطباق الأصحاب قديما وحديثا عليه من غير نقل خلاف </w:t>
      </w:r>
    </w:p>
    <w:p>
      <w:pPr>
        <w:pStyle w:val="BookText"/>
        <w:rPr/>
      </w:pPr>
      <w:r>
        <w:rPr>
          <w:rFonts w:ascii="Amiri" w:hAnsi="Amiri" w:eastAsia="Amiri" w:cs="Amiri"/>
          <w:color w:val="111111"/>
          <w:sz w:val="28"/>
          <w:sz w:val="28"/>
          <w:szCs w:val="28"/>
          <w:rtl w:val="true"/>
          <w:lang w:bidi="ar-SA"/>
        </w:rPr>
        <w:t xml:space="preserve">فيه ، سوى من ظهر منه الخلاف من المتأخرين ، مع تأيّده بعمل الطائفة عليه من قديم الدهر إلى الآن ، وقيام السيرة به حجة الاكتفاء فيه بالمسمّى إطلاق الكتاب بعد حمل الغاية فيه على </w:t>
      </w:r>
      <w:r>
        <w:rPr>
          <w:rStyle w:val="FootnoteAnchor"/>
          <w:rtl w:val="true"/>
        </w:rPr>
        <w:footnoteReference w:id="2309"/>
      </w:r>
      <w:r>
        <w:rPr>
          <w:rFonts w:ascii="Amiri" w:hAnsi="Amiri" w:eastAsia="Amiri" w:cs="Amiri"/>
          <w:color w:val="111111"/>
          <w:sz w:val="28"/>
          <w:sz w:val="28"/>
          <w:szCs w:val="28"/>
          <w:rtl w:val="true"/>
          <w:lang w:bidi="ar-SA"/>
        </w:rPr>
        <w:t>تحديد الممسوح كما يستفاد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إليه حملها عليه في المرافق وجملة من أخبار الباب ممّا ليس فيها ذكر الغاية أو ذكرت لحملها على تحديد الممسوح ، وخصوص صحيحة الآخرين </w:t>
      </w:r>
      <w:r>
        <w:rPr>
          <w:rStyle w:val="FootnoteAnchor"/>
          <w:rtl w:val="true"/>
        </w:rPr>
        <w:footnoteReference w:id="2310"/>
      </w:r>
      <w:r>
        <w:rPr>
          <w:rFonts w:ascii="Amiri" w:hAnsi="Amiri" w:eastAsia="Amiri" w:cs="Amiri"/>
          <w:color w:val="111111"/>
          <w:sz w:val="28"/>
          <w:sz w:val="28"/>
          <w:szCs w:val="28"/>
          <w:rtl w:val="true"/>
          <w:lang w:bidi="ar-SA"/>
        </w:rPr>
        <w:t xml:space="preserve">بعد ذكر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مسح بشي‌ء من رأسه أو بشي‌ء من قدميه ما بين الكعبين إلى أطراف الأصابع فقد أجزأه </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المعروفة الدالّة على كون الباء في الآية تبعيضيّة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فعرفنا حين وصلها بالرأس أنّ المسح على بعضها ، ثمّ فسّر ذلك رسول اللّه صلى‌اللّه‌عليه‌وآله للناس فضيّعوه </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والمستفيضة المشتملة على غير واحد من الصحاح الدالّة على عدم وجوب استبطان الشراكين ، والرواية الدالّة على جواز المسح على الرجل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الخف إذا كان مخرقا </w:t>
      </w:r>
      <w:r>
        <w:rPr>
          <w:rStyle w:val="FootnoteAnchor"/>
          <w:rtl w:val="true"/>
        </w:rPr>
        <w:footnoteReference w:id="2313"/>
      </w:r>
      <w:r>
        <w:rPr>
          <w:rFonts w:ascii="Amiri" w:hAnsi="Amiri" w:eastAsia="Amiri" w:cs="Amiri"/>
          <w:color w:val="111111"/>
          <w:sz w:val="28"/>
          <w:sz w:val="28"/>
          <w:szCs w:val="28"/>
          <w:rtl w:val="true"/>
          <w:lang w:bidi="ar-SA"/>
        </w:rPr>
        <w:t xml:space="preserve">، فظاهرها الاكتفاء </w:t>
      </w:r>
      <w:r>
        <w:rPr>
          <w:rStyle w:val="FootnoteAnchor"/>
          <w:rtl w:val="true"/>
        </w:rPr>
        <w:footnoteReference w:id="2314"/>
      </w:r>
      <w:r>
        <w:rPr>
          <w:rFonts w:ascii="IRNazanin" w:hAnsi="IRNazanin" w:eastAsia="IRNazanin"/>
          <w:color w:val="111111"/>
          <w:sz w:val="28"/>
          <w:sz w:val="28"/>
          <w:szCs w:val="28"/>
          <w:rtl w:val="true"/>
          <w:lang w:bidi="fa-IR"/>
        </w:rPr>
        <w:t>بمسمّى المسح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ويدفع الجميع أنّ الآية ظاهرة في استيعاب الطول ولو مع كون التحديد للممسوح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عنه فلا أقل من احتمال الوجهين ، ودلالة الصحيحة على كون الغاية للمسوح محلّ خفاء ، وكذا الكلام في الأخبار المذكورة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جملة من الأخبار ظاهرة فيما ذكرنا ، ومع الغضّ عن جميع ذلك فلا يزيد ما ذكر عن الإطلاق ، فيقيّد بما دلّ على اعتبار الاستيعاب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الآخرين </w:t>
      </w:r>
      <w:r>
        <w:rPr>
          <w:rStyle w:val="FootnoteAnchor"/>
          <w:rtl w:val="true"/>
        </w:rPr>
        <w:footnoteReference w:id="2315"/>
      </w:r>
      <w:r>
        <w:rPr>
          <w:rFonts w:ascii="Amiri" w:hAnsi="Amiri" w:eastAsia="Amiri" w:cs="Amiri"/>
          <w:color w:val="111111"/>
          <w:sz w:val="28"/>
          <w:sz w:val="28"/>
          <w:szCs w:val="28"/>
          <w:rtl w:val="true"/>
          <w:lang w:bidi="ar-SA"/>
        </w:rPr>
        <w:t xml:space="preserve">غير واضحة الدلالة على ذلك ؛ لاحتمال أن 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والظاهر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 فيفيد لزوم استيعاب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الموصوفة غير ظاهر ، ومجرّد احتماله كما ذكره بعضهم لا ينفع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يستظهر كونه بدلا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فيدلّ على ما ادّعوه إلّا أنّه بعد تسليمه ليس بتلك المثابة من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لا يزيد على الإطلاق ، والأخبار الدالّة على عدم استبطان الشراكين لا يفيد عدم لزوم استيعاب الطول ؛ لوقوع الشراك على الكعب الخارج عن الممسوح على </w:t>
      </w:r>
      <w:r>
        <w:rPr>
          <w:rStyle w:val="FootnoteAnchor"/>
          <w:rtl w:val="true"/>
        </w:rPr>
        <w:footnoteReference w:id="2316"/>
      </w:r>
      <w:r>
        <w:rPr>
          <w:rFonts w:ascii="Amiri" w:hAnsi="Amiri" w:eastAsia="Amiri" w:cs="Amiri"/>
          <w:color w:val="111111"/>
          <w:sz w:val="28"/>
          <w:sz w:val="28"/>
          <w:szCs w:val="28"/>
          <w:rtl w:val="true"/>
          <w:lang w:bidi="ar-SA"/>
        </w:rPr>
        <w:t>ما هو الأظهر في معنى الكعب ، على أنّ جماعة من الأصحاب قالوا باستثناء ذلك من وجوب مباشرة الماسح للمسوح ؛ للأخبار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ذلك من بعض رواياته ، فلا دلالة فيها على ذلك أيضا إلّا أنّ الأظهر حملها على الأوّل ، والرواية الدالّة على الاكتفاء بمسح الرجل في الخف المخرق مع ضعف إسنادها لا دلالة فيها على عدم لزوم الاستيعاب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يدخل الكعبان في الممسوح؟ وجهان ، بل قولان مبنيان على مسألة دخول الغاية في المغيّى وخروجها ، وقد يكتفى فيه باحتمال الدخول بناء على لزوم الاحتياط في مثله إلّا أنّ الأظهر عدمه ؛ لظاهر صحيحة الآخرين </w:t>
      </w:r>
      <w:r>
        <w:rPr>
          <w:rStyle w:val="FootnoteAnchor"/>
          <w:rtl w:val="true"/>
        </w:rPr>
        <w:footnoteReference w:id="2317"/>
      </w:r>
      <w:r>
        <w:rPr>
          <w:rFonts w:ascii="Amiri" w:hAnsi="Amiri" w:eastAsia="Amiri" w:cs="Amiri"/>
          <w:color w:val="111111"/>
          <w:sz w:val="28"/>
          <w:sz w:val="28"/>
          <w:szCs w:val="28"/>
          <w:rtl w:val="true"/>
          <w:lang w:bidi="ar-SA"/>
        </w:rPr>
        <w:t>والأخبار الدالّة على عدم لزوم استبطان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علمائنا عدم دخوله في المسح</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طول الرجلين وأمّا في العرض فالمشهور الاكتفاء فيه بمسمّى المسح ، فيجزي ما دون الإصبع ؛ لإطلاق جملة من الأخبار وخصوص صحيحتي زرارة والآخرين </w:t>
      </w:r>
      <w:r>
        <w:rPr>
          <w:rStyle w:val="FootnoteAnchor"/>
          <w:rtl w:val="true"/>
        </w:rPr>
        <w:footnoteReference w:id="2318"/>
      </w:r>
      <w:r>
        <w:rPr>
          <w:rFonts w:ascii="IRNazanin" w:hAnsi="IRNazanin" w:eastAsia="IRNazanin"/>
          <w:color w:val="111111"/>
          <w:sz w:val="28"/>
          <w:sz w:val="28"/>
          <w:szCs w:val="28"/>
          <w:rtl w:val="true"/>
          <w:lang w:bidi="fa-IR"/>
        </w:rPr>
        <w:t xml:space="preserve">مضافا </w:t>
      </w:r>
    </w:p>
    <w:p>
      <w:pPr>
        <w:pStyle w:val="BookText"/>
        <w:rPr/>
      </w:pPr>
      <w:r>
        <w:rPr>
          <w:rFonts w:ascii="Amiri" w:hAnsi="Amiri" w:eastAsia="Amiri" w:cs="Amiri"/>
          <w:color w:val="111111"/>
          <w:sz w:val="28"/>
          <w:sz w:val="28"/>
          <w:szCs w:val="28"/>
          <w:rtl w:val="true"/>
          <w:lang w:bidi="ar-SA"/>
        </w:rPr>
        <w:t xml:space="preserve">إلى الإجماع المحكي عليه في كلام الفاضلين </w:t>
      </w:r>
      <w:r>
        <w:rPr>
          <w:rStyle w:val="FootnoteAnchor"/>
          <w:rtl w:val="true"/>
        </w:rPr>
        <w:footnoteReference w:id="2319"/>
      </w:r>
      <w:r>
        <w:rPr>
          <w:rFonts w:ascii="Amiri" w:hAnsi="Amiri" w:eastAsia="Amiri" w:cs="Amiri"/>
          <w:color w:val="111111"/>
          <w:sz w:val="28"/>
          <w:sz w:val="28"/>
          <w:szCs w:val="28"/>
          <w:rtl w:val="true"/>
          <w:lang w:bidi="ar-SA"/>
        </w:rPr>
        <w:t xml:space="preserve">، مع اعتضاده بالشهرة العظيمة بين الطائفة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الشيخ </w:t>
      </w:r>
      <w:r>
        <w:rPr>
          <w:rStyle w:val="FootnoteAnchor"/>
          <w:rtl w:val="true"/>
        </w:rPr>
        <w:footnoteReference w:id="2321"/>
      </w:r>
      <w:r>
        <w:rPr>
          <w:rFonts w:ascii="Amiri" w:hAnsi="Amiri" w:eastAsia="Amiri" w:cs="Amiri"/>
          <w:color w:val="111111"/>
          <w:sz w:val="28"/>
          <w:sz w:val="28"/>
          <w:szCs w:val="28"/>
          <w:rtl w:val="true"/>
          <w:lang w:bidi="ar-SA"/>
        </w:rPr>
        <w:t xml:space="preserve">والراوندي اعتبار الإصبع ، وعن ابن زهرة </w:t>
      </w:r>
      <w:r>
        <w:rPr>
          <w:rStyle w:val="FootnoteAnchor"/>
          <w:rtl w:val="true"/>
        </w:rPr>
        <w:footnoteReference w:id="2322"/>
      </w:r>
      <w:r>
        <w:rPr>
          <w:rFonts w:ascii="Amiri" w:hAnsi="Amiri" w:eastAsia="Amiri" w:cs="Amiri"/>
          <w:color w:val="111111"/>
          <w:sz w:val="28"/>
          <w:sz w:val="28"/>
          <w:szCs w:val="28"/>
          <w:rtl w:val="true"/>
          <w:lang w:bidi="ar-SA"/>
        </w:rPr>
        <w:t>اعتبار الإصبعين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نعرف مستندهما ، وقد يحملان 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بعضهم اعتبار الثلاث ؛ للخبر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يجزى </w:t>
      </w:r>
      <w:r>
        <w:rPr>
          <w:rStyle w:val="FootnoteAnchor"/>
          <w:rtl w:val="true"/>
        </w:rPr>
        <w:footnoteReference w:id="2323"/>
      </w:r>
      <w:r>
        <w:rPr>
          <w:rFonts w:ascii="Amiri" w:hAnsi="Amiri" w:eastAsia="Amiri" w:cs="Amiri"/>
          <w:color w:val="111111"/>
          <w:sz w:val="28"/>
          <w:sz w:val="28"/>
          <w:szCs w:val="28"/>
          <w:rtl w:val="true"/>
          <w:lang w:bidi="ar-SA"/>
        </w:rPr>
        <w:t xml:space="preserve">المسح على الرؤوس ثلاث أصابع وكذا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لظهور الإجزاء في 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الإسناد عدم ظهور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القول باستحباب الثلاث حملا لها على الندب كما مرّ في 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به العلّامة وغيره ، والأفضل المسح بكلّ الكف ؛ لصحيحة البزنطي المتقدّمة ، للزوم حملها على الندب ؛ إذ لا قائل بظاهرها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Style w:val="FootnoteAnchor"/>
          <w:rtl w:val="true"/>
        </w:rPr>
        <w:footnoteReference w:id="2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الإجماع المنقول على الاكتفاء فيه بالمسمّى لأمكن القول بوجوب المسح بكلّ الكفّ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إذ إعراض الأصحاب عن ظاهرها مع معارضتها بالصحيحتين المقدّمتين اللّتين هما كالنصّ في خلافها كاف في ذلك ، وإن لم يثبت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ذهاب بعض المتأخرين إلى العمل بظاهرها زعما منه إطلاق غيرها من الأخبار ، فيحمل على المقيّد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يؤيّد ذلك بالقوي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 فجعلت على إصبعي مرارا كيف أصنع بالوضوء؟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وأمثاله من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w:t>
      </w:r>
    </w:p>
    <w:p>
      <w:pPr>
        <w:pStyle w:val="BookText"/>
        <w:rPr/>
      </w:pPr>
      <w:r>
        <w:rPr>
          <w:rFonts w:ascii="Amiri" w:hAnsi="Amiri" w:eastAsia="Amiri" w:cs="Amiri"/>
          <w:color w:val="111111"/>
          <w:sz w:val="28"/>
          <w:sz w:val="28"/>
          <w:szCs w:val="28"/>
          <w:rtl w:val="true"/>
          <w:lang w:bidi="ar-SA"/>
        </w:rPr>
        <w:t xml:space="preserve">فِي الدِّينِ مِنْ حَرَجٍ </w:t>
      </w:r>
      <w:r>
        <w:rPr>
          <w:rFonts w:eastAsia="Amiri" w:cs="Amiri" w:ascii="Amiri" w:hAnsi="Amiri"/>
          <w:color w:val="111111"/>
          <w:sz w:val="28"/>
          <w:szCs w:val="28"/>
          <w:rtl w:val="true"/>
          <w:lang w:bidi="ar-SA"/>
        </w:rPr>
        <w:t xml:space="preserve">) </w:t>
      </w:r>
      <w:r>
        <w:rPr>
          <w:rStyle w:val="FootnoteAnchor"/>
          <w:rtl w:val="true"/>
        </w:rPr>
        <w:footnoteReference w:id="2325"/>
      </w:r>
      <w:r>
        <w:rPr>
          <w:rFonts w:ascii="Amiri" w:hAnsi="Amiri" w:eastAsia="Amiri" w:cs="Amiri"/>
          <w:color w:val="111111"/>
          <w:sz w:val="28"/>
          <w:sz w:val="28"/>
          <w:szCs w:val="28"/>
          <w:rtl w:val="true"/>
          <w:lang w:bidi="ar-SA"/>
        </w:rPr>
        <w:t xml:space="preserve">امسح عليه </w:t>
      </w:r>
      <w:r>
        <w:rPr>
          <w:rFonts w:eastAsia="Amiri" w:cs="Amiri" w:ascii="Amiri" w:hAnsi="Amiri"/>
          <w:color w:val="111111"/>
          <w:sz w:val="28"/>
          <w:szCs w:val="28"/>
          <w:rtl w:val="true"/>
          <w:lang w:bidi="ar-SA"/>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ويضعّفه أنه لا شاهد في الرواية على إرادة الإصبع من الرجل</w:t>
      </w:r>
      <w:r>
        <w:rPr>
          <w:rFonts w:eastAsia="Amiri" w:cs="Amiri" w:ascii="Amiri" w:hAnsi="Amiri"/>
          <w:color w:val="111111"/>
          <w:sz w:val="28"/>
          <w:szCs w:val="28"/>
          <w:rtl w:val="true"/>
          <w:lang w:bidi="ar-SA"/>
        </w:rPr>
        <w:t xml:space="preserve">. </w:t>
      </w:r>
      <w:bookmarkStart w:id="382" w:name="pg15827_174034"/>
    </w:p>
    <w:p>
      <w:pPr>
        <w:pStyle w:val="Heading4"/>
        <w:numPr>
          <w:ilvl w:val="3"/>
          <w:numId w:val="1"/>
        </w:numPr>
        <w:rPr/>
      </w:pPr>
      <w:bookmarkStart w:id="383" w:name="__RefHeading___Toc14099859_2142443653"/>
      <w:bookmarkStart w:id="384" w:name="_Toc136"/>
      <w:bookmarkEnd w:id="382"/>
      <w:bookmarkEnd w:id="383"/>
      <w:r>
        <w:rPr>
          <w:rtl w:val="true"/>
        </w:rPr>
        <w:t>تبصرة</w:t>
      </w:r>
      <w:r>
        <w:rPr>
          <w:rtl w:val="true"/>
        </w:rPr>
        <w:t xml:space="preserve">: [ </w:t>
      </w:r>
      <w:r>
        <w:rPr>
          <w:rtl w:val="true"/>
        </w:rPr>
        <w:t xml:space="preserve">في تحديد الكعبين </w:t>
      </w:r>
      <w:r>
        <w:rPr>
          <w:rtl w:val="true"/>
        </w:rPr>
        <w:t>]</w:t>
      </w:r>
      <w:bookmarkEnd w:id="384"/>
    </w:p>
    <w:p>
      <w:pPr>
        <w:pStyle w:val="BookText"/>
        <w:rPr/>
      </w:pPr>
      <w:r>
        <w:rPr>
          <w:rFonts w:ascii="Amiri" w:hAnsi="Amiri" w:eastAsia="Amiri" w:cs="Amiri"/>
          <w:color w:val="111111"/>
          <w:sz w:val="28"/>
          <w:sz w:val="28"/>
          <w:szCs w:val="28"/>
          <w:rtl w:val="true"/>
          <w:lang w:bidi="ar-SA"/>
        </w:rPr>
        <w:t>المعروف من المذهب أن الكعبين هما العظمان النابتان في ظهر القدم عند معقد الشراك ، وهما قبّتا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أفتى العماني والشيخان </w:t>
      </w:r>
      <w:r>
        <w:rPr>
          <w:rStyle w:val="FootnoteAnchor"/>
          <w:rtl w:val="true"/>
        </w:rPr>
        <w:footnoteReference w:id="2327"/>
      </w:r>
      <w:r>
        <w:rPr>
          <w:rFonts w:ascii="Amiri" w:hAnsi="Amiri" w:eastAsia="Amiri" w:cs="Amiri"/>
          <w:color w:val="111111"/>
          <w:sz w:val="28"/>
          <w:sz w:val="28"/>
          <w:szCs w:val="28"/>
          <w:rtl w:val="true"/>
          <w:lang w:bidi="ar-SA"/>
        </w:rPr>
        <w:t xml:space="preserve">والسيدان </w:t>
      </w:r>
      <w:r>
        <w:rPr>
          <w:rStyle w:val="FootnoteAnchor"/>
          <w:rtl w:val="true"/>
        </w:rPr>
        <w:footnoteReference w:id="2328"/>
      </w:r>
      <w:r>
        <w:rPr>
          <w:rFonts w:ascii="Amiri" w:hAnsi="Amiri" w:eastAsia="Amiri" w:cs="Amiri"/>
          <w:color w:val="111111"/>
          <w:sz w:val="28"/>
          <w:sz w:val="28"/>
          <w:szCs w:val="28"/>
          <w:rtl w:val="true"/>
          <w:lang w:bidi="ar-SA"/>
        </w:rPr>
        <w:t xml:space="preserve">والحلبي </w:t>
      </w:r>
      <w:r>
        <w:rPr>
          <w:rStyle w:val="FootnoteAnchor"/>
          <w:rtl w:val="true"/>
        </w:rPr>
        <w:footnoteReference w:id="2329"/>
      </w:r>
      <w:r>
        <w:rPr>
          <w:rFonts w:ascii="Amiri" w:hAnsi="Amiri" w:eastAsia="Amiri" w:cs="Amiri"/>
          <w:color w:val="111111"/>
          <w:sz w:val="28"/>
          <w:sz w:val="28"/>
          <w:szCs w:val="28"/>
          <w:rtl w:val="true"/>
          <w:lang w:bidi="ar-SA"/>
        </w:rPr>
        <w:t xml:space="preserve">والحلّي </w:t>
      </w:r>
      <w:r>
        <w:rPr>
          <w:rStyle w:val="FootnoteAnchor"/>
          <w:rtl w:val="true"/>
        </w:rPr>
        <w:footnoteReference w:id="2330"/>
      </w:r>
      <w:r>
        <w:rPr>
          <w:rFonts w:ascii="IRNazanin" w:hAnsi="IRNazanin" w:eastAsia="IRNazanin"/>
          <w:color w:val="111111"/>
          <w:sz w:val="28"/>
          <w:sz w:val="28"/>
          <w:szCs w:val="28"/>
          <w:rtl w:val="true"/>
          <w:lang w:bidi="fa-IR"/>
        </w:rPr>
        <w:t xml:space="preserve">والمحقق </w:t>
      </w:r>
      <w:r>
        <w:rPr>
          <w:rStyle w:val="FootnoteAnchor"/>
          <w:rtl w:val="true"/>
        </w:rPr>
        <w:footnoteReference w:id="2331"/>
      </w:r>
      <w:r>
        <w:rPr>
          <w:rFonts w:ascii="Amiri" w:hAnsi="Amiri" w:eastAsia="Amiri" w:cs="Amiri"/>
          <w:color w:val="111111"/>
          <w:sz w:val="28"/>
          <w:sz w:val="28"/>
          <w:szCs w:val="28"/>
          <w:rtl w:val="true"/>
          <w:lang w:bidi="ar-SA"/>
        </w:rPr>
        <w:t xml:space="preserve">والشهيدان </w:t>
      </w:r>
      <w:r>
        <w:rPr>
          <w:rStyle w:val="FootnoteAnchor"/>
          <w:rtl w:val="true"/>
        </w:rPr>
        <w:footnoteReference w:id="2332"/>
      </w:r>
      <w:r>
        <w:rPr>
          <w:rFonts w:ascii="Amiri" w:hAnsi="Amiri" w:eastAsia="Amiri" w:cs="Amiri"/>
          <w:color w:val="111111"/>
          <w:sz w:val="28"/>
          <w:sz w:val="28"/>
          <w:szCs w:val="28"/>
          <w:rtl w:val="true"/>
          <w:lang w:bidi="ar-SA"/>
        </w:rPr>
        <w:t xml:space="preserve">والمحقّق الكركي </w:t>
      </w:r>
      <w:r>
        <w:rPr>
          <w:rStyle w:val="FootnoteAnchor"/>
          <w:rtl w:val="true"/>
        </w:rPr>
        <w:footnoteReference w:id="2333"/>
      </w:r>
      <w:r>
        <w:rPr>
          <w:rFonts w:ascii="Amiri" w:hAnsi="Amiri" w:eastAsia="Amiri" w:cs="Amiri"/>
          <w:color w:val="111111"/>
          <w:sz w:val="28"/>
          <w:sz w:val="28"/>
          <w:szCs w:val="28"/>
          <w:rtl w:val="true"/>
          <w:lang w:bidi="ar-SA"/>
        </w:rPr>
        <w:t>وغيرهم ، بل لا يظهر فيه خلاف بين الفرقة إلى زمن العلّامة ، ولا أشاروا إلى وقوع اختلاف فيه بين الخاصة في الكتب المعدّة لذكر المسائل الخلافيّة ، وإنّما خصّوا الخلاف فيه بالعامة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المحكي </w:t>
      </w:r>
      <w:r>
        <w:rPr>
          <w:rStyle w:val="FootnoteAnchor"/>
          <w:rtl w:val="true"/>
        </w:rPr>
        <w:footnoteReference w:id="2334"/>
      </w:r>
      <w:r>
        <w:rPr>
          <w:rFonts w:ascii="Amiri" w:hAnsi="Amiri" w:eastAsia="Amiri" w:cs="Amiri"/>
          <w:color w:val="111111"/>
          <w:sz w:val="28"/>
          <w:sz w:val="28"/>
          <w:szCs w:val="28"/>
          <w:rtl w:val="true"/>
          <w:lang w:bidi="ar-SA"/>
        </w:rPr>
        <w:t>عن الإسكافى أنّ الكعب ظهر القدم دون عظم الساق ، وهو المفصل الّذي قدّام العرقوب</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يستفاد منه ما يأتي نقله عن ظاهر </w:t>
      </w:r>
      <w:r>
        <w:rPr>
          <w:rStyle w:val="FootnoteAnchor"/>
          <w:rtl w:val="true"/>
        </w:rPr>
        <w:footnoteReference w:id="2335"/>
      </w:r>
      <w:r>
        <w:rPr>
          <w:rFonts w:ascii="Amiri" w:hAnsi="Amiri" w:eastAsia="Amiri" w:cs="Amiri"/>
          <w:color w:val="111111"/>
          <w:sz w:val="28"/>
          <w:sz w:val="28"/>
          <w:szCs w:val="28"/>
          <w:rtl w:val="true"/>
          <w:lang w:bidi="ar-SA"/>
        </w:rPr>
        <w:t>العلّامة بل ادّعى شيخنا البهائي رحمه‌اللّه صراحته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 إذ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إلى عدم كونه المفصل بين الساق </w:t>
      </w:r>
    </w:p>
    <w:p>
      <w:pPr>
        <w:pStyle w:val="BookText"/>
        <w:rPr/>
      </w:pPr>
      <w:r>
        <w:rPr>
          <w:rFonts w:ascii="Amiri" w:hAnsi="Amiri" w:eastAsia="Amiri" w:cs="Amiri"/>
          <w:color w:val="111111"/>
          <w:sz w:val="28"/>
          <w:sz w:val="28"/>
          <w:szCs w:val="28"/>
          <w:rtl w:val="true"/>
          <w:lang w:bidi="ar-SA"/>
        </w:rPr>
        <w:t>والقدم ؛ إذ هو واقع على الحدّ المشترك ، وظاهر الظرفية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عظم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المفصل الّذي قدّام العرقوب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كون المراد به المفصل المذكور ؛ لإمكان حمله على المفصل الذي في وسط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عليه المفصل في كلامهم كما سيجي‌ء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صدر الشريعة من أفاضل العامّة أنّ الكعب في رواية هشام عن محمّد هو المفصل الذي في وسط القدم عند معقد الشراك لكنّ الأصحّ أنّها العظم الناتئ الذي ينتهي إليه عظم الساق </w:t>
      </w:r>
      <w:r>
        <w:rPr>
          <w:rStyle w:val="FootnoteAnchor"/>
          <w:rtl w:val="true"/>
        </w:rPr>
        <w:footnoteReference w:id="2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أنّ في أوّل كلامه قرينة عليه ، وقد يجعل الضمير راجعا إلى عظم الساق بقرينة جعله في ظهر القدم ، فيكون الردّ على العامّة حيث جعلوه من عظم الساق عند ملتقاه مع القدم أعني العظمين الناشزين عن الجانبين ، على أن في كون ذلك من تتمّة عبارة الإسكافي تأمّلا ؛ لاحتمال كونه من كلام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يومي إليه عدم نقله الشهيد عنه عند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يؤيّده أنّهم لم يشيروا إلى وقوع خلاف فيه بين الخاصّة ، فلو كان الإسكافي مخالفا فيه لأشاروا إليه كما هو شأنهم في معظم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ادّعوا اتّفاق الخاصّة عليه الدالّ على موافقته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وحكاية الإجماع عليه مستفيضة ، نقله جماعة منهم السيدان في الانتصار والغنية والشيخ في عدّة من كتبه ، ففي التهذيب </w:t>
      </w:r>
      <w:r>
        <w:rPr>
          <w:rStyle w:val="FootnoteAnchor"/>
          <w:rtl w:val="true"/>
        </w:rPr>
        <w:footnoteReference w:id="2337"/>
      </w:r>
      <w:r>
        <w:rPr>
          <w:rFonts w:ascii="Amiri" w:hAnsi="Amiri" w:eastAsia="Amiri" w:cs="Amiri"/>
          <w:color w:val="111111"/>
          <w:sz w:val="28"/>
          <w:sz w:val="28"/>
          <w:szCs w:val="28"/>
          <w:rtl w:val="true"/>
          <w:lang w:bidi="ar-SA"/>
        </w:rPr>
        <w:t xml:space="preserve">بعد تفسيره المقيّد له بما حكي </w:t>
      </w:r>
      <w:r>
        <w:rPr>
          <w:rStyle w:val="FootnoteAnchor"/>
          <w:rtl w:val="true"/>
        </w:rPr>
        <w:footnoteReference w:id="2338"/>
      </w:r>
      <w:r>
        <w:rPr>
          <w:rFonts w:ascii="Amiri" w:hAnsi="Amiri" w:eastAsia="Amiri" w:cs="Amiri"/>
          <w:color w:val="111111"/>
          <w:sz w:val="28"/>
          <w:sz w:val="28"/>
          <w:szCs w:val="28"/>
          <w:rtl w:val="true"/>
          <w:lang w:bidi="ar-SA"/>
        </w:rPr>
        <w:t>هو صريح في ذلك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إجماع الأمّة ، وهو أنّ الأمّة بين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يقول وجوب المسح دون غيره ولا يجوز التخيير ويقطع على أنّ المراد بالكعبين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قول ثالث ، فإذا ثبت بالدليل الذي قدّمنا ذكره وجوب مسح الرجلين وأنّه لا يجوز غيره ثبت ما قلنا من ماهية </w:t>
      </w:r>
    </w:p>
    <w:p>
      <w:pPr>
        <w:pStyle w:val="BookText"/>
        <w:rPr/>
      </w:pP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الخلاف </w:t>
      </w:r>
      <w:r>
        <w:rPr>
          <w:rStyle w:val="FootnoteAnchor"/>
          <w:rtl w:val="true"/>
        </w:rPr>
        <w:footnoteReference w:id="2339"/>
      </w:r>
      <w:r>
        <w:rPr>
          <w:rFonts w:ascii="Amiri" w:hAnsi="Amiri" w:eastAsia="Amiri" w:cs="Amiri"/>
          <w:color w:val="111111"/>
          <w:sz w:val="28"/>
          <w:sz w:val="28"/>
          <w:szCs w:val="28"/>
          <w:rtl w:val="true"/>
          <w:lang w:bidi="ar-SA"/>
        </w:rPr>
        <w:t xml:space="preserve">بعد تفسيره الكعب بالعظمين النابتين في وسط القدم أنّ كلّ من قال بوجوب مسح الرجلين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 ما قلناه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فالتفرقة </w:t>
      </w:r>
      <w:r>
        <w:rPr>
          <w:rStyle w:val="FootnoteAnchor"/>
          <w:rtl w:val="true"/>
        </w:rPr>
        <w:footnoteReference w:id="2340"/>
      </w:r>
      <w:r>
        <w:rPr>
          <w:rFonts w:ascii="Amiri" w:hAnsi="Amiri" w:eastAsia="Amiri" w:cs="Amiri"/>
          <w:color w:val="111111"/>
          <w:sz w:val="28"/>
          <w:sz w:val="28"/>
          <w:szCs w:val="28"/>
          <w:rtl w:val="true"/>
          <w:lang w:bidi="ar-SA"/>
        </w:rPr>
        <w:t>بين المسألتين خروج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البيان </w:t>
      </w:r>
      <w:r>
        <w:rPr>
          <w:rStyle w:val="FootnoteAnchor"/>
          <w:rtl w:val="true"/>
        </w:rPr>
        <w:footnoteReference w:id="2341"/>
      </w:r>
      <w:r>
        <w:rPr>
          <w:rFonts w:ascii="Amiri" w:hAnsi="Amiri" w:eastAsia="Amiri" w:cs="Amiri"/>
          <w:color w:val="111111"/>
          <w:sz w:val="28"/>
          <w:sz w:val="28"/>
          <w:szCs w:val="28"/>
          <w:rtl w:val="true"/>
          <w:lang w:bidi="ar-SA"/>
        </w:rPr>
        <w:t>أنّهما عند الإماميّة هما العظمان النابتان في وسط القدم ، وهما 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فقهاء أهل البيت عليهم‌السلام ، ثمّ نصّ على الإجماع في طيّ ذكر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المنتهى </w:t>
      </w:r>
      <w:r>
        <w:rPr>
          <w:rStyle w:val="FootnoteAnchor"/>
          <w:rtl w:val="true"/>
        </w:rPr>
        <w:footnoteReference w:id="2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علماؤنا إلى أنّ الكعبين هما العظمان النابتان في وسط القدم ، وهما معقد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في طي الأدلّة عليه أنّ القول بوجوب المسح مع كون الكعب غير ما ذكرناه منفيّ بالإجماع أمّا عندنا فلثبوت الأمرين ، وأمّا عند العامّة فلانتفائهما معا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ذكر في بعض فروعه اللاحقة ما ربّما يخالف ذلك إلّا أنّه إن حمل على ظاهره فهو اجتهاد منه في فهم العبارة لا ينافي ما نقله من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الكعبان عندنا معقد الشراك وقبّتا القدم ، وعليه 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الأصحاب عبّر عنهما بالنابتان في وسط القدم أو في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نسب العلّامة إلى المتفرّد </w:t>
      </w:r>
      <w:r>
        <w:rPr>
          <w:rStyle w:val="FootnoteAnchor"/>
          <w:rtl w:val="true"/>
        </w:rPr>
        <w:footnoteReference w:id="2345"/>
      </w:r>
      <w:r>
        <w:rPr>
          <w:rFonts w:ascii="Amiri" w:hAnsi="Amiri" w:eastAsia="Amiri" w:cs="Amiri"/>
          <w:color w:val="111111"/>
          <w:sz w:val="28"/>
          <w:sz w:val="28"/>
          <w:szCs w:val="28"/>
          <w:rtl w:val="true"/>
          <w:lang w:bidi="ar-SA"/>
        </w:rPr>
        <w:t>فيما اختاره من المذهب الآتي</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حكاية الشهرة على القول المذكور مستفيضة في كتب الأصحاب ، ففي المقاصد </w:t>
      </w:r>
    </w:p>
    <w:p>
      <w:pPr>
        <w:pStyle w:val="BookText"/>
        <w:rPr/>
      </w:pPr>
      <w:r>
        <w:rPr>
          <w:rFonts w:ascii="Amiri" w:hAnsi="Amiri" w:eastAsia="Amiri" w:cs="Amiri"/>
          <w:color w:val="111111"/>
          <w:sz w:val="28"/>
          <w:sz w:val="28"/>
          <w:szCs w:val="28"/>
          <w:rtl w:val="true"/>
          <w:lang w:bidi="ar-SA"/>
        </w:rPr>
        <w:t xml:space="preserve">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346"/>
      </w:r>
      <w:r>
        <w:rPr>
          <w:rFonts w:ascii="Amiri" w:hAnsi="Amiri" w:eastAsia="Amiri" w:cs="Amiri"/>
          <w:color w:val="111111"/>
          <w:sz w:val="28"/>
          <w:sz w:val="28"/>
          <w:szCs w:val="28"/>
          <w:rtl w:val="true"/>
          <w:lang w:bidi="ar-SA"/>
        </w:rPr>
        <w:t>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الجعفريّة أنّه مذهب معظم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المعروف من مذهب الأصحاب إلى غير ذلك ، وذهب العلّامة في عدّة من كتبه إلى أنّه المفصل بين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ويعبّر </w:t>
      </w:r>
      <w:r>
        <w:rPr>
          <w:rStyle w:val="FootnoteAnchor"/>
          <w:rtl w:val="true"/>
        </w:rPr>
        <w:footnoteReference w:id="2347"/>
      </w:r>
      <w:r>
        <w:rPr>
          <w:rFonts w:ascii="Amiri" w:hAnsi="Amiri" w:eastAsia="Amiri" w:cs="Amiri"/>
          <w:color w:val="111111"/>
          <w:sz w:val="28"/>
          <w:sz w:val="28"/>
          <w:szCs w:val="28"/>
          <w:rtl w:val="true"/>
          <w:lang w:bidi="ar-SA"/>
        </w:rPr>
        <w:t>عنه أيضا بمجمع القدم وأصل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وعزي اختياره إلى الشهيد في ظاهر الألفيّة والسيوري والمحقق الأردبيلي والعلّامة التستري والفاضل الكاظمي وصاحب المفاتيح وغيرهم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شيخنا البهائى رحمه‌اللّه </w:t>
      </w:r>
      <w:r>
        <w:rPr>
          <w:rStyle w:val="FootnoteAnchor"/>
          <w:rtl w:val="true"/>
        </w:rPr>
        <w:footnoteReference w:id="2348"/>
      </w:r>
      <w:r>
        <w:rPr>
          <w:rFonts w:ascii="Amiri" w:hAnsi="Amiri" w:eastAsia="Amiri" w:cs="Amiri"/>
          <w:color w:val="111111"/>
          <w:sz w:val="28"/>
          <w:sz w:val="28"/>
          <w:szCs w:val="28"/>
          <w:rtl w:val="true"/>
          <w:lang w:bidi="ar-SA"/>
        </w:rPr>
        <w:t xml:space="preserve">إلى أنّه العظم المستدير الواقع تحت عظم الساق وحمل عليه كلام العلّامة ، بل عبائر كثير من الأصحاب بل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تأتي عن الحمل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تبعه على ذلك جماعة من المتأخرين ، وقد عزاه الرازي </w:t>
      </w:r>
      <w:r>
        <w:rPr>
          <w:rStyle w:val="FootnoteAnchor"/>
          <w:rtl w:val="true"/>
        </w:rPr>
        <w:footnoteReference w:id="2349"/>
      </w:r>
      <w:r>
        <w:rPr>
          <w:rFonts w:ascii="Amiri" w:hAnsi="Amiri" w:eastAsia="Amiri" w:cs="Amiri"/>
          <w:color w:val="111111"/>
          <w:sz w:val="28"/>
          <w:sz w:val="28"/>
          <w:szCs w:val="28"/>
          <w:rtl w:val="true"/>
          <w:lang w:bidi="ar-SA"/>
        </w:rPr>
        <w:t>في التفسير الكبير والنيسابوري في تفسيره إلى الإماميّة مؤذنا بإطباقهم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الرازي في الاحتجاج عليه تارة بأنّ المفصل يسمّى كعبا ، وأخرى بأنّ ذلك العظم المستدير يسمّى به ، وهو قاض باتّحاد الوجهين حسبما ذكره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حمل كلام العلّامة على ذلك غير الخروج عن ظاهر عبارته ، وعدم ظهور وجه للحكم بانطباق الوجهين ؛ إذ بعض أجزاء العظم المذكور خارج عن حدّ المفصل كما نصّ عليه بعض الأفاضل من هؤلاء</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فمع البناء على كون الكعب هو العظم المفروض ينبغي القول بالاجتزاء بإنهاء المسح إليه من غير حاجة إلى إيصاله إلى نفس المفصل بناء على خروج الغاية عن المغيّى في المقام الأوّل الظاهر من هؤلاء عدم اجتزائهم به ، فالظاهر منهم البناء على اتّحاد الوجهين ، وإن كان </w:t>
      </w:r>
    </w:p>
    <w:p>
      <w:pPr>
        <w:pStyle w:val="BookText"/>
        <w:rPr/>
      </w:pPr>
      <w:r>
        <w:rPr>
          <w:rFonts w:ascii="Amiri" w:hAnsi="Amiri" w:eastAsia="Amiri" w:cs="Amiri"/>
          <w:color w:val="111111"/>
          <w:sz w:val="28"/>
          <w:sz w:val="28"/>
          <w:szCs w:val="28"/>
          <w:rtl w:val="true"/>
          <w:lang w:bidi="ar-SA"/>
        </w:rPr>
        <w:t>للمناقشة مجال فيه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نزّل عليه في المختلف </w:t>
      </w:r>
      <w:r>
        <w:rPr>
          <w:rStyle w:val="FootnoteAnchor"/>
          <w:rtl w:val="true"/>
        </w:rPr>
        <w:footnoteReference w:id="2350"/>
      </w:r>
      <w:r>
        <w:rPr>
          <w:rFonts w:ascii="Amiri" w:hAnsi="Amiri" w:eastAsia="Amiri" w:cs="Amiri"/>
          <w:color w:val="111111"/>
          <w:sz w:val="28"/>
          <w:sz w:val="28"/>
          <w:szCs w:val="28"/>
          <w:rtl w:val="true"/>
          <w:lang w:bidi="ar-SA"/>
        </w:rPr>
        <w:t>عبائر الأصحاب ، وجعل حملها على غير ما ذكر من اشتباه غير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ويومي إليه كلامه في المنتهى </w:t>
      </w:r>
      <w:r>
        <w:rPr>
          <w:rStyle w:val="FootnoteAnchor"/>
          <w:rtl w:val="true"/>
        </w:rPr>
        <w:footnoteReference w:id="2351"/>
      </w:r>
      <w:r>
        <w:rPr>
          <w:rFonts w:ascii="Amiri" w:hAnsi="Amiri" w:eastAsia="Amiri" w:cs="Amiri"/>
          <w:color w:val="111111"/>
          <w:sz w:val="28"/>
          <w:sz w:val="28"/>
          <w:szCs w:val="28"/>
          <w:rtl w:val="true"/>
          <w:lang w:bidi="ar-SA"/>
        </w:rPr>
        <w:t xml:space="preserve">حيث قال بعد ما حكينا عنه من الإجماع في جملة فروع ذكرها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يشتبه عبارة علمائنا على بعض من لا مزيد تحصيل له في الكعب ، والضابط فيه ما رواه زرارة في الصحيح عن الباقر عليه‌السلام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الكعبان؟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المفصل دون عظم الساق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حمل عبائر الأصحاب على المعنى المذكور بعيد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حاول جماعة من متأخري المتأخرين الانتصار له في الحمل المذكور فلا بأس بذكر جملة من عبائرهم في المقام حتّى يتبيّن ضعف ما حاولوه عن المرام ، وقد تقدّم جملة من عبائرهم المشتملة على حكاية الاتفاق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العماني </w:t>
      </w:r>
      <w:r>
        <w:rPr>
          <w:rStyle w:val="FootnoteAnchor"/>
          <w:rtl w:val="true"/>
        </w:rPr>
        <w:footnoteReference w:id="2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الكعبين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المفيد </w:t>
      </w:r>
      <w:r>
        <w:rPr>
          <w:rStyle w:val="FootnoteAnchor"/>
          <w:rtl w:val="true"/>
        </w:rPr>
        <w:footnoteReference w:id="2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قبّتا القدمين ما بين المفصل والمشط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والكعب في كلّ قدم واحد ، وهو ما علا منه في وسطه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السيد </w:t>
      </w:r>
      <w:r>
        <w:rPr>
          <w:rStyle w:val="FootnoteAnchor"/>
          <w:rtl w:val="true"/>
        </w:rPr>
        <w:footnoteReference w:id="2355"/>
      </w:r>
      <w:r>
        <w:rPr>
          <w:rFonts w:ascii="Amiri" w:hAnsi="Amiri" w:eastAsia="Amiri" w:cs="Amiri"/>
          <w:color w:val="111111"/>
          <w:sz w:val="28"/>
          <w:sz w:val="28"/>
          <w:szCs w:val="28"/>
          <w:rtl w:val="true"/>
          <w:lang w:bidi="ar-SA"/>
        </w:rPr>
        <w:t>إنّهما العظمان النابتان في وسط القدم عند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Style w:val="FootnoteAnchor"/>
          <w:rtl w:val="true"/>
        </w:rPr>
        <w:footnoteReference w:id="2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النابتان في وسط القدم عند الشراك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معقد الشراك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السرائر </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العظمان اللّذان في ظهر القدمين عند معقد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الشرائع </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قبّتا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العبائر والعبارات المتقدّمة وغيرها بعضها صريحة وبعضها كالصريح في خلاف ما حاولوه لاعتبار النتو فيهما أو كونهما في وسط القدم أو عند معقد الشراك أو كونهما قبّة للقدم أو كونهما بين المفصل والمشط سيّما ما أخذ فيه عدّة من المذكورات كما في كثير من تلك العبارات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وحمل الناتئ </w:t>
      </w:r>
      <w:r>
        <w:rPr>
          <w:rStyle w:val="FootnoteAnchor"/>
          <w:rtl w:val="true"/>
        </w:rPr>
        <w:footnoteReference w:id="2359"/>
      </w:r>
      <w:r>
        <w:rPr>
          <w:rFonts w:ascii="Amiri" w:hAnsi="Amiri" w:eastAsia="Amiri" w:cs="Amiri"/>
          <w:color w:val="111111"/>
          <w:sz w:val="28"/>
          <w:sz w:val="28"/>
          <w:szCs w:val="28"/>
          <w:rtl w:val="true"/>
          <w:lang w:bidi="ar-SA"/>
        </w:rPr>
        <w:t>في وسط القدم على الوسط في العرض كما ذكره جماعة بيّن الوهن ؛ لفقدان النتو أوّلا وعدم انصراف إطلاق الوسط عليه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المفصل يعمّ القدر العالي منه المحاذي لقبّة القدم وغيره ممّا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يظهر وجه اختصاصه بالأوّل ، فلا وجه لتطبيق ذلك على المفصل أصلا ، فتخصيص المفصل بما يحاذي القدر الناتئ من العظم المذكور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يحمل كلامهم على إرادة النتوء الحاصل له في نفسه ، فإن له فتوا في أحد الجانبين ، فيكون المراد أنّهما عظمان نابتان </w:t>
      </w:r>
      <w:r>
        <w:rPr>
          <w:rStyle w:val="FootnoteAnchor"/>
          <w:rtl w:val="true"/>
        </w:rPr>
        <w:footnoteReference w:id="2360"/>
      </w:r>
      <w:r>
        <w:rPr>
          <w:rFonts w:ascii="Amiri" w:hAnsi="Amiri" w:eastAsia="Amiri" w:cs="Amiri"/>
          <w:color w:val="111111"/>
          <w:sz w:val="28"/>
          <w:sz w:val="28"/>
          <w:szCs w:val="28"/>
          <w:rtl w:val="true"/>
          <w:lang w:bidi="ar-SA"/>
        </w:rPr>
        <w:t xml:space="preserve">كائنان في وسط القدم لا أنّهما نابتان </w:t>
      </w:r>
      <w:r>
        <w:rPr>
          <w:rStyle w:val="FootnoteAnchor"/>
          <w:rtl w:val="true"/>
        </w:rPr>
        <w:footnoteReference w:id="2361"/>
      </w:r>
      <w:r>
        <w:rPr>
          <w:rFonts w:ascii="Amiri" w:hAnsi="Amiri" w:eastAsia="Amiri" w:cs="Amiri"/>
          <w:color w:val="111111"/>
          <w:sz w:val="28"/>
          <w:sz w:val="28"/>
          <w:szCs w:val="28"/>
          <w:rtl w:val="true"/>
          <w:lang w:bidi="ar-SA"/>
        </w:rPr>
        <w:t>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البعد لا يخفى</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 ولو كان المقصود من تلك العبارة بيان ذلك لما احتيج إلى ذلك التطويل مع عدم وضوحه في المقصود ووضوح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عليه ، فعدم التعبير به مع غاية وضوحه وبيانه </w:t>
      </w:r>
      <w:r>
        <w:rPr>
          <w:rStyle w:val="FootnoteAnchor"/>
          <w:rtl w:val="true"/>
        </w:rPr>
        <w:footnoteReference w:id="2362"/>
      </w:r>
      <w:r>
        <w:rPr>
          <w:rFonts w:ascii="Amiri" w:hAnsi="Amiri" w:eastAsia="Amiri" w:cs="Amiri"/>
          <w:color w:val="111111"/>
          <w:sz w:val="28"/>
          <w:sz w:val="28"/>
          <w:szCs w:val="28"/>
          <w:rtl w:val="true"/>
          <w:lang w:bidi="ar-SA"/>
        </w:rPr>
        <w:t>، والتعبير بتلك العبارات مع طولها وعدم وضوح دلالتها أوضح شاهد على عدم إرادة المفصل سيّما مع إطباق العبارات المذكورة على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تسامح بعضهم في التعبير لم يطّرد في تعبيرات </w:t>
      </w:r>
      <w:r>
        <w:rPr>
          <w:rStyle w:val="FootnoteAnchor"/>
          <w:rtl w:val="true"/>
        </w:rPr>
        <w:footnoteReference w:id="2363"/>
      </w:r>
      <w:r>
        <w:rPr>
          <w:rFonts w:ascii="Amiri" w:hAnsi="Amiri" w:eastAsia="Amiri" w:cs="Amiri"/>
          <w:color w:val="111111"/>
          <w:sz w:val="28"/>
          <w:sz w:val="28"/>
          <w:szCs w:val="28"/>
          <w:rtl w:val="true"/>
          <w:lang w:bidi="ar-SA"/>
        </w:rPr>
        <w:t>الباقين ، فمع إطباق هؤلاء على التعبير المذكور كان من المستبعد جدّا حملها على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أذعن شيخنا البهائي رحمه‌اللّه بصراحة عبارة المفيد فيما ذكرناه ، وعدم قبوله للتأويل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فما حاوله من التأويل في سائر العبارات مع موافقته لهما </w:t>
      </w:r>
      <w:r>
        <w:rPr>
          <w:rStyle w:val="FootnoteAnchor"/>
          <w:rtl w:val="true"/>
        </w:rPr>
        <w:footnoteReference w:id="2364"/>
      </w:r>
      <w:r>
        <w:rPr>
          <w:rFonts w:ascii="Amiri" w:hAnsi="Amiri" w:eastAsia="Amiri" w:cs="Amiri"/>
          <w:color w:val="111111"/>
          <w:sz w:val="28"/>
          <w:sz w:val="28"/>
          <w:szCs w:val="28"/>
          <w:rtl w:val="true"/>
          <w:lang w:bidi="ar-SA"/>
        </w:rPr>
        <w:t>في أصل التعبير وإن لم تكن بتلك الصراحة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ظاهرهم عدم حصول خلاف بينهم ؛ إذ لم يشيروا إلى اختلاف فيه بين الخاصّة بل حكوا اتفاقهم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العبارات المذكورة على ما ذكره لزم مخالفتهم للمفيد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يبعد غاية البعد أن لا يعتدّوا بخلافه ، ولا يشيروا إلى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عمّا ذكرنا تسليم الشيخ في التهذيب لما ذكره وحكاية الإجماع عليه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ما حاوله غير واحد منهم من تطبيق عبارة المقنعة على مذهب العلّامة مع أنّه صرّح بكون الكعب فيه القدم بين المفصل والمشط ؛ نظرا إلى حمله كلام العلّامة على إرادة العظم الواقع عند المفصل ، وحينئذ يكون بعضه واقعا بين المفصل والمشط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 إذ مجرّد وقوع جزء منه هنالك لا يقضي بصحّة الحكم بكون الكعب ما بين المفصل والمشط ، مع أنّ معظم أجزائه خارج عن ذلك ، ولذا يقولون إنّ العظم المذكور واقع تحت عظم الساق ، ولا يقال بوقوعه بين الساق والمشط ؛ مضافا إلى تعبيره عنه بقبّة القدم الصريح في خلافه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وقد قيل أيضا في توجيه كونه في وسط القدم بأنّ المراد بهما مجموع الرجل ، فيندرج فيه العقب كما يدلّ عليه ملاحظة الأقدام المذكورة في تقدير الظلّ لمعرفة الأوقات والعظم </w:t>
      </w:r>
    </w:p>
    <w:p>
      <w:pPr>
        <w:pStyle w:val="BookText"/>
        <w:rPr/>
      </w:pPr>
      <w:r>
        <w:rPr>
          <w:rFonts w:ascii="Amiri" w:hAnsi="Amiri" w:eastAsia="Amiri" w:cs="Amiri"/>
          <w:color w:val="111111"/>
          <w:sz w:val="28"/>
          <w:sz w:val="28"/>
          <w:szCs w:val="28"/>
          <w:rtl w:val="true"/>
          <w:lang w:bidi="ar-SA"/>
        </w:rPr>
        <w:t xml:space="preserve">المذكور واقع قدّام العقب ، فيكون في وسط القدم وإن لم يكن حقيقيا ، فإنّ الغرض التحاشي </w:t>
      </w:r>
      <w:r>
        <w:rPr>
          <w:rStyle w:val="FootnoteAnchor"/>
          <w:rtl w:val="true"/>
        </w:rPr>
        <w:footnoteReference w:id="2365"/>
      </w:r>
      <w:r>
        <w:rPr>
          <w:rFonts w:ascii="Amiri" w:hAnsi="Amiri" w:eastAsia="Amiri" w:cs="Amiri"/>
          <w:color w:val="111111"/>
          <w:sz w:val="28"/>
          <w:sz w:val="28"/>
          <w:szCs w:val="28"/>
          <w:rtl w:val="true"/>
          <w:lang w:bidi="ar-SA"/>
        </w:rPr>
        <w:t>عمّا ذكره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كلامهم كونه في وسط ظاهر القدم ؛ لتعلّق المسح بالظاهر ، والغرض تحديد محلّ المسح ، فاندراج العقب في القدم لا يقضي بكونه المفصل في الوسط ، ولمّا كان التقدير بالأقدام بملاحظة باطن القدم اندرج العقب فيها على عكس المقام ، مع ما في الحمل المذكور من البعد ؛ إذ المفصل من حدود القدم فكيف يعرف أو يعرف ما حصل فيه بكونه في وسط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 ذلك دعوى كون المراد بمعقد الشراك هو المفصل إمّا لكونه هو المعقد أو لمجاورته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معلوم الخلاف ، والثاني غير لائق بمقام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موافقته لسائر القيودات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مخالفة ما ذكر من التوجيهات لفهم معظم الأصحاب من العبائر المذكورة حيث عدّوا ما ذكره العلّامة مخالفا للمشهور واستفاض منهم نقل الشهرة على القول الأوّل كما قدّمنا ، فبعد فهم الجماعة وصراحة بعض تلك العبائر وظهور الباقي فيه كمال الظهور لا يبقى مجال للتوجيه</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يوجّه كلام العلّامة بما يرجع إلى المشهور كما حاوله بعض الأصحاب واستجود صاحب الحدائق </w:t>
      </w:r>
      <w:r>
        <w:rPr>
          <w:rStyle w:val="FootnoteAnchor"/>
          <w:rtl w:val="true"/>
        </w:rPr>
        <w:footnoteReference w:id="2366"/>
      </w:r>
      <w:r>
        <w:rPr>
          <w:rFonts w:ascii="Amiri" w:hAnsi="Amiri" w:eastAsia="Amiri" w:cs="Amiri"/>
          <w:color w:val="111111"/>
          <w:sz w:val="28"/>
          <w:sz w:val="28"/>
          <w:szCs w:val="28"/>
          <w:rtl w:val="true"/>
          <w:lang w:bidi="ar-SA"/>
        </w:rPr>
        <w:t xml:space="preserve">، ولا ريب أنّه أولى من التوجيه في كلمات الأصحاب كما احتمله أولئك ، بل أولى من الحكم ببناء العلامة على توجيه كلماتهم والخروج عن مقتضاها مع كمال ظهورها كما عرفت هذا </w:t>
      </w:r>
      <w:r>
        <w:rPr>
          <w:rStyle w:val="FootnoteAnchor"/>
          <w:rtl w:val="true"/>
        </w:rPr>
        <w:footnoteReference w:id="2367"/>
      </w:r>
      <w:r>
        <w:rPr>
          <w:rFonts w:ascii="Amiri" w:hAnsi="Amiri" w:eastAsia="Amiri" w:cs="Amiri"/>
          <w:color w:val="111111"/>
          <w:sz w:val="28"/>
          <w:sz w:val="28"/>
          <w:szCs w:val="28"/>
          <w:rtl w:val="true"/>
          <w:lang w:bidi="ar-SA"/>
        </w:rPr>
        <w:t xml:space="preserve">، وقد يعطي ما ذكره السيوري في كنز العرفان اختياره لما ذهب إليه العامّة حيث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حكم بأنّ الكعبين ملتقى الساق والقدم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النابتين </w:t>
      </w:r>
      <w:r>
        <w:rPr>
          <w:rStyle w:val="FootnoteAnchor"/>
          <w:rtl w:val="true"/>
        </w:rPr>
        <w:footnoteReference w:id="2368"/>
      </w:r>
      <w:r>
        <w:rPr>
          <w:rFonts w:ascii="Amiri" w:hAnsi="Amiri" w:eastAsia="Amiri" w:cs="Amiri"/>
          <w:color w:val="111111"/>
          <w:sz w:val="28"/>
          <w:sz w:val="28"/>
          <w:szCs w:val="28"/>
          <w:rtl w:val="true"/>
          <w:lang w:bidi="ar-SA"/>
        </w:rPr>
        <w:t>لا شاهد لهما لغة وعرفا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ملتقى الساق والقدم لقال إلى الكعاب ؛ إذ كل رجل له الكعبان من كل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وبأنّ أبا عبيدة قال </w:t>
      </w:r>
      <w:r>
        <w:rPr>
          <w:rStyle w:val="FootnoteAnchor"/>
          <w:rtl w:val="true"/>
        </w:rPr>
        <w:footnoteReference w:id="2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هو الّذي في أصل القدم ينتهي إلى الساق بمنزلة كعب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حكاه 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المراد به خصوص العظم الواقع تحت الساق حسب ما مرّ ، وأن يراد به ما يقع تحت الساق وينتهي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الأظهر من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فالجواب الثاني يخالف الأوّل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في الأصل موضوع لذلك ثمّ أطلق على الملتقى حسب ما بيّنه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ملخّص أقوالهم في المقام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القول الأوّل ، وتفصيل الكلام في بيانه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ما ذكر من معاني الكعب بما يناسب المقام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العظمان الناشزان عن طرفي الساق عند المفصل بينه وبين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نصّ عليه كثير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مقاييس اللغة </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الرجل هو عظم طرفى الساق عند ملتقى القدم والساق </w:t>
      </w:r>
      <w:r>
        <w:rPr>
          <w:rStyle w:val="FootnoteAnchor"/>
          <w:rtl w:val="true"/>
        </w:rPr>
        <w:footnoteReference w:id="2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العظمان الناشزان من جانبي القدم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w:t>
      </w:r>
      <w:r>
        <w:rPr>
          <w:rStyle w:val="FootnoteAnchor"/>
          <w:rtl w:val="true"/>
        </w:rPr>
        <w:footnoteReference w:id="2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الكعبان العظمان النابتان </w:t>
      </w:r>
      <w:r>
        <w:rPr>
          <w:rStyle w:val="FootnoteAnchor"/>
          <w:rtl w:val="true"/>
        </w:rPr>
        <w:footnoteReference w:id="2374"/>
      </w:r>
      <w:r>
        <w:rPr>
          <w:rFonts w:ascii="Amiri" w:hAnsi="Amiri" w:eastAsia="Amiri" w:cs="Amiri"/>
          <w:color w:val="111111"/>
          <w:sz w:val="28"/>
          <w:sz w:val="28"/>
          <w:szCs w:val="28"/>
          <w:rtl w:val="true"/>
          <w:lang w:bidi="ar-SA"/>
        </w:rPr>
        <w:t>عند مفصل الساق والقدم عن الجنبين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الصحاح </w:t>
      </w:r>
      <w:r>
        <w:rPr>
          <w:rStyle w:val="FootnoteAnchor"/>
          <w:rtl w:val="true"/>
        </w:rPr>
        <w:footnoteReference w:id="2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العظم الناشز عند ملتقى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في القاموس </w:t>
      </w:r>
      <w:r>
        <w:rPr>
          <w:rStyle w:val="FootnoteAnchor"/>
          <w:rtl w:val="true"/>
        </w:rPr>
        <w:footnoteReference w:id="2376"/>
      </w:r>
      <w:r>
        <w:rPr>
          <w:rFonts w:ascii="Amiri" w:hAnsi="Amiri" w:eastAsia="Amiri" w:cs="Amiri"/>
          <w:color w:val="111111"/>
          <w:sz w:val="28"/>
          <w:sz w:val="28"/>
          <w:szCs w:val="28"/>
          <w:rtl w:val="true"/>
          <w:lang w:bidi="ar-SA"/>
        </w:rPr>
        <w:t>في جملة معانيه العظمين الناشزين من جانبي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المصباح المنير </w:t>
      </w:r>
      <w:r>
        <w:rPr>
          <w:rStyle w:val="FootnoteAnchor"/>
          <w:rtl w:val="true"/>
        </w:rPr>
        <w:footnoteReference w:id="2377"/>
      </w:r>
      <w:r>
        <w:rPr>
          <w:rFonts w:ascii="Amiri" w:hAnsi="Amiri" w:eastAsia="Amiri" w:cs="Amiri"/>
          <w:color w:val="111111"/>
          <w:sz w:val="28"/>
          <w:sz w:val="28"/>
          <w:szCs w:val="28"/>
          <w:rtl w:val="true"/>
          <w:lang w:bidi="ar-SA"/>
        </w:rPr>
        <w:t xml:space="preserve">نقلا عن أبي عمرو بن العلاء والأصمعي وجماعة أنّه العظم الناشز عند ملتقى الساق والقدم ، فيكون لكلّ قدم كعبان عن يمنتها ويسرتها وحكى في فائت </w:t>
      </w:r>
      <w:r>
        <w:rPr>
          <w:rStyle w:val="FootnoteAnchor"/>
          <w:rtl w:val="true"/>
        </w:rPr>
        <w:footnoteReference w:id="2378"/>
      </w:r>
      <w:r>
        <w:rPr>
          <w:rFonts w:ascii="Amiri" w:hAnsi="Amiri" w:eastAsia="Amiri" w:cs="Amiri"/>
          <w:color w:val="111111"/>
          <w:sz w:val="28"/>
          <w:sz w:val="28"/>
          <w:szCs w:val="28"/>
          <w:rtl w:val="true"/>
          <w:lang w:bidi="ar-SA"/>
        </w:rPr>
        <w:t xml:space="preserve">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الذكرى </w:t>
      </w:r>
      <w:r>
        <w:rPr>
          <w:rStyle w:val="FootnoteAnchor"/>
          <w:rtl w:val="true"/>
        </w:rPr>
        <w:footnoteReference w:id="2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الأصمعي أنّه الناتئ في أسفل الساق وعن يمين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الطراز في عداد معانيها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والعظم الناتئ عند ملتقى الساق والقدم فيكون لكلّ قدم كعبان عن يمنتها ويسرتها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مفردات الراغب </w:t>
      </w:r>
      <w:r>
        <w:rPr>
          <w:rStyle w:val="FootnoteAnchor"/>
          <w:rtl w:val="true"/>
        </w:rPr>
        <w:footnoteReference w:id="2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الرجل العظم الّذي عند ملتقى القدم والساق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العبارة يحتمل الحمل على المعنى المذكور كما يكشف عنه كلام غيره ، ويمكن حمله على المعنى الذي ذكره شيخنا البهائي 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الألصق بطريقتهم والأوفق بكلماتهم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فمجي‌ء الكعب بهذا المعنى هو المعروف بين أهل اللغة ، وقد نصّ عليه جماعة من علماء التفسير إلّا أنّه غير مراد في المقام باتفاق علمائنا سوى ما قد يوهمه عبارة كنز العرفان ، وهو على فرض حمله على ذلك مدفوع بإجماعنا والنصّ الوارد عن أئمّتنا عليهم‌السلام</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الناشز في وسط القدم حسب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جماعة من أهل اللغة ، ففي القاموس </w:t>
      </w:r>
      <w:r>
        <w:rPr>
          <w:rStyle w:val="FootnoteAnchor"/>
          <w:rtl w:val="true"/>
        </w:rPr>
        <w:footnoteReference w:id="2381"/>
      </w:r>
      <w:r>
        <w:rPr>
          <w:rFonts w:ascii="Amiri" w:hAnsi="Amiri" w:eastAsia="Amiri" w:cs="Amiri"/>
          <w:color w:val="111111"/>
          <w:sz w:val="28"/>
          <w:sz w:val="28"/>
          <w:szCs w:val="28"/>
          <w:rtl w:val="true"/>
          <w:lang w:bidi="ar-SA"/>
        </w:rPr>
        <w:t xml:space="preserve">في عداد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الناشز فوق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ظاهر الانطباق على ذلك ؛ إذ لا نشوز ظاهر لغيره لينصرف الإطلاق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الزاهد في كتاب فائت الجمهرة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حكاه الشهيد في الذكرى </w:t>
      </w:r>
      <w:r>
        <w:rPr>
          <w:rStyle w:val="FootnoteAnchor"/>
          <w:rtl w:val="true"/>
        </w:rPr>
        <w:footnoteReference w:id="238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مشط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برجله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الّذي يسمّيه الأصمعي الكعب هو عند العرب المنجم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الدلالة في المعنى المذكور ؛ إذ هو متّصل بالمشط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الطراز في عداد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من رجل الإنسان العظم الناشز فوق قدمه ، وهو قبّة القدم أمام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فيما ذكرناه ، وفيه شرح لعبارة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Style w:val="FootnoteAnchor"/>
          <w:rtl w:val="true"/>
        </w:rPr>
        <w:footnoteReference w:id="2383"/>
      </w:r>
      <w:r>
        <w:rPr>
          <w:rFonts w:ascii="Amiri" w:hAnsi="Amiri" w:eastAsia="Amiri" w:cs="Amiri"/>
          <w:color w:val="111111"/>
          <w:sz w:val="28"/>
          <w:sz w:val="28"/>
          <w:szCs w:val="28"/>
          <w:rtl w:val="true"/>
          <w:lang w:bidi="ar-SA"/>
        </w:rPr>
        <w:t xml:space="preserve">عن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العظمان اللّذان في ظهر القدم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مجمع البحرين </w:t>
      </w:r>
      <w:r>
        <w:rPr>
          <w:rStyle w:val="FootnoteAnchor"/>
          <w:rtl w:val="true"/>
        </w:rPr>
        <w:footnoteReference w:id="2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العظمان اللّذان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هاتين العبارتين هو المعنى المذكور ؛ إذ ليس في العظام الّتي في ظهر القدم ما يسمّى كعبا سواه ، والعظم المستدير الآتي موضوع تحت الساق ، ولا يعدّ من عظام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جزء منه قدّام القدم على فرض ظهوره لا يصدق مع كونه في ظهر القدم مع وقوع معظمه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يبعد أن يراد بظهر القدم ما علا وارتفع منها ، فيكون المراد خصوص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الذكرى </w:t>
      </w:r>
      <w:r>
        <w:rPr>
          <w:rStyle w:val="FootnoteAnchor"/>
          <w:rtl w:val="true"/>
        </w:rPr>
        <w:footnoteReference w:id="2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لغوية الخاصّة متّفقون على أنّ الكعب ما ذكرنا وحكى عن العلّامة اللغوي عميد الرؤساء أنّه صنّف كتابا في تحقيق الكعب وأكثر من الشواهد على أنّ الكعب هو الناشز في ظهر القدم أمام الساق حيث يقع معقد الشراك من النعل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أنّ جماعة من أهل اللغة نصّوا على أنّ لفظ الكعب يدلّ على النتو والارتفاع ، </w:t>
      </w:r>
    </w:p>
    <w:p>
      <w:pPr>
        <w:pStyle w:val="BookText"/>
        <w:rPr/>
      </w:pPr>
      <w:r>
        <w:rPr>
          <w:rFonts w:ascii="Amiri" w:hAnsi="Amiri" w:eastAsia="Amiri" w:cs="Amiri"/>
          <w:color w:val="111111"/>
          <w:sz w:val="28"/>
          <w:sz w:val="28"/>
          <w:szCs w:val="28"/>
          <w:rtl w:val="true"/>
          <w:lang w:bidi="ar-SA"/>
        </w:rPr>
        <w:t xml:space="preserve">فعن ابن فارس في المقاييس </w:t>
      </w:r>
      <w:r>
        <w:rPr>
          <w:rStyle w:val="FootnoteAnchor"/>
          <w:rtl w:val="true"/>
        </w:rPr>
        <w:footnoteReference w:id="2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والعين والباء أصل صحيح يدلّ على نتو وارتفاع في الشي‌ء ، من ذلك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الغريبين والنهاية </w:t>
      </w:r>
      <w:r>
        <w:rPr>
          <w:rStyle w:val="FootnoteAnchor"/>
          <w:rtl w:val="true"/>
        </w:rPr>
        <w:footnoteReference w:id="2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علا وارتفع فهو من كعب ، وبه سمّيت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Style w:val="FootnoteAnchor"/>
          <w:rtl w:val="true"/>
        </w:rPr>
        <w:footnoteReference w:id="2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علا وارتفع فهو كعب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سمّيت الكعبة كعبة وقد نصّوا أيضا </w:t>
      </w:r>
      <w:r>
        <w:rPr>
          <w:rStyle w:val="FootnoteAnchor"/>
          <w:rtl w:val="true"/>
        </w:rPr>
        <w:footnoteReference w:id="2389"/>
      </w:r>
      <w:r>
        <w:rPr>
          <w:rFonts w:ascii="Amiri" w:hAnsi="Amiri" w:eastAsia="Amiri" w:cs="Amiri"/>
          <w:color w:val="111111"/>
          <w:sz w:val="28"/>
          <w:sz w:val="28"/>
          <w:szCs w:val="28"/>
          <w:rtl w:val="true"/>
          <w:lang w:bidi="ar-SA"/>
        </w:rPr>
        <w:t xml:space="preserve">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كعبت الجارية وتكعّب ثديها إذا ظهر ونتا ثديها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يكون كعب القدم ما نتأ وظهر منها ، وهو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جميع ما ذكرناه كون إطلاق الكعب على الناتئ في وسط القدم حقيقيّا ، وإنكار الأصمعي كون الكعب في ظهر القدم كما حكاه عنه جماعة منهم لا حجّة فيه بعد قيام الدليل عليه ، وذكر غيره له ؛ إذ من المقرّر تقديم القول المثبت </w:t>
      </w:r>
      <w:r>
        <w:rPr>
          <w:rStyle w:val="FootnoteAnchor"/>
          <w:rtl w:val="true"/>
        </w:rPr>
        <w:footnoteReference w:id="2390"/>
      </w:r>
      <w:r>
        <w:rPr>
          <w:rFonts w:ascii="Amiri" w:hAnsi="Amiri" w:eastAsia="Amiri" w:cs="Amiri"/>
          <w:color w:val="111111"/>
          <w:sz w:val="28"/>
          <w:sz w:val="28"/>
          <w:szCs w:val="28"/>
          <w:rtl w:val="true"/>
          <w:lang w:bidi="ar-SA"/>
        </w:rPr>
        <w:t>سيّما مع اعتضاده بما يؤيّده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بين الساق والقدم ، ففي المصباح المنير </w:t>
      </w:r>
      <w:r>
        <w:rPr>
          <w:rStyle w:val="FootnoteAnchor"/>
          <w:rtl w:val="true"/>
        </w:rPr>
        <w:footnoteReference w:id="2391"/>
      </w:r>
      <w:r>
        <w:rPr>
          <w:rFonts w:ascii="Amiri" w:hAnsi="Amiri" w:eastAsia="Amiri" w:cs="Amiri"/>
          <w:color w:val="111111"/>
          <w:sz w:val="28"/>
          <w:sz w:val="28"/>
          <w:szCs w:val="28"/>
          <w:rtl w:val="true"/>
          <w:lang w:bidi="ar-SA"/>
        </w:rPr>
        <w:t>نقلا عن ابن الأعرابي وغيره أنّه المفصل بين الساق والقدم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في الطراز في معاني الكعب ، ثمّ قال في تفسير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بالمسح قال هو المفصل بين الساق والقدم ، وهو قول ابن الاعرابى وجماعة في تفسير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في القاموس </w:t>
      </w:r>
      <w:r>
        <w:rPr>
          <w:rStyle w:val="FootnoteAnchor"/>
          <w:rtl w:val="true"/>
        </w:rPr>
        <w:footnoteReference w:id="2392"/>
      </w:r>
      <w:r>
        <w:rPr>
          <w:rFonts w:ascii="Amiri" w:hAnsi="Amiri" w:eastAsia="Amiri" w:cs="Amiri"/>
          <w:color w:val="111111"/>
          <w:sz w:val="28"/>
          <w:sz w:val="28"/>
          <w:szCs w:val="28"/>
          <w:rtl w:val="true"/>
          <w:lang w:bidi="ar-SA"/>
        </w:rPr>
        <w:t>والطراز في معاني الكعب أنّه كلّ مفصل للعظام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عن التّبيان </w:t>
      </w:r>
      <w:r>
        <w:rPr>
          <w:rStyle w:val="FootnoteAnchor"/>
          <w:rtl w:val="true"/>
        </w:rPr>
        <w:footnoteReference w:id="2393"/>
      </w:r>
      <w:r>
        <w:rPr>
          <w:rFonts w:ascii="IRNazanin" w:hAnsi="IRNazanin" w:eastAsia="IRNazanin"/>
          <w:color w:val="111111"/>
          <w:sz w:val="28"/>
          <w:sz w:val="28"/>
          <w:szCs w:val="28"/>
          <w:rtl w:val="true"/>
          <w:lang w:bidi="fa-IR"/>
        </w:rPr>
        <w:t>نقلا عن الزجاج</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فيندرج فيه المفصل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 العبارة المنقولة عن ابن الأعرابي غير صريحة فيما يخالف المعنى الأوّل ؛ لإمكان حملها </w:t>
      </w:r>
      <w:r>
        <w:rPr>
          <w:rStyle w:val="FootnoteAnchor"/>
          <w:rtl w:val="true"/>
        </w:rPr>
        <w:footnoteReference w:id="2394"/>
      </w:r>
      <w:r>
        <w:rPr>
          <w:rFonts w:ascii="Amiri" w:hAnsi="Amiri" w:eastAsia="Amiri" w:cs="Amiri"/>
          <w:color w:val="111111"/>
          <w:sz w:val="28"/>
          <w:sz w:val="28"/>
          <w:szCs w:val="28"/>
          <w:rtl w:val="true"/>
          <w:lang w:bidi="ar-SA"/>
        </w:rPr>
        <w:t xml:space="preserve">على ما هو المعروف بين العامّة ، فإنّ العظمين الناتئين </w:t>
      </w:r>
      <w:r>
        <w:rPr>
          <w:rStyle w:val="FootnoteAnchor"/>
          <w:rtl w:val="true"/>
        </w:rPr>
        <w:footnoteReference w:id="2395"/>
      </w:r>
      <w:r>
        <w:rPr>
          <w:rFonts w:ascii="Amiri" w:hAnsi="Amiri" w:eastAsia="Amiri" w:cs="Amiri"/>
          <w:color w:val="111111"/>
          <w:sz w:val="28"/>
          <w:sz w:val="28"/>
          <w:szCs w:val="28"/>
          <w:rtl w:val="true"/>
          <w:lang w:bidi="ar-SA"/>
        </w:rPr>
        <w:t>واقعان في المفصل ، وإن كان قضيّة مقابلته في المصباح للأوّل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الطراز كأنّه مأخوذ من ذلك ؛ إذ لم نجد ذلك في كلام غيره من أهل اللغة ، فثبوت كونه حقيقة فيه بمجرّد ذلك مع عدم ذكره في معظم كتب اللغة لا يخلو عن إشكال ، فلا يبعد حمله على ما يرجع إلى الأوّل ، سيّما بملاحظة ما هو الشائع بينهم من التسامح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 من إطلاقه على كلّ مفصل للعظام لو ثبت كونه من الإطلاقات الحقيقيّة فالظاهر أنّه من المعاني المهجورة المتروكة في الاستعمال المتداولة ، فلا يحمل عليه الإطلاق من غير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يذهب عليك أنّه مع ثبوت كونه حقيقة في المعنى المذكور فالظاهر أنّ المراد به مجموع المفصل المذكور لا خصوص الواقع منه في ظهر القدم أو في أعلى ظهر ، فهو مناسب لما هو المعروف من مذهب الغاسلين ، ولا ينطبق على ما هو ظاهر المذهب كما سيجي‌ء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المستدير الكائن عند ملتقى الساق والقدم الواقع تحت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ممّا لم ينصّ عليه أحد من أهل اللغة سوى صاحب الطراز ، وإنّما ذكره علماء التشريح ولا حجة في قولهم مع مخالفته لكلام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في القاموس </w:t>
      </w:r>
      <w:r>
        <w:rPr>
          <w:rStyle w:val="FootnoteAnchor"/>
          <w:rtl w:val="true"/>
        </w:rPr>
        <w:footnoteReference w:id="2396"/>
      </w:r>
      <w:r>
        <w:rPr>
          <w:rFonts w:ascii="Amiri" w:hAnsi="Amiri" w:eastAsia="Amiri" w:cs="Amiri"/>
          <w:color w:val="111111"/>
          <w:sz w:val="28"/>
          <w:sz w:val="28"/>
          <w:szCs w:val="28"/>
          <w:rtl w:val="true"/>
          <w:lang w:bidi="ar-SA"/>
        </w:rPr>
        <w:t>في معانيه الّذي يلعب به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يحتمل الحمل على كعب النرد ، والّذي يلعب به الجهال ممّا يستخرج من أرجل الحيوانات وشموله للعظم المذكور من الإنسان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يستخرج من أرجل الحيوانات إنّما يكون موضوعا في المفصل الذي بين عظم فخذها وساقها ، فينبغي أن يكون في الإنسان أيضا موضوعا هناك ، فلا ربط له إذن بالعظم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ومجرّد ذكره في الطراز لا حجة فيه مع احتمال استناده فيه إلى ما ذكره شيخنا البهائي رحمه‌اللّه وغيره ممّا لا ينهض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عزا في كشف اللثام </w:t>
      </w:r>
      <w:r>
        <w:rPr>
          <w:rStyle w:val="FootnoteAnchor"/>
          <w:rtl w:val="true"/>
        </w:rPr>
        <w:footnoteReference w:id="2397"/>
      </w:r>
      <w:r>
        <w:rPr>
          <w:rFonts w:ascii="Amiri" w:hAnsi="Amiri" w:eastAsia="Amiri" w:cs="Amiri"/>
          <w:color w:val="111111"/>
          <w:sz w:val="28"/>
          <w:sz w:val="28"/>
          <w:szCs w:val="28"/>
          <w:rtl w:val="true"/>
          <w:lang w:bidi="ar-SA"/>
        </w:rPr>
        <w:t xml:space="preserve">مجيئه لهذا المعنى إلى ظاهر العين </w:t>
      </w:r>
      <w:r>
        <w:rPr>
          <w:rStyle w:val="FootnoteAnchor"/>
          <w:rtl w:val="true"/>
        </w:rPr>
        <w:footnoteReference w:id="2398"/>
      </w:r>
      <w:r>
        <w:rPr>
          <w:rFonts w:ascii="IRNazanin" w:hAnsi="IRNazanin" w:eastAsia="IRNazanin"/>
          <w:color w:val="111111"/>
          <w:sz w:val="28"/>
          <w:sz w:val="28"/>
          <w:szCs w:val="28"/>
          <w:rtl w:val="true"/>
          <w:lang w:bidi="fa-IR"/>
        </w:rPr>
        <w:t xml:space="preserve">والصحاح </w:t>
      </w:r>
      <w:r>
        <w:rPr>
          <w:rStyle w:val="FootnoteAnchor"/>
          <w:rtl w:val="true"/>
        </w:rPr>
        <w:footnoteReference w:id="2399"/>
      </w:r>
      <w:r>
        <w:rPr>
          <w:rFonts w:ascii="IRNazanin" w:hAnsi="IRNazanin" w:eastAsia="IRNazanin"/>
          <w:color w:val="111111"/>
          <w:sz w:val="28"/>
          <w:sz w:val="28"/>
          <w:szCs w:val="28"/>
          <w:rtl w:val="true"/>
          <w:lang w:bidi="fa-IR"/>
        </w:rPr>
        <w:t xml:space="preserve">والمجمل </w:t>
      </w:r>
      <w:r>
        <w:rPr>
          <w:rStyle w:val="FootnoteAnchor"/>
          <w:rtl w:val="true"/>
        </w:rPr>
        <w:footnoteReference w:id="2400"/>
      </w:r>
      <w:r>
        <w:rPr>
          <w:rFonts w:ascii="IRNazanin" w:hAnsi="IRNazanin" w:eastAsia="IRNazanin"/>
          <w:color w:val="111111"/>
          <w:sz w:val="28"/>
          <w:sz w:val="28"/>
          <w:szCs w:val="28"/>
          <w:rtl w:val="true"/>
          <w:lang w:bidi="fa-IR"/>
        </w:rPr>
        <w:t xml:space="preserve">والمفردات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عبائر هؤلاء ليس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ادّعاه ، وقد مرّ عبارة الصحاح ، وهي ظاهرة الدلالة على المعنى المشهور عند العامّة ؛ إذ العظم عند ملتقى الساق والقدم ظاهر في الناشز عن الجانبين ؛ لظهور نشوزه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سائر العبائر الواردة هناك كاشفة عمّا قلناه كما يظهر من ملاحظة 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فلا ظهور لهما فيما ادعاه أيضا ، غاية الأمر دورانه بين الوجهين ، وقد مرّ الكلام في عبارة المفردات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العين </w:t>
      </w:r>
      <w:r>
        <w:rPr>
          <w:rStyle w:val="FootnoteAnchor"/>
          <w:rtl w:val="true"/>
        </w:rPr>
        <w:footnoteReference w:id="2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الانسان ما أشرف فوق رسغه عند قدمه والعظم الناتئ من الساق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العبارة كما ترى لا يخلو من إجمال ؛ فإنّ الرسغ إن حمل على المفصل بين الساق والقدم كما ذكر في غير واحد من كتب اللغة فلا يبعد أن يراد به العظمان الناشزان عند المفصل ؛ إذ هو الظاهر من الناشز عند القدم فوق المفصل ، وإن أريد به العظام المتّصلة بالمشط ما بينها وبين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 عن أهل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انطباقه على المعنى الثاني ، فيراد به قبّة القدم ؛ إذ هو المشرف على الرسغ ، ويكون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 الناتئ من الساق من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p>
    <w:p>
      <w:pPr>
        <w:pStyle w:val="BookText"/>
        <w:rPr/>
      </w:pPr>
      <w:r>
        <w:rPr>
          <w:rFonts w:ascii="IRNazanin" w:hAnsi="IRNazanin" w:eastAsia="IRNazanin"/>
          <w:color w:val="111111"/>
          <w:sz w:val="28"/>
          <w:sz w:val="28"/>
          <w:szCs w:val="28"/>
          <w:rtl w:val="true"/>
          <w:lang w:bidi="fa-IR"/>
        </w:rPr>
        <w:t>إلى المعنى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على الوجهين حملها على 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العظم الواقع في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حمله على ذلك بناء على الوجه الأوّل بعيدا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العظم المذكور واقع تحت الساق ، ولا يظهر له نتوّ ظاهر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يدّعي نتوّه فيه إنّما هو جزء منه ، فيكون الكعب هو خصوص الناشز منه ، فلا ينطبق على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كذلك لزم القول بلزوم المسح إليه ولا يظهر قائل به لجواز المسح إلى سائر أجزاء المفصل ممّا يحاذى قبة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شيخنا البهائي لعدم استظهاره المعنى المذكور من كلام أهل اللغة لم يستند إلى كلماتهم مع كمال مبالغته في انتصار المذهب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فما استظهره هذا الفاضل من الكتب المذكورة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حكى الامام في التفسير الكبير </w:t>
      </w:r>
      <w:r>
        <w:rPr>
          <w:rStyle w:val="FootnoteAnchor"/>
          <w:rtl w:val="true"/>
        </w:rPr>
        <w:footnoteReference w:id="2404"/>
      </w:r>
      <w:r>
        <w:rPr>
          <w:rFonts w:ascii="Amiri" w:hAnsi="Amiri" w:eastAsia="Amiri" w:cs="Amiri"/>
          <w:color w:val="111111"/>
          <w:sz w:val="28"/>
          <w:sz w:val="28"/>
          <w:szCs w:val="28"/>
          <w:rtl w:val="true"/>
          <w:lang w:bidi="ar-SA"/>
        </w:rPr>
        <w:t>والنيشابوري في تفسيره عن الإماميّة وكلّ من قال بالمسح حمل الكعب في الآية الشريفة عليه مؤذنا باتفاقهم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الأوّل عن الأصمعي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الأصمعي يختار هذا القول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الطرفان النابتان </w:t>
      </w:r>
      <w:r>
        <w:rPr>
          <w:rStyle w:val="FootnoteAnchor"/>
          <w:rtl w:val="true"/>
        </w:rPr>
        <w:footnoteReference w:id="2405"/>
      </w:r>
      <w:r>
        <w:rPr>
          <w:rFonts w:ascii="Amiri" w:hAnsi="Amiri" w:eastAsia="Amiri" w:cs="Amiri"/>
          <w:color w:val="111111"/>
          <w:sz w:val="28"/>
          <w:sz w:val="28"/>
          <w:szCs w:val="28"/>
          <w:rtl w:val="true"/>
          <w:lang w:bidi="ar-SA"/>
        </w:rPr>
        <w:t>يسميان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رواه القفال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حكيناه عن الشيعة مخالف لما حكاه عنه أجلّة علمائهم ، ولا ريب أنّهم أعلم بمذاهب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عبائرهم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مخالف لما حكاه جماعة منهم عن الشيعة كما تقدّم نقله عن النهاية</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الفيومي </w:t>
      </w:r>
      <w:r>
        <w:rPr>
          <w:rStyle w:val="FootnoteAnchor"/>
          <w:rtl w:val="true"/>
        </w:rPr>
        <w:footnoteReference w:id="2406"/>
      </w:r>
      <w:r>
        <w:rPr>
          <w:rFonts w:ascii="Amiri" w:hAnsi="Amiri" w:eastAsia="Amiri" w:cs="Amiri"/>
          <w:color w:val="111111"/>
          <w:sz w:val="28"/>
          <w:sz w:val="28"/>
          <w:szCs w:val="28"/>
          <w:rtl w:val="true"/>
          <w:lang w:bidi="ar-SA"/>
        </w:rPr>
        <w:t xml:space="preserve">بعد ما حكى عن أبي عمرو بن العلاء والأصمعي وجماعة أنّه العظم الناشز عند ملتقى الساق والقدم ، وعن ابن الأعرابي وغيره أنّه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الشيعة إلى أن </w:t>
      </w:r>
    </w:p>
    <w:p>
      <w:pPr>
        <w:pStyle w:val="BookText"/>
        <w:rPr/>
      </w:pPr>
      <w:r>
        <w:rPr>
          <w:rFonts w:ascii="Amiri" w:hAnsi="Amiri" w:eastAsia="Amiri" w:cs="Amiri"/>
          <w:color w:val="111111"/>
          <w:sz w:val="28"/>
          <w:sz w:val="28"/>
          <w:szCs w:val="28"/>
          <w:rtl w:val="true"/>
          <w:lang w:bidi="ar-SA"/>
        </w:rPr>
        <w:t>الكعب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 أهل اللغة كالأصمعي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كالصريح في إسناد المعنى الثاني إلى الشيعة كما ينادي به مقابلته بالمعنيين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أيضا في المغرب والصحاح </w:t>
      </w:r>
      <w:r>
        <w:rPr>
          <w:rStyle w:val="FootnoteAnchor"/>
          <w:rtl w:val="true"/>
        </w:rPr>
        <w:footnoteReference w:id="2407"/>
      </w:r>
      <w:r>
        <w:rPr>
          <w:rFonts w:ascii="Amiri" w:hAnsi="Amiri" w:eastAsia="Amiri" w:cs="Amiri"/>
          <w:color w:val="111111"/>
          <w:sz w:val="28"/>
          <w:sz w:val="28"/>
          <w:szCs w:val="28"/>
          <w:rtl w:val="true"/>
          <w:lang w:bidi="ar-SA"/>
        </w:rPr>
        <w:t>إنكار الأصمعي كونه في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بضميمة ما حكي عنه في التفسير الكبير دالّ على أنّ العظم الواقع تحت الساق ليس في ظهر القدم ، فيكون غرضه الردّ على الشيعة حيث يقولون به إلّا أنّ ما حكاه في المصباح وفائت الجمهرة عنه مخالف لما حكاه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تهون النسبة المتقدّمة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بما عرفت ضعف ما نقلاه عن الشيعة ، فلا حجّة في نقلها ، ولا تأييد فيه لثبوت المعنى المذكور ، ولا لمعروفيته بين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فإسناد جماعة من الأجلّة إليه في كونه مذهبنا معروفا بين الشيعة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الرازي </w:t>
      </w:r>
      <w:r>
        <w:rPr>
          <w:rStyle w:val="FootnoteAnchor"/>
          <w:rtl w:val="true"/>
        </w:rPr>
        <w:footnoteReference w:id="2408"/>
      </w:r>
      <w:r>
        <w:rPr>
          <w:rFonts w:ascii="Amiri" w:hAnsi="Amiri" w:eastAsia="Amiri" w:cs="Amiri"/>
          <w:color w:val="111111"/>
          <w:sz w:val="28"/>
          <w:sz w:val="28"/>
          <w:szCs w:val="28"/>
          <w:rtl w:val="true"/>
          <w:lang w:bidi="ar-SA"/>
        </w:rPr>
        <w:t xml:space="preserve">في بيان احتجاج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واقع على العظم المخصوص الموجود ، ومنه الكعب لكلّ ما له ارتفاع في جميع أرجل الحيوانات ، فوجب أن يكون في حقّ الإنسان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ويوهنه ما عرفت من أنّ تسميته كعبا في سائر الحيوانات لا يقتضي أن يدعى كعبا في الإنسان ، مع أنّ الكعب في سائر الحيوانات في المفصل الّذي بين عظم الفخذ والساق ، فينبغي أن يكون في الانسان كذلك ، فالحكم بكون العظم المذكور كعبا تشبيها له بسائر الحيوانات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ما ذكرناه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الاتفاق منّا على عدم إرادة المعنى الأوّل في المقام ، وكذا ضعف كونه حقيقة في أحد المعنيين الأخيرين ، مضافا إلى عدم موافقته للمقام ؛ إذ مع البناء على كلّ منهما يلزم جواز المسح إلى المفصل ممّا يحاذى القبة وغيره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أنّهم لا يقولون به ، بل يخصّصونه بالأوّل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بالتخصيص </w:t>
      </w:r>
      <w:r>
        <w:rPr>
          <w:rStyle w:val="FootnoteAnchor"/>
          <w:rtl w:val="true"/>
        </w:rPr>
        <w:footnoteReference w:id="2409"/>
      </w:r>
      <w:r>
        <w:rPr>
          <w:rFonts w:ascii="Amiri" w:hAnsi="Amiri" w:eastAsia="Amiri" w:cs="Amiri"/>
          <w:color w:val="111111"/>
          <w:sz w:val="28"/>
          <w:sz w:val="28"/>
          <w:szCs w:val="28"/>
          <w:rtl w:val="true"/>
          <w:lang w:bidi="ar-SA"/>
        </w:rPr>
        <w:t>في التسمية فلا شاهد عليه وإن قيل بالتعميم فيها والتخصيص في الحكم ، ففيه من التعسّف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الأخير أيضا عدم وجوب إنهاء المسح إلى المفصل بناء على وصول جزء من العظم المفروض إلى ما يحاذي ظهره كما ذكره البعض مع أنّهم لا يقولون به ، فتعيّن من ذلك قوّة حمل الآية على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بعد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تفسيره بذلك بين الأصحاب حتّى أنّه لا يعرف فيه مخالف من القدماء ، والمسألة متعلّقة بالألفاظ ، فيكفي </w:t>
      </w:r>
      <w:r>
        <w:rPr>
          <w:rStyle w:val="FootnoteAnchor"/>
          <w:rtl w:val="true"/>
        </w:rPr>
        <w:footnoteReference w:id="2410"/>
      </w:r>
      <w:r>
        <w:rPr>
          <w:rFonts w:ascii="Amiri" w:hAnsi="Amiri" w:eastAsia="Amiri" w:cs="Amiri"/>
          <w:color w:val="111111"/>
          <w:sz w:val="28"/>
          <w:sz w:val="28"/>
          <w:szCs w:val="28"/>
          <w:rtl w:val="true"/>
          <w:lang w:bidi="ar-SA"/>
        </w:rPr>
        <w:t xml:space="preserve">فيها الظن </w:t>
      </w:r>
      <w:r>
        <w:rPr>
          <w:rStyle w:val="FootnoteAnchor"/>
          <w:rtl w:val="true"/>
        </w:rPr>
        <w:footnoteReference w:id="2411"/>
      </w:r>
      <w:r>
        <w:rPr>
          <w:rFonts w:ascii="Amiri" w:hAnsi="Amiri" w:eastAsia="Amiri" w:cs="Amiri"/>
          <w:color w:val="111111"/>
          <w:sz w:val="28"/>
          <w:sz w:val="28"/>
          <w:szCs w:val="28"/>
          <w:rtl w:val="true"/>
          <w:lang w:bidi="ar-SA"/>
        </w:rPr>
        <w:t>، ولا ريب أنّ الظنّ الحاصل من ذلك أقوى من الظن الحاصل من كلام آحاد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المحكيّة عليه كما عرفت ، ولا ريب في الاعتماد عليها في المقام حتّى ممّن تأمّل في جواز الاستناد إليها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ممّا يدلّ عليه أو يشير إليه ، ففي الذكرى </w:t>
      </w:r>
      <w:r>
        <w:rPr>
          <w:rStyle w:val="FootnoteAnchor"/>
          <w:rtl w:val="true"/>
        </w:rPr>
        <w:footnoteReference w:id="2412"/>
      </w:r>
      <w:r>
        <w:rPr>
          <w:rFonts w:ascii="Amiri" w:hAnsi="Amiri" w:eastAsia="Amiri" w:cs="Amiri"/>
          <w:color w:val="111111"/>
          <w:sz w:val="28"/>
          <w:sz w:val="28"/>
          <w:szCs w:val="28"/>
          <w:rtl w:val="true"/>
          <w:lang w:bidi="ar-SA"/>
        </w:rPr>
        <w:t xml:space="preserve">عن كتاب فائت الجمهرة </w:t>
      </w:r>
      <w:r>
        <w:rPr>
          <w:rStyle w:val="FootnoteAnchor"/>
          <w:rtl w:val="true"/>
        </w:rPr>
        <w:footnoteReference w:id="2413"/>
      </w:r>
      <w:r>
        <w:rPr>
          <w:rFonts w:ascii="Amiri" w:hAnsi="Amiri" w:eastAsia="Amiri" w:cs="Amiri"/>
          <w:color w:val="111111"/>
          <w:sz w:val="28"/>
          <w:sz w:val="28"/>
          <w:szCs w:val="28"/>
          <w:rtl w:val="true"/>
          <w:lang w:bidi="ar-SA"/>
        </w:rPr>
        <w:t xml:space="preserve">لأبي عمرو الزاهد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سلمة ، عن الفرّاء ، عن الكسائي </w:t>
      </w:r>
      <w:r>
        <w:rPr>
          <w:rStyle w:val="FootnoteAnchor"/>
          <w:rtl w:val="true"/>
        </w:rPr>
        <w:footnoteReference w:id="24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محمّد بن علي بن الحسين عليهم‌السلام في مسجد كان 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الكعبان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هكذا ، ولكنّه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وأشار إلى مشط رجله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هكذا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ظاهرة الدلالة على ذلك معتضدة بفتوى الأصحاب ، وإشارته عليه‌السلام إلى </w:t>
      </w:r>
    </w:p>
    <w:p>
      <w:pPr>
        <w:pStyle w:val="BookText"/>
        <w:rPr/>
      </w:pPr>
      <w:r>
        <w:rPr>
          <w:rFonts w:ascii="Amiri" w:hAnsi="Amiri" w:eastAsia="Amiri" w:cs="Amiri"/>
          <w:color w:val="111111"/>
          <w:sz w:val="28"/>
          <w:sz w:val="28"/>
          <w:szCs w:val="28"/>
          <w:rtl w:val="true"/>
          <w:lang w:bidi="ar-SA"/>
        </w:rPr>
        <w:t>المشط لاتصال الكعب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ظهر القدم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هو 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وأومئ بيده إلى أسفل العرقوب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هو الظنبوب </w:t>
      </w:r>
      <w:r>
        <w:rPr>
          <w:rFonts w:eastAsia="Amiri" w:cs="Amiri" w:ascii="Amiri" w:hAnsi="Amiri"/>
          <w:color w:val="111111"/>
          <w:sz w:val="28"/>
          <w:szCs w:val="28"/>
          <w:rtl w:val="true"/>
          <w:lang w:bidi="ar-SA"/>
        </w:rPr>
        <w:t xml:space="preserve">»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يده على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على غير المفصل ؛ إذ المفصل حدّ مشترك بينه وبين الساق ، فيبعد التعبير عنه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الكعب في ظهر القدم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البزنطي فوضع كفه على الأصابع ، فمسحها إلى الكعبين إلى ظاهر القدم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ظاهر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تفسيرا للكعب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به ما ارتفع منها ؛ أخذا من ظواهر الأرض 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واحتمل بعضهم أن يكون المراد ان مسحه عليه‌السلام كان إلى ظاهر القدم لا من جهة باطنها ، 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إن لم يكن أظهر لا يكون 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لما فيه من الخروج عن مقتضى الأصل من غير باعث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المعتبرة المستفيضة الدالّة على الاكتفاء بالمسح على النعل ، وعدم لزوم استبطان الشراكين كالصحيح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تمسح على النعلين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تدخل يدك تحت الشراك </w:t>
      </w:r>
      <w:r>
        <w:rPr>
          <w:rFonts w:eastAsia="Amiri" w:cs="Amiri" w:ascii="Amiri" w:hAnsi="Amiri"/>
          <w:color w:val="111111"/>
          <w:sz w:val="28"/>
          <w:szCs w:val="28"/>
          <w:rtl w:val="true"/>
          <w:lang w:bidi="ar-SA"/>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على النعلين </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 xml:space="preserve">ولم يستبطن الشراكين </w:t>
      </w:r>
      <w:r>
        <w:rPr>
          <w:rFonts w:eastAsia="Amiri" w:cs="Amiri" w:ascii="Amiri" w:hAnsi="Amiri"/>
          <w:color w:val="111111"/>
          <w:sz w:val="28"/>
          <w:szCs w:val="28"/>
          <w:rtl w:val="true"/>
          <w:lang w:bidi="ar-SA"/>
        </w:rPr>
        <w:t xml:space="preserve">»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توضّأ على عليه‌السلام فغسل وجهه وذراعيه ثمّ مسح على رأسه وعلى نعليه ، ولم يدخل يده تحت الشراك </w:t>
      </w:r>
      <w:r>
        <w:rPr>
          <w:rFonts w:eastAsia="Amiri" w:cs="Amiri" w:ascii="Amiri" w:hAnsi="Amiri"/>
          <w:color w:val="111111"/>
          <w:sz w:val="28"/>
          <w:szCs w:val="28"/>
          <w:rtl w:val="true"/>
          <w:lang w:bidi="ar-SA"/>
        </w:rPr>
        <w:t xml:space="preserve">»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ممّا دلّ عليه ، وحملها على خصوص النعل العربي الّذي يقع شراكه على طول القدم لا عرضها تقييد للإطلاق من غير دليل ، مع أنّ الظاهر من تحديدهم للكعبين ما بهما معقد الشراك يعطي أنّ الغالب في النعل هو ما يكون شراكه واقعا على الكعب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قد يناقش في بعض تلك الروايات بأنّها حكاية فعل فلا تعمّ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حكاية الإمام لفعله في مقام البيان والاستدلال شاهد على الإطلاق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أيضا ما ورد في حدّ السارق ، فإنّه قد دلّت الأخبار على قطع رجله من الكعب ، وقد نصّ كثير من الأصحاب بل حكي الإجماع عليه من جماعة بقطعها من العظم الناتئ ، وفي الأخبار إشارة إليه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أنّ أمير المؤمنين عليه‌السلام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الرجل قطعها من الكعب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يقطع الرجل من الكعب ويترك له من قدمه ما يقوم عليه فيصلّي ويعبد ربّه </w:t>
      </w:r>
      <w:r>
        <w:rPr>
          <w:rFonts w:eastAsia="Amiri" w:cs="Amiri" w:ascii="Amiri" w:hAnsi="Amiri"/>
          <w:color w:val="111111"/>
          <w:sz w:val="28"/>
          <w:szCs w:val="28"/>
          <w:rtl w:val="true"/>
          <w:lang w:bidi="ar-SA"/>
        </w:rPr>
        <w:t xml:space="preserve">»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عليه‌السلام وأبي عبد اللّه عليه‌السلام أنّهما 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يقطع الرجل من الكعب ويدع له العقب يمشي عليها ، فيكون القطع من نصف القدم </w:t>
      </w:r>
      <w:r>
        <w:rPr>
          <w:rFonts w:eastAsia="Amiri" w:cs="Amiri" w:ascii="Amiri" w:hAnsi="Amiri"/>
          <w:color w:val="111111"/>
          <w:sz w:val="28"/>
          <w:szCs w:val="28"/>
          <w:rtl w:val="true"/>
          <w:lang w:bidi="ar-SA"/>
        </w:rPr>
        <w:t xml:space="preserve">»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أخذ السارق قطع الكف ، فإن عاد قطع </w:t>
      </w:r>
      <w:r>
        <w:rPr>
          <w:rStyle w:val="FootnoteAnchor"/>
          <w:rtl w:val="true"/>
        </w:rPr>
        <w:footnoteReference w:id="2426"/>
      </w:r>
      <w:r>
        <w:rPr>
          <w:rFonts w:ascii="IRNazanin" w:hAnsi="IRNazanin" w:eastAsia="IRNazanin"/>
          <w:color w:val="111111"/>
          <w:sz w:val="28"/>
          <w:sz w:val="28"/>
          <w:szCs w:val="28"/>
          <w:rtl w:val="true"/>
          <w:lang w:bidi="fa-IR"/>
        </w:rPr>
        <w:t xml:space="preserve">رجله من وسط القدم </w:t>
      </w:r>
      <w:r>
        <w:rPr>
          <w:rFonts w:eastAsia="IRNazanin" w:cs="IRNazanin"/>
          <w:color w:val="111111"/>
          <w:sz w:val="28"/>
          <w:szCs w:val="28"/>
          <w:rtl w:val="true"/>
          <w:lang w:bidi="fa-IR"/>
        </w:rPr>
        <w:t xml:space="preserve">»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بالوسط ، الوسط العرفي لا الحقيقي لئلّا ينافي قطعه من مفصل السارق</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بأنّه خروج عن ظاهر الخبر إن حملت على ما يعمّ ذلك ؛ إذ إطلاق الوسط في العرف لا ينصرف إلى مثل ذلك ؛ إذ مقدار الباقي بالنسبة إلى المقطوع بمنزلة النصف أو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المبسوط </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عندنا في الرجل من عند معقد الشراك من عند الناتي على ظهر القدم ، ويترك بالمشي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من المفصل بين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العبارة كما ترى ظاهرة الدلالة على ما بيّناه ، وفيها دلالة على الإجماع كعبائر جماعة آخرين ، فبملاحظة ما يستظهر من 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البعض المعتضدة بالإجماعات المحكيّة وفتوى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يتقوّى القطع من قبة القدم ، فيحمل بعض الأخبار الدالّة على قطعها من المفصل على المفصل الواقع عند معقد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عليه أيضا فتاوى جماعة ممّن عبّر كذلك ، ويمكن أن يحمل عليه أيضا ما في بعض الأخبار من تفسير الكعب بالمفصل ، وكذا ما في كلام الاصحاب كما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بأن الكعب هو المفصل أو العظم المستدير الموضوع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القولين أو بإرجاع أحدهما إلى الآخر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بعض كلمات أهل اللغة والتشريح ، وما تقدّم نقله عن التفسير الكبير وصحيحة الآخرين </w:t>
      </w:r>
      <w:r>
        <w:rPr>
          <w:rStyle w:val="FootnoteAnchor"/>
          <w:rtl w:val="true"/>
        </w:rPr>
        <w:footnoteReference w:id="2429"/>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الكعبان؟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المفصل دون عظم الساق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هو؟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عظم الساق والكعب أسفل من ذلك </w:t>
      </w:r>
      <w:r>
        <w:rPr>
          <w:rFonts w:eastAsia="Amiri" w:cs="Amiri" w:ascii="Amiri" w:hAnsi="Amiri"/>
          <w:color w:val="111111"/>
          <w:sz w:val="28"/>
          <w:szCs w:val="28"/>
          <w:rtl w:val="true"/>
          <w:lang w:bidi="ar-SA"/>
        </w:rPr>
        <w:t xml:space="preserve">»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دلّ على أنّ السارق إذا قطع رجله يقطع من الكعب ، مع ما دلّ على أنّه يقطع من المفصل كرواية معاوية بن عمّار المرويّة في نوادر ابن عيسى ، عن الصادق عليه‌السلام في حديث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الرجل من المفصل ويترك العقب أيضا </w:t>
      </w:r>
      <w:r>
        <w:rPr>
          <w:rStyle w:val="FootnoteAnchor"/>
          <w:rtl w:val="true"/>
        </w:rPr>
        <w:footnoteReference w:id="2431"/>
      </w:r>
      <w:r>
        <w:rPr>
          <w:rFonts w:ascii="Amiri" w:hAnsi="Amiri" w:eastAsia="Amiri" w:cs="Amiri"/>
          <w:color w:val="111111"/>
          <w:sz w:val="28"/>
          <w:sz w:val="28"/>
          <w:szCs w:val="28"/>
          <w:rtl w:val="true"/>
          <w:lang w:bidi="ar-SA"/>
        </w:rPr>
        <w:t xml:space="preserve">يطأ عليه </w:t>
      </w:r>
      <w:r>
        <w:rPr>
          <w:rFonts w:eastAsia="Amiri" w:cs="Amiri" w:ascii="Amiri" w:hAnsi="Amiri"/>
          <w:color w:val="111111"/>
          <w:sz w:val="28"/>
          <w:szCs w:val="28"/>
          <w:rtl w:val="true"/>
          <w:lang w:bidi="ar-SA"/>
        </w:rPr>
        <w:t xml:space="preserve">»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ما في الرضوي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ورد من عدّة من الأخبار في الماء الّذي يؤخذ من السبل </w:t>
      </w:r>
      <w:r>
        <w:rPr>
          <w:rStyle w:val="FootnoteAnchor"/>
          <w:rtl w:val="true"/>
        </w:rPr>
        <w:footnoteReference w:id="2433"/>
      </w:r>
      <w:r>
        <w:rPr>
          <w:rFonts w:ascii="Amiri" w:hAnsi="Amiri" w:eastAsia="Amiri" w:cs="Amiri"/>
          <w:color w:val="111111"/>
          <w:sz w:val="28"/>
          <w:sz w:val="28"/>
          <w:szCs w:val="28"/>
          <w:rtl w:val="true"/>
          <w:lang w:bidi="ar-SA"/>
        </w:rPr>
        <w:t xml:space="preserve">أنه يأخذ العالي </w:t>
      </w:r>
    </w:p>
    <w:p>
      <w:pPr>
        <w:pStyle w:val="BookText"/>
        <w:rPr/>
      </w:pPr>
      <w:r>
        <w:rPr>
          <w:rFonts w:ascii="IRNazanin" w:hAnsi="IRNazanin" w:eastAsia="IRNazanin"/>
          <w:color w:val="111111"/>
          <w:sz w:val="28"/>
          <w:sz w:val="28"/>
          <w:szCs w:val="28"/>
          <w:rtl w:val="true"/>
          <w:lang w:bidi="fa-IR"/>
        </w:rPr>
        <w:t xml:space="preserve">للمنخل </w:t>
      </w:r>
      <w:r>
        <w:rPr>
          <w:rStyle w:val="FootnoteAnchor"/>
          <w:rtl w:val="true"/>
        </w:rPr>
        <w:footnoteReference w:id="2434"/>
      </w:r>
      <w:r>
        <w:rPr>
          <w:rFonts w:ascii="Amiri" w:hAnsi="Amiri" w:eastAsia="Amiri" w:cs="Amiri"/>
          <w:color w:val="111111"/>
          <w:sz w:val="28"/>
          <w:sz w:val="28"/>
          <w:szCs w:val="28"/>
          <w:rtl w:val="true"/>
          <w:lang w:bidi="ar-SA"/>
        </w:rPr>
        <w:t xml:space="preserve">إلى الكعبين وللزّرع إلى الشراكين ؛ إذ فيها إشارة إلى أنّ الكعب غير محلّ الشراك ، فتعيّن </w:t>
      </w:r>
      <w:r>
        <w:rPr>
          <w:rStyle w:val="FootnoteAnchor"/>
          <w:rtl w:val="true"/>
        </w:rPr>
        <w:footnoteReference w:id="2435"/>
      </w:r>
      <w:r>
        <w:rPr>
          <w:rFonts w:ascii="Amiri" w:hAnsi="Amiri" w:eastAsia="Amiri" w:cs="Amiri"/>
          <w:color w:val="111111"/>
          <w:sz w:val="28"/>
          <w:sz w:val="28"/>
          <w:szCs w:val="28"/>
          <w:rtl w:val="true"/>
          <w:lang w:bidi="ar-SA"/>
        </w:rPr>
        <w:t>أن يكون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جميع ذلك لا يقاوم بعض ما مرّ من الأدلّة ، فكيف مع انضمام بعضها إلى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الحال فيما ذكره أهل اللغة وما ذكره في التفسير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المفصل في الصحيحة على مفصل المشط الواقع بينه وبين العظم الزورقي كما أشرنا إليه ، وقد يومي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عظم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القرب يقتضي بحصول الفصل بينهما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والعظم المذكور متّصل بعظم الساق ، والمفصل حد مشترك بينه وبين القدم ، فلا يحسن التعبير منها </w:t>
      </w:r>
      <w:r>
        <w:rPr>
          <w:rStyle w:val="FootnoteAnchor"/>
          <w:rtl w:val="true"/>
        </w:rPr>
        <w:footnoteReference w:id="2436"/>
      </w:r>
      <w:r>
        <w:rPr>
          <w:rFonts w:ascii="Amiri" w:hAnsi="Amiri" w:eastAsia="Amiri" w:cs="Amiri"/>
          <w:color w:val="111111"/>
          <w:sz w:val="28"/>
          <w:sz w:val="28"/>
          <w:szCs w:val="28"/>
          <w:rtl w:val="true"/>
          <w:lang w:bidi="ar-SA"/>
        </w:rPr>
        <w:t>بذلك ، فالمناسب له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يومي إليه أيضا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والكعب أسفل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جعلها بعض الأصحاب من شواهد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بالبعيد ، فما ذكره شيخنا البهائي وجماعة ممّن تأخّر عنه من صراحة تلك الصحيحة فيما اختاروه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الاستناد </w:t>
      </w:r>
      <w:r>
        <w:rPr>
          <w:rStyle w:val="FootnoteAnchor"/>
          <w:rtl w:val="true"/>
        </w:rPr>
        <w:footnoteReference w:id="2437"/>
      </w:r>
      <w:r>
        <w:rPr>
          <w:rFonts w:ascii="Amiri" w:hAnsi="Amiri" w:eastAsia="Amiri" w:cs="Amiri"/>
          <w:color w:val="111111"/>
          <w:sz w:val="28"/>
          <w:sz w:val="28"/>
          <w:szCs w:val="28"/>
          <w:rtl w:val="true"/>
          <w:lang w:bidi="ar-SA"/>
        </w:rPr>
        <w:t>على محلّ القطع في السارق فقد عرفت أنّ الأظهر قطعه عن القبّة كما هو المشهور ، فهو من الشواهد على المختار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الاستناد إلى الأخبار الواردة في ماء السبل </w:t>
      </w:r>
      <w:r>
        <w:rPr>
          <w:rStyle w:val="FootnoteAnchor"/>
          <w:rtl w:val="true"/>
        </w:rPr>
        <w:footnoteReference w:id="2438"/>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 معقد الشراك ، ولا شكّ أنّه أعلى من مبدئه الّذي هو غاية ما يوجد للشروع</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تلك الأخبار إرادة العظمين النابتين </w:t>
      </w:r>
      <w:r>
        <w:rPr>
          <w:rStyle w:val="FootnoteAnchor"/>
          <w:rtl w:val="true"/>
        </w:rPr>
        <w:footnoteReference w:id="2439"/>
      </w:r>
      <w:r>
        <w:rPr>
          <w:rFonts w:ascii="Amiri" w:hAnsi="Amiri" w:eastAsia="Amiri" w:cs="Amiri"/>
          <w:color w:val="111111"/>
          <w:sz w:val="28"/>
          <w:sz w:val="28"/>
          <w:szCs w:val="28"/>
          <w:rtl w:val="true"/>
          <w:lang w:bidi="ar-SA"/>
        </w:rPr>
        <w:t xml:space="preserve">من الجانبين كما يومي إليه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تثنية الكعب في معظمها أو جميعها ؛ إذ لو أخذ الكعب بمعنى آخر لم يكن في رجل إلّا كعب واحد ، وملاحظة الرجلين معا كما في آية المسح لا يناسب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شهادة فيها على المذهب المذكور أصلا</w:t>
      </w:r>
      <w:r>
        <w:rPr>
          <w:rFonts w:eastAsia="Amiri" w:cs="Amiri" w:ascii="Amiri" w:hAnsi="Amiri"/>
          <w:color w:val="111111"/>
          <w:sz w:val="28"/>
          <w:szCs w:val="28"/>
          <w:rtl w:val="true"/>
          <w:lang w:bidi="ar-SA"/>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5827_174057"/>
      <w:bookmarkStart w:id="386" w:name="pg15827_174057"/>
      <w:bookmarkEnd w:id="386"/>
    </w:p>
    <w:p>
      <w:pPr>
        <w:pStyle w:val="Heading2"/>
        <w:numPr>
          <w:ilvl w:val="1"/>
          <w:numId w:val="1"/>
        </w:numPr>
        <w:rPr/>
      </w:pPr>
      <w:bookmarkStart w:id="387" w:name="pg15827_174057"/>
      <w:bookmarkStart w:id="388" w:name="__RefHeading___Toc14099861_2142443653"/>
      <w:bookmarkStart w:id="389" w:name="_Toc137"/>
      <w:bookmarkEnd w:id="387"/>
      <w:bookmarkEnd w:id="388"/>
      <w:r>
        <w:rPr>
          <w:rtl w:val="true"/>
        </w:rPr>
        <w:t>فهرس المواضيع الجزء الأول</w:t>
      </w:r>
      <w:bookmarkEnd w:id="389"/>
    </w:p>
    <w:p>
      <w:pPr>
        <w:pStyle w:val="BookText"/>
        <w:rPr/>
      </w:pPr>
      <w:r>
        <w:rPr>
          <w:rFonts w:ascii="Amiri" w:hAnsi="Amiri" w:eastAsia="Amiri" w:cs="Amiri"/>
          <w:color w:val="111111"/>
          <w:sz w:val="28"/>
          <w:sz w:val="28"/>
          <w:szCs w:val="28"/>
          <w:rtl w:val="true"/>
          <w:lang w:bidi="ar-SA"/>
        </w:rPr>
        <w:t>تقديم بقلم العلامة الفقيه الشيخ هادي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الأقوال 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كلمات حول تبصرة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شكر وتقدير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ترجمة المؤلف بقلم العلامة المحقق السيد أحمد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عشيرته وأسرته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مولده وشي‌ء عن نشأته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الهجرة الى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الاقامة بأصبهان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الأصولي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بعض تلامذته البارزين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قالوا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آثاره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نماذج المخطوطات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تبصرة الفقهاء</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الطهارة اللغوي والمصطلح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المطلق والمضاف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الماء طاهر 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تنجّس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المدار في صفات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الكلام في الصفات الطبيعية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القول في الملوحة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التغيير في غير الأوصاف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مجاورة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اعتبار التغيير حال 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مدار التنجّس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بالنجاسة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مدار التنجّس فعليّته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الاستهلاك في النجاسة والممازجة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المياه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تنجّس الجاري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كرّية المادة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تطهير ماء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تسرية حكم الحمام إلى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ماء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مسمّى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تنجس ما دون الكر من الماء الراكد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انفعال القليل بملاقاة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الكثير الراكد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الكرّ بالوزن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تقدير الكر بالمساحة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البئر وبعض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اعتصام البئر بالملاقاة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المياه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تطهير البئر ، والكلام في النزح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مقدار نزح ماء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تراوح الرجال ونزح ماء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نزح الماء للدوابّ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النزح لموت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نزح الخمسين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نزح الأربعين دلوا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نزح الثلاثين دلوا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المضاف والأسئار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امتزاج المضاف بالمطلق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تنجس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الاختلاف في طهورية المضاف أحيانا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تطهير المضاف المتنجّس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السؤر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تبعية السؤر للحيوان في الطهارة والنجاسة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الحائض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كراهية سؤر الحائض المتّهمة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المستعمل في إزالة الأخباث أو رفع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نجاسة الغسالة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إزالة ماء الاستنجاء من البدن والثوب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طهورية الماء المستعمل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المستعمل في رفع حدث الجنابة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غسالة الحمام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اشتباه الماء النجس بالطاهر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القول في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 البول أو الغائط والريح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النوم الغالب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ما يزيل العقل بالنوم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الاستحاضة القليلة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 النواقض بما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النواقض المحتملة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الأسباب النادبة للوضوء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فصل في أحكام الخلوة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تحريم استقبال القبلة واستدبارها حال البول والتغوّط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للبول والغائط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من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 بالماء والأحجار وما قام مقامها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 المتخلّي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مكروهات التخلّي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البحث الأول في أفعال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نية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التعيين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داعي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النيّة في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الوجه واليدين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مسمّى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ظاهر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الكعبين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المواضيع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ترجمته في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المقدمة التي كتبتها على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صلاتيه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وكلاهما باللغة الفارسية فراجعهما إن شئت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الراغبين في سلسلة آل شرف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الأسرة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آية اللّه المجدد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آية اللّه المجدد الشيرازي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 كتاب الطهارة ، المطبوع عام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على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 كتاب الطهارة ، المطبوع عام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على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الإمامية ،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أغلاط الروضات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عام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في طهران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الآثار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سبل الهداية في ذكر أعقاب صاحب الهداية أو تاريخ علمي واجتماعي اصفهان در دو قرن اخير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المخطوطة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المؤلف في هداية المسترشدين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عالمان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أغلاط الروضات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الجدير بالذكر أنّه دلّنا على نسختي مكتبة آية اللّه المرعشي ومكتبة كلية الالهيات بجامعة فردوسي المشهد ، المحقّق الخبير الأستاذ رحيم قاسمي حيّاه اللّه وبيّاه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خطي كتابخانه‌هاي گلپايگان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جعفر الحسيني الاشكوري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يكصد وشصت نسخه از يك كتابخانه شخصى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رضا الأستادي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ساعدني في تصحيح ومقابلة هذا السفر المبارك سماحة الأفاضل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المعلم والسيد محمود نريماني والشيخ عباس ملايي ، دامت نشاطاتهم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للسيد نريماني جهدا متواصلا في تخريج أقوال الفقهاء ، فجزاه اللّه خير جزاء المحسنين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الأيوان كيفي نسبة إلى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إيوان 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إيوان 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ورامين في شرقي طهران ، تبعد عن طهران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 اشتهرت بذلك لبناية فيها أثرية قديمة يقال إنها من أبنية سلاطين ايران الكيانية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استاجلو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عشيرة كبيرة اتصلت بالأعمال الحكومية منذ سلطنة الشاه اسماعيل الصفوي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ونسبة النجفي لاعتزاز الأسرة بمنشإ صاحب الترجمة العلمي النجف الأشرف ، ولم تزل تعرف بهذه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المسجد شاهي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نسبة إلى مسجد شاه بأصبهان ، حيث كان علماؤها يقيمون صلاة الجماعة فيه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ينقل بعض أفاضل الأسرة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الشيخ جعفر كاشف الغطاء سأل الشيخ صاحب الترجمة في مجلس الدرس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 زوجة؟ فأجاب خجلا بالنفي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التلامذة بالانتظار وذهب مع تلميذه إلى البيت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بنتان إحداهما بارعة في الكمال والأخرى في الجمال فاختر أيتهما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فاختار المتسمة بالكمال ، وعاد الأستاذ إلى مجلس الدرس وانتهى المجلس بعقد الزواج بين التلميذ وبنت الأستاذ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المرحوم الحبيب‌آبادي في مكارم الآثار عن شخص مجهول أن الشيخ صاحب الترجمة أخذ في العرفان وتهذيب النفس من درويش حسن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درويش 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النجف‌آبادي الأصبهاني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السيد المهدوي هنا 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حضور الشيخ لدى الأحسائي لم يكن للاستفادة العلمية بل للوقوف على آرائه وأقواله التي كانت سببا لإقبال جمع عليه وتكفير آخرين 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محمد علي الخراساني الطهراني ، ابن أخت صاحب الترجمة ومن المدرسين المجيدين ، رتب الجزء الثالث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من المسودة إلى المبيضة ، صاهر خاله على ابنته الصغرى ولكن لم تدم حياتهما الزوجية طويلا فافترقا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الكتب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وغيرهما ، وكثير من المصادر العامية صرّح بالمعنى اللغوي هذا ، مثل الروض المربع للبهوتي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المحتاج للشربيني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المنجيّة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المشهور أنه كانت ثيابه طاهرة وإنّما أمره بالتشمير كما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تشمير الثياب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إزالة الثياب من الخبث والنجاسات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في 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مكارم أخلاقه ، ونقل في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الطبرسي والزجاج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الوجهين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كانت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المادّة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المدار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اسم للوضوء أو الغسل أو التيمم على وجه له تأثير في استباحة الصلاة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وعبارة اللمعة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والطهور هو الماء والتراب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فالماء مطهّر من الحدث والخبث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خصّها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وبعض المناقشات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طهورية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لِيُطَهِّرَكُمْ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من النجاسات الحكمية أعني الجنابة والحدث الأصغر أو منها ومن العينية أيضا كالمني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الطهارة إن كان لها شرعا حقيقة فهي رافع الحدث أو المبيح للصلاة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الخلاف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بالهاء ، وهو غلط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نقلة اللغة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يقتضيه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المفروضة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الموضوعة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اختصاص المعروضة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في المجمل والتاج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 المجمل وكتاب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أدرجناه من بقية النسخ الثلاثة ، وهو الظاهر بقرينة العبارات التالية ، وإن كان لذكر كتب اللغة أيضا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يأكّدها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غاية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العقليّة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للحكم الشرعي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عرّف المشهور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حقيقة فيه ظاهر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إذن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كالنهاية والقواعد والتحرير كما في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عند توضيح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ويمتنع سلبه عنه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لإخراج الدمع والعرق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في شرح قواعد العلامة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الثاني في المياه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يتبع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ويجري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المخارج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سلب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تغيّر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تغيّره بالنجاسة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المخالط معه من 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المخالط منه من الخمر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إذن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وجودي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غير قيد أو ما يستحق اطلاق الماء عليه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والتقييد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تبعيّة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يستبعد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عبّر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اللفظ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الموضوع له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 قيد 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بتكرار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الضروريات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 وما أدرجناه من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ألجئت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 اللّه بن عمرو بن عمر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من المفتاح والتذكرة وغيرهما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وابن عمر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المذكور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أجلاء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مختار الصحاح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أسبابه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أيضا في 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سيبويه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التطهّر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فظاهر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مروية عن النبي صلى‌اللّه‌عليه‌وآله‌وسلم في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الطهارة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روي ذلك عن الإمام الباقر عليه‌السلام في أكثر من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وجوب الطهور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 المعنى الثالث من معاني الطهور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لقبوله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السراج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اسم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يطهر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الطاء مع الهاء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طهورا بليغا في طهارته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النيشابوري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الفحري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نقل قولا عن أحمد بن يحيى أيضا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لذلك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تغلب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الطريحي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المطهّر ، وفي ضياء الحلوم أنه الماء الخاص الطاهر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لغيره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لغير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وعن الأزهري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ضياء الحلوم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لغيره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اليرندي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ذلك إلى التهذيب للنووي ،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طاهرا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هبيرة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للطاهر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سبل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في فقه القرآن للسيوري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المسلك الثالث في المياه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وملاذ المجتهدين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فكثير من العلماء فسروه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بالطاهر في نفسه المطهر لغيره ، حتى أن الشيخ في التهذيب أسنده إلى لغة العرب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ذيل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وَأَنْزَلْنا مِنَ السَّماءِ ماءً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استدل بها على طهارة مطلق الماء ومطهريته ، وأورد عليه بأنه ليس في الكلام ما يدل على العموم ، وإنما يدل على أن الماء من السماء مطهر وبأن الطهور مبالغة في الطاهر ولا يدل على كونه مطهرا بوجه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عدة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المناقشة في كون الطهور بمعنى المطهر وإن صحت نظرا إلى قياس اللغة لكن تتبع الروايات واستعمالات البلغاء يورث ظنا قويا بأن الطهور في إطلاقاتهم المراد المطهر إما لكونه صفة بهذا المعنى أو اسما لما يتطهر به وعلى التقديرين يثبت المرام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يظهر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زائد بمعنى ما يفعل به يتطهّر به انتهى وقد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استعماله فيه بل لاستفادته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إتيانه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يفهم ذلك من الشيخ فيما حكاه عنه المجلسي رحمه‌اللّه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وسننقل كلامه في الهامش</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النجس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ومشرق الشمسين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كالأكول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دلالته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مخالف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لتصريح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منع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الشيوع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والشرع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العتذر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شرابا طهورا أي طاهرا من الأقذار ، إلّا أنه قال في موضع آخر من المجمع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طهورا أي طاهرا في نفسه مطهرا لغيره مزيلا للأحداث والنجاسات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والطهور بالفتح يقع على الماء والمصدر معا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البضوي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المغري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والمعالم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القول إلى أبي بكر بن داود وبعض الحنفية مستدلين بأن العرب لم تفرق بين الفاعل والفعول في التعدي واللزوم كقاعد وقعود وضارب وضروب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يساعده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بالرسول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الكشاف والأساس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هذا المعنى من الشيخ رحمه‌اللّه على ما حكاه عنه في البحار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لا خلاف بين أهل النحو في أن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للمبالغة وتكرر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ترى أنهم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ضارب ، ثم يقولون ضروب إذا تكرر ذلك منه وكثر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كون الماء طاهرا ليس مما يتكرر ويتزايد ، فينبغي في إطلاق الطهور عليه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بعد ذلك إلّا أنه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البحار 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لا يخفى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بلا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أشرنا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يدلّ عليه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لسقط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في المتن هنا وفي بعض ما 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ربقهنّ بالباء الموحدة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ريقهن 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وريقهنّ طهورا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الشطر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عذاب الثنايا ريقهنّ 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الغل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يمتنّ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تميّز سببها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الإتيان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الامتنان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بيان كون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ادعاء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متطهرا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تسليم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شهادة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للأخرى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عرفا على غير المطهّر ، وقد نصّ جماعة من الأفاضل على عدم إطلاق الطهور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الخبث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وصفه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كالشيخ الجواد في المسالك والأسفرايني وغيره على ما حكاه في الكتاب المذكور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ثبوتها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وأنه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تصدق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تفعل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الظهور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معناها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ويعقل فيه التكرار أيضا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التكرر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المبالغة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المعهود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التطهير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المطهريّة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 مبالغة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فيتمّ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يترجح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فيدل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باستبعاده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الحدث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دلّ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يشمل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تشمل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المصطبر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فيأتوا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أضعتكم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ونزلت الآية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ذكر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حال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الحسنة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وكما أن رحمة اللّه تطهّر ذنوب العباد كذلك النجاسات الظاهرة يطهرها الماء لا غير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بتغيير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مطلق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لونه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راموا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احتج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بالتغيّر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لضعف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عرفت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اعتضاد الخبر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لنتمم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منعه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انتساب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سيجي‌ء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نعم 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الموجودة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العارضية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الاستهلاك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الملاحة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نفس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بعض المياه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لعارض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الأراضي النجسة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عملا بظاهر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اقبع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امتنع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بطول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بصفاته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لحكمهم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بنى الحكم على مقتضى حكم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ويؤتى الحكم على مقتضى حكم الأصل للعقل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بالنجاسة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بحكم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أضعفه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أغلبية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غير ذلك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الحامل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بالطهور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التغيير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اعتباره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التغيير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لطهر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يتنجّس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لسرعة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فيما بعده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المعتاد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وكلاهما صحيح</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وكلاهما متّجه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منصرف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بتنجس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بتنجس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الواحد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لوجودها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ينجر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أحمر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فيعاضد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فيعارضه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التغيّر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قال في 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 من التغيّر الحسي لا التقديري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الكركي في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في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نجدها في أكثر كتبه المطبوعة التي راجعناها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طاهره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التغيّر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التقدير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مغلوبيّته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للنجاسة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التغيّر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يترتب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وأنّ الحكم بها منوطة في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 إناطة الحكم بها في الأخبار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يصر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وضعه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فالمستفاد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المستفاد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ستبيّن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التعبير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بقاء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خروجهما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والضمير راجع إلى الماء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المفروضين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يتنجس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النجسة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المتنجسة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تنجيسها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تنجّسها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اختلف 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فقسّموا الماء إلى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ينقسم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فينقسم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معه النبع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المنع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يعتدّ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المتأخرين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الأصحاب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ومختار الثاني أو بعض المتأخرين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صاحب كشف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صاحب كشف اللثام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بتعميم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اريد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بخصوصه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يرتب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وأطلق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ماء الحمام والماء الذي تسخنه الشمس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 البئر واسع لا يفسده شي‌ء إلّا أن يتغيّر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التغير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النبع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بنصّ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نقلناه من الكافي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ما ذكره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موافقتها الأصل والعمومات والشهرة بين الأصحاب ؛ كما يفهم من حاشية للمؤلف قدس‌سره ، وهي موجودة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الكاتب أدخلها في المتن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عدم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القليل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كشف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اعتصام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الطاهر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خفي منه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يصحح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أثبتناه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يعتبر في المادة 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على ما يشمل المذكور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مبني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المعتصمة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مسائل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الجاري و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الاستقرار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الأصحاب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وماء الحمّام سبيله سبيل الماء الجاري ، إذا كانت له مادة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وقع الكلام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اوّلا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استندت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الغسل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به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المؤلف إلى ذخيرة المعاد ، ولكن عبارة المصنف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الجاري فلا ريب في عدم اشتراط استواء السطوح في عدم الانفعال بالملاقاة على القول بعدم اشتراط الكرية كما هو المشهور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ولا معنى لها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اعتباره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لأجل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الأصحاب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القدرين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أخفّ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بحملهما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مشوش ، قد تقرأ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تسنمه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والشيخ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مسائله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المجتمع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المجتمع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تكون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بمجموع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يقاربها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الإشكال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كون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يكن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الحوض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مورودا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يتطهر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مطهرا لما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لم نعتبر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أمثلها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اخترنا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لتحصل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لكن تحقق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لكن لو تحقق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يحقّق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تمييزه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ببيته الحار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أثبتناها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الموضوع أعني مسمّى المطر وفي بيان الحكم من دوران المعصية مدار التسمية لا غيرها أو اعتبار أمر آخر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تعد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الحديث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كان الماء قدر كرّ لم ينجسه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الماء كرا لم يحمل خبثا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فراغ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حقيقة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يعرف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نزوله به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بشرط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فتأمل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النازل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ميزابين سالا ، أحدها بول والآخر ماء المطر فاختلطا فأصاب ثوب رجل لم يضرّه ذلك</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أنّ ميزابين سالا ، أحدهما ميزاب بول والآخر ميزاب ماء فاختلطا ثم أصابك ، ما كان به بأس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باقي النسخ ، وهو موافق للحديث المنقول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المطر وطينه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نحمله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المطر وطينه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يغسل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المطر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المطر وطينه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ليزول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اعتصامه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المطر تعين 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إزالة المطر لعين النجاسة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تذكير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لخصوصية مدخلية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يوجد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العليّة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يحتمل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كثرة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التنبيهات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وهاهنا أمور ينبغي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هنا ساقطة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وأدرجناها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فاغتنمها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الثاني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التبصرة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لإطالة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إطالة الكلام في طريقها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لإطالة الكلام في طرقها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والجواهر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شبههما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فيما لا قائل به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لتساوي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أداة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المفاهيم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المقام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المفقود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لمكان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أشباهها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ينادي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محافظة المندوب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المحافظة على المندوب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مؤلفة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آنية الولوغ للكلب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آنية ولوغ الكلب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لملاقاة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بملاقاة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تجتمع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يصح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توجد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طشت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ينجسه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فامقظ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وصار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وإلّا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استظهرناها كذلك ، وهي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منقوطة ، وفي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الجرذ والجراذ ، ضرب من الفار سمّي بذلك لأنه يسبّب الجرذ أي العيب والورم والتعقد ، كما في المعجم الزوولوجي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أكثر ، فراجع</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وأخرج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إمّا ما في المتن لأن الجرو بالواو هو الصغير من أولاد الكلب والسباع ، أو الجرذ بالذال المعجمة قسم من الفار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الزوولوجي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ببول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فشعر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نستقي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يستقي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هذه الكتب الروائية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الحبل يكون من شعر الخنزير يستقى به الماء من البئر ، هل يتوضأ من ذلك الماء؟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بالتغير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نحوها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إطلاق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فيقدّر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رواية ودونه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الطاهرة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إجماع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الدالة على طهارة جلد الميتة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مصورة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وأدرجناها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وأطبقناها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أدرجناه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الجرعة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وشبهها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أشبهها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والذي محل بالاي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المزبورة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المذكورة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بقول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الأعوام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لمثل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لظاهر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السحاب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يقتضيه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قيست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تنجّس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بملاقاة الأجزاء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يدركه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وحكاية غير التحرير غير مسموعة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فيسري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سريانها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سرياتها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التنجس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التنجيس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طهورية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منبع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تقييد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ضعفه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جميع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ماءين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بأمر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لذلك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انتفائه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اطلاق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تحديده الكرّ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يصرّح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قابل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كذلك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هذا 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ثانيها انه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فيتقوّى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بالكرّ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كرّيته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الجاري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لعدم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معه مع علوّ الجاري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اشتراط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صوره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تلك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سراية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بعدم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اشتراط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ثبت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سريان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بمثله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فيما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الحسّ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القليبان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بنجاسية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المصنوعة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للمفيد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القسمين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معارض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رابعها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أصلها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الشك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أقلّيته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الكريّة وذهب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البلوغ إلى حدّ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الكر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لثبوت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جعلنا مغاير الاستصحاب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فيطّرد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بغير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ينبغي التأمّل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السابقة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 الماء الكرّ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في المياه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مقدار الكر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في المياه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التهذيب للقاضي 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 أبيه في المختلف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في حد الكر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مذهبه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القادع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صحّة الرجوع إلى الأمرين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المحتملات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يقوم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يقدّم للأصل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يوهم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يوجب الشكّ في المشروط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وجوديّا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الواو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المذكور البقاء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والعموم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حكم الكرّ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وجريان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ومراد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تأخّر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روايتيه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المدنيّ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تحديده الجاجي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تحديد ابن حيّ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حيّ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فهم الحجة والحاحي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بمنطوقها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والظاهر ما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 يقف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نقف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الإجمال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الظنّ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الفطرة بصاع المدني وبعضهم يقولون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الكانية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الأخبار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الآخر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مثل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أظهر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اختلف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المزبورين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زنة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اتفاق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البغلية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مجمعا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واحدا لنصف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نصف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بكسره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والكر ثلاثة أشبار طول ، في عرض ثلاثة أشبار ، في عمق ثلاثة أشبار ، لكن في بعض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أشبار ونصف طول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الكر ثلاثة أشبار ونصف طولا في ثلاثة أشبار ونصف عرضا في ثلاثة أشبار ونصف عمقا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مدّعى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اختاره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وشيخنا البهائي في 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ونصفا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مأخوذة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العقود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المذهب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فحمل كلامه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اعتبار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فمرجع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الى ابن الجنيد في 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مطبقة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عوالى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ونصفا في عرضه و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حينئذ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واحكامها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المرسلة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الكرّ هو ما يكون ثلاثة أشبار طولا في ثلاثة أشبار عرضا في ثلاثة أشبار عمقا ؛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المقاربين لأعصار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المتقاربين لأعصارهم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عثمان بن عيسى ومدى توثيقه وحكاية توبته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عنهم عليهم‌السلام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عن أبي بصير المشترك كتب الرجال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سماء المقال في علم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يصح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أصل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والأمر في الزيادة سهل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ورواية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التعيين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أثبتناها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بالسعة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المنضبط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الفعلي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تكسيره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المقدار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جماعة منهم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الأصالة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استعلام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الشهر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التماد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جفّ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عاصمة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المنبع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واتفق غوره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مائها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والعلّامة في تلخيص المرام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فلا يعصم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انتفاء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ينتن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بنتن فإن 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ينتن فإن أنتن </w:t>
      </w:r>
      <w:r>
        <w:rPr>
          <w:rFonts w:eastAsia="IRNazanin" w:cs="IRNazanin"/>
          <w:b w:val="false"/>
          <w:bCs w:val="false"/>
          <w:i w:val="false"/>
          <w:iCs w:val="false"/>
          <w:color w:val="333333"/>
          <w:sz w:val="20"/>
          <w:szCs w:val="20"/>
          <w:rtl w:val="true"/>
        </w:rPr>
        <w:t>...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به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عذرة رطبة أو يابسة أو زنبيل من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في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في الإناء ، فصبّه في الإناء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ترخصه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يجب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من رسالة المحكم والمتشابه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برخصه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اعانة عليه‌السلام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عليه‌السلام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المسامحة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الاحتمال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لمكان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النزح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وامّا 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تقدّم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نفي الخلاف عنه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الخاصّة فبأنّها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من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إفساده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لإضراره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إطالة القول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إبطاله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لاتصالها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وما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الخارج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كاعتبار التثنية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كالتثنية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بدا به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جميع الأجزاء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مطهّرا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بعضه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المتنجّس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اللفظه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مؤذن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السطح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وأثبته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بحصول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اجراء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المفروضة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محكيّ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بخلافه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العقربة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هو محكيّ عن الاسكافي والشيخ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واختاره الفاضلان والشهيدان وغيرهم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فيعارض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فيعارض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يطهّره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ليقتضي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بالوجيه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وبإطلاق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الماء إلى 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تطهيره الاتصال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صاحب المعالم والذخيرة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خلافا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طهور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بنزح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بخلاف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بخروجه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نزح وجوب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وعدا العمامة المذكورة في السرائر النجاسات المنصوص عنده فربّما يظهر منه ورود النصّ في الجميع لكن النصّ عليه غير موجود عندنا في كثير منها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الاستبصار فلينزح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وجوب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الجميع للقطرة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بنزح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ويظهر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خمر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نسبه في الروض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ترى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بغلط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فالخلاف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الالتباس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استظهرنا وقد يقرأ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تأييده بصحيحة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تأيده بالصحيحة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يستفاد من السرائر دعوى الاتّفاق عليه في المقام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المصباح المنير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يعى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بعر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بينهم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الابل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ذكره في الصحاح والمحيط ومهذّب اللغة منه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ذكره في الصحاح والمحيط ومهذّب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بما </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بعر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أدرجناه من القاموس ، وانظر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بعر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بعر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الذي استظهرناه ، والنسخ مختلفة متشتتة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بالجدء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بالجدع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والشهيدان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حيث حكى الإجماع على وجوب نزح الكرّ للخيل وما أشبهها في الجسم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ألحقها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يشمل البقرة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استوجبه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بدلا 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فبذلك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فينزفون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السيد نعمة اللّه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كان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التأخير اليه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حصول 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حصوله سعة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بسدّ المنبع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أمكن نزح الجميع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النبع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يعتبر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إعادته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تبيت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ثالثها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وب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اشتراكها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الرشاء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المتعارف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التعارف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ما مع التعارف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النصّ وأمّا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يخالفه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نزحهنّ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ومع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المذكور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وجه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مرّتين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الليل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دلو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زيادة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تطهير المياه النجسة ،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منزوحات البئر ، 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المنتتهى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تعذر نزح الجميع لكثرته تراوح عليها أربعة رجال مثنى مثنى في طلوع الفجر الى الغروب ، ولم أعرف فيه مخالفا من القائلين بالتنجيس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 في المتن نقله عن المنتهى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الذكرى في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ومؤخر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أعلى ما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الأوّل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التأهّب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ليتأهّب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رقع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وحكى بعضهم عليه الشهرة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مصرّحا بالمنع من الثاني ومن الاجتماع في الصلاة من دون جماعة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 المصنف 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في المضاف والأسئار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تبصرة ، المعروف 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 في المضاف والأسئار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عن جماعة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عبارته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كان ذلك ضعيفا لانجبر بالعمل ، فإني لا أعرف من الأصحاب رادّا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المحقق السبزواري ، في ذخيرة المعاد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ضعف مسندها ، فالشهرة يؤيدها وإني لا أعرف من الأصحاب رادّا لها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الأصحاب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لكن العبارة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إن اصحابنا عملوا فيها بالحمار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اقتصر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والبغل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الإفهام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فذكر الحمار والجمل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فأكثره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بحيث يصدق موته في البئر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دلج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محقق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إلّا أن يقال بالتداخل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التغسيل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معنى له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الفاضل الهندي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ونفى عنه الخلاف في ظاهر السرائر وهذه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وينزح لعذرة بني آدم الرطبة أو اليابسة المذابه المتقطّعة خمسون دلوا فإن كانت يابسة غير مذابة ولا متقطعة فعشر دلاء بغير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الشهرة عليه جماعة منهم الشهيد في الذكرى والمحقّق الكركي والعلّامة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ابني بابويه أنه ينزح لها من أربعين إلى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جماعة من المتأخرين إلى التخيير بين الأربعين والخمسين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واكتفى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معانيه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لإرادة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قوله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عدم جريان الحكم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ثم إن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نسخة كثيرة الأغلاط ، فصحّحنا العبارات على قدر وسعنا ، وبهذه الأوراق ختام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هي ناقصة تبدأ من بداية الكتاب وتختم بهذه العبائر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النسخة</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ينزح من البئر لموت الانسان وللدم القليل والكثير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السيد نعمة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خلطه الكاتب بالمتن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ينزح من البئر للسنور والكلب والخنزير وما أشبهها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ينزح من البئر للسنور والكلب والخنزير وما أشبهها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ما رواه حسين بن سعيد ، عن قاسم عن علي في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لم ينفسخ أو لم يتغير طعم الماء فيكفيك خمس دلاء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الكلب والخنزير وما أشبههما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الوحيدة في هذه الأوراق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لم نفهم ربطها بالمقام ، وهي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الأصل بقاء النجاسة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ينزح من البئر للسنور والكلب والخنزير وما أشبهها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ينزح للسنور سبع دلاء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تسعة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تستقيم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تكون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للذكر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بول الصبي يقع في البئر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ولعلّها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لنجاسة الكفر تأثير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البعير أو الحمار وما أشبههما أو يصيب فيها الخمر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يقع فيها الدم القليل أو الكثير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النقد ترأنه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صحّحناها بالقرائن ، وليس من عبارة الحديث لأنه نقل بالمعنى ، فراجع</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تقع فيها العذرة اليابسة أو الرطبة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منجبرة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غلط ، وما أدرجناه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البئرة المبخرة التي يشم منها الرائحة الكريهة كالجيفة ونحوها</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 بمقدار لفظة في المخطوط</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المياه وطهرها ونجاستها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وهذه الصفحات ساقطة من بقية النسخ ، فاغتنمها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صدقه عليه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بالإطلاقات قاض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بالإطلاق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التقييد بالمضاف نظرا إلى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بدل ما بين الهلالين</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مجازيته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المجازيّة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المصعّد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آخره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حالة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أدرجناها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عمه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اتّحاده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الفاضل الهندي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طهارة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يلاقيه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وكلاهما صحيح</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تنجّس محلّ الملاقاة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اطلاق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سراية النجاسة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مورد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يقوم </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يندرج فيها 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في أخبار الكرّ إن ثبت إطلاقها بالنسبة إلى ذلك إشارة إلى ذلك إلّا أنّ الحكم بإطلاقها </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المعارض</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انحدار المقام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حيث جوّز الوضوء والاغتسال به وحكي ذلك عن أماليه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وعزا في الخلاف جواز التوضؤ بماء الورد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لظاهر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 </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يشير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روايته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المشهور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تؤوّل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العرف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الاستنجاء من الغائط والبول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الاستنجاء وإزالة النجاسات للصلاة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الشمس إذا جفت الأرض واسطح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ماء </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ينجس الثوب والجسد ،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الإجماع في الحقيقة حسبما نقل احتجّوا للسيّد ومن وافقه بالاستناد إلى الإجماع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البدن والثياب من النجاسات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الريق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محكما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تخرفيّا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الوجود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جوز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وخلوّ الجمع المذكور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أعماقه وملاقاة المطهّر لجميع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فينجس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وخرج عن الإطلاق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بطهره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طهره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يظهر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للحكم بتطهيره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المياه وسائر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شيخه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سأر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سأر </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 أ ر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كراهة ذلك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كراهته وذلك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مطلقا التقيّة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وكأنّ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المائعات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لكي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كان قليلا بالنسبة إلى الحيوان الوارد عليه ومن اعتبر القلّة الشرعيّة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السؤريّة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السؤر به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بفضله واصيب ذلك الماء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من الأخبار الدالّة </w:t>
      </w:r>
      <w:r>
        <w:rPr>
          <w:rFonts w:eastAsia="IRNazanin" w:cs="IRNazanin"/>
          <w:b w:val="false"/>
          <w:bCs w:val="false"/>
          <w:i w:val="false"/>
          <w:iCs w:val="false"/>
          <w:color w:val="333333"/>
          <w:sz w:val="20"/>
          <w:szCs w:val="20"/>
          <w:rtl w:val="true"/>
        </w:rPr>
        <w:t>..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الماء إذا ولغ فيه الكلب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والمراد جميع أنواع الحيوان ، ولعل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الحيوان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الماء إذا ولغ فيه الكلب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التطهير به وما لا يجوز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التطهير به وما لا يجوز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الدواب والسباع والطير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الدواب والسباع والطير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التطهير به وما لا يجوز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لا يؤكل لحمه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السؤر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التجوّز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التطهر به وما لا يجوز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التطهير به وما لا يجوز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الدواب والسباع والطير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التطهير به وما لا يجوز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مرّت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و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والسرائر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صاحب المدارك والفاضل الهندي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في المياه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ويمكن 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سؤر الحائض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سؤره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التعبّد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استعمال فضل وضوء الحائض والجنب وسؤرهما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الحائض ولجنب واليهودي والنصراني والناصب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الحائض والجنب واليهودي والنصراني والناصب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الحائض والجنب واليهودي والنصراني والناصب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تعبّد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الخباثة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كالغسلة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طهر المحلّ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عزي إلى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و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والشهيدان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الكيفيّة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الكلبيّة </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فسّرها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فسّر عبارة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اعتبر فيها ورود الماء على النجاسة ما عدا الشهيد في الذكرى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المورود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طهارته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نصّ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ولو كان كذلك يجب أن تكون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ترسم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بياض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متصلة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اختلاط ما ، المطر بالبول وما يرجع في الإناء من غسالة الجنب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العلة التي من أجلها لا يجب غسل الثوب الذي يقع في الماء الذي يستنجي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 الثلاثة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الوصف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تفريع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عدم </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مأخوذة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واو العطف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تثبت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مأخوذة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مشروطا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يتنجّس </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ولنوضّح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تغيره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فالأقوى</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أصيب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قويّ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وكما أنّه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الإضافة </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بالثاني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المنقول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الرواية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علي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أيتوضأ من فضل وضوء جماعة المسلمين أحب إليك أو يتوضأ من ركو أبيض مخمر؟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بل من فضل وضوء جماعة المسلمين ، فإن أحب دينكم إلى اللّه الحنيفية السمحة السهلة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أو لاختصاص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المستعمل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المستعمل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عدم نجاسة ماء الحمام إذا كان له مادة بمجرد ملاقات النجاسة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ورد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الرجل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المستعمل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الجواز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يتهون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جوازا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ظاهره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أظهريّته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طهور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الظاهر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كعدم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ثبوته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فالأوّل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فرد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العبارة من المنتهى في 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نعثر عليه في المنتهى</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يجتمع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الحمام والماء الذي تسخنه الشمس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الجئة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باب المياه وطهرها ونجاستها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الشرائع ، ونقله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الحمام والماء الذي تسخنه الشمس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الحمام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الاغتسال بغسالة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حكاه في السرائر ، قال بعد الحكم بعدم جواز استعماله على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إجماع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وجوه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المفيدة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بالطهارة </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الواو لم تذكر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الخروج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المتخلّف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نحيت ماء الحمام</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يغسل رجليه</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كل شي‌ء طاهر حتى يعلم ورود النجاسة عليه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 ونجاسة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التعليل يحصل فيه شي‌ء من النجاسة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ما رواه سعد بن عبد اللّه ، عن أحد بن الحسن بن علي بن فضال ، عن عمرو بن سعيد المدائني ، عن مصدق بن صدقة ، عن عمار بن موسى الساباطي ، عن أبى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هل يتوضأ من كوز أو إناء غيره إذا شرب فيه على أنه يهودي؟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ذلك الماء الذين يشرب منه؟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هدم </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فالممكن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فيكون الأمر به إرشاديّا أو للاستحباب من جهة تسهيل الأمر بالاقتصار على التيمّم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هو السيّد نور الدين أخو صاحب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وجوب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الدليل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النصّ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قضت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ونسبة العمومات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يقتضي العلم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ولا دلالة في تلك العمومات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ويدفعه أن الشك في بقاء الطهارة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ولأن </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زيادة لفظة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بها فيحكم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يحكم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لإجراء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يقضي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الثابتة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الارتفاع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الارتفاع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المشتبهة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الحال </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إجراء </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الفعلين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متى </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المذكور فإنّ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بالحديثين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استنادا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واو العطف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الاحتمال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الماء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الماء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العارية </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بياض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 سطر واحد بل أقل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المقصد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الضحك والقهقهة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الاحداث الموجبة للطهارة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ينقض الوضوء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المعتاد </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الاعتياد </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السابقة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فيتناوله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بالضرط </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صدق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الأقوى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 ، وفيها نقص بيّن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يناط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باسميها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أنه لا ينقض الوضوء الا اليقين بحصول الحدث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يتخيّل </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أحيان </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نوم </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منقرض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ما ينقض الوضوء باب النوم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ما ينقض الوضوء باب النوم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أوجب عليه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ما ينقص الوضوء ، باب النوم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النوم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رواية </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النوم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والأظهر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الواردة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الواردة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يشتدّ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أغفى </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خفى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أخفى عليه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الاحداث الموجبة للطهارة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بالمعنى</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الإغفاء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بنافي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استحاضة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الصفرة والكدرة في أيام الحيض حيض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كرّرت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إختلاف يسير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حكي من </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الحيض والاستحاضة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دما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بالاحتجاج </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النفساء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ولتستدخل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الزيادت في فقه الحج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تحتشى </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يعلم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ينقض ما لم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للنفس </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الاستبراء من الجنابة بالبول قبل الغسل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الجماعة وصفه الطهارة منها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والموجود 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التأمل </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الاحداث الموجبة للطهارت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وغسله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انتقاض </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الشكّ في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نقض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والمرأة يغتسلان من الجنابة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الخارج </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المذي والوذي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فتوضّأ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المذى والوذي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المذي والوذي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المذى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متعيّن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ثمّ أعدته </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المذي والوذي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المتعيّن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من الضحك والحدث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الوذي والمذي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 دريرة البول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القي‌ء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القي‌ء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الرعاف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انشاد الشعر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نشد الشعر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الاستبراء قبل الاستنجاء من البول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صافحهم قال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أحجار </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من نسي الاستنجاء حتى توضأ وصلى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مصافحة الكفار ومس الكلب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ستر العورة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 باب غسل يوم الجمعة ودخول الحمام ،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فليحاذر على عورته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شارح الدروس </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الحمام وآدابه وسننه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عورة الحمال </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نفي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ما سترت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فاستره </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الفخذ ليس</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آداب الخلاء</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ولكن تشرّقوا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تستدبرها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استقبال القبلة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جمل من المناهي ،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استقبال القبلة واستدبارها عند البول والغائط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الآنية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الخلاء ،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الذي يكره أن يتغوط فيه أو يبال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بالمنع إذ الظاهر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المعتبر والقواعد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وجدنا العبارات في موضع آخر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مشوش الموضع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 وأدرجناها في مواضعها ، والحمد لله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 شي‌ء يكون فيه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والاستنجاء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انقطعت درة البول فصبّ الماء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اليدين قبل إدخالهما الإناء عد واحد من الاحداث ،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وغسله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الأحداث الموجبة للطهارة ،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الباقية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ذلك لا يستعمل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أضيفت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في عبارات المخطوطات الثلاثة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بالصب </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البول يصب الثوب أو الجسد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تعيّن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زرارة عن أبي جعفر عليه‌السلام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يجزي من الغائط المسح بالأحجار إذا لم يتجاوز محل العادة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في العبارة نقصا ، والنسخ كلها كما أدرجنا</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التعدّي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الاستحجار و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التجوّز </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مصباح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ينفى ما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أورجناه من الصدر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الصانعين </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والخرق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المثال </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الاحداث الموجبة للطهارات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بالماء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 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المستعمل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الوضوء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في النسخ المخطوطة ، ولعلّه مما لم يؤلّف</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كملا </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التباعد عن الناس عند التخلي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التباعد عن الناس عند التخلي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المسافر ، ح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الخباء </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الخلاء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متقنعا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إسنادها </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أن يتغوط فيه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التقنع عند دخول الخلاء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للفضل بن شاذان الأزدي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في المخطوطة مشوّشة قد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المعاضيان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المعارضيان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ارتياد المكان للحدث ،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 الفقرة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هو السميع العليم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المطبوعة المراجع إليها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أمت </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ارتياد المكان للحدث والسنة في دخوله والآداب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استحباب التسمية والاستعاذة والدعاء بالمأثور عند دخول المخرج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دخول المتوضأ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تزحر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كما أطعمتنيه طيبا في عافية فأخرجه مني خبيثا في عافية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تزجر بالزاي والحاء المهملة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التنفس بأنين وشدة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حتى أنه كان إذا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لم يرد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الدعاء عند دخول المتوضأ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علة الغائط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 ونجاستها ،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الخلاء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الخلاء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المصدر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وعدم الخروج والاستنجاء ومن نسيه والتسمية عند الدخول وعند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عبد اللّه عليه‌السلام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جرت في البراء بن محرور الأنصاري ثلاث من السنن أما أولهن فإن الناس كانوا يستنجون بالأحجار فأكل البراء من محرور الدباء فلان بطنه فاستنجى بالماء فأنزل اللّه عزوجل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يُحِبُّ التَّوّابِينَ وَيُحِبُّ الْمُتَطَهِّرِينَ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فجرت السنة في الاستنجاء بالماء </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المعتبرة </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احتمل </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الايتار </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الاستنجاء من الغائط والبول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من طريق الخاصة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الاستبراء </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هنا 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ومعي إداوة أو قال كوز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الكافي المطبوع</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وغسله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عزى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الاستبراء قبل الاستنجاء من البول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الاستبراء من البول وغسله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الاستبراء ، قبل الاستنجاء من البول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المذي والوذي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المذكورة </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النوادر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اعتباره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البول </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جهل من مناهي النبي صلى‌اللّه‌عليه‌وآله ،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أن يتغوط فيه أو يبال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ضعف ما عزا إلى المفيد من تحريم استقبال المفسرين بالفرج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مرتبطة لما بعدها كما يستجي‌ء</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استقبالهما </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الخلاء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واستدبره </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كراهة </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يكره </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استقبال القبلة واستدبارها عند البول والغائط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الموضع الذي يكره أيتغوط فيه أو يبال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قدماء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القدماء </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مواضع الذي يكره أن يتغوط فيه أو يبال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كراية أن يبيت الإنسان وحدة والخصال المنهي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أينعت أو نخلة </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من جمل من مناهي النبي صلى‌اللّه‌عليه‌وآله ،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البول في الماء الجاري ،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تقرأ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الفرض </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في ماء الجاري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واجتنابه أفضل</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كراهية أن يبيت الإنسان وحده والخصال المنهي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الخصال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والذي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كره البول على شط نهر جاري ، وكره أن يحدث الرجل تحت شجرة قد أينعت يعني أثمرت ، وكره أن يتنعّل الرجل وهو قائم </w:t>
      </w:r>
      <w:r>
        <w:rPr>
          <w:rFonts w:eastAsia="IRNazanin" w:cs="IRNazanin"/>
          <w:b w:val="false"/>
          <w:bCs w:val="false"/>
          <w:i w:val="false"/>
          <w:iCs w:val="false"/>
          <w:color w:val="333333"/>
          <w:sz w:val="20"/>
          <w:szCs w:val="20"/>
          <w:rtl w:val="true"/>
        </w:rPr>
        <w:t>.. ».</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الصحيحة </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ولعلّها في 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 تقرأ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استنحاب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إلّا في الحرف الأخير</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بياض بمقدار كلمة في النسخ المخطوطة</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وطمح ببوله ، إذا رماه في الهواء </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طمح </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استنحاب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منقوطة إلّا في الحرف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سقط بعد هذه اللفظة إلى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الماء والمحافظة عن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النسخ المخطوطة بياض بمقدار كلمة</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والمحافظة على عن البول </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مخطوطات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حسران </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عبادة </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عبادة </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البيتين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معروف ،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البواسير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كراهة طول الجلوس على الخلاء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المخطوطات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أدرجناه من الوسائل</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وعند الاستنجاء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بين </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وعند الخروج والاستنجاء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الاستنجاء </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أراد الاستنجاء وفي يده اليسرى خاتم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أراد الاستنجاء وفي يده اليسرى خاتم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أراد الاستنجاء وفي يده اليسرى خاتم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قلت لا </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للطهارات ،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للخباء </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لقمة خبز في القذر </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يقض له حاجته </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إذائه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التنحنح </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عزوجل في كل مجلس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المياه وطهرها ونجاستها ،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مذكور </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أُمِرُوا إِلّا لِيَعْبُدُوا اللّهَ مُخْلِصِينَ لَهُ الدِّينَ </w:t>
      </w:r>
      <w:r>
        <w:rPr>
          <w:rFonts w:eastAsia="IRNazanin" w:cs="IRNazanin"/>
          <w:b w:val="false"/>
          <w:bCs w:val="false"/>
          <w:i w:val="false"/>
          <w:iCs w:val="false"/>
          <w:color w:val="333333"/>
          <w:sz w:val="20"/>
          <w:szCs w:val="20"/>
          <w:rtl w:val="true"/>
        </w:rPr>
        <w:t>) .</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فلو خلا عنه </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إزالته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النية </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تخيّل </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فرع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التكليف </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إرجاعها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ليس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اللاحق حق </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المخطوطة</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تعيينه </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كونها </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الندب </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الامتثال </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 </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يشكّ </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بكلّ منهما </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مرات </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مستقلا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إلهي </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لم ترد إلّا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سادسها </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المخطوطة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سابعها </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ليستعين </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احتمال </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أو 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 </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المقام الثاني في </w:t>
      </w:r>
      <w:r>
        <w:rPr>
          <w:rFonts w:eastAsia="IRNazanin" w:cs="IRNazanin"/>
          <w:b w:val="false"/>
          <w:bCs w:val="false"/>
          <w:i w:val="false"/>
          <w:iCs w:val="false"/>
          <w:color w:val="333333"/>
          <w:sz w:val="20"/>
          <w:szCs w:val="20"/>
          <w:rtl w:val="true"/>
        </w:rPr>
        <w:t>.. ».</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أحد الوجهين إذ انصرافه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على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أحدهما ترجيح من غير مرجّح وأيضا مع قصد مطلق القربة من دون تعيين إحدى </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الراجحات </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فقصد </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الملاحظه </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وردت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الصحيحة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 </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الحاصل </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وغاية </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به </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وجوب الطهور ،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إدارة </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صدغ </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صدغ </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والذراعين وكيف يغسل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الأصلع </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بين </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ففيه </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الوضوء وترتيبه وثوابه ،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يجزئ للوضوء والغسل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قليله وكثيره فقد أجزأه </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يجزئ للوضوء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الجنابة وصفة الطهارة منها ،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الماء الذي يجزئ للوضوء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حكم الجنابة وصفة الطهارة منها ،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الوجه الذي يغسل والذراعين وكيف يغسل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العلّامة في المختلف والشهيد في الألفيّة </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إلى المستورة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ما فيه ، فلا يتّضح إذن في المقام ما يصلح أيكون محلّا للكلام وبعضهم خصّ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فكما أنّه لا خلاف ظاهرا في عدم وجوب غسل المستور فلا يتّضح في المقام ما يصلح أن يكون محلّا للكلام وبذلك يظهر بعد ما حكي عن البعض من تخصيص الخلاف </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عدميّا </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يتغلّب </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فللشكّ </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الكشف </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فراغ في النسخ المخطوطة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يحمل </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الأولى من هذه التبصرة تكرار لما قبلها ، إلّا أنها تختلف طريقة البحث عن الموضوع ، ولعلّ إحداهما مسودّة المؤلف قدّس سره ، فتأمّل</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إدخال </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الوضوء وترتيبه وثوابه ،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المرافق </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حملا للرواية على الغالب </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الجلدة </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الشي‌ء </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يمسح من الرأس والرجلين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العمامة </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المسح على الرأس والرجلين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المسح على الرأس والرجلين ،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معمّر </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فقهاء كثير </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 الرواية في هامشه من 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الشيخين </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توضأ وهو معتمّ فثقل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توضأ وهو معتمّ وثقل عليه </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المحدّدة </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ظهور </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الاخوين </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الاخوين </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اكتفاء </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الأخوين </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للممسوح </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الأخوين </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الأخوين </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دخولهما في المسح</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الجبائر والقروح والجراحات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باب صفة الوضوء والفرض منه ،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حكى </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فالفرقة </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التفرّد </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يعتبر </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ناتئان </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ناتئان </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به مع غاية وضوحه وبيانه </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تغييرات </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القرص النحاسي </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وهذا </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الناتئين </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مفردات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الكاف مع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الناتئان </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غاية </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المنبت </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حملهما </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النابتين </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الكعب </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كعب </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عبارات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المفردات </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الناتئان </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بالتحقيق </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فيكتفى </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بالظن </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الجمرة </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الإسكافي </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والفضيلة فيه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زيدت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والفرض منه والسنة والفضيلة فيه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والقدمين ،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السرقة وكيفيته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قطعت </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 هو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الأخوين </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القطع وكيفيته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ليس في الرواية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السيل </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للنخل </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فيتعيّن </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عنهما </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الاستثناء </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السيل </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الناتئين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3.jpeg"/><Relationship Id="rId36" Type="http://schemas.openxmlformats.org/officeDocument/2006/relationships/image" Target="media/image3.jpeg"/><Relationship Id="rId37" Type="http://schemas.openxmlformats.org/officeDocument/2006/relationships/footer" Target="footer30.xml"/><Relationship Id="rId38" Type="http://schemas.openxmlformats.org/officeDocument/2006/relationships/image" Target="media/image4.jpeg"/><Relationship Id="rId39" Type="http://schemas.openxmlformats.org/officeDocument/2006/relationships/image" Target="media/image4.jpeg"/><Relationship Id="rId40" Type="http://schemas.openxmlformats.org/officeDocument/2006/relationships/footer" Target="footer31.xml"/><Relationship Id="rId41" Type="http://schemas.openxmlformats.org/officeDocument/2006/relationships/image" Target="media/image5.jpeg"/><Relationship Id="rId42" Type="http://schemas.openxmlformats.org/officeDocument/2006/relationships/image" Target="media/image5.jpeg"/><Relationship Id="rId43" Type="http://schemas.openxmlformats.org/officeDocument/2006/relationships/footer" Target="footer32.xml"/><Relationship Id="rId44" Type="http://schemas.openxmlformats.org/officeDocument/2006/relationships/image" Target="media/image6.jpeg"/><Relationship Id="rId45" Type="http://schemas.openxmlformats.org/officeDocument/2006/relationships/image" Target="media/image6.jpeg"/><Relationship Id="rId46" Type="http://schemas.openxmlformats.org/officeDocument/2006/relationships/footer" Target="footer33.xml"/><Relationship Id="rId47" Type="http://schemas.openxmlformats.org/officeDocument/2006/relationships/image" Target="media/image7.jpeg"/><Relationship Id="rId48" Type="http://schemas.openxmlformats.org/officeDocument/2006/relationships/image" Target="media/image7.jpeg"/><Relationship Id="rId49" Type="http://schemas.openxmlformats.org/officeDocument/2006/relationships/footer" Target="footer34.xml"/><Relationship Id="rId50" Type="http://schemas.openxmlformats.org/officeDocument/2006/relationships/image" Target="media/image8.jpeg"/><Relationship Id="rId51" Type="http://schemas.openxmlformats.org/officeDocument/2006/relationships/image" Target="media/image8.jpeg"/><Relationship Id="rId52" Type="http://schemas.openxmlformats.org/officeDocument/2006/relationships/footer" Target="footer35.xml"/><Relationship Id="rId53" Type="http://schemas.openxmlformats.org/officeDocument/2006/relationships/image" Target="media/image9.jpeg"/><Relationship Id="rId54" Type="http://schemas.openxmlformats.org/officeDocument/2006/relationships/image" Target="media/image9.jpeg"/><Relationship Id="rId55" Type="http://schemas.openxmlformats.org/officeDocument/2006/relationships/footer" Target="footer36.xml"/><Relationship Id="rId56" Type="http://schemas.openxmlformats.org/officeDocument/2006/relationships/image" Target="media/image10.jpeg"/><Relationship Id="rId57" Type="http://schemas.openxmlformats.org/officeDocument/2006/relationships/image" Target="media/image10.jpeg"/><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footer" Target="footer67.xml"/><Relationship Id="rId89" Type="http://schemas.openxmlformats.org/officeDocument/2006/relationships/footer" Target="footer68.xml"/><Relationship Id="rId90" Type="http://schemas.openxmlformats.org/officeDocument/2006/relationships/footer" Target="footer69.xml"/><Relationship Id="rId91" Type="http://schemas.openxmlformats.org/officeDocument/2006/relationships/footer" Target="footer70.xml"/><Relationship Id="rId92" Type="http://schemas.openxmlformats.org/officeDocument/2006/relationships/footer" Target="footer71.xml"/><Relationship Id="rId93" Type="http://schemas.openxmlformats.org/officeDocument/2006/relationships/footer" Target="footer72.xml"/><Relationship Id="rId94" Type="http://schemas.openxmlformats.org/officeDocument/2006/relationships/footer" Target="footer73.xml"/><Relationship Id="rId95" Type="http://schemas.openxmlformats.org/officeDocument/2006/relationships/footer" Target="footer74.xml"/><Relationship Id="rId96" Type="http://schemas.openxmlformats.org/officeDocument/2006/relationships/footer" Target="footer75.xml"/><Relationship Id="rId97" Type="http://schemas.openxmlformats.org/officeDocument/2006/relationships/footer" Target="footer76.xml"/><Relationship Id="rId98" Type="http://schemas.openxmlformats.org/officeDocument/2006/relationships/footer" Target="footer77.xml"/><Relationship Id="rId99" Type="http://schemas.openxmlformats.org/officeDocument/2006/relationships/footer" Target="footer78.xml"/><Relationship Id="rId100" Type="http://schemas.openxmlformats.org/officeDocument/2006/relationships/footer" Target="footer79.xml"/><Relationship Id="rId101" Type="http://schemas.openxmlformats.org/officeDocument/2006/relationships/footer" Target="footer80.xml"/><Relationship Id="rId102" Type="http://schemas.openxmlformats.org/officeDocument/2006/relationships/footer" Target="footer81.xml"/><Relationship Id="rId103" Type="http://schemas.openxmlformats.org/officeDocument/2006/relationships/footer" Target="footer82.xml"/><Relationship Id="rId104" Type="http://schemas.openxmlformats.org/officeDocument/2006/relationships/footer" Target="footer83.xml"/><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footer" Target="footer95.xml"/><Relationship Id="rId117" Type="http://schemas.openxmlformats.org/officeDocument/2006/relationships/footer" Target="footer96.xml"/><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footer" Target="footer159.xml"/><Relationship Id="rId181" Type="http://schemas.openxmlformats.org/officeDocument/2006/relationships/footer" Target="footer160.xml"/><Relationship Id="rId182" Type="http://schemas.openxmlformats.org/officeDocument/2006/relationships/footer" Target="footer161.xml"/><Relationship Id="rId183" Type="http://schemas.openxmlformats.org/officeDocument/2006/relationships/footer" Target="footer162.xml"/><Relationship Id="rId184" Type="http://schemas.openxmlformats.org/officeDocument/2006/relationships/footer" Target="footer163.xml"/><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footer" Target="footer195.xml"/><Relationship Id="rId217" Type="http://schemas.openxmlformats.org/officeDocument/2006/relationships/footer" Target="footer196.xml"/><Relationship Id="rId218" Type="http://schemas.openxmlformats.org/officeDocument/2006/relationships/footer" Target="footer197.xml"/><Relationship Id="rId219" Type="http://schemas.openxmlformats.org/officeDocument/2006/relationships/footer" Target="footer198.xml"/><Relationship Id="rId220" Type="http://schemas.openxmlformats.org/officeDocument/2006/relationships/footer" Target="footer199.xml"/><Relationship Id="rId221" Type="http://schemas.openxmlformats.org/officeDocument/2006/relationships/footer" Target="footer200.xml"/><Relationship Id="rId222" Type="http://schemas.openxmlformats.org/officeDocument/2006/relationships/footer" Target="footer201.xml"/><Relationship Id="rId223" Type="http://schemas.openxmlformats.org/officeDocument/2006/relationships/footer" Target="footer202.xml"/><Relationship Id="rId224" Type="http://schemas.openxmlformats.org/officeDocument/2006/relationships/footer" Target="footer203.xml"/><Relationship Id="rId225" Type="http://schemas.openxmlformats.org/officeDocument/2006/relationships/footer" Target="footer204.xml"/><Relationship Id="rId226" Type="http://schemas.openxmlformats.org/officeDocument/2006/relationships/footer" Target="footer205.xml"/><Relationship Id="rId227" Type="http://schemas.openxmlformats.org/officeDocument/2006/relationships/footer" Target="footer206.xml"/><Relationship Id="rId228" Type="http://schemas.openxmlformats.org/officeDocument/2006/relationships/footer" Target="footer207.xml"/><Relationship Id="rId229" Type="http://schemas.openxmlformats.org/officeDocument/2006/relationships/footer" Target="footer208.xml"/><Relationship Id="rId230" Type="http://schemas.openxmlformats.org/officeDocument/2006/relationships/footer" Target="footer209.xml"/><Relationship Id="rId231" Type="http://schemas.openxmlformats.org/officeDocument/2006/relationships/footer" Target="footer210.xml"/><Relationship Id="rId232" Type="http://schemas.openxmlformats.org/officeDocument/2006/relationships/footer" Target="footer211.xml"/><Relationship Id="rId233" Type="http://schemas.openxmlformats.org/officeDocument/2006/relationships/footer" Target="footer212.xml"/><Relationship Id="rId234" Type="http://schemas.openxmlformats.org/officeDocument/2006/relationships/footer" Target="footer213.xml"/><Relationship Id="rId235" Type="http://schemas.openxmlformats.org/officeDocument/2006/relationships/footer" Target="footer214.xml"/><Relationship Id="rId236" Type="http://schemas.openxmlformats.org/officeDocument/2006/relationships/footer" Target="footer215.xml"/><Relationship Id="rId237" Type="http://schemas.openxmlformats.org/officeDocument/2006/relationships/footer" Target="footer216.xml"/><Relationship Id="rId238" Type="http://schemas.openxmlformats.org/officeDocument/2006/relationships/footer" Target="footer217.xml"/><Relationship Id="rId239" Type="http://schemas.openxmlformats.org/officeDocument/2006/relationships/footer" Target="footer218.xml"/><Relationship Id="rId240" Type="http://schemas.openxmlformats.org/officeDocument/2006/relationships/footer" Target="footer219.xml"/><Relationship Id="rId241" Type="http://schemas.openxmlformats.org/officeDocument/2006/relationships/footer" Target="footer220.xml"/><Relationship Id="rId242" Type="http://schemas.openxmlformats.org/officeDocument/2006/relationships/footer" Target="footer221.xml"/><Relationship Id="rId243" Type="http://schemas.openxmlformats.org/officeDocument/2006/relationships/footer" Target="footer222.xml"/><Relationship Id="rId244" Type="http://schemas.openxmlformats.org/officeDocument/2006/relationships/footer" Target="footer223.xml"/><Relationship Id="rId245" Type="http://schemas.openxmlformats.org/officeDocument/2006/relationships/footer" Target="footer224.xml"/><Relationship Id="rId246" Type="http://schemas.openxmlformats.org/officeDocument/2006/relationships/footer" Target="footer225.xml"/><Relationship Id="rId247" Type="http://schemas.openxmlformats.org/officeDocument/2006/relationships/footer" Target="footer226.xml"/><Relationship Id="rId248" Type="http://schemas.openxmlformats.org/officeDocument/2006/relationships/footer" Target="footer227.xml"/><Relationship Id="rId249" Type="http://schemas.openxmlformats.org/officeDocument/2006/relationships/footer" Target="footer228.xml"/><Relationship Id="rId250" Type="http://schemas.openxmlformats.org/officeDocument/2006/relationships/footer" Target="footer229.xml"/><Relationship Id="rId251" Type="http://schemas.openxmlformats.org/officeDocument/2006/relationships/footer" Target="footer230.xml"/><Relationship Id="rId252" Type="http://schemas.openxmlformats.org/officeDocument/2006/relationships/footer" Target="footer231.xml"/><Relationship Id="rId253" Type="http://schemas.openxmlformats.org/officeDocument/2006/relationships/footer" Target="footer232.xml"/><Relationship Id="rId254" Type="http://schemas.openxmlformats.org/officeDocument/2006/relationships/footer" Target="footer233.xml"/><Relationship Id="rId255" Type="http://schemas.openxmlformats.org/officeDocument/2006/relationships/footer" Target="footer234.xml"/><Relationship Id="rId256" Type="http://schemas.openxmlformats.org/officeDocument/2006/relationships/footer" Target="footer235.xml"/><Relationship Id="rId257" Type="http://schemas.openxmlformats.org/officeDocument/2006/relationships/footer" Target="footer236.xml"/><Relationship Id="rId258" Type="http://schemas.openxmlformats.org/officeDocument/2006/relationships/footer" Target="footer237.xml"/><Relationship Id="rId259" Type="http://schemas.openxmlformats.org/officeDocument/2006/relationships/footer" Target="footer238.xml"/><Relationship Id="rId260" Type="http://schemas.openxmlformats.org/officeDocument/2006/relationships/footer" Target="footer239.xml"/><Relationship Id="rId261" Type="http://schemas.openxmlformats.org/officeDocument/2006/relationships/footer" Target="footer240.xml"/><Relationship Id="rId262" Type="http://schemas.openxmlformats.org/officeDocument/2006/relationships/footer" Target="footer241.xml"/><Relationship Id="rId263" Type="http://schemas.openxmlformats.org/officeDocument/2006/relationships/footer" Target="footer242.xml"/><Relationship Id="rId264" Type="http://schemas.openxmlformats.org/officeDocument/2006/relationships/footer" Target="footer243.xml"/><Relationship Id="rId265" Type="http://schemas.openxmlformats.org/officeDocument/2006/relationships/footer" Target="footer244.xml"/><Relationship Id="rId266" Type="http://schemas.openxmlformats.org/officeDocument/2006/relationships/footer" Target="footer245.xml"/><Relationship Id="rId267" Type="http://schemas.openxmlformats.org/officeDocument/2006/relationships/footer" Target="footer246.xml"/><Relationship Id="rId268" Type="http://schemas.openxmlformats.org/officeDocument/2006/relationships/footer" Target="footer247.xml"/><Relationship Id="rId269" Type="http://schemas.openxmlformats.org/officeDocument/2006/relationships/footer" Target="footer248.xml"/><Relationship Id="rId270" Type="http://schemas.openxmlformats.org/officeDocument/2006/relationships/footer" Target="footer249.xml"/><Relationship Id="rId271" Type="http://schemas.openxmlformats.org/officeDocument/2006/relationships/footer" Target="footer250.xml"/><Relationship Id="rId272" Type="http://schemas.openxmlformats.org/officeDocument/2006/relationships/footer" Target="footer251.xml"/><Relationship Id="rId273" Type="http://schemas.openxmlformats.org/officeDocument/2006/relationships/footer" Target="footer252.xml"/><Relationship Id="rId274" Type="http://schemas.openxmlformats.org/officeDocument/2006/relationships/footer" Target="footer253.xml"/><Relationship Id="rId275" Type="http://schemas.openxmlformats.org/officeDocument/2006/relationships/footer" Target="footer254.xml"/><Relationship Id="rId276" Type="http://schemas.openxmlformats.org/officeDocument/2006/relationships/footer" Target="footer255.xml"/><Relationship Id="rId277" Type="http://schemas.openxmlformats.org/officeDocument/2006/relationships/footer" Target="footer256.xml"/><Relationship Id="rId278" Type="http://schemas.openxmlformats.org/officeDocument/2006/relationships/footer" Target="footer257.xml"/><Relationship Id="rId279" Type="http://schemas.openxmlformats.org/officeDocument/2006/relationships/footer" Target="footer258.xml"/><Relationship Id="rId280" Type="http://schemas.openxmlformats.org/officeDocument/2006/relationships/footer" Target="footer259.xml"/><Relationship Id="rId281" Type="http://schemas.openxmlformats.org/officeDocument/2006/relationships/footer" Target="footer260.xml"/><Relationship Id="rId282" Type="http://schemas.openxmlformats.org/officeDocument/2006/relationships/footer" Target="footer261.xml"/><Relationship Id="rId283" Type="http://schemas.openxmlformats.org/officeDocument/2006/relationships/footer" Target="footer262.xml"/><Relationship Id="rId284" Type="http://schemas.openxmlformats.org/officeDocument/2006/relationships/footer" Target="footer263.xml"/><Relationship Id="rId285" Type="http://schemas.openxmlformats.org/officeDocument/2006/relationships/footer" Target="footer264.xml"/><Relationship Id="rId286" Type="http://schemas.openxmlformats.org/officeDocument/2006/relationships/footer" Target="footer265.xml"/><Relationship Id="rId287" Type="http://schemas.openxmlformats.org/officeDocument/2006/relationships/footer" Target="footer266.xml"/><Relationship Id="rId288" Type="http://schemas.openxmlformats.org/officeDocument/2006/relationships/footer" Target="footer267.xml"/><Relationship Id="rId289" Type="http://schemas.openxmlformats.org/officeDocument/2006/relationships/footer" Target="footer268.xml"/><Relationship Id="rId290" Type="http://schemas.openxmlformats.org/officeDocument/2006/relationships/footer" Target="footer269.xml"/><Relationship Id="rId291" Type="http://schemas.openxmlformats.org/officeDocument/2006/relationships/footer" Target="footer270.xml"/><Relationship Id="rId292" Type="http://schemas.openxmlformats.org/officeDocument/2006/relationships/footer" Target="footer271.xml"/><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footer" Target="footer331.xml"/><Relationship Id="rId353" Type="http://schemas.openxmlformats.org/officeDocument/2006/relationships/footer" Target="footer332.xml"/><Relationship Id="rId354" Type="http://schemas.openxmlformats.org/officeDocument/2006/relationships/footer" Target="footer333.xml"/><Relationship Id="rId355" Type="http://schemas.openxmlformats.org/officeDocument/2006/relationships/footer" Target="footer334.xml"/><Relationship Id="rId356" Type="http://schemas.openxmlformats.org/officeDocument/2006/relationships/footer" Target="footer335.xml"/><Relationship Id="rId357" Type="http://schemas.openxmlformats.org/officeDocument/2006/relationships/footer" Target="footer336.xml"/><Relationship Id="rId358" Type="http://schemas.openxmlformats.org/officeDocument/2006/relationships/footer" Target="footer337.xml"/><Relationship Id="rId359" Type="http://schemas.openxmlformats.org/officeDocument/2006/relationships/footer" Target="footer338.xml"/><Relationship Id="rId360" Type="http://schemas.openxmlformats.org/officeDocument/2006/relationships/footer" Target="footer339.xml"/><Relationship Id="rId361" Type="http://schemas.openxmlformats.org/officeDocument/2006/relationships/footer" Target="footer340.xml"/><Relationship Id="rId362" Type="http://schemas.openxmlformats.org/officeDocument/2006/relationships/footer" Target="footer341.xml"/><Relationship Id="rId363" Type="http://schemas.openxmlformats.org/officeDocument/2006/relationships/footer" Target="footer342.xml"/><Relationship Id="rId364" Type="http://schemas.openxmlformats.org/officeDocument/2006/relationships/footer" Target="footer343.xml"/><Relationship Id="rId365" Type="http://schemas.openxmlformats.org/officeDocument/2006/relationships/footer" Target="footer344.xml"/><Relationship Id="rId366" Type="http://schemas.openxmlformats.org/officeDocument/2006/relationships/footer" Target="footer345.xml"/><Relationship Id="rId367" Type="http://schemas.openxmlformats.org/officeDocument/2006/relationships/footer" Target="footer346.xml"/><Relationship Id="rId368" Type="http://schemas.openxmlformats.org/officeDocument/2006/relationships/footer" Target="footer347.xml"/><Relationship Id="rId369" Type="http://schemas.openxmlformats.org/officeDocument/2006/relationships/footer" Target="footer348.xml"/><Relationship Id="rId370" Type="http://schemas.openxmlformats.org/officeDocument/2006/relationships/footer" Target="footer349.xml"/><Relationship Id="rId371" Type="http://schemas.openxmlformats.org/officeDocument/2006/relationships/footer" Target="footer350.xml"/><Relationship Id="rId372" Type="http://schemas.openxmlformats.org/officeDocument/2006/relationships/footer" Target="footer351.xml"/><Relationship Id="rId373" Type="http://schemas.openxmlformats.org/officeDocument/2006/relationships/footer" Target="footer352.xml"/><Relationship Id="rId374" Type="http://schemas.openxmlformats.org/officeDocument/2006/relationships/footer" Target="footer353.xml"/><Relationship Id="rId375" Type="http://schemas.openxmlformats.org/officeDocument/2006/relationships/footer" Target="footer354.xml"/><Relationship Id="rId376" Type="http://schemas.openxmlformats.org/officeDocument/2006/relationships/footer" Target="footer355.xml"/><Relationship Id="rId377" Type="http://schemas.openxmlformats.org/officeDocument/2006/relationships/footer" Target="footer356.xml"/><Relationship Id="rId378" Type="http://schemas.openxmlformats.org/officeDocument/2006/relationships/footer" Target="footer357.xml"/><Relationship Id="rId379" Type="http://schemas.openxmlformats.org/officeDocument/2006/relationships/footer" Target="footer358.xml"/><Relationship Id="rId380" Type="http://schemas.openxmlformats.org/officeDocument/2006/relationships/footer" Target="footer359.xml"/><Relationship Id="rId381" Type="http://schemas.openxmlformats.org/officeDocument/2006/relationships/footer" Target="footer360.xml"/><Relationship Id="rId382" Type="http://schemas.openxmlformats.org/officeDocument/2006/relationships/footer" Target="footer361.xml"/><Relationship Id="rId383" Type="http://schemas.openxmlformats.org/officeDocument/2006/relationships/footer" Target="footer362.xml"/><Relationship Id="rId384" Type="http://schemas.openxmlformats.org/officeDocument/2006/relationships/footer" Target="footer363.xml"/><Relationship Id="rId385" Type="http://schemas.openxmlformats.org/officeDocument/2006/relationships/footer" Target="footer364.xml"/><Relationship Id="rId386" Type="http://schemas.openxmlformats.org/officeDocument/2006/relationships/footer" Target="footer365.xml"/><Relationship Id="rId387" Type="http://schemas.openxmlformats.org/officeDocument/2006/relationships/footer" Target="footer366.xml"/><Relationship Id="rId388" Type="http://schemas.openxmlformats.org/officeDocument/2006/relationships/footer" Target="footer367.xml"/><Relationship Id="rId389" Type="http://schemas.openxmlformats.org/officeDocument/2006/relationships/footer" Target="footer368.xml"/><Relationship Id="rId390" Type="http://schemas.openxmlformats.org/officeDocument/2006/relationships/footer" Target="footer369.xml"/><Relationship Id="rId391" Type="http://schemas.openxmlformats.org/officeDocument/2006/relationships/footer" Target="footer370.xml"/><Relationship Id="rId392" Type="http://schemas.openxmlformats.org/officeDocument/2006/relationships/footer" Target="footer371.xml"/><Relationship Id="rId393" Type="http://schemas.openxmlformats.org/officeDocument/2006/relationships/footer" Target="footer372.xml"/><Relationship Id="rId394" Type="http://schemas.openxmlformats.org/officeDocument/2006/relationships/footer" Target="footer373.xml"/><Relationship Id="rId395" Type="http://schemas.openxmlformats.org/officeDocument/2006/relationships/footer" Target="footer374.xml"/><Relationship Id="rId396" Type="http://schemas.openxmlformats.org/officeDocument/2006/relationships/footer" Target="footer375.xml"/><Relationship Id="rId397" Type="http://schemas.openxmlformats.org/officeDocument/2006/relationships/footer" Target="footer376.xml"/><Relationship Id="rId398" Type="http://schemas.openxmlformats.org/officeDocument/2006/relationships/footer" Target="footer377.xml"/><Relationship Id="rId399" Type="http://schemas.openxmlformats.org/officeDocument/2006/relationships/footer" Target="footer378.xml"/><Relationship Id="rId400" Type="http://schemas.openxmlformats.org/officeDocument/2006/relationships/footer" Target="footer379.xml"/><Relationship Id="rId401" Type="http://schemas.openxmlformats.org/officeDocument/2006/relationships/footer" Target="footer380.xml"/><Relationship Id="rId402" Type="http://schemas.openxmlformats.org/officeDocument/2006/relationships/footer" Target="footer381.xml"/><Relationship Id="rId403" Type="http://schemas.openxmlformats.org/officeDocument/2006/relationships/footer" Target="footer382.xml"/><Relationship Id="rId404" Type="http://schemas.openxmlformats.org/officeDocument/2006/relationships/footer" Target="footer383.xml"/><Relationship Id="rId405" Type="http://schemas.openxmlformats.org/officeDocument/2006/relationships/footer" Target="footer384.xml"/><Relationship Id="rId406" Type="http://schemas.openxmlformats.org/officeDocument/2006/relationships/footer" Target="footer385.xml"/><Relationship Id="rId407" Type="http://schemas.openxmlformats.org/officeDocument/2006/relationships/footer" Target="footer386.xml"/><Relationship Id="rId408" Type="http://schemas.openxmlformats.org/officeDocument/2006/relationships/footer" Target="footer387.xml"/><Relationship Id="rId409" Type="http://schemas.openxmlformats.org/officeDocument/2006/relationships/footer" Target="footer388.xml"/><Relationship Id="rId410" Type="http://schemas.openxmlformats.org/officeDocument/2006/relationships/footer" Target="footer389.xml"/><Relationship Id="rId411" Type="http://schemas.openxmlformats.org/officeDocument/2006/relationships/footer" Target="footer390.xml"/><Relationship Id="rId412" Type="http://schemas.openxmlformats.org/officeDocument/2006/relationships/footer" Target="footer391.xml"/><Relationship Id="rId413" Type="http://schemas.openxmlformats.org/officeDocument/2006/relationships/footer" Target="footer392.xml"/><Relationship Id="rId414" Type="http://schemas.openxmlformats.org/officeDocument/2006/relationships/footer" Target="footer393.xml"/><Relationship Id="rId415" Type="http://schemas.openxmlformats.org/officeDocument/2006/relationships/footer" Target="footer394.xml"/><Relationship Id="rId416" Type="http://schemas.openxmlformats.org/officeDocument/2006/relationships/footer" Target="footer395.xml"/><Relationship Id="rId417" Type="http://schemas.openxmlformats.org/officeDocument/2006/relationships/footer" Target="footer396.xml"/><Relationship Id="rId418" Type="http://schemas.openxmlformats.org/officeDocument/2006/relationships/footer" Target="footer397.xml"/><Relationship Id="rId419" Type="http://schemas.openxmlformats.org/officeDocument/2006/relationships/footer" Target="footer398.xml"/><Relationship Id="rId420" Type="http://schemas.openxmlformats.org/officeDocument/2006/relationships/footer" Target="footer399.xml"/><Relationship Id="rId421" Type="http://schemas.openxmlformats.org/officeDocument/2006/relationships/footer" Target="footer400.xml"/><Relationship Id="rId422" Type="http://schemas.openxmlformats.org/officeDocument/2006/relationships/footer" Target="footer401.xml"/><Relationship Id="rId423" Type="http://schemas.openxmlformats.org/officeDocument/2006/relationships/footer" Target="footer402.xml"/><Relationship Id="rId424" Type="http://schemas.openxmlformats.org/officeDocument/2006/relationships/footer" Target="footer403.xml"/><Relationship Id="rId425" Type="http://schemas.openxmlformats.org/officeDocument/2006/relationships/footer" Target="footer404.xml"/><Relationship Id="rId426" Type="http://schemas.openxmlformats.org/officeDocument/2006/relationships/footer" Target="footer405.xml"/><Relationship Id="rId427" Type="http://schemas.openxmlformats.org/officeDocument/2006/relationships/footer" Target="footer406.xml"/><Relationship Id="rId428" Type="http://schemas.openxmlformats.org/officeDocument/2006/relationships/footer" Target="footer407.xml"/><Relationship Id="rId429" Type="http://schemas.openxmlformats.org/officeDocument/2006/relationships/footer" Target="footer408.xml"/><Relationship Id="rId430" Type="http://schemas.openxmlformats.org/officeDocument/2006/relationships/footer" Target="footer409.xml"/><Relationship Id="rId431" Type="http://schemas.openxmlformats.org/officeDocument/2006/relationships/footer" Target="footer410.xml"/><Relationship Id="rId432" Type="http://schemas.openxmlformats.org/officeDocument/2006/relationships/footer" Target="footer411.xml"/><Relationship Id="rId433" Type="http://schemas.openxmlformats.org/officeDocument/2006/relationships/footer" Target="footer412.xml"/><Relationship Id="rId434" Type="http://schemas.openxmlformats.org/officeDocument/2006/relationships/footer" Target="footer413.xml"/><Relationship Id="rId435" Type="http://schemas.openxmlformats.org/officeDocument/2006/relationships/footer" Target="footer414.xml"/><Relationship Id="rId436" Type="http://schemas.openxmlformats.org/officeDocument/2006/relationships/footer" Target="footer415.xml"/><Relationship Id="rId437" Type="http://schemas.openxmlformats.org/officeDocument/2006/relationships/footer" Target="footer416.xml"/><Relationship Id="rId438" Type="http://schemas.openxmlformats.org/officeDocument/2006/relationships/footer" Target="footer417.xml"/><Relationship Id="rId439" Type="http://schemas.openxmlformats.org/officeDocument/2006/relationships/footer" Target="footer418.xml"/><Relationship Id="rId440" Type="http://schemas.openxmlformats.org/officeDocument/2006/relationships/footer" Target="footer419.xml"/><Relationship Id="rId441" Type="http://schemas.openxmlformats.org/officeDocument/2006/relationships/footer" Target="footer420.xml"/><Relationship Id="rId442" Type="http://schemas.openxmlformats.org/officeDocument/2006/relationships/footer" Target="footer421.xml"/><Relationship Id="rId443" Type="http://schemas.openxmlformats.org/officeDocument/2006/relationships/footer" Target="footer422.xml"/><Relationship Id="rId444" Type="http://schemas.openxmlformats.org/officeDocument/2006/relationships/footer" Target="footer423.xml"/><Relationship Id="rId445" Type="http://schemas.openxmlformats.org/officeDocument/2006/relationships/footer" Target="footer424.xml"/><Relationship Id="rId446" Type="http://schemas.openxmlformats.org/officeDocument/2006/relationships/footer" Target="footer425.xml"/><Relationship Id="rId447" Type="http://schemas.openxmlformats.org/officeDocument/2006/relationships/footer" Target="footer426.xml"/><Relationship Id="rId448" Type="http://schemas.openxmlformats.org/officeDocument/2006/relationships/footer" Target="footer427.xml"/><Relationship Id="rId449" Type="http://schemas.openxmlformats.org/officeDocument/2006/relationships/footer" Target="footer428.xml"/><Relationship Id="rId450" Type="http://schemas.openxmlformats.org/officeDocument/2006/relationships/footer" Target="footer429.xml"/><Relationship Id="rId451" Type="http://schemas.openxmlformats.org/officeDocument/2006/relationships/footer" Target="footer430.xml"/><Relationship Id="rId452" Type="http://schemas.openxmlformats.org/officeDocument/2006/relationships/footer" Target="footer431.xml"/><Relationship Id="rId453" Type="http://schemas.openxmlformats.org/officeDocument/2006/relationships/footer" Target="footer432.xml"/><Relationship Id="rId454" Type="http://schemas.openxmlformats.org/officeDocument/2006/relationships/footer" Target="footer433.xml"/><Relationship Id="rId455" Type="http://schemas.openxmlformats.org/officeDocument/2006/relationships/footer" Target="footer434.xml"/><Relationship Id="rId456" Type="http://schemas.openxmlformats.org/officeDocument/2006/relationships/footer" Target="footer435.xml"/><Relationship Id="rId457" Type="http://schemas.openxmlformats.org/officeDocument/2006/relationships/footer" Target="footer436.xml"/><Relationship Id="rId458" Type="http://schemas.openxmlformats.org/officeDocument/2006/relationships/footer" Target="footer437.xml"/><Relationship Id="rId459" Type="http://schemas.openxmlformats.org/officeDocument/2006/relationships/footer" Target="footer438.xml"/><Relationship Id="rId460" Type="http://schemas.openxmlformats.org/officeDocument/2006/relationships/footer" Target="footer439.xml"/><Relationship Id="rId461" Type="http://schemas.openxmlformats.org/officeDocument/2006/relationships/footer" Target="footer440.xml"/><Relationship Id="rId462" Type="http://schemas.openxmlformats.org/officeDocument/2006/relationships/footer" Target="footer441.xml"/><Relationship Id="rId463" Type="http://schemas.openxmlformats.org/officeDocument/2006/relationships/footer" Target="footer442.xml"/><Relationship Id="rId464" Type="http://schemas.openxmlformats.org/officeDocument/2006/relationships/footer" Target="footer443.xml"/><Relationship Id="rId465" Type="http://schemas.openxmlformats.org/officeDocument/2006/relationships/footer" Target="footer444.xml"/><Relationship Id="rId466" Type="http://schemas.openxmlformats.org/officeDocument/2006/relationships/footer" Target="footer445.xml"/><Relationship Id="rId467" Type="http://schemas.openxmlformats.org/officeDocument/2006/relationships/footer" Target="footer446.xml"/><Relationship Id="rId468" Type="http://schemas.openxmlformats.org/officeDocument/2006/relationships/footer" Target="footer447.xml"/><Relationship Id="rId469" Type="http://schemas.openxmlformats.org/officeDocument/2006/relationships/footer" Target="footer448.xml"/><Relationship Id="rId470" Type="http://schemas.openxmlformats.org/officeDocument/2006/relationships/footer" Target="footer449.xml"/><Relationship Id="rId471" Type="http://schemas.openxmlformats.org/officeDocument/2006/relationships/footer" Target="footer450.xml"/><Relationship Id="rId472" Type="http://schemas.openxmlformats.org/officeDocument/2006/relationships/footer" Target="footer451.xml"/><Relationship Id="rId473" Type="http://schemas.openxmlformats.org/officeDocument/2006/relationships/footer" Target="footer452.xml"/><Relationship Id="rId474" Type="http://schemas.openxmlformats.org/officeDocument/2006/relationships/footer" Target="footer453.xml"/><Relationship Id="rId475" Type="http://schemas.openxmlformats.org/officeDocument/2006/relationships/footer" Target="footer454.xml"/><Relationship Id="rId476" Type="http://schemas.openxmlformats.org/officeDocument/2006/relationships/footer" Target="footer455.xml"/><Relationship Id="rId477" Type="http://schemas.openxmlformats.org/officeDocument/2006/relationships/footer" Target="footer456.xml"/><Relationship Id="rId478" Type="http://schemas.openxmlformats.org/officeDocument/2006/relationships/footer" Target="footer457.xml"/><Relationship Id="rId479" Type="http://schemas.openxmlformats.org/officeDocument/2006/relationships/footer" Target="footer458.xml"/><Relationship Id="rId480" Type="http://schemas.openxmlformats.org/officeDocument/2006/relationships/footer" Target="footer459.xml"/><Relationship Id="rId481" Type="http://schemas.openxmlformats.org/officeDocument/2006/relationships/footer" Target="footer460.xml"/><Relationship Id="rId482" Type="http://schemas.openxmlformats.org/officeDocument/2006/relationships/footer" Target="footer461.xml"/><Relationship Id="rId483" Type="http://schemas.openxmlformats.org/officeDocument/2006/relationships/footer" Target="footer462.xml"/><Relationship Id="rId484" Type="http://schemas.openxmlformats.org/officeDocument/2006/relationships/footer" Target="footer463.xml"/><Relationship Id="rId485" Type="http://schemas.openxmlformats.org/officeDocument/2006/relationships/footer" Target="footer464.xml"/><Relationship Id="rId486" Type="http://schemas.openxmlformats.org/officeDocument/2006/relationships/footer" Target="footer465.xml"/><Relationship Id="rId487" Type="http://schemas.openxmlformats.org/officeDocument/2006/relationships/footer" Target="footer466.xml"/><Relationship Id="rId488" Type="http://schemas.openxmlformats.org/officeDocument/2006/relationships/footer" Target="footer467.xml"/><Relationship Id="rId489" Type="http://schemas.openxmlformats.org/officeDocument/2006/relationships/footer" Target="footer468.xml"/><Relationship Id="rId490" Type="http://schemas.openxmlformats.org/officeDocument/2006/relationships/footer" Target="footer469.xml"/><Relationship Id="rId491" Type="http://schemas.openxmlformats.org/officeDocument/2006/relationships/footer" Target="footer470.xml"/><Relationship Id="rId492" Type="http://schemas.openxmlformats.org/officeDocument/2006/relationships/footer" Target="footer471.xml"/><Relationship Id="rId493" Type="http://schemas.openxmlformats.org/officeDocument/2006/relationships/footer" Target="footer472.xml"/><Relationship Id="rId494" Type="http://schemas.openxmlformats.org/officeDocument/2006/relationships/footer" Target="footer473.xml"/><Relationship Id="rId495" Type="http://schemas.openxmlformats.org/officeDocument/2006/relationships/footer" Target="footer474.xml"/><Relationship Id="rId496" Type="http://schemas.openxmlformats.org/officeDocument/2006/relationships/footer" Target="footer475.xml"/><Relationship Id="rId497" Type="http://schemas.openxmlformats.org/officeDocument/2006/relationships/footer" Target="footer476.xml"/><Relationship Id="rId498" Type="http://schemas.openxmlformats.org/officeDocument/2006/relationships/footer" Target="footer477.xml"/><Relationship Id="rId499" Type="http://schemas.openxmlformats.org/officeDocument/2006/relationships/footer" Target="footer478.xml"/><Relationship Id="rId500" Type="http://schemas.openxmlformats.org/officeDocument/2006/relationships/footer" Target="footer479.xml"/><Relationship Id="rId501" Type="http://schemas.openxmlformats.org/officeDocument/2006/relationships/footer" Target="footer480.xml"/><Relationship Id="rId502" Type="http://schemas.openxmlformats.org/officeDocument/2006/relationships/footer" Target="footer481.xml"/><Relationship Id="rId503" Type="http://schemas.openxmlformats.org/officeDocument/2006/relationships/footer" Target="footer482.xml"/><Relationship Id="rId504" Type="http://schemas.openxmlformats.org/officeDocument/2006/relationships/footer" Target="footer483.xml"/><Relationship Id="rId505" Type="http://schemas.openxmlformats.org/officeDocument/2006/relationships/footer" Target="footer484.xml"/><Relationship Id="rId506" Type="http://schemas.openxmlformats.org/officeDocument/2006/relationships/footer" Target="footer485.xml"/><Relationship Id="rId507" Type="http://schemas.openxmlformats.org/officeDocument/2006/relationships/footer" Target="footer486.xml"/><Relationship Id="rId508" Type="http://schemas.openxmlformats.org/officeDocument/2006/relationships/footer" Target="footer487.xml"/><Relationship Id="rId509" Type="http://schemas.openxmlformats.org/officeDocument/2006/relationships/footer" Target="footer488.xml"/><Relationship Id="rId510" Type="http://schemas.openxmlformats.org/officeDocument/2006/relationships/footer" Target="footer489.xml"/><Relationship Id="rId511" Type="http://schemas.openxmlformats.org/officeDocument/2006/relationships/footer" Target="footer490.xml"/><Relationship Id="rId512" Type="http://schemas.openxmlformats.org/officeDocument/2006/relationships/footer" Target="footer491.xml"/><Relationship Id="rId513" Type="http://schemas.openxmlformats.org/officeDocument/2006/relationships/footer" Target="footer492.xml"/><Relationship Id="rId514" Type="http://schemas.openxmlformats.org/officeDocument/2006/relationships/footer" Target="footer493.xml"/><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29.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101298</Words>
  <Characters>424233</Characters>
  <CharactersWithSpaces>521609</CharactersWithSpaces>
  <Paragraphs>4433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2026-08-25T04:57:06Z</dcterms:created>
  <dc:creator>ghaemiyeh.com</dc:creator>
  <dc:description/>
  <dc:language>en-US</dc:language>
  <cp:lastModifiedBy/>
  <dcterms:modified xsi:type="dcterms:W3CDTF">2026-08-25T08:27:31Z</dcterms:modified>
  <cp:revision>1</cp:revision>
  <dc:subject/>
  <dc:title>تبصرة الفقهاء جلد 1</dc:title>
</cp:coreProperties>
</file>

<file path=docProps/custom.xml><?xml version="1.0" encoding="utf-8"?>
<Properties xmlns="http://schemas.openxmlformats.org/officeDocument/2006/custom-properties" xmlns:vt="http://schemas.openxmlformats.org/officeDocument/2006/docPropsVTypes"/>
</file>