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83641_2142443653">
            <w:r>
              <w:rPr>
                <w:webHidden/>
                <w:rStyle w:val="IndexLink"/>
                <w:rtl w:val="true"/>
              </w:rPr>
              <w:t>هوية الكتاب</w:t>
            </w:r>
            <w:r>
              <w:rPr>
                <w:rStyle w:val="IndexLink"/>
                <w:rtl w:val="true"/>
              </w:rPr>
              <w:tab/>
            </w:r>
            <w:r>
              <w:rPr>
                <w:rStyle w:val="IndexLink"/>
              </w:rPr>
              <w:t>15</w:t>
            </w:r>
          </w:hyperlink>
        </w:p>
        <w:p>
          <w:pPr>
            <w:pStyle w:val="Contents2"/>
            <w:tabs>
              <w:tab w:val="clear" w:pos="8743"/>
              <w:tab w:val="right" w:pos="9026" w:leader="dot"/>
            </w:tabs>
            <w:rPr/>
          </w:pPr>
          <w:hyperlink w:anchor="__RefHeading___Toc12183643_2142443653">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2183645_2142443653">
            <w:r>
              <w:rPr>
                <w:webHidden/>
                <w:rStyle w:val="IndexLink"/>
                <w:rtl w:val="true"/>
              </w:rPr>
              <w:t>وكالة العهر</w:t>
            </w:r>
            <w:r>
              <w:rPr>
                <w:rStyle w:val="IndexLink"/>
                <w:rtl w:val="true"/>
              </w:rPr>
              <w:tab/>
            </w:r>
            <w:r>
              <w:rPr>
                <w:rStyle w:val="IndexLink"/>
              </w:rPr>
              <w:t>19</w:t>
            </w:r>
          </w:hyperlink>
        </w:p>
        <w:p>
          <w:pPr>
            <w:pStyle w:val="Contents2"/>
            <w:tabs>
              <w:tab w:val="clear" w:pos="8743"/>
              <w:tab w:val="right" w:pos="9026" w:leader="dot"/>
            </w:tabs>
            <w:rPr/>
          </w:pPr>
          <w:hyperlink w:anchor="__RefHeading___Toc12183647_2142443653">
            <w:r>
              <w:rPr>
                <w:webHidden/>
                <w:rStyle w:val="IndexLink"/>
                <w:rtl w:val="true"/>
              </w:rPr>
              <w:t>وكالة الفساد والشذوذ الجنسي</w:t>
            </w:r>
            <w:r>
              <w:rPr>
                <w:rStyle w:val="IndexLink"/>
                <w:rtl w:val="true"/>
              </w:rPr>
              <w:tab/>
            </w:r>
            <w:r>
              <w:rPr>
                <w:rStyle w:val="IndexLink"/>
              </w:rPr>
              <w:t>19</w:t>
            </w:r>
          </w:hyperlink>
        </w:p>
        <w:p>
          <w:pPr>
            <w:pStyle w:val="Contents2"/>
            <w:tabs>
              <w:tab w:val="clear" w:pos="8743"/>
              <w:tab w:val="right" w:pos="9026" w:leader="dot"/>
            </w:tabs>
            <w:rPr/>
          </w:pPr>
          <w:hyperlink w:anchor="__RefHeading___Toc12183649_2142443653">
            <w:r>
              <w:rPr>
                <w:webHidden/>
                <w:rStyle w:val="IndexLink"/>
                <w:rtl w:val="true"/>
              </w:rPr>
              <w:t>المقاهي والمطاعم في شهر رمضان</w:t>
            </w:r>
            <w:r>
              <w:rPr>
                <w:rStyle w:val="IndexLink"/>
                <w:rtl w:val="true"/>
              </w:rPr>
              <w:tab/>
            </w:r>
            <w:r>
              <w:rPr>
                <w:rStyle w:val="IndexLink"/>
              </w:rPr>
              <w:t>20</w:t>
            </w:r>
          </w:hyperlink>
        </w:p>
        <w:p>
          <w:pPr>
            <w:pStyle w:val="Contents2"/>
            <w:tabs>
              <w:tab w:val="clear" w:pos="8743"/>
              <w:tab w:val="right" w:pos="9026" w:leader="dot"/>
            </w:tabs>
            <w:rPr/>
          </w:pPr>
          <w:hyperlink w:anchor="__RefHeading___Toc12183651_2142443653">
            <w:r>
              <w:rPr>
                <w:webHidden/>
                <w:rStyle w:val="IndexLink"/>
                <w:rtl w:val="true"/>
              </w:rPr>
              <w:t>السلام في الإسلام</w:t>
            </w:r>
            <w:r>
              <w:rPr>
                <w:rStyle w:val="IndexLink"/>
                <w:rtl w:val="true"/>
              </w:rPr>
              <w:tab/>
            </w:r>
            <w:r>
              <w:rPr>
                <w:rStyle w:val="IndexLink"/>
              </w:rPr>
              <w:t>21</w:t>
            </w:r>
          </w:hyperlink>
        </w:p>
        <w:p>
          <w:pPr>
            <w:pStyle w:val="Contents2"/>
            <w:tabs>
              <w:tab w:val="clear" w:pos="8743"/>
              <w:tab w:val="right" w:pos="9026" w:leader="dot"/>
            </w:tabs>
            <w:rPr/>
          </w:pPr>
          <w:hyperlink w:anchor="__RefHeading___Toc12183653_2142443653">
            <w:r>
              <w:rPr>
                <w:webHidden/>
                <w:rStyle w:val="IndexLink"/>
                <w:rtl w:val="true"/>
              </w:rPr>
              <w:t>الإسلام و الأسلحة الاستراتيجية</w:t>
            </w:r>
            <w:r>
              <w:rPr>
                <w:rStyle w:val="IndexLink"/>
                <w:rtl w:val="true"/>
              </w:rPr>
              <w:tab/>
            </w:r>
            <w:r>
              <w:rPr>
                <w:rStyle w:val="IndexLink"/>
              </w:rPr>
              <w:t>22</w:t>
            </w:r>
          </w:hyperlink>
        </w:p>
        <w:p>
          <w:pPr>
            <w:pStyle w:val="Contents2"/>
            <w:tabs>
              <w:tab w:val="clear" w:pos="8743"/>
              <w:tab w:val="right" w:pos="9026" w:leader="dot"/>
            </w:tabs>
            <w:rPr/>
          </w:pPr>
          <w:hyperlink w:anchor="__RefHeading___Toc12183655_2142443653">
            <w:r>
              <w:rPr>
                <w:webHidden/>
                <w:rStyle w:val="IndexLink"/>
                <w:rtl w:val="true"/>
              </w:rPr>
              <w:t>حق تقرير المصير</w:t>
            </w:r>
            <w:r>
              <w:rPr>
                <w:rStyle w:val="IndexLink"/>
                <w:rtl w:val="true"/>
              </w:rPr>
              <w:tab/>
            </w:r>
            <w:r>
              <w:rPr>
                <w:rStyle w:val="IndexLink"/>
              </w:rPr>
              <w:t>23</w:t>
            </w:r>
          </w:hyperlink>
        </w:p>
        <w:p>
          <w:pPr>
            <w:pStyle w:val="Contents2"/>
            <w:tabs>
              <w:tab w:val="clear" w:pos="8743"/>
              <w:tab w:val="right" w:pos="9026" w:leader="dot"/>
            </w:tabs>
            <w:rPr/>
          </w:pPr>
          <w:hyperlink w:anchor="__RefHeading___Toc12183657_2142443653">
            <w:r>
              <w:rPr>
                <w:webHidden/>
                <w:rStyle w:val="IndexLink"/>
                <w:rtl w:val="true"/>
              </w:rPr>
              <w:t>مجلس الأمم والانتماء إليه</w:t>
            </w:r>
            <w:r>
              <w:rPr>
                <w:rStyle w:val="IndexLink"/>
                <w:rtl w:val="true"/>
              </w:rPr>
              <w:tab/>
            </w:r>
            <w:r>
              <w:rPr>
                <w:rStyle w:val="IndexLink"/>
              </w:rPr>
              <w:t>24</w:t>
            </w:r>
          </w:hyperlink>
        </w:p>
        <w:p>
          <w:pPr>
            <w:pStyle w:val="Contents2"/>
            <w:tabs>
              <w:tab w:val="clear" w:pos="8743"/>
              <w:tab w:val="right" w:pos="9026" w:leader="dot"/>
            </w:tabs>
            <w:rPr/>
          </w:pPr>
          <w:hyperlink w:anchor="__RefHeading___Toc12183659_2142443653">
            <w:r>
              <w:rPr>
                <w:webHidden/>
                <w:rStyle w:val="IndexLink"/>
                <w:rtl w:val="true"/>
              </w:rPr>
              <w:t>جامعة الدول العربية</w:t>
            </w:r>
            <w:r>
              <w:rPr>
                <w:rStyle w:val="IndexLink"/>
                <w:rtl w:val="true"/>
              </w:rPr>
              <w:tab/>
            </w:r>
            <w:r>
              <w:rPr>
                <w:rStyle w:val="IndexLink"/>
              </w:rPr>
              <w:t>24</w:t>
            </w:r>
          </w:hyperlink>
        </w:p>
        <w:p>
          <w:pPr>
            <w:pStyle w:val="Contents2"/>
            <w:tabs>
              <w:tab w:val="clear" w:pos="8743"/>
              <w:tab w:val="right" w:pos="9026" w:leader="dot"/>
            </w:tabs>
            <w:rPr/>
          </w:pPr>
          <w:hyperlink w:anchor="__RefHeading___Toc12183661_2142443653">
            <w:r>
              <w:rPr>
                <w:webHidden/>
                <w:rStyle w:val="IndexLink"/>
                <w:rtl w:val="true"/>
              </w:rPr>
              <w:t>الروابط الإسلامية</w:t>
            </w:r>
            <w:r>
              <w:rPr>
                <w:rStyle w:val="IndexLink"/>
                <w:rtl w:val="true"/>
              </w:rPr>
              <w:tab/>
            </w:r>
            <w:r>
              <w:rPr>
                <w:rStyle w:val="IndexLink"/>
              </w:rPr>
              <w:t>24</w:t>
            </w:r>
          </w:hyperlink>
        </w:p>
        <w:p>
          <w:pPr>
            <w:pStyle w:val="Contents2"/>
            <w:tabs>
              <w:tab w:val="clear" w:pos="8743"/>
              <w:tab w:val="right" w:pos="9026" w:leader="dot"/>
            </w:tabs>
            <w:rPr/>
          </w:pPr>
          <w:hyperlink w:anchor="__RefHeading___Toc12183663_2142443653">
            <w:r>
              <w:rPr>
                <w:webHidden/>
                <w:rStyle w:val="IndexLink"/>
                <w:rtl w:val="true"/>
              </w:rPr>
              <w:t>المعاهدات والأحلاف</w:t>
            </w:r>
            <w:r>
              <w:rPr>
                <w:rStyle w:val="IndexLink"/>
                <w:rtl w:val="true"/>
              </w:rPr>
              <w:tab/>
            </w:r>
            <w:r>
              <w:rPr>
                <w:rStyle w:val="IndexLink"/>
              </w:rPr>
              <w:t>25</w:t>
            </w:r>
          </w:hyperlink>
        </w:p>
        <w:p>
          <w:pPr>
            <w:pStyle w:val="Contents2"/>
            <w:tabs>
              <w:tab w:val="clear" w:pos="8743"/>
              <w:tab w:val="right" w:pos="9026" w:leader="dot"/>
            </w:tabs>
            <w:rPr/>
          </w:pPr>
          <w:hyperlink w:anchor="__RefHeading___Toc12183665_2142443653">
            <w:r>
              <w:rPr>
                <w:webHidden/>
                <w:rStyle w:val="IndexLink"/>
                <w:rtl w:val="true"/>
              </w:rPr>
              <w:t>مصلحة الإسلام والمسلمين</w:t>
            </w:r>
            <w:r>
              <w:rPr>
                <w:rStyle w:val="IndexLink"/>
                <w:rtl w:val="true"/>
              </w:rPr>
              <w:tab/>
            </w:r>
            <w:r>
              <w:rPr>
                <w:rStyle w:val="IndexLink"/>
              </w:rPr>
              <w:t>26</w:t>
            </w:r>
          </w:hyperlink>
        </w:p>
        <w:p>
          <w:pPr>
            <w:pStyle w:val="Contents2"/>
            <w:tabs>
              <w:tab w:val="clear" w:pos="8743"/>
              <w:tab w:val="right" w:pos="9026" w:leader="dot"/>
            </w:tabs>
            <w:rPr/>
          </w:pPr>
          <w:hyperlink w:anchor="__RefHeading___Toc12183667_2142443653">
            <w:r>
              <w:rPr>
                <w:webHidden/>
                <w:rStyle w:val="IndexLink"/>
                <w:rtl w:val="true"/>
              </w:rPr>
              <w:t>الوكالات المحرمة</w:t>
            </w:r>
            <w:r>
              <w:rPr>
                <w:rStyle w:val="IndexLink"/>
                <w:rtl w:val="true"/>
              </w:rPr>
              <w:tab/>
            </w:r>
            <w:r>
              <w:rPr>
                <w:rStyle w:val="IndexLink"/>
              </w:rPr>
              <w:t>26</w:t>
            </w:r>
          </w:hyperlink>
        </w:p>
        <w:p>
          <w:pPr>
            <w:pStyle w:val="Contents2"/>
            <w:tabs>
              <w:tab w:val="clear" w:pos="8743"/>
              <w:tab w:val="right" w:pos="9026" w:leader="dot"/>
            </w:tabs>
            <w:rPr/>
          </w:pPr>
          <w:hyperlink w:anchor="__RefHeading___Toc12183669_2142443653">
            <w:r>
              <w:rPr>
                <w:webHidden/>
                <w:rStyle w:val="IndexLink"/>
                <w:rtl w:val="true"/>
              </w:rPr>
              <w:t>انتخاب ملكات الجمال</w:t>
            </w:r>
            <w:r>
              <w:rPr>
                <w:rStyle w:val="IndexLink"/>
                <w:rtl w:val="true"/>
              </w:rPr>
              <w:tab/>
            </w:r>
            <w:r>
              <w:rPr>
                <w:rStyle w:val="IndexLink"/>
              </w:rPr>
              <w:t>27</w:t>
            </w:r>
          </w:hyperlink>
        </w:p>
        <w:p>
          <w:pPr>
            <w:pStyle w:val="Contents2"/>
            <w:tabs>
              <w:tab w:val="clear" w:pos="8743"/>
              <w:tab w:val="right" w:pos="9026" w:leader="dot"/>
            </w:tabs>
            <w:rPr/>
          </w:pPr>
          <w:hyperlink w:anchor="__RefHeading___Toc12183671_2142443653">
            <w:r>
              <w:rPr>
                <w:webHidden/>
                <w:rStyle w:val="IndexLink"/>
                <w:rtl w:val="true"/>
              </w:rPr>
              <w:t>الحفلات الراقصة والسهرات الحمراء</w:t>
            </w:r>
            <w:r>
              <w:rPr>
                <w:rStyle w:val="IndexLink"/>
                <w:rtl w:val="true"/>
              </w:rPr>
              <w:tab/>
            </w:r>
            <w:r>
              <w:rPr>
                <w:rStyle w:val="IndexLink"/>
              </w:rPr>
              <w:t>27</w:t>
            </w:r>
          </w:hyperlink>
        </w:p>
        <w:p>
          <w:pPr>
            <w:pStyle w:val="Contents2"/>
            <w:tabs>
              <w:tab w:val="clear" w:pos="8743"/>
              <w:tab w:val="right" w:pos="9026" w:leader="dot"/>
            </w:tabs>
            <w:rPr/>
          </w:pPr>
          <w:hyperlink w:anchor="__RefHeading___Toc12183673_2142443653">
            <w:r>
              <w:rPr>
                <w:webHidden/>
                <w:rStyle w:val="IndexLink"/>
                <w:rtl w:val="true"/>
              </w:rPr>
              <w:t>الاستمناء بالإيحاء والتنويم</w:t>
            </w:r>
            <w:r>
              <w:rPr>
                <w:rStyle w:val="IndexLink"/>
                <w:rtl w:val="true"/>
              </w:rPr>
              <w:tab/>
            </w:r>
            <w:r>
              <w:rPr>
                <w:rStyle w:val="IndexLink"/>
              </w:rPr>
              <w:t>28</w:t>
            </w:r>
          </w:hyperlink>
        </w:p>
        <w:p>
          <w:pPr>
            <w:pStyle w:val="Contents2"/>
            <w:tabs>
              <w:tab w:val="clear" w:pos="8743"/>
              <w:tab w:val="right" w:pos="9026" w:leader="dot"/>
            </w:tabs>
            <w:rPr/>
          </w:pPr>
          <w:hyperlink w:anchor="__RefHeading___Toc12183675_2142443653">
            <w:r>
              <w:rPr>
                <w:webHidden/>
                <w:rStyle w:val="IndexLink"/>
                <w:rtl w:val="true"/>
              </w:rPr>
              <w:t>التنويم الموهم للزنا واللواط</w:t>
            </w:r>
            <w:r>
              <w:rPr>
                <w:rStyle w:val="IndexLink"/>
                <w:rtl w:val="true"/>
              </w:rPr>
              <w:tab/>
            </w:r>
            <w:r>
              <w:rPr>
                <w:rStyle w:val="IndexLink"/>
              </w:rPr>
              <w:t>28</w:t>
            </w:r>
          </w:hyperlink>
        </w:p>
        <w:p>
          <w:pPr>
            <w:pStyle w:val="Contents2"/>
            <w:tabs>
              <w:tab w:val="clear" w:pos="8743"/>
              <w:tab w:val="right" w:pos="9026" w:leader="dot"/>
            </w:tabs>
            <w:rPr/>
          </w:pPr>
          <w:hyperlink w:anchor="__RefHeading___Toc12183677_2142443653">
            <w:r>
              <w:rPr>
                <w:webHidden/>
                <w:rStyle w:val="IndexLink"/>
                <w:rtl w:val="true"/>
              </w:rPr>
              <w:t>وجوب الغسل في الحالتين</w:t>
            </w:r>
            <w:r>
              <w:rPr>
                <w:rStyle w:val="IndexLink"/>
                <w:rtl w:val="true"/>
              </w:rPr>
              <w:tab/>
            </w:r>
            <w:r>
              <w:rPr>
                <w:rStyle w:val="IndexLink"/>
              </w:rPr>
              <w:t>29</w:t>
            </w:r>
          </w:hyperlink>
        </w:p>
        <w:p>
          <w:pPr>
            <w:pStyle w:val="Contents2"/>
            <w:tabs>
              <w:tab w:val="clear" w:pos="8743"/>
              <w:tab w:val="right" w:pos="9026" w:leader="dot"/>
            </w:tabs>
            <w:rPr/>
          </w:pPr>
          <w:hyperlink w:anchor="__RefHeading___Toc12183679_2142443653">
            <w:r>
              <w:rPr>
                <w:webHidden/>
                <w:rStyle w:val="IndexLink"/>
                <w:rtl w:val="true"/>
              </w:rPr>
              <w:t>السدر والكافور الاصطناعيان</w:t>
            </w:r>
            <w:r>
              <w:rPr>
                <w:rStyle w:val="IndexLink"/>
                <w:rtl w:val="true"/>
              </w:rPr>
              <w:tab/>
            </w:r>
            <w:r>
              <w:rPr>
                <w:rStyle w:val="IndexLink"/>
              </w:rPr>
              <w:t>29</w:t>
            </w:r>
          </w:hyperlink>
        </w:p>
        <w:p>
          <w:pPr>
            <w:pStyle w:val="Contents2"/>
            <w:tabs>
              <w:tab w:val="clear" w:pos="8743"/>
              <w:tab w:val="right" w:pos="9026" w:leader="dot"/>
            </w:tabs>
            <w:rPr/>
          </w:pPr>
          <w:hyperlink w:anchor="__RefHeading___Toc12183681_2142443653">
            <w:r>
              <w:rPr>
                <w:webHidden/>
                <w:rStyle w:val="IndexLink"/>
                <w:rtl w:val="true"/>
              </w:rPr>
              <w:t>المساجد بالأبنية الجاهزة</w:t>
            </w:r>
            <w:r>
              <w:rPr>
                <w:rStyle w:val="IndexLink"/>
                <w:rtl w:val="true"/>
              </w:rPr>
              <w:tab/>
            </w:r>
            <w:r>
              <w:rPr>
                <w:rStyle w:val="IndexLink"/>
              </w:rPr>
              <w:t>30</w:t>
            </w:r>
          </w:hyperlink>
        </w:p>
        <w:p>
          <w:pPr>
            <w:pStyle w:val="Contents2"/>
            <w:tabs>
              <w:tab w:val="clear" w:pos="8743"/>
              <w:tab w:val="right" w:pos="9026" w:leader="dot"/>
            </w:tabs>
            <w:rPr/>
          </w:pPr>
          <w:hyperlink w:anchor="__RefHeading___Toc12183683_2142443653">
            <w:r>
              <w:rPr>
                <w:webHidden/>
                <w:rStyle w:val="IndexLink"/>
                <w:rtl w:val="true"/>
              </w:rPr>
              <w:t>القصص الرومانسية</w:t>
            </w:r>
            <w:r>
              <w:rPr>
                <w:rStyle w:val="IndexLink"/>
                <w:rtl w:val="true"/>
              </w:rPr>
              <w:tab/>
            </w:r>
            <w:r>
              <w:rPr>
                <w:rStyle w:val="IndexLink"/>
              </w:rPr>
              <w:t>31</w:t>
            </w:r>
          </w:hyperlink>
        </w:p>
        <w:p>
          <w:pPr>
            <w:pStyle w:val="Contents2"/>
            <w:tabs>
              <w:tab w:val="clear" w:pos="8743"/>
              <w:tab w:val="right" w:pos="9026" w:leader="dot"/>
            </w:tabs>
            <w:rPr/>
          </w:pPr>
          <w:hyperlink w:anchor="__RefHeading___Toc12183685_2142443653">
            <w:r>
              <w:rPr>
                <w:webHidden/>
                <w:rStyle w:val="IndexLink"/>
                <w:rtl w:val="true"/>
              </w:rPr>
              <w:t>القصص الغرامية</w:t>
            </w:r>
            <w:r>
              <w:rPr>
                <w:rStyle w:val="IndexLink"/>
                <w:rtl w:val="true"/>
              </w:rPr>
              <w:tab/>
            </w:r>
            <w:r>
              <w:rPr>
                <w:rStyle w:val="IndexLink"/>
              </w:rPr>
              <w:t>31</w:t>
            </w:r>
          </w:hyperlink>
        </w:p>
        <w:p>
          <w:pPr>
            <w:pStyle w:val="Contents2"/>
            <w:tabs>
              <w:tab w:val="clear" w:pos="8743"/>
              <w:tab w:val="right" w:pos="9026" w:leader="dot"/>
            </w:tabs>
            <w:rPr/>
          </w:pPr>
          <w:hyperlink w:anchor="__RefHeading___Toc12183687_2142443653">
            <w:r>
              <w:rPr>
                <w:webHidden/>
                <w:rStyle w:val="IndexLink"/>
                <w:rtl w:val="true"/>
              </w:rPr>
              <w:t>التصاوير الجنسية</w:t>
            </w:r>
            <w:r>
              <w:rPr>
                <w:rStyle w:val="IndexLink"/>
                <w:rtl w:val="true"/>
              </w:rPr>
              <w:tab/>
            </w:r>
            <w:r>
              <w:rPr>
                <w:rStyle w:val="IndexLink"/>
              </w:rPr>
              <w:t>32</w:t>
            </w:r>
          </w:hyperlink>
        </w:p>
        <w:p>
          <w:pPr>
            <w:pStyle w:val="Contents2"/>
            <w:tabs>
              <w:tab w:val="clear" w:pos="8743"/>
              <w:tab w:val="right" w:pos="9026" w:leader="dot"/>
            </w:tabs>
            <w:rPr/>
          </w:pPr>
          <w:hyperlink w:anchor="__RefHeading___Toc12183689_2142443653">
            <w:r>
              <w:rPr>
                <w:webHidden/>
                <w:rStyle w:val="IndexLink"/>
                <w:rtl w:val="true"/>
              </w:rPr>
              <w:t>الأسنان الصناعية</w:t>
            </w:r>
            <w:r>
              <w:rPr>
                <w:rStyle w:val="IndexLink"/>
                <w:rtl w:val="true"/>
              </w:rPr>
              <w:tab/>
            </w:r>
            <w:r>
              <w:rPr>
                <w:rStyle w:val="IndexLink"/>
              </w:rPr>
              <w:t>33</w:t>
            </w:r>
          </w:hyperlink>
        </w:p>
        <w:p>
          <w:pPr>
            <w:pStyle w:val="Contents2"/>
            <w:tabs>
              <w:tab w:val="clear" w:pos="8743"/>
              <w:tab w:val="right" w:pos="9026" w:leader="dot"/>
            </w:tabs>
            <w:rPr/>
          </w:pPr>
          <w:hyperlink w:anchor="__RefHeading___Toc12183691_2142443653">
            <w:r>
              <w:rPr>
                <w:webHidden/>
                <w:rStyle w:val="IndexLink"/>
                <w:rtl w:val="true"/>
              </w:rPr>
              <w:t>العيون الصناعية</w:t>
            </w:r>
            <w:r>
              <w:rPr>
                <w:rStyle w:val="IndexLink"/>
                <w:rtl w:val="true"/>
              </w:rPr>
              <w:tab/>
            </w:r>
            <w:r>
              <w:rPr>
                <w:rStyle w:val="IndexLink"/>
              </w:rPr>
              <w:t>35</w:t>
            </w:r>
          </w:hyperlink>
        </w:p>
        <w:p>
          <w:pPr>
            <w:pStyle w:val="Contents2"/>
            <w:tabs>
              <w:tab w:val="clear" w:pos="8743"/>
              <w:tab w:val="right" w:pos="9026" w:leader="dot"/>
            </w:tabs>
            <w:rPr/>
          </w:pPr>
          <w:hyperlink w:anchor="__RefHeading___Toc12183693_2142443653">
            <w:r>
              <w:rPr>
                <w:webHidden/>
                <w:rStyle w:val="IndexLink"/>
                <w:rtl w:val="true"/>
              </w:rPr>
              <w:t>الأعضاء الصناعية</w:t>
            </w:r>
            <w:r>
              <w:rPr>
                <w:rStyle w:val="IndexLink"/>
                <w:rtl w:val="true"/>
              </w:rPr>
              <w:tab/>
            </w:r>
            <w:r>
              <w:rPr>
                <w:rStyle w:val="IndexLink"/>
              </w:rPr>
              <w:t>35</w:t>
            </w:r>
          </w:hyperlink>
        </w:p>
        <w:p>
          <w:pPr>
            <w:pStyle w:val="Contents2"/>
            <w:tabs>
              <w:tab w:val="clear" w:pos="8743"/>
              <w:tab w:val="right" w:pos="9026" w:leader="dot"/>
            </w:tabs>
            <w:rPr/>
          </w:pPr>
          <w:hyperlink w:anchor="__RefHeading___Toc12183695_2142443653">
            <w:r>
              <w:rPr>
                <w:webHidden/>
                <w:rStyle w:val="IndexLink"/>
                <w:rtl w:val="true"/>
              </w:rPr>
              <w:t>الجبيرة في العضو الصناعي</w:t>
            </w:r>
            <w:r>
              <w:rPr>
                <w:rStyle w:val="IndexLink"/>
                <w:rtl w:val="true"/>
              </w:rPr>
              <w:tab/>
            </w:r>
            <w:r>
              <w:rPr>
                <w:rStyle w:val="IndexLink"/>
              </w:rPr>
              <w:t>36</w:t>
            </w:r>
          </w:hyperlink>
        </w:p>
        <w:p>
          <w:pPr>
            <w:pStyle w:val="Contents2"/>
            <w:tabs>
              <w:tab w:val="clear" w:pos="8743"/>
              <w:tab w:val="right" w:pos="9026" w:leader="dot"/>
            </w:tabs>
            <w:rPr/>
          </w:pPr>
          <w:hyperlink w:anchor="__RefHeading___Toc12183697_2142443653">
            <w:r>
              <w:rPr>
                <w:webHidden/>
                <w:rStyle w:val="IndexLink"/>
                <w:rtl w:val="true"/>
              </w:rPr>
              <w:t>الشعر الصناعي وأحكامه</w:t>
            </w:r>
            <w:r>
              <w:rPr>
                <w:rStyle w:val="IndexLink"/>
                <w:rtl w:val="true"/>
              </w:rPr>
              <w:tab/>
            </w:r>
            <w:r>
              <w:rPr>
                <w:rStyle w:val="IndexLink"/>
              </w:rPr>
              <w:t>36</w:t>
            </w:r>
          </w:hyperlink>
        </w:p>
        <w:p>
          <w:pPr>
            <w:pStyle w:val="Contents2"/>
            <w:tabs>
              <w:tab w:val="clear" w:pos="8743"/>
              <w:tab w:val="right" w:pos="9026" w:leader="dot"/>
            </w:tabs>
            <w:rPr/>
          </w:pPr>
          <w:hyperlink w:anchor="__RefHeading___Toc12183699_2142443653">
            <w:r>
              <w:rPr>
                <w:webHidden/>
                <w:rStyle w:val="IndexLink"/>
                <w:rtl w:val="true"/>
              </w:rPr>
              <w:t>أنواع الشعر الصناعي</w:t>
            </w:r>
            <w:r>
              <w:rPr>
                <w:rStyle w:val="IndexLink"/>
                <w:rtl w:val="true"/>
              </w:rPr>
              <w:tab/>
            </w:r>
            <w:r>
              <w:rPr>
                <w:rStyle w:val="IndexLink"/>
              </w:rPr>
              <w:t>37</w:t>
            </w:r>
          </w:hyperlink>
        </w:p>
        <w:p>
          <w:pPr>
            <w:pStyle w:val="Contents2"/>
            <w:tabs>
              <w:tab w:val="clear" w:pos="8743"/>
              <w:tab w:val="right" w:pos="9026" w:leader="dot"/>
            </w:tabs>
            <w:rPr/>
          </w:pPr>
          <w:hyperlink w:anchor="__RefHeading___Toc12183701_2142443653">
            <w:r>
              <w:rPr>
                <w:webHidden/>
                <w:rStyle w:val="IndexLink"/>
                <w:rtl w:val="true"/>
              </w:rPr>
              <w:t>الجلد الصناعي</w:t>
            </w:r>
            <w:r>
              <w:rPr>
                <w:rStyle w:val="IndexLink"/>
                <w:rtl w:val="true"/>
              </w:rPr>
              <w:tab/>
            </w:r>
            <w:r>
              <w:rPr>
                <w:rStyle w:val="IndexLink"/>
              </w:rPr>
              <w:t>37</w:t>
            </w:r>
          </w:hyperlink>
        </w:p>
        <w:p>
          <w:pPr>
            <w:pStyle w:val="Contents2"/>
            <w:tabs>
              <w:tab w:val="clear" w:pos="8743"/>
              <w:tab w:val="right" w:pos="9026" w:leader="dot"/>
            </w:tabs>
            <w:rPr/>
          </w:pPr>
          <w:hyperlink w:anchor="__RefHeading___Toc12183703_2142443653">
            <w:r>
              <w:rPr>
                <w:webHidden/>
                <w:rStyle w:val="IndexLink"/>
                <w:rtl w:val="true"/>
              </w:rPr>
              <w:t>من أحكام الجلد الصناعي</w:t>
            </w:r>
            <w:r>
              <w:rPr>
                <w:rStyle w:val="IndexLink"/>
                <w:rtl w:val="true"/>
              </w:rPr>
              <w:tab/>
            </w:r>
            <w:r>
              <w:rPr>
                <w:rStyle w:val="IndexLink"/>
              </w:rPr>
              <w:t>38</w:t>
            </w:r>
          </w:hyperlink>
        </w:p>
        <w:p>
          <w:pPr>
            <w:pStyle w:val="Contents2"/>
            <w:tabs>
              <w:tab w:val="clear" w:pos="8743"/>
              <w:tab w:val="right" w:pos="9026" w:leader="dot"/>
            </w:tabs>
            <w:rPr/>
          </w:pPr>
          <w:hyperlink w:anchor="__RefHeading___Toc12183705_2142443653">
            <w:r>
              <w:rPr>
                <w:webHidden/>
                <w:rStyle w:val="IndexLink"/>
                <w:rtl w:val="true"/>
              </w:rPr>
              <w:t>ردم المستنقعات</w:t>
            </w:r>
            <w:r>
              <w:rPr>
                <w:rStyle w:val="IndexLink"/>
                <w:rtl w:val="true"/>
              </w:rPr>
              <w:tab/>
            </w:r>
            <w:r>
              <w:rPr>
                <w:rStyle w:val="IndexLink"/>
              </w:rPr>
              <w:t>39</w:t>
            </w:r>
          </w:hyperlink>
        </w:p>
        <w:p>
          <w:pPr>
            <w:pStyle w:val="Contents2"/>
            <w:tabs>
              <w:tab w:val="clear" w:pos="8743"/>
              <w:tab w:val="right" w:pos="9026" w:leader="dot"/>
            </w:tabs>
            <w:rPr/>
          </w:pPr>
          <w:hyperlink w:anchor="__RefHeading___Toc12183707_2142443653">
            <w:r>
              <w:rPr>
                <w:webHidden/>
                <w:rStyle w:val="IndexLink"/>
                <w:rtl w:val="true"/>
              </w:rPr>
              <w:t>بناء الدور المكشوفة</w:t>
            </w:r>
            <w:r>
              <w:rPr>
                <w:rStyle w:val="IndexLink"/>
                <w:rtl w:val="true"/>
              </w:rPr>
              <w:tab/>
            </w:r>
            <w:r>
              <w:rPr>
                <w:rStyle w:val="IndexLink"/>
              </w:rPr>
              <w:t>39</w:t>
            </w:r>
          </w:hyperlink>
        </w:p>
        <w:p>
          <w:pPr>
            <w:pStyle w:val="Contents2"/>
            <w:tabs>
              <w:tab w:val="clear" w:pos="8743"/>
              <w:tab w:val="right" w:pos="9026" w:leader="dot"/>
            </w:tabs>
            <w:rPr/>
          </w:pPr>
          <w:hyperlink w:anchor="__RefHeading___Toc12183709_2142443653">
            <w:r>
              <w:rPr>
                <w:webHidden/>
                <w:rStyle w:val="IndexLink"/>
                <w:rtl w:val="true"/>
              </w:rPr>
              <w:t>النشرات والإذاعات السرية</w:t>
            </w:r>
            <w:r>
              <w:rPr>
                <w:rStyle w:val="IndexLink"/>
                <w:rtl w:val="true"/>
              </w:rPr>
              <w:tab/>
            </w:r>
            <w:r>
              <w:rPr>
                <w:rStyle w:val="IndexLink"/>
              </w:rPr>
              <w:t>40</w:t>
            </w:r>
          </w:hyperlink>
        </w:p>
        <w:p>
          <w:pPr>
            <w:pStyle w:val="Contents2"/>
            <w:tabs>
              <w:tab w:val="clear" w:pos="8743"/>
              <w:tab w:val="right" w:pos="9026" w:leader="dot"/>
            </w:tabs>
            <w:rPr/>
          </w:pPr>
          <w:hyperlink w:anchor="__RefHeading___Toc12183711_2142443653">
            <w:r>
              <w:rPr>
                <w:webHidden/>
                <w:rStyle w:val="IndexLink"/>
                <w:rtl w:val="true"/>
              </w:rPr>
              <w:t>التزوير في التوقيع</w:t>
            </w:r>
            <w:r>
              <w:rPr>
                <w:rStyle w:val="IndexLink"/>
                <w:rtl w:val="true"/>
              </w:rPr>
              <w:tab/>
            </w:r>
            <w:r>
              <w:rPr>
                <w:rStyle w:val="IndexLink"/>
              </w:rPr>
              <w:t>41</w:t>
            </w:r>
          </w:hyperlink>
        </w:p>
        <w:p>
          <w:pPr>
            <w:pStyle w:val="Contents2"/>
            <w:tabs>
              <w:tab w:val="clear" w:pos="8743"/>
              <w:tab w:val="right" w:pos="9026" w:leader="dot"/>
            </w:tabs>
            <w:rPr/>
          </w:pPr>
          <w:hyperlink w:anchor="__RefHeading___Toc12183713_2142443653">
            <w:r>
              <w:rPr>
                <w:webHidden/>
                <w:rStyle w:val="IndexLink"/>
                <w:rtl w:val="true"/>
              </w:rPr>
              <w:t>الألعاب النارية</w:t>
            </w:r>
            <w:r>
              <w:rPr>
                <w:rStyle w:val="IndexLink"/>
                <w:rtl w:val="true"/>
              </w:rPr>
              <w:tab/>
            </w:r>
            <w:r>
              <w:rPr>
                <w:rStyle w:val="IndexLink"/>
              </w:rPr>
              <w:t>43</w:t>
            </w:r>
          </w:hyperlink>
        </w:p>
        <w:p>
          <w:pPr>
            <w:pStyle w:val="Contents2"/>
            <w:tabs>
              <w:tab w:val="clear" w:pos="8743"/>
              <w:tab w:val="right" w:pos="9026" w:leader="dot"/>
            </w:tabs>
            <w:rPr/>
          </w:pPr>
          <w:hyperlink w:anchor="__RefHeading___Toc12183715_2142443653">
            <w:r>
              <w:rPr>
                <w:webHidden/>
                <w:rStyle w:val="IndexLink"/>
                <w:rtl w:val="true"/>
              </w:rPr>
              <w:t>تبديل الإمضاء والخط</w:t>
            </w:r>
            <w:r>
              <w:rPr>
                <w:rStyle w:val="IndexLink"/>
                <w:rtl w:val="true"/>
              </w:rPr>
              <w:tab/>
            </w:r>
            <w:r>
              <w:rPr>
                <w:rStyle w:val="IndexLink"/>
              </w:rPr>
              <w:t>43</w:t>
            </w:r>
          </w:hyperlink>
        </w:p>
        <w:p>
          <w:pPr>
            <w:pStyle w:val="Contents2"/>
            <w:tabs>
              <w:tab w:val="clear" w:pos="8743"/>
              <w:tab w:val="right" w:pos="9026" w:leader="dot"/>
            </w:tabs>
            <w:rPr/>
          </w:pPr>
          <w:hyperlink w:anchor="__RefHeading___Toc12183717_2142443653">
            <w:r>
              <w:rPr>
                <w:webHidden/>
                <w:rStyle w:val="IndexLink"/>
                <w:rtl w:val="true"/>
              </w:rPr>
              <w:t>تزوير الشيب أو الشباب</w:t>
            </w:r>
            <w:r>
              <w:rPr>
                <w:rStyle w:val="IndexLink"/>
                <w:rtl w:val="true"/>
              </w:rPr>
              <w:tab/>
            </w:r>
            <w:r>
              <w:rPr>
                <w:rStyle w:val="IndexLink"/>
              </w:rPr>
              <w:t>44</w:t>
            </w:r>
          </w:hyperlink>
        </w:p>
        <w:p>
          <w:pPr>
            <w:pStyle w:val="Contents2"/>
            <w:tabs>
              <w:tab w:val="clear" w:pos="8743"/>
              <w:tab w:val="right" w:pos="9026" w:leader="dot"/>
            </w:tabs>
            <w:rPr/>
          </w:pPr>
          <w:hyperlink w:anchor="__RefHeading___Toc12183719_2142443653">
            <w:r>
              <w:rPr>
                <w:webHidden/>
                <w:rStyle w:val="IndexLink"/>
                <w:rtl w:val="true"/>
              </w:rPr>
              <w:t>التدليس في التزوير المذكور</w:t>
            </w:r>
            <w:r>
              <w:rPr>
                <w:rStyle w:val="IndexLink"/>
                <w:rtl w:val="true"/>
              </w:rPr>
              <w:tab/>
            </w:r>
            <w:r>
              <w:rPr>
                <w:rStyle w:val="IndexLink"/>
              </w:rPr>
              <w:t>45</w:t>
            </w:r>
          </w:hyperlink>
        </w:p>
        <w:p>
          <w:pPr>
            <w:pStyle w:val="Contents2"/>
            <w:tabs>
              <w:tab w:val="clear" w:pos="8743"/>
              <w:tab w:val="right" w:pos="9026" w:leader="dot"/>
            </w:tabs>
            <w:rPr/>
          </w:pPr>
          <w:hyperlink w:anchor="__RefHeading___Toc12183721_2142443653">
            <w:r>
              <w:rPr>
                <w:webHidden/>
                <w:rStyle w:val="IndexLink"/>
                <w:rtl w:val="true"/>
              </w:rPr>
              <w:t>الكذب في تسجيل الأعمار</w:t>
            </w:r>
            <w:r>
              <w:rPr>
                <w:rStyle w:val="IndexLink"/>
                <w:rtl w:val="true"/>
              </w:rPr>
              <w:tab/>
            </w:r>
            <w:r>
              <w:rPr>
                <w:rStyle w:val="IndexLink"/>
              </w:rPr>
              <w:t>45</w:t>
            </w:r>
          </w:hyperlink>
        </w:p>
        <w:p>
          <w:pPr>
            <w:pStyle w:val="Contents2"/>
            <w:tabs>
              <w:tab w:val="clear" w:pos="8743"/>
              <w:tab w:val="right" w:pos="9026" w:leader="dot"/>
            </w:tabs>
            <w:rPr/>
          </w:pPr>
          <w:hyperlink w:anchor="__RefHeading___Toc12183723_2142443653">
            <w:r>
              <w:rPr>
                <w:webHidden/>
                <w:rStyle w:val="IndexLink"/>
                <w:rtl w:val="true"/>
              </w:rPr>
              <w:t>من حقوق الدولة الإسلامية</w:t>
            </w:r>
            <w:r>
              <w:rPr>
                <w:rStyle w:val="IndexLink"/>
                <w:rtl w:val="true"/>
              </w:rPr>
              <w:tab/>
            </w:r>
            <w:r>
              <w:rPr>
                <w:rStyle w:val="IndexLink"/>
              </w:rPr>
              <w:t>46</w:t>
            </w:r>
          </w:hyperlink>
        </w:p>
        <w:p>
          <w:pPr>
            <w:pStyle w:val="Contents2"/>
            <w:tabs>
              <w:tab w:val="clear" w:pos="8743"/>
              <w:tab w:val="right" w:pos="9026" w:leader="dot"/>
            </w:tabs>
            <w:rPr/>
          </w:pPr>
          <w:hyperlink w:anchor="__RefHeading___Toc12183725_2142443653">
            <w:r>
              <w:rPr>
                <w:webHidden/>
                <w:rStyle w:val="IndexLink"/>
                <w:rtl w:val="true"/>
              </w:rPr>
              <w:t>المقاولات والمناقصات</w:t>
            </w:r>
            <w:r>
              <w:rPr>
                <w:rStyle w:val="IndexLink"/>
                <w:rtl w:val="true"/>
              </w:rPr>
              <w:tab/>
            </w:r>
            <w:r>
              <w:rPr>
                <w:rStyle w:val="IndexLink"/>
              </w:rPr>
              <w:t>47</w:t>
            </w:r>
          </w:hyperlink>
        </w:p>
        <w:p>
          <w:pPr>
            <w:pStyle w:val="Contents2"/>
            <w:tabs>
              <w:tab w:val="clear" w:pos="8743"/>
              <w:tab w:val="right" w:pos="9026" w:leader="dot"/>
            </w:tabs>
            <w:rPr/>
          </w:pPr>
          <w:hyperlink w:anchor="__RefHeading___Toc12183727_2142443653">
            <w:r>
              <w:rPr>
                <w:webHidden/>
                <w:rStyle w:val="IndexLink"/>
                <w:rtl w:val="true"/>
              </w:rPr>
              <w:t>المساومات والامتيازات</w:t>
            </w:r>
            <w:r>
              <w:rPr>
                <w:rStyle w:val="IndexLink"/>
                <w:rtl w:val="true"/>
              </w:rPr>
              <w:tab/>
            </w:r>
            <w:r>
              <w:rPr>
                <w:rStyle w:val="IndexLink"/>
              </w:rPr>
              <w:t>48</w:t>
            </w:r>
          </w:hyperlink>
        </w:p>
        <w:p>
          <w:pPr>
            <w:pStyle w:val="Contents2"/>
            <w:tabs>
              <w:tab w:val="clear" w:pos="8743"/>
              <w:tab w:val="right" w:pos="9026" w:leader="dot"/>
            </w:tabs>
            <w:rPr/>
          </w:pPr>
          <w:hyperlink w:anchor="__RefHeading___Toc12183729_2142443653">
            <w:r>
              <w:rPr>
                <w:webHidden/>
                <w:rStyle w:val="IndexLink"/>
                <w:rtl w:val="true"/>
              </w:rPr>
              <w:t>فتح الأسواق في البلاد</w:t>
            </w:r>
            <w:r>
              <w:rPr>
                <w:rStyle w:val="IndexLink"/>
                <w:rtl w:val="true"/>
              </w:rPr>
              <w:tab/>
            </w:r>
            <w:r>
              <w:rPr>
                <w:rStyle w:val="IndexLink"/>
              </w:rPr>
              <w:t>49</w:t>
            </w:r>
          </w:hyperlink>
        </w:p>
        <w:p>
          <w:pPr>
            <w:pStyle w:val="Contents2"/>
            <w:tabs>
              <w:tab w:val="clear" w:pos="8743"/>
              <w:tab w:val="right" w:pos="9026" w:leader="dot"/>
            </w:tabs>
            <w:rPr/>
          </w:pPr>
          <w:hyperlink w:anchor="__RefHeading___Toc12183731_2142443653">
            <w:r>
              <w:rPr>
                <w:webHidden/>
                <w:rStyle w:val="IndexLink"/>
                <w:rtl w:val="true"/>
              </w:rPr>
              <w:t>حرية العمران</w:t>
            </w:r>
            <w:r>
              <w:rPr>
                <w:rStyle w:val="IndexLink"/>
                <w:rtl w:val="true"/>
              </w:rPr>
              <w:tab/>
            </w:r>
            <w:r>
              <w:rPr>
                <w:rStyle w:val="IndexLink"/>
              </w:rPr>
              <w:t>49</w:t>
            </w:r>
          </w:hyperlink>
        </w:p>
        <w:p>
          <w:pPr>
            <w:pStyle w:val="Contents2"/>
            <w:tabs>
              <w:tab w:val="clear" w:pos="8743"/>
              <w:tab w:val="right" w:pos="9026" w:leader="dot"/>
            </w:tabs>
            <w:rPr/>
          </w:pPr>
          <w:hyperlink w:anchor="__RefHeading___Toc12183733_2142443653">
            <w:r>
              <w:rPr>
                <w:webHidden/>
                <w:rStyle w:val="IndexLink"/>
                <w:rtl w:val="true"/>
              </w:rPr>
              <w:t>الأحياء والجمعيات السكنية</w:t>
            </w:r>
            <w:r>
              <w:rPr>
                <w:rStyle w:val="IndexLink"/>
                <w:rtl w:val="true"/>
              </w:rPr>
              <w:tab/>
            </w:r>
            <w:r>
              <w:rPr>
                <w:rStyle w:val="IndexLink"/>
              </w:rPr>
              <w:t>50</w:t>
            </w:r>
          </w:hyperlink>
        </w:p>
        <w:p>
          <w:pPr>
            <w:pStyle w:val="Contents2"/>
            <w:tabs>
              <w:tab w:val="clear" w:pos="8743"/>
              <w:tab w:val="right" w:pos="9026" w:leader="dot"/>
            </w:tabs>
            <w:rPr/>
          </w:pPr>
          <w:hyperlink w:anchor="__RefHeading___Toc12183735_2142443653">
            <w:r>
              <w:rPr>
                <w:webHidden/>
                <w:rStyle w:val="IndexLink"/>
                <w:rtl w:val="true"/>
              </w:rPr>
              <w:t>الشروط النافذة في العمران</w:t>
            </w:r>
            <w:r>
              <w:rPr>
                <w:rStyle w:val="IndexLink"/>
                <w:rtl w:val="true"/>
              </w:rPr>
              <w:tab/>
            </w:r>
            <w:r>
              <w:rPr>
                <w:rStyle w:val="IndexLink"/>
              </w:rPr>
              <w:t>51</w:t>
            </w:r>
          </w:hyperlink>
        </w:p>
        <w:p>
          <w:pPr>
            <w:pStyle w:val="Contents2"/>
            <w:tabs>
              <w:tab w:val="clear" w:pos="8743"/>
              <w:tab w:val="right" w:pos="9026" w:leader="dot"/>
            </w:tabs>
            <w:rPr/>
          </w:pPr>
          <w:hyperlink w:anchor="__RefHeading___Toc12183737_2142443653">
            <w:r>
              <w:rPr>
                <w:webHidden/>
                <w:rStyle w:val="IndexLink"/>
                <w:rtl w:val="true"/>
              </w:rPr>
              <w:t>تحديد البنايات العالية</w:t>
            </w:r>
            <w:r>
              <w:rPr>
                <w:rStyle w:val="IndexLink"/>
                <w:rtl w:val="true"/>
              </w:rPr>
              <w:tab/>
            </w:r>
            <w:r>
              <w:rPr>
                <w:rStyle w:val="IndexLink"/>
              </w:rPr>
              <w:t>52</w:t>
            </w:r>
          </w:hyperlink>
        </w:p>
        <w:p>
          <w:pPr>
            <w:pStyle w:val="Contents2"/>
            <w:tabs>
              <w:tab w:val="clear" w:pos="8743"/>
              <w:tab w:val="right" w:pos="9026" w:leader="dot"/>
            </w:tabs>
            <w:rPr/>
          </w:pPr>
          <w:hyperlink w:anchor="__RefHeading___Toc12183739_2142443653">
            <w:r>
              <w:rPr>
                <w:webHidden/>
                <w:rStyle w:val="IndexLink"/>
                <w:rtl w:val="true"/>
              </w:rPr>
              <w:t>ترفيع سعر النقد</w:t>
            </w:r>
            <w:r>
              <w:rPr>
                <w:rStyle w:val="IndexLink"/>
                <w:rtl w:val="true"/>
              </w:rPr>
              <w:tab/>
            </w:r>
            <w:r>
              <w:rPr>
                <w:rStyle w:val="IndexLink"/>
              </w:rPr>
              <w:t>53</w:t>
            </w:r>
          </w:hyperlink>
        </w:p>
        <w:p>
          <w:pPr>
            <w:pStyle w:val="Contents2"/>
            <w:tabs>
              <w:tab w:val="clear" w:pos="8743"/>
              <w:tab w:val="right" w:pos="9026" w:leader="dot"/>
            </w:tabs>
            <w:rPr/>
          </w:pPr>
          <w:hyperlink w:anchor="__RefHeading___Toc12183741_2142443653">
            <w:r>
              <w:rPr>
                <w:webHidden/>
                <w:rStyle w:val="IndexLink"/>
                <w:rtl w:val="true"/>
              </w:rPr>
              <w:t>الماء للجميع</w:t>
            </w:r>
            <w:r>
              <w:rPr>
                <w:rStyle w:val="IndexLink"/>
                <w:rtl w:val="true"/>
              </w:rPr>
              <w:tab/>
            </w:r>
            <w:r>
              <w:rPr>
                <w:rStyle w:val="IndexLink"/>
              </w:rPr>
              <w:t>53</w:t>
            </w:r>
          </w:hyperlink>
        </w:p>
        <w:p>
          <w:pPr>
            <w:pStyle w:val="Contents2"/>
            <w:tabs>
              <w:tab w:val="clear" w:pos="8743"/>
              <w:tab w:val="right" w:pos="9026" w:leader="dot"/>
            </w:tabs>
            <w:rPr/>
          </w:pPr>
          <w:hyperlink w:anchor="__RefHeading___Toc12183743_2142443653">
            <w:r>
              <w:rPr>
                <w:webHidden/>
                <w:rStyle w:val="IndexLink"/>
                <w:rtl w:val="true"/>
              </w:rPr>
              <w:t>لا منع مع التلف</w:t>
            </w:r>
            <w:r>
              <w:rPr>
                <w:rStyle w:val="IndexLink"/>
                <w:rtl w:val="true"/>
              </w:rPr>
              <w:tab/>
            </w:r>
            <w:r>
              <w:rPr>
                <w:rStyle w:val="IndexLink"/>
              </w:rPr>
              <w:t>54</w:t>
            </w:r>
          </w:hyperlink>
        </w:p>
        <w:p>
          <w:pPr>
            <w:pStyle w:val="Contents2"/>
            <w:tabs>
              <w:tab w:val="clear" w:pos="8743"/>
              <w:tab w:val="right" w:pos="9026" w:leader="dot"/>
            </w:tabs>
            <w:rPr/>
          </w:pPr>
          <w:hyperlink w:anchor="__RefHeading___Toc12183745_2142443653">
            <w:r>
              <w:rPr>
                <w:webHidden/>
                <w:rStyle w:val="IndexLink"/>
                <w:rtl w:val="true"/>
              </w:rPr>
              <w:t>المجاعة الاصطناعية</w:t>
            </w:r>
            <w:r>
              <w:rPr>
                <w:rStyle w:val="IndexLink"/>
                <w:rtl w:val="true"/>
              </w:rPr>
              <w:tab/>
            </w:r>
            <w:r>
              <w:rPr>
                <w:rStyle w:val="IndexLink"/>
              </w:rPr>
              <w:t>55</w:t>
            </w:r>
          </w:hyperlink>
        </w:p>
        <w:p>
          <w:pPr>
            <w:pStyle w:val="Contents2"/>
            <w:tabs>
              <w:tab w:val="clear" w:pos="8743"/>
              <w:tab w:val="right" w:pos="9026" w:leader="dot"/>
            </w:tabs>
            <w:rPr/>
          </w:pPr>
          <w:hyperlink w:anchor="__RefHeading___Toc12183747_2142443653">
            <w:r>
              <w:rPr>
                <w:webHidden/>
                <w:rStyle w:val="IndexLink"/>
                <w:rtl w:val="true"/>
              </w:rPr>
              <w:t>تقليد الكفار في المناسبات</w:t>
            </w:r>
            <w:r>
              <w:rPr>
                <w:rStyle w:val="IndexLink"/>
                <w:rtl w:val="true"/>
              </w:rPr>
              <w:tab/>
            </w:r>
            <w:r>
              <w:rPr>
                <w:rStyle w:val="IndexLink"/>
              </w:rPr>
              <w:t>56</w:t>
            </w:r>
          </w:hyperlink>
        </w:p>
        <w:p>
          <w:pPr>
            <w:pStyle w:val="Contents2"/>
            <w:tabs>
              <w:tab w:val="clear" w:pos="8743"/>
              <w:tab w:val="right" w:pos="9026" w:leader="dot"/>
            </w:tabs>
            <w:rPr/>
          </w:pPr>
          <w:hyperlink w:anchor="__RefHeading___Toc12183749_2142443653">
            <w:r>
              <w:rPr>
                <w:webHidden/>
                <w:rStyle w:val="IndexLink"/>
                <w:rtl w:val="true"/>
              </w:rPr>
              <w:t>التلاعب بالأسواق التجارية</w:t>
            </w:r>
            <w:r>
              <w:rPr>
                <w:rStyle w:val="IndexLink"/>
                <w:rtl w:val="true"/>
              </w:rPr>
              <w:tab/>
            </w:r>
            <w:r>
              <w:rPr>
                <w:rStyle w:val="IndexLink"/>
              </w:rPr>
              <w:t>57</w:t>
            </w:r>
          </w:hyperlink>
        </w:p>
        <w:p>
          <w:pPr>
            <w:pStyle w:val="Contents2"/>
            <w:tabs>
              <w:tab w:val="clear" w:pos="8743"/>
              <w:tab w:val="right" w:pos="9026" w:leader="dot"/>
            </w:tabs>
            <w:rPr/>
          </w:pPr>
          <w:hyperlink w:anchor="__RefHeading___Toc12183751_2142443653">
            <w:r>
              <w:rPr>
                <w:webHidden/>
                <w:rStyle w:val="IndexLink"/>
                <w:rtl w:val="true"/>
              </w:rPr>
              <w:t>تحجيم الزرع والضرر</w:t>
            </w:r>
            <w:r>
              <w:rPr>
                <w:rStyle w:val="IndexLink"/>
                <w:rtl w:val="true"/>
              </w:rPr>
              <w:tab/>
            </w:r>
            <w:r>
              <w:rPr>
                <w:rStyle w:val="IndexLink"/>
              </w:rPr>
              <w:t>58</w:t>
            </w:r>
          </w:hyperlink>
        </w:p>
        <w:p>
          <w:pPr>
            <w:pStyle w:val="Contents2"/>
            <w:tabs>
              <w:tab w:val="clear" w:pos="8743"/>
              <w:tab w:val="right" w:pos="9026" w:leader="dot"/>
            </w:tabs>
            <w:rPr/>
          </w:pPr>
          <w:hyperlink w:anchor="__RefHeading___Toc12183753_2142443653">
            <w:r>
              <w:rPr>
                <w:webHidden/>
                <w:rStyle w:val="IndexLink"/>
                <w:rtl w:val="true"/>
              </w:rPr>
              <w:t>التعاون مع الظالم</w:t>
            </w:r>
            <w:r>
              <w:rPr>
                <w:rStyle w:val="IndexLink"/>
                <w:rtl w:val="true"/>
              </w:rPr>
              <w:tab/>
            </w:r>
            <w:r>
              <w:rPr>
                <w:rStyle w:val="IndexLink"/>
              </w:rPr>
              <w:t>59</w:t>
            </w:r>
          </w:hyperlink>
        </w:p>
        <w:p>
          <w:pPr>
            <w:pStyle w:val="Contents2"/>
            <w:tabs>
              <w:tab w:val="clear" w:pos="8743"/>
              <w:tab w:val="right" w:pos="9026" w:leader="dot"/>
            </w:tabs>
            <w:rPr/>
          </w:pPr>
          <w:hyperlink w:anchor="__RefHeading___Toc12183755_2142443653">
            <w:r>
              <w:rPr>
                <w:webHidden/>
                <w:rStyle w:val="IndexLink"/>
                <w:rtl w:val="true"/>
              </w:rPr>
              <w:t>منع التجول</w:t>
            </w:r>
            <w:r>
              <w:rPr>
                <w:rStyle w:val="IndexLink"/>
                <w:rtl w:val="true"/>
              </w:rPr>
              <w:tab/>
            </w:r>
            <w:r>
              <w:rPr>
                <w:rStyle w:val="IndexLink"/>
              </w:rPr>
              <w:t>59</w:t>
            </w:r>
          </w:hyperlink>
        </w:p>
        <w:p>
          <w:pPr>
            <w:pStyle w:val="Contents2"/>
            <w:tabs>
              <w:tab w:val="clear" w:pos="8743"/>
              <w:tab w:val="right" w:pos="9026" w:leader="dot"/>
            </w:tabs>
            <w:rPr/>
          </w:pPr>
          <w:hyperlink w:anchor="__RefHeading___Toc12183757_2142443653">
            <w:r>
              <w:rPr>
                <w:webHidden/>
                <w:rStyle w:val="IndexLink"/>
                <w:rtl w:val="true"/>
              </w:rPr>
              <w:t>حرية الاجتماعات</w:t>
            </w:r>
            <w:r>
              <w:rPr>
                <w:rStyle w:val="IndexLink"/>
                <w:rtl w:val="true"/>
              </w:rPr>
              <w:tab/>
            </w:r>
            <w:r>
              <w:rPr>
                <w:rStyle w:val="IndexLink"/>
              </w:rPr>
              <w:t>60</w:t>
            </w:r>
          </w:hyperlink>
        </w:p>
        <w:p>
          <w:pPr>
            <w:pStyle w:val="Contents2"/>
            <w:tabs>
              <w:tab w:val="clear" w:pos="8743"/>
              <w:tab w:val="right" w:pos="9026" w:leader="dot"/>
            </w:tabs>
            <w:rPr/>
          </w:pPr>
          <w:hyperlink w:anchor="__RefHeading___Toc12183759_2142443653">
            <w:r>
              <w:rPr>
                <w:webHidden/>
                <w:rStyle w:val="IndexLink"/>
                <w:rtl w:val="true"/>
              </w:rPr>
              <w:t>غلق العتبات المقدسة والمساجد</w:t>
            </w:r>
            <w:r>
              <w:rPr>
                <w:rStyle w:val="IndexLink"/>
                <w:rtl w:val="true"/>
              </w:rPr>
              <w:tab/>
            </w:r>
            <w:r>
              <w:rPr>
                <w:rStyle w:val="IndexLink"/>
              </w:rPr>
              <w:t>61</w:t>
            </w:r>
          </w:hyperlink>
        </w:p>
        <w:p>
          <w:pPr>
            <w:pStyle w:val="Contents2"/>
            <w:tabs>
              <w:tab w:val="clear" w:pos="8743"/>
              <w:tab w:val="right" w:pos="9026" w:leader="dot"/>
            </w:tabs>
            <w:rPr/>
          </w:pPr>
          <w:hyperlink w:anchor="__RefHeading___Toc12183761_2142443653">
            <w:r>
              <w:rPr>
                <w:webHidden/>
                <w:rStyle w:val="IndexLink"/>
                <w:rtl w:val="true"/>
              </w:rPr>
              <w:t>قطع المواصلات</w:t>
            </w:r>
            <w:r>
              <w:rPr>
                <w:rStyle w:val="IndexLink"/>
                <w:rtl w:val="true"/>
              </w:rPr>
              <w:tab/>
            </w:r>
            <w:r>
              <w:rPr>
                <w:rStyle w:val="IndexLink"/>
              </w:rPr>
              <w:t>61</w:t>
            </w:r>
          </w:hyperlink>
        </w:p>
        <w:p>
          <w:pPr>
            <w:pStyle w:val="Contents2"/>
            <w:tabs>
              <w:tab w:val="clear" w:pos="8743"/>
              <w:tab w:val="right" w:pos="9026" w:leader="dot"/>
            </w:tabs>
            <w:rPr/>
          </w:pPr>
          <w:hyperlink w:anchor="__RefHeading___Toc12183763_2142443653">
            <w:r>
              <w:rPr>
                <w:webHidden/>
                <w:rStyle w:val="IndexLink"/>
                <w:rtl w:val="true"/>
              </w:rPr>
              <w:t>التقاص بالثأر</w:t>
            </w:r>
            <w:r>
              <w:rPr>
                <w:rStyle w:val="IndexLink"/>
                <w:rtl w:val="true"/>
              </w:rPr>
              <w:tab/>
            </w:r>
            <w:r>
              <w:rPr>
                <w:rStyle w:val="IndexLink"/>
              </w:rPr>
              <w:t>62</w:t>
            </w:r>
          </w:hyperlink>
        </w:p>
        <w:p>
          <w:pPr>
            <w:pStyle w:val="Contents2"/>
            <w:tabs>
              <w:tab w:val="clear" w:pos="8743"/>
              <w:tab w:val="right" w:pos="9026" w:leader="dot"/>
            </w:tabs>
            <w:rPr/>
          </w:pPr>
          <w:hyperlink w:anchor="__RefHeading___Toc12183765_2142443653">
            <w:r>
              <w:rPr>
                <w:webHidden/>
                <w:rStyle w:val="IndexLink"/>
                <w:rtl w:val="true"/>
              </w:rPr>
              <w:t>العادات الباطلة</w:t>
            </w:r>
            <w:r>
              <w:rPr>
                <w:rStyle w:val="IndexLink"/>
                <w:rtl w:val="true"/>
              </w:rPr>
              <w:tab/>
            </w:r>
            <w:r>
              <w:rPr>
                <w:rStyle w:val="IndexLink"/>
              </w:rPr>
              <w:t>62</w:t>
            </w:r>
          </w:hyperlink>
        </w:p>
        <w:p>
          <w:pPr>
            <w:pStyle w:val="Contents2"/>
            <w:tabs>
              <w:tab w:val="clear" w:pos="8743"/>
              <w:tab w:val="right" w:pos="9026" w:leader="dot"/>
            </w:tabs>
            <w:rPr/>
          </w:pPr>
          <w:hyperlink w:anchor="__RefHeading___Toc12183767_2142443653">
            <w:r>
              <w:rPr>
                <w:webHidden/>
                <w:rStyle w:val="IndexLink"/>
                <w:rtl w:val="true"/>
              </w:rPr>
              <w:t>الأعراف والتقاليد</w:t>
            </w:r>
            <w:r>
              <w:rPr>
                <w:rStyle w:val="IndexLink"/>
                <w:rtl w:val="true"/>
              </w:rPr>
              <w:tab/>
            </w:r>
            <w:r>
              <w:rPr>
                <w:rStyle w:val="IndexLink"/>
              </w:rPr>
              <w:t>63</w:t>
            </w:r>
          </w:hyperlink>
        </w:p>
        <w:p>
          <w:pPr>
            <w:pStyle w:val="Contents2"/>
            <w:tabs>
              <w:tab w:val="clear" w:pos="8743"/>
              <w:tab w:val="right" w:pos="9026" w:leader="dot"/>
            </w:tabs>
            <w:rPr/>
          </w:pPr>
          <w:hyperlink w:anchor="__RefHeading___Toc12183769_2142443653">
            <w:r>
              <w:rPr>
                <w:webHidden/>
                <w:rStyle w:val="IndexLink"/>
                <w:rtl w:val="true"/>
              </w:rPr>
              <w:t>الكفارة الباطلة</w:t>
            </w:r>
            <w:r>
              <w:rPr>
                <w:rStyle w:val="IndexLink"/>
                <w:rtl w:val="true"/>
              </w:rPr>
              <w:tab/>
            </w:r>
            <w:r>
              <w:rPr>
                <w:rStyle w:val="IndexLink"/>
              </w:rPr>
              <w:t>64</w:t>
            </w:r>
          </w:hyperlink>
        </w:p>
        <w:p>
          <w:pPr>
            <w:pStyle w:val="Contents2"/>
            <w:tabs>
              <w:tab w:val="clear" w:pos="8743"/>
              <w:tab w:val="right" w:pos="9026" w:leader="dot"/>
            </w:tabs>
            <w:rPr/>
          </w:pPr>
          <w:hyperlink w:anchor="__RefHeading___Toc12183771_2142443653">
            <w:r>
              <w:rPr>
                <w:webHidden/>
                <w:rStyle w:val="IndexLink"/>
                <w:rtl w:val="true"/>
              </w:rPr>
              <w:t>الحداد المزيف</w:t>
            </w:r>
            <w:r>
              <w:rPr>
                <w:rStyle w:val="IndexLink"/>
                <w:rtl w:val="true"/>
              </w:rPr>
              <w:tab/>
            </w:r>
            <w:r>
              <w:rPr>
                <w:rStyle w:val="IndexLink"/>
              </w:rPr>
              <w:t>64</w:t>
            </w:r>
          </w:hyperlink>
        </w:p>
        <w:p>
          <w:pPr>
            <w:pStyle w:val="Contents2"/>
            <w:tabs>
              <w:tab w:val="clear" w:pos="8743"/>
              <w:tab w:val="right" w:pos="9026" w:leader="dot"/>
            </w:tabs>
            <w:rPr/>
          </w:pPr>
          <w:hyperlink w:anchor="__RefHeading___Toc12183773_2142443653">
            <w:r>
              <w:rPr>
                <w:webHidden/>
                <w:rStyle w:val="IndexLink"/>
                <w:rtl w:val="true"/>
              </w:rPr>
              <w:t>الغاية لا تبرر الوسيلة</w:t>
            </w:r>
            <w:r>
              <w:rPr>
                <w:rStyle w:val="IndexLink"/>
                <w:rtl w:val="true"/>
              </w:rPr>
              <w:tab/>
            </w:r>
            <w:r>
              <w:rPr>
                <w:rStyle w:val="IndexLink"/>
              </w:rPr>
              <w:t>64</w:t>
            </w:r>
          </w:hyperlink>
        </w:p>
        <w:p>
          <w:pPr>
            <w:pStyle w:val="Contents2"/>
            <w:tabs>
              <w:tab w:val="clear" w:pos="8743"/>
              <w:tab w:val="right" w:pos="9026" w:leader="dot"/>
            </w:tabs>
            <w:rPr/>
          </w:pPr>
          <w:hyperlink w:anchor="__RefHeading___Toc12183775_2142443653">
            <w:r>
              <w:rPr>
                <w:webHidden/>
                <w:rStyle w:val="IndexLink"/>
                <w:rtl w:val="true"/>
              </w:rPr>
              <w:t>الإسلام وتطور الحياة</w:t>
            </w:r>
            <w:r>
              <w:rPr>
                <w:rStyle w:val="IndexLink"/>
                <w:rtl w:val="true"/>
              </w:rPr>
              <w:tab/>
            </w:r>
            <w:r>
              <w:rPr>
                <w:rStyle w:val="IndexLink"/>
              </w:rPr>
              <w:t>65</w:t>
            </w:r>
          </w:hyperlink>
        </w:p>
        <w:p>
          <w:pPr>
            <w:pStyle w:val="Contents2"/>
            <w:tabs>
              <w:tab w:val="clear" w:pos="8743"/>
              <w:tab w:val="right" w:pos="9026" w:leader="dot"/>
            </w:tabs>
            <w:rPr/>
          </w:pPr>
          <w:hyperlink w:anchor="__RefHeading___Toc12183777_2142443653">
            <w:r>
              <w:rPr>
                <w:webHidden/>
                <w:rStyle w:val="IndexLink"/>
                <w:rtl w:val="true"/>
              </w:rPr>
              <w:t>مشكلة التضخم النسائي</w:t>
            </w:r>
            <w:r>
              <w:rPr>
                <w:rStyle w:val="IndexLink"/>
                <w:rtl w:val="true"/>
              </w:rPr>
              <w:tab/>
            </w:r>
            <w:r>
              <w:rPr>
                <w:rStyle w:val="IndexLink"/>
              </w:rPr>
              <w:t>67</w:t>
            </w:r>
          </w:hyperlink>
        </w:p>
        <w:p>
          <w:pPr>
            <w:pStyle w:val="Contents2"/>
            <w:tabs>
              <w:tab w:val="clear" w:pos="8743"/>
              <w:tab w:val="right" w:pos="9026" w:leader="dot"/>
            </w:tabs>
            <w:rPr/>
          </w:pPr>
          <w:hyperlink w:anchor="__RefHeading___Toc12183779_2142443653">
            <w:r>
              <w:rPr>
                <w:webHidden/>
                <w:rStyle w:val="IndexLink"/>
                <w:rtl w:val="true"/>
              </w:rPr>
              <w:t>مشكلة التضخم الرجالي</w:t>
            </w:r>
            <w:r>
              <w:rPr>
                <w:rStyle w:val="IndexLink"/>
                <w:rtl w:val="true"/>
              </w:rPr>
              <w:tab/>
            </w:r>
            <w:r>
              <w:rPr>
                <w:rStyle w:val="IndexLink"/>
              </w:rPr>
              <w:t>67</w:t>
            </w:r>
          </w:hyperlink>
        </w:p>
        <w:p>
          <w:pPr>
            <w:pStyle w:val="Contents2"/>
            <w:tabs>
              <w:tab w:val="clear" w:pos="8743"/>
              <w:tab w:val="right" w:pos="9026" w:leader="dot"/>
            </w:tabs>
            <w:rPr/>
          </w:pPr>
          <w:hyperlink w:anchor="__RefHeading___Toc12183781_2142443653">
            <w:r>
              <w:rPr>
                <w:webHidden/>
                <w:rStyle w:val="IndexLink"/>
                <w:rtl w:val="true"/>
              </w:rPr>
              <w:t>قانون الأسر والرقية</w:t>
            </w:r>
            <w:r>
              <w:rPr>
                <w:rStyle w:val="IndexLink"/>
                <w:rtl w:val="true"/>
              </w:rPr>
              <w:tab/>
            </w:r>
            <w:r>
              <w:rPr>
                <w:rStyle w:val="IndexLink"/>
              </w:rPr>
              <w:t>68</w:t>
            </w:r>
          </w:hyperlink>
        </w:p>
        <w:p>
          <w:pPr>
            <w:pStyle w:val="Contents2"/>
            <w:tabs>
              <w:tab w:val="clear" w:pos="8743"/>
              <w:tab w:val="right" w:pos="9026" w:leader="dot"/>
            </w:tabs>
            <w:rPr/>
          </w:pPr>
          <w:hyperlink w:anchor="__RefHeading___Toc12183783_2142443653">
            <w:r>
              <w:rPr>
                <w:webHidden/>
                <w:rStyle w:val="IndexLink"/>
                <w:rtl w:val="true"/>
              </w:rPr>
              <w:t>الزوج المفقود</w:t>
            </w:r>
            <w:r>
              <w:rPr>
                <w:rStyle w:val="IndexLink"/>
                <w:rtl w:val="true"/>
              </w:rPr>
              <w:tab/>
            </w:r>
            <w:r>
              <w:rPr>
                <w:rStyle w:val="IndexLink"/>
              </w:rPr>
              <w:t>70</w:t>
            </w:r>
          </w:hyperlink>
        </w:p>
        <w:p>
          <w:pPr>
            <w:pStyle w:val="Contents2"/>
            <w:tabs>
              <w:tab w:val="clear" w:pos="8743"/>
              <w:tab w:val="right" w:pos="9026" w:leader="dot"/>
            </w:tabs>
            <w:rPr/>
          </w:pPr>
          <w:hyperlink w:anchor="__RefHeading___Toc12183785_2142443653">
            <w:r>
              <w:rPr>
                <w:webHidden/>
                <w:rStyle w:val="IndexLink"/>
                <w:rtl w:val="true"/>
              </w:rPr>
              <w:t>الجمال والتجميل</w:t>
            </w:r>
            <w:r>
              <w:rPr>
                <w:rStyle w:val="IndexLink"/>
                <w:rtl w:val="true"/>
              </w:rPr>
              <w:tab/>
            </w:r>
            <w:r>
              <w:rPr>
                <w:rStyle w:val="IndexLink"/>
              </w:rPr>
              <w:t>70</w:t>
            </w:r>
          </w:hyperlink>
        </w:p>
        <w:p>
          <w:pPr>
            <w:pStyle w:val="Contents2"/>
            <w:tabs>
              <w:tab w:val="clear" w:pos="8743"/>
              <w:tab w:val="right" w:pos="9026" w:leader="dot"/>
            </w:tabs>
            <w:rPr/>
          </w:pPr>
          <w:hyperlink w:anchor="__RefHeading___Toc12183787_2142443653">
            <w:r>
              <w:rPr>
                <w:webHidden/>
                <w:rStyle w:val="IndexLink"/>
                <w:rtl w:val="true"/>
              </w:rPr>
              <w:t>النظافة في كل شيء</w:t>
            </w:r>
            <w:r>
              <w:rPr>
                <w:rStyle w:val="IndexLink"/>
                <w:rtl w:val="true"/>
              </w:rPr>
              <w:tab/>
            </w:r>
            <w:r>
              <w:rPr>
                <w:rStyle w:val="IndexLink"/>
              </w:rPr>
              <w:t>71</w:t>
            </w:r>
          </w:hyperlink>
        </w:p>
        <w:p>
          <w:pPr>
            <w:pStyle w:val="Contents2"/>
            <w:tabs>
              <w:tab w:val="clear" w:pos="8743"/>
              <w:tab w:val="right" w:pos="9026" w:leader="dot"/>
            </w:tabs>
            <w:rPr/>
          </w:pPr>
          <w:hyperlink w:anchor="__RefHeading___Toc12183789_2142443653">
            <w:r>
              <w:rPr>
                <w:webHidden/>
                <w:rStyle w:val="IndexLink"/>
                <w:rtl w:val="true"/>
              </w:rPr>
              <w:t>حدود العمل والثقافة للمرأة</w:t>
            </w:r>
            <w:r>
              <w:rPr>
                <w:rStyle w:val="IndexLink"/>
                <w:rtl w:val="true"/>
              </w:rPr>
              <w:tab/>
            </w:r>
            <w:r>
              <w:rPr>
                <w:rStyle w:val="IndexLink"/>
              </w:rPr>
              <w:t>71</w:t>
            </w:r>
          </w:hyperlink>
        </w:p>
        <w:p>
          <w:pPr>
            <w:pStyle w:val="Contents2"/>
            <w:tabs>
              <w:tab w:val="clear" w:pos="8743"/>
              <w:tab w:val="right" w:pos="9026" w:leader="dot"/>
            </w:tabs>
            <w:rPr/>
          </w:pPr>
          <w:hyperlink w:anchor="__RefHeading___Toc12183791_2142443653">
            <w:r>
              <w:rPr>
                <w:webHidden/>
                <w:rStyle w:val="IndexLink"/>
                <w:rtl w:val="true"/>
              </w:rPr>
              <w:t>التفاوت المصرفي للنقود</w:t>
            </w:r>
            <w:r>
              <w:rPr>
                <w:rStyle w:val="IndexLink"/>
                <w:rtl w:val="true"/>
              </w:rPr>
              <w:tab/>
            </w:r>
            <w:r>
              <w:rPr>
                <w:rStyle w:val="IndexLink"/>
              </w:rPr>
              <w:t>73</w:t>
            </w:r>
          </w:hyperlink>
        </w:p>
        <w:p>
          <w:pPr>
            <w:pStyle w:val="Contents2"/>
            <w:tabs>
              <w:tab w:val="clear" w:pos="8743"/>
              <w:tab w:val="right" w:pos="9026" w:leader="dot"/>
            </w:tabs>
            <w:rPr/>
          </w:pPr>
          <w:hyperlink w:anchor="__RefHeading___Toc12183793_2142443653">
            <w:r>
              <w:rPr>
                <w:webHidden/>
                <w:rStyle w:val="IndexLink"/>
                <w:rtl w:val="true"/>
              </w:rPr>
              <w:t>أجور الحوالات</w:t>
            </w:r>
            <w:r>
              <w:rPr>
                <w:rStyle w:val="IndexLink"/>
                <w:rtl w:val="true"/>
              </w:rPr>
              <w:tab/>
            </w:r>
            <w:r>
              <w:rPr>
                <w:rStyle w:val="IndexLink"/>
              </w:rPr>
              <w:t>74</w:t>
            </w:r>
          </w:hyperlink>
        </w:p>
        <w:p>
          <w:pPr>
            <w:pStyle w:val="Contents2"/>
            <w:tabs>
              <w:tab w:val="clear" w:pos="8743"/>
              <w:tab w:val="right" w:pos="9026" w:leader="dot"/>
            </w:tabs>
            <w:rPr/>
          </w:pPr>
          <w:hyperlink w:anchor="__RefHeading___Toc12183795_2142443653">
            <w:r>
              <w:rPr>
                <w:webHidden/>
                <w:rStyle w:val="IndexLink"/>
                <w:rtl w:val="true"/>
              </w:rPr>
              <w:t>اللغة العربية</w:t>
            </w:r>
            <w:r>
              <w:rPr>
                <w:rStyle w:val="IndexLink"/>
                <w:rtl w:val="true"/>
              </w:rPr>
              <w:tab/>
            </w:r>
            <w:r>
              <w:rPr>
                <w:rStyle w:val="IndexLink"/>
              </w:rPr>
              <w:t>74</w:t>
            </w:r>
          </w:hyperlink>
        </w:p>
        <w:p>
          <w:pPr>
            <w:pStyle w:val="Contents2"/>
            <w:tabs>
              <w:tab w:val="clear" w:pos="8743"/>
              <w:tab w:val="right" w:pos="9026" w:leader="dot"/>
            </w:tabs>
            <w:rPr/>
          </w:pPr>
          <w:hyperlink w:anchor="__RefHeading___Toc12183797_2142443653">
            <w:r>
              <w:rPr>
                <w:webHidden/>
                <w:rStyle w:val="IndexLink"/>
                <w:rtl w:val="true"/>
              </w:rPr>
              <w:t>ترجمة الأحكام الإسلامية</w:t>
            </w:r>
            <w:r>
              <w:rPr>
                <w:rStyle w:val="IndexLink"/>
                <w:rtl w:val="true"/>
              </w:rPr>
              <w:tab/>
            </w:r>
            <w:r>
              <w:rPr>
                <w:rStyle w:val="IndexLink"/>
              </w:rPr>
              <w:t>75</w:t>
            </w:r>
          </w:hyperlink>
        </w:p>
        <w:p>
          <w:pPr>
            <w:pStyle w:val="Contents2"/>
            <w:tabs>
              <w:tab w:val="clear" w:pos="8743"/>
              <w:tab w:val="right" w:pos="9026" w:leader="dot"/>
            </w:tabs>
            <w:rPr/>
          </w:pPr>
          <w:hyperlink w:anchor="__RefHeading___Toc12183799_2142443653">
            <w:r>
              <w:rPr>
                <w:webHidden/>
                <w:rStyle w:val="IndexLink"/>
                <w:rtl w:val="true"/>
              </w:rPr>
              <w:t>إثبات حقانية الإسلام</w:t>
            </w:r>
            <w:r>
              <w:rPr>
                <w:rStyle w:val="IndexLink"/>
                <w:rtl w:val="true"/>
              </w:rPr>
              <w:tab/>
            </w:r>
            <w:r>
              <w:rPr>
                <w:rStyle w:val="IndexLink"/>
              </w:rPr>
              <w:t>76</w:t>
            </w:r>
          </w:hyperlink>
        </w:p>
        <w:p>
          <w:pPr>
            <w:pStyle w:val="Contents2"/>
            <w:tabs>
              <w:tab w:val="clear" w:pos="8743"/>
              <w:tab w:val="right" w:pos="9026" w:leader="dot"/>
            </w:tabs>
            <w:rPr/>
          </w:pPr>
          <w:hyperlink w:anchor="__RefHeading___Toc12183801_2142443653">
            <w:r>
              <w:rPr>
                <w:webHidden/>
                <w:rStyle w:val="IndexLink"/>
                <w:rtl w:val="true"/>
              </w:rPr>
              <w:t>التكليف بقدر المستطاع</w:t>
            </w:r>
            <w:r>
              <w:rPr>
                <w:rStyle w:val="IndexLink"/>
                <w:rtl w:val="true"/>
              </w:rPr>
              <w:tab/>
            </w:r>
            <w:r>
              <w:rPr>
                <w:rStyle w:val="IndexLink"/>
              </w:rPr>
              <w:t>76</w:t>
            </w:r>
          </w:hyperlink>
        </w:p>
        <w:p>
          <w:pPr>
            <w:pStyle w:val="Contents2"/>
            <w:tabs>
              <w:tab w:val="clear" w:pos="8743"/>
              <w:tab w:val="right" w:pos="9026" w:leader="dot"/>
            </w:tabs>
            <w:rPr/>
          </w:pPr>
          <w:hyperlink w:anchor="__RefHeading___Toc12183803_2142443653">
            <w:r>
              <w:rPr>
                <w:webHidden/>
                <w:rStyle w:val="IndexLink"/>
                <w:rtl w:val="true"/>
              </w:rPr>
              <w:t>أحكام الجاهل بالإسلام</w:t>
            </w:r>
            <w:r>
              <w:rPr>
                <w:rStyle w:val="IndexLink"/>
                <w:rtl w:val="true"/>
              </w:rPr>
              <w:tab/>
            </w:r>
            <w:r>
              <w:rPr>
                <w:rStyle w:val="IndexLink"/>
              </w:rPr>
              <w:t>78</w:t>
            </w:r>
          </w:hyperlink>
        </w:p>
        <w:p>
          <w:pPr>
            <w:pStyle w:val="Contents2"/>
            <w:tabs>
              <w:tab w:val="clear" w:pos="8743"/>
              <w:tab w:val="right" w:pos="9026" w:leader="dot"/>
            </w:tabs>
            <w:rPr/>
          </w:pPr>
          <w:hyperlink w:anchor="__RefHeading___Toc12183805_2142443653">
            <w:r>
              <w:rPr>
                <w:webHidden/>
                <w:rStyle w:val="IndexLink"/>
                <w:rtl w:val="true"/>
              </w:rPr>
              <w:t>قيمة الإنسان الواقعية ليس بالموازين المعتادة</w:t>
            </w:r>
            <w:r>
              <w:rPr>
                <w:rStyle w:val="IndexLink"/>
                <w:rtl w:val="true"/>
              </w:rPr>
              <w:tab/>
            </w:r>
            <w:r>
              <w:rPr>
                <w:rStyle w:val="IndexLink"/>
              </w:rPr>
              <w:t>80</w:t>
            </w:r>
          </w:hyperlink>
        </w:p>
        <w:p>
          <w:pPr>
            <w:pStyle w:val="Contents2"/>
            <w:tabs>
              <w:tab w:val="clear" w:pos="8743"/>
              <w:tab w:val="right" w:pos="9026" w:leader="dot"/>
            </w:tabs>
            <w:rPr/>
          </w:pPr>
          <w:hyperlink w:anchor="__RefHeading___Toc12183807_2142443653">
            <w:r>
              <w:rPr>
                <w:webHidden/>
                <w:rStyle w:val="IndexLink"/>
                <w:rtl w:val="true"/>
              </w:rPr>
              <w:t>بيع الأوراق التجارية</w:t>
            </w:r>
            <w:r>
              <w:rPr>
                <w:rStyle w:val="IndexLink"/>
                <w:rtl w:val="true"/>
              </w:rPr>
              <w:tab/>
            </w:r>
            <w:r>
              <w:rPr>
                <w:rStyle w:val="IndexLink"/>
              </w:rPr>
              <w:t>80</w:t>
            </w:r>
          </w:hyperlink>
        </w:p>
        <w:p>
          <w:pPr>
            <w:pStyle w:val="Contents2"/>
            <w:tabs>
              <w:tab w:val="clear" w:pos="8743"/>
              <w:tab w:val="right" w:pos="9026" w:leader="dot"/>
            </w:tabs>
            <w:rPr/>
          </w:pPr>
          <w:hyperlink w:anchor="__RefHeading___Toc12183809_2142443653">
            <w:r>
              <w:rPr>
                <w:webHidden/>
                <w:rStyle w:val="IndexLink"/>
                <w:rtl w:val="true"/>
              </w:rPr>
              <w:t>التجنس بجنسيتين</w:t>
            </w:r>
            <w:r>
              <w:rPr>
                <w:rStyle w:val="IndexLink"/>
                <w:rtl w:val="true"/>
              </w:rPr>
              <w:tab/>
            </w:r>
            <w:r>
              <w:rPr>
                <w:rStyle w:val="IndexLink"/>
              </w:rPr>
              <w:t>81</w:t>
            </w:r>
          </w:hyperlink>
        </w:p>
        <w:p>
          <w:pPr>
            <w:pStyle w:val="Contents2"/>
            <w:tabs>
              <w:tab w:val="clear" w:pos="8743"/>
              <w:tab w:val="right" w:pos="9026" w:leader="dot"/>
            </w:tabs>
            <w:rPr/>
          </w:pPr>
          <w:hyperlink w:anchor="__RefHeading___Toc12183811_2142443653">
            <w:r>
              <w:rPr>
                <w:webHidden/>
                <w:rStyle w:val="IndexLink"/>
                <w:rtl w:val="true"/>
              </w:rPr>
              <w:t>بيع الجنسية أو الهوية</w:t>
            </w:r>
            <w:r>
              <w:rPr>
                <w:rStyle w:val="IndexLink"/>
                <w:rtl w:val="true"/>
              </w:rPr>
              <w:tab/>
            </w:r>
            <w:r>
              <w:rPr>
                <w:rStyle w:val="IndexLink"/>
              </w:rPr>
              <w:t>82</w:t>
            </w:r>
          </w:hyperlink>
        </w:p>
        <w:p>
          <w:pPr>
            <w:pStyle w:val="Contents2"/>
            <w:tabs>
              <w:tab w:val="clear" w:pos="8743"/>
              <w:tab w:val="right" w:pos="9026" w:leader="dot"/>
            </w:tabs>
            <w:rPr/>
          </w:pPr>
          <w:hyperlink w:anchor="__RefHeading___Toc12183813_2142443653">
            <w:r>
              <w:rPr>
                <w:webHidden/>
                <w:rStyle w:val="IndexLink"/>
                <w:rtl w:val="true"/>
              </w:rPr>
              <w:t>المسلم والقوانين الوضعية</w:t>
            </w:r>
            <w:r>
              <w:rPr>
                <w:rStyle w:val="IndexLink"/>
                <w:rtl w:val="true"/>
              </w:rPr>
              <w:tab/>
            </w:r>
            <w:r>
              <w:rPr>
                <w:rStyle w:val="IndexLink"/>
              </w:rPr>
              <w:t>82</w:t>
            </w:r>
          </w:hyperlink>
        </w:p>
        <w:p>
          <w:pPr>
            <w:pStyle w:val="Contents2"/>
            <w:tabs>
              <w:tab w:val="clear" w:pos="8743"/>
              <w:tab w:val="right" w:pos="9026" w:leader="dot"/>
            </w:tabs>
            <w:rPr/>
          </w:pPr>
          <w:hyperlink w:anchor="__RefHeading___Toc12183815_2142443653">
            <w:r>
              <w:rPr>
                <w:webHidden/>
                <w:rStyle w:val="IndexLink"/>
                <w:rtl w:val="true"/>
              </w:rPr>
              <w:t>أوراق القروض النقدية</w:t>
            </w:r>
            <w:r>
              <w:rPr>
                <w:rStyle w:val="IndexLink"/>
                <w:rtl w:val="true"/>
              </w:rPr>
              <w:tab/>
            </w:r>
            <w:r>
              <w:rPr>
                <w:rStyle w:val="IndexLink"/>
              </w:rPr>
              <w:t>83</w:t>
            </w:r>
          </w:hyperlink>
        </w:p>
        <w:p>
          <w:pPr>
            <w:pStyle w:val="Contents2"/>
            <w:tabs>
              <w:tab w:val="clear" w:pos="8743"/>
              <w:tab w:val="right" w:pos="9026" w:leader="dot"/>
            </w:tabs>
            <w:rPr/>
          </w:pPr>
          <w:hyperlink w:anchor="__RefHeading___Toc12183817_2142443653">
            <w:r>
              <w:rPr>
                <w:webHidden/>
                <w:rStyle w:val="IndexLink"/>
                <w:rtl w:val="true"/>
              </w:rPr>
              <w:t>مصارعة الحيوانات</w:t>
            </w:r>
            <w:r>
              <w:rPr>
                <w:rStyle w:val="IndexLink"/>
                <w:rtl w:val="true"/>
              </w:rPr>
              <w:tab/>
            </w:r>
            <w:r>
              <w:rPr>
                <w:rStyle w:val="IndexLink"/>
              </w:rPr>
              <w:t>84</w:t>
            </w:r>
          </w:hyperlink>
        </w:p>
        <w:p>
          <w:pPr>
            <w:pStyle w:val="Contents2"/>
            <w:tabs>
              <w:tab w:val="clear" w:pos="8743"/>
              <w:tab w:val="right" w:pos="9026" w:leader="dot"/>
            </w:tabs>
            <w:rPr/>
          </w:pPr>
          <w:hyperlink w:anchor="__RefHeading___Toc12183819_2142443653">
            <w:r>
              <w:rPr>
                <w:webHidden/>
                <w:rStyle w:val="IndexLink"/>
                <w:rtl w:val="true"/>
              </w:rPr>
              <w:t>كبس الماء</w:t>
            </w:r>
            <w:r>
              <w:rPr>
                <w:rStyle w:val="IndexLink"/>
                <w:rtl w:val="true"/>
              </w:rPr>
              <w:tab/>
            </w:r>
            <w:r>
              <w:rPr>
                <w:rStyle w:val="IndexLink"/>
              </w:rPr>
              <w:t>85</w:t>
            </w:r>
          </w:hyperlink>
        </w:p>
        <w:p>
          <w:pPr>
            <w:pStyle w:val="Contents2"/>
            <w:tabs>
              <w:tab w:val="clear" w:pos="8743"/>
              <w:tab w:val="right" w:pos="9026" w:leader="dot"/>
            </w:tabs>
            <w:rPr/>
          </w:pPr>
          <w:hyperlink w:anchor="__RefHeading___Toc12183821_2142443653">
            <w:r>
              <w:rPr>
                <w:webHidden/>
                <w:rStyle w:val="IndexLink"/>
                <w:rtl w:val="true"/>
              </w:rPr>
              <w:t>تخلخل الماء</w:t>
            </w:r>
            <w:r>
              <w:rPr>
                <w:rStyle w:val="IndexLink"/>
                <w:rtl w:val="true"/>
              </w:rPr>
              <w:tab/>
            </w:r>
            <w:r>
              <w:rPr>
                <w:rStyle w:val="IndexLink"/>
              </w:rPr>
              <w:t>86</w:t>
            </w:r>
          </w:hyperlink>
        </w:p>
        <w:p>
          <w:pPr>
            <w:pStyle w:val="Contents2"/>
            <w:tabs>
              <w:tab w:val="clear" w:pos="8743"/>
              <w:tab w:val="right" w:pos="9026" w:leader="dot"/>
            </w:tabs>
            <w:rPr/>
          </w:pPr>
          <w:hyperlink w:anchor="__RefHeading___Toc12183823_2142443653">
            <w:r>
              <w:rPr>
                <w:webHidden/>
                <w:rStyle w:val="IndexLink"/>
                <w:rtl w:val="true"/>
              </w:rPr>
              <w:t>إضافة جسم غريب على الماء</w:t>
            </w:r>
            <w:r>
              <w:rPr>
                <w:rStyle w:val="IndexLink"/>
                <w:rtl w:val="true"/>
              </w:rPr>
              <w:tab/>
            </w:r>
            <w:r>
              <w:rPr>
                <w:rStyle w:val="IndexLink"/>
              </w:rPr>
              <w:t>86</w:t>
            </w:r>
          </w:hyperlink>
        </w:p>
        <w:p>
          <w:pPr>
            <w:pStyle w:val="Contents2"/>
            <w:tabs>
              <w:tab w:val="clear" w:pos="8743"/>
              <w:tab w:val="right" w:pos="9026" w:leader="dot"/>
            </w:tabs>
            <w:rPr/>
          </w:pPr>
          <w:hyperlink w:anchor="__RefHeading___Toc12183825_2142443653">
            <w:r>
              <w:rPr>
                <w:webHidden/>
                <w:rStyle w:val="IndexLink"/>
                <w:rtl w:val="true"/>
              </w:rPr>
              <w:t>تقليل وزن الماء</w:t>
            </w:r>
            <w:r>
              <w:rPr>
                <w:rStyle w:val="IndexLink"/>
                <w:rtl w:val="true"/>
              </w:rPr>
              <w:tab/>
            </w:r>
            <w:r>
              <w:rPr>
                <w:rStyle w:val="IndexLink"/>
              </w:rPr>
              <w:t>87</w:t>
            </w:r>
          </w:hyperlink>
        </w:p>
        <w:p>
          <w:pPr>
            <w:pStyle w:val="Contents2"/>
            <w:tabs>
              <w:tab w:val="clear" w:pos="8743"/>
              <w:tab w:val="right" w:pos="9026" w:leader="dot"/>
            </w:tabs>
            <w:rPr/>
          </w:pPr>
          <w:hyperlink w:anchor="__RefHeading___Toc12183827_2142443653">
            <w:r>
              <w:rPr>
                <w:webHidden/>
                <w:rStyle w:val="IndexLink"/>
                <w:rtl w:val="true"/>
              </w:rPr>
              <w:t>هجرة المكتبات الضخمة</w:t>
            </w:r>
            <w:r>
              <w:rPr>
                <w:rStyle w:val="IndexLink"/>
                <w:rtl w:val="true"/>
              </w:rPr>
              <w:tab/>
            </w:r>
            <w:r>
              <w:rPr>
                <w:rStyle w:val="IndexLink"/>
              </w:rPr>
              <w:t>87</w:t>
            </w:r>
          </w:hyperlink>
        </w:p>
        <w:p>
          <w:pPr>
            <w:pStyle w:val="Contents2"/>
            <w:tabs>
              <w:tab w:val="clear" w:pos="8743"/>
              <w:tab w:val="right" w:pos="9026" w:leader="dot"/>
            </w:tabs>
            <w:rPr/>
          </w:pPr>
          <w:hyperlink w:anchor="__RefHeading___Toc12183829_2142443653">
            <w:r>
              <w:rPr>
                <w:webHidden/>
                <w:rStyle w:val="IndexLink"/>
                <w:rtl w:val="true"/>
              </w:rPr>
              <w:t>الاعتداء على غير المعتدي</w:t>
            </w:r>
            <w:r>
              <w:rPr>
                <w:rStyle w:val="IndexLink"/>
                <w:rtl w:val="true"/>
              </w:rPr>
              <w:tab/>
            </w:r>
            <w:r>
              <w:rPr>
                <w:rStyle w:val="IndexLink"/>
              </w:rPr>
              <w:t>88</w:t>
            </w:r>
          </w:hyperlink>
        </w:p>
        <w:p>
          <w:pPr>
            <w:pStyle w:val="Contents2"/>
            <w:tabs>
              <w:tab w:val="clear" w:pos="8743"/>
              <w:tab w:val="right" w:pos="9026" w:leader="dot"/>
            </w:tabs>
            <w:rPr/>
          </w:pPr>
          <w:hyperlink w:anchor="__RefHeading___Toc12183831_2142443653">
            <w:r>
              <w:rPr>
                <w:webHidden/>
                <w:rStyle w:val="IndexLink"/>
                <w:rtl w:val="true"/>
              </w:rPr>
              <w:t>جزاء التعدي</w:t>
            </w:r>
            <w:r>
              <w:rPr>
                <w:rStyle w:val="IndexLink"/>
                <w:rtl w:val="true"/>
              </w:rPr>
              <w:tab/>
            </w:r>
            <w:r>
              <w:rPr>
                <w:rStyle w:val="IndexLink"/>
              </w:rPr>
              <w:t>89</w:t>
            </w:r>
          </w:hyperlink>
        </w:p>
        <w:p>
          <w:pPr>
            <w:pStyle w:val="Contents2"/>
            <w:tabs>
              <w:tab w:val="clear" w:pos="8743"/>
              <w:tab w:val="right" w:pos="9026" w:leader="dot"/>
            </w:tabs>
            <w:rPr/>
          </w:pPr>
          <w:hyperlink w:anchor="__RefHeading___Toc12183833_2142443653">
            <w:r>
              <w:rPr>
                <w:webHidden/>
                <w:rStyle w:val="IndexLink"/>
                <w:rtl w:val="true"/>
              </w:rPr>
              <w:t>تحالف الكفار</w:t>
            </w:r>
            <w:r>
              <w:rPr>
                <w:rStyle w:val="IndexLink"/>
                <w:rtl w:val="true"/>
              </w:rPr>
              <w:tab/>
            </w:r>
            <w:r>
              <w:rPr>
                <w:rStyle w:val="IndexLink"/>
              </w:rPr>
              <w:t>90</w:t>
            </w:r>
          </w:hyperlink>
        </w:p>
        <w:p>
          <w:pPr>
            <w:pStyle w:val="Contents2"/>
            <w:tabs>
              <w:tab w:val="clear" w:pos="8743"/>
              <w:tab w:val="right" w:pos="9026" w:leader="dot"/>
            </w:tabs>
            <w:rPr/>
          </w:pPr>
          <w:hyperlink w:anchor="__RefHeading___Toc12183835_2142443653">
            <w:r>
              <w:rPr>
                <w:webHidden/>
                <w:rStyle w:val="IndexLink"/>
                <w:rtl w:val="true"/>
              </w:rPr>
              <w:t>دفاع المسلم عن المسلمين</w:t>
            </w:r>
            <w:r>
              <w:rPr>
                <w:rStyle w:val="IndexLink"/>
                <w:rtl w:val="true"/>
              </w:rPr>
              <w:tab/>
            </w:r>
            <w:r>
              <w:rPr>
                <w:rStyle w:val="IndexLink"/>
              </w:rPr>
              <w:t>90</w:t>
            </w:r>
          </w:hyperlink>
        </w:p>
        <w:p>
          <w:pPr>
            <w:pStyle w:val="Contents2"/>
            <w:tabs>
              <w:tab w:val="clear" w:pos="8743"/>
              <w:tab w:val="right" w:pos="9026" w:leader="dot"/>
            </w:tabs>
            <w:rPr/>
          </w:pPr>
          <w:hyperlink w:anchor="__RefHeading___Toc12183837_2142443653">
            <w:r>
              <w:rPr>
                <w:webHidden/>
                <w:rStyle w:val="IndexLink"/>
                <w:rtl w:val="true"/>
              </w:rPr>
              <w:t>إخراج النفائس من البلد</w:t>
            </w:r>
            <w:r>
              <w:rPr>
                <w:rStyle w:val="IndexLink"/>
                <w:rtl w:val="true"/>
              </w:rPr>
              <w:tab/>
            </w:r>
            <w:r>
              <w:rPr>
                <w:rStyle w:val="IndexLink"/>
              </w:rPr>
              <w:t>91</w:t>
            </w:r>
          </w:hyperlink>
        </w:p>
        <w:p>
          <w:pPr>
            <w:pStyle w:val="Contents2"/>
            <w:tabs>
              <w:tab w:val="clear" w:pos="8743"/>
              <w:tab w:val="right" w:pos="9026" w:leader="dot"/>
            </w:tabs>
            <w:rPr/>
          </w:pPr>
          <w:hyperlink w:anchor="__RefHeading___Toc12183839_2142443653">
            <w:r>
              <w:rPr>
                <w:webHidden/>
                <w:rStyle w:val="IndexLink"/>
                <w:rtl w:val="true"/>
              </w:rPr>
              <w:t>مصير الشيء النفيس</w:t>
            </w:r>
            <w:r>
              <w:rPr>
                <w:rStyle w:val="IndexLink"/>
                <w:rtl w:val="true"/>
              </w:rPr>
              <w:tab/>
            </w:r>
            <w:r>
              <w:rPr>
                <w:rStyle w:val="IndexLink"/>
              </w:rPr>
              <w:t>92</w:t>
            </w:r>
          </w:hyperlink>
        </w:p>
        <w:p>
          <w:pPr>
            <w:pStyle w:val="Contents2"/>
            <w:tabs>
              <w:tab w:val="clear" w:pos="8743"/>
              <w:tab w:val="right" w:pos="9026" w:leader="dot"/>
            </w:tabs>
            <w:rPr/>
          </w:pPr>
          <w:hyperlink w:anchor="__RefHeading___Toc12183841_2142443653">
            <w:r>
              <w:rPr>
                <w:webHidden/>
                <w:rStyle w:val="IndexLink"/>
                <w:rtl w:val="true"/>
              </w:rPr>
              <w:t>هجرة العقول</w:t>
            </w:r>
            <w:r>
              <w:rPr>
                <w:rStyle w:val="IndexLink"/>
                <w:rtl w:val="true"/>
              </w:rPr>
              <w:tab/>
            </w:r>
            <w:r>
              <w:rPr>
                <w:rStyle w:val="IndexLink"/>
              </w:rPr>
              <w:t>93</w:t>
            </w:r>
          </w:hyperlink>
        </w:p>
        <w:p>
          <w:pPr>
            <w:pStyle w:val="Contents2"/>
            <w:tabs>
              <w:tab w:val="clear" w:pos="8743"/>
              <w:tab w:val="right" w:pos="9026" w:leader="dot"/>
            </w:tabs>
            <w:rPr/>
          </w:pPr>
          <w:hyperlink w:anchor="__RefHeading___Toc12183843_2142443653">
            <w:r>
              <w:rPr>
                <w:webHidden/>
                <w:rStyle w:val="IndexLink"/>
                <w:rtl w:val="true"/>
              </w:rPr>
              <w:t>المهملات والاستفادة منها</w:t>
            </w:r>
            <w:r>
              <w:rPr>
                <w:rStyle w:val="IndexLink"/>
                <w:rtl w:val="true"/>
              </w:rPr>
              <w:tab/>
            </w:r>
            <w:r>
              <w:rPr>
                <w:rStyle w:val="IndexLink"/>
              </w:rPr>
              <w:t>94</w:t>
            </w:r>
          </w:hyperlink>
        </w:p>
        <w:p>
          <w:pPr>
            <w:pStyle w:val="Contents2"/>
            <w:tabs>
              <w:tab w:val="clear" w:pos="8743"/>
              <w:tab w:val="right" w:pos="9026" w:leader="dot"/>
            </w:tabs>
            <w:rPr/>
          </w:pPr>
          <w:hyperlink w:anchor="__RefHeading___Toc12183845_2142443653">
            <w:r>
              <w:rPr>
                <w:webHidden/>
                <w:rStyle w:val="IndexLink"/>
                <w:rtl w:val="true"/>
              </w:rPr>
              <w:t>صرف الماء للزرع</w:t>
            </w:r>
            <w:r>
              <w:rPr>
                <w:rStyle w:val="IndexLink"/>
                <w:rtl w:val="true"/>
              </w:rPr>
              <w:tab/>
            </w:r>
            <w:r>
              <w:rPr>
                <w:rStyle w:val="IndexLink"/>
              </w:rPr>
              <w:t>95</w:t>
            </w:r>
          </w:hyperlink>
        </w:p>
        <w:p>
          <w:pPr>
            <w:pStyle w:val="Contents2"/>
            <w:tabs>
              <w:tab w:val="clear" w:pos="8743"/>
              <w:tab w:val="right" w:pos="9026" w:leader="dot"/>
            </w:tabs>
            <w:rPr/>
          </w:pPr>
          <w:hyperlink w:anchor="__RefHeading___Toc12183847_2142443653">
            <w:r>
              <w:rPr>
                <w:webHidden/>
                <w:rStyle w:val="IndexLink"/>
                <w:rtl w:val="true"/>
              </w:rPr>
              <w:t>حرية الطرق والمواصلات</w:t>
            </w:r>
            <w:r>
              <w:rPr>
                <w:rStyle w:val="IndexLink"/>
                <w:rtl w:val="true"/>
              </w:rPr>
              <w:tab/>
            </w:r>
            <w:r>
              <w:rPr>
                <w:rStyle w:val="IndexLink"/>
              </w:rPr>
              <w:t>96</w:t>
            </w:r>
          </w:hyperlink>
        </w:p>
        <w:p>
          <w:pPr>
            <w:pStyle w:val="Contents2"/>
            <w:tabs>
              <w:tab w:val="clear" w:pos="8743"/>
              <w:tab w:val="right" w:pos="9026" w:leader="dot"/>
            </w:tabs>
            <w:rPr/>
          </w:pPr>
          <w:hyperlink w:anchor="__RefHeading___Toc12183849_2142443653">
            <w:r>
              <w:rPr>
                <w:webHidden/>
                <w:rStyle w:val="IndexLink"/>
                <w:rtl w:val="true"/>
              </w:rPr>
              <w:t>قانون المرور</w:t>
            </w:r>
            <w:r>
              <w:rPr>
                <w:rStyle w:val="IndexLink"/>
                <w:rtl w:val="true"/>
              </w:rPr>
              <w:tab/>
            </w:r>
            <w:r>
              <w:rPr>
                <w:rStyle w:val="IndexLink"/>
              </w:rPr>
              <w:t>97</w:t>
            </w:r>
          </w:hyperlink>
        </w:p>
        <w:p>
          <w:pPr>
            <w:pStyle w:val="Contents2"/>
            <w:tabs>
              <w:tab w:val="clear" w:pos="8743"/>
              <w:tab w:val="right" w:pos="9026" w:leader="dot"/>
            </w:tabs>
            <w:rPr/>
          </w:pPr>
          <w:hyperlink w:anchor="__RefHeading___Toc12183851_2142443653">
            <w:r>
              <w:rPr>
                <w:webHidden/>
                <w:rStyle w:val="IndexLink"/>
                <w:rtl w:val="true"/>
              </w:rPr>
              <w:t>ملء فراغ الشباب</w:t>
            </w:r>
            <w:r>
              <w:rPr>
                <w:rStyle w:val="IndexLink"/>
                <w:rtl w:val="true"/>
              </w:rPr>
              <w:tab/>
            </w:r>
            <w:r>
              <w:rPr>
                <w:rStyle w:val="IndexLink"/>
              </w:rPr>
              <w:t>98</w:t>
            </w:r>
          </w:hyperlink>
        </w:p>
        <w:p>
          <w:pPr>
            <w:pStyle w:val="Contents2"/>
            <w:tabs>
              <w:tab w:val="clear" w:pos="8743"/>
              <w:tab w:val="right" w:pos="9026" w:leader="dot"/>
            </w:tabs>
            <w:rPr/>
          </w:pPr>
          <w:hyperlink w:anchor="__RefHeading___Toc12183853_2142443653">
            <w:r>
              <w:rPr>
                <w:webHidden/>
                <w:rStyle w:val="IndexLink"/>
                <w:rtl w:val="true"/>
              </w:rPr>
              <w:t>النادي الإسلامي</w:t>
            </w:r>
            <w:r>
              <w:rPr>
                <w:rStyle w:val="IndexLink"/>
                <w:rtl w:val="true"/>
              </w:rPr>
              <w:tab/>
            </w:r>
            <w:r>
              <w:rPr>
                <w:rStyle w:val="IndexLink"/>
              </w:rPr>
              <w:t>99</w:t>
            </w:r>
          </w:hyperlink>
        </w:p>
        <w:p>
          <w:pPr>
            <w:pStyle w:val="Contents2"/>
            <w:tabs>
              <w:tab w:val="clear" w:pos="8743"/>
              <w:tab w:val="right" w:pos="9026" w:leader="dot"/>
            </w:tabs>
            <w:rPr/>
          </w:pPr>
          <w:hyperlink w:anchor="__RefHeading___Toc12183855_2142443653">
            <w:r>
              <w:rPr>
                <w:webHidden/>
                <w:rStyle w:val="IndexLink"/>
                <w:rtl w:val="true"/>
              </w:rPr>
              <w:t>الحلال يسد مسد الحرام</w:t>
            </w:r>
            <w:r>
              <w:rPr>
                <w:rStyle w:val="IndexLink"/>
                <w:rtl w:val="true"/>
              </w:rPr>
              <w:tab/>
            </w:r>
            <w:r>
              <w:rPr>
                <w:rStyle w:val="IndexLink"/>
              </w:rPr>
              <w:t>99</w:t>
            </w:r>
          </w:hyperlink>
        </w:p>
        <w:p>
          <w:pPr>
            <w:pStyle w:val="Contents2"/>
            <w:tabs>
              <w:tab w:val="clear" w:pos="8743"/>
              <w:tab w:val="right" w:pos="9026" w:leader="dot"/>
            </w:tabs>
            <w:rPr/>
          </w:pPr>
          <w:hyperlink w:anchor="__RefHeading___Toc12183857_2142443653">
            <w:r>
              <w:rPr>
                <w:webHidden/>
                <w:rStyle w:val="IndexLink"/>
                <w:rtl w:val="true"/>
              </w:rPr>
              <w:t>حرمة التحري</w:t>
            </w:r>
            <w:r>
              <w:rPr>
                <w:rStyle w:val="IndexLink"/>
                <w:rtl w:val="true"/>
              </w:rPr>
              <w:tab/>
            </w:r>
            <w:r>
              <w:rPr>
                <w:rStyle w:val="IndexLink"/>
              </w:rPr>
              <w:t>100</w:t>
            </w:r>
          </w:hyperlink>
        </w:p>
        <w:p>
          <w:pPr>
            <w:pStyle w:val="Contents2"/>
            <w:tabs>
              <w:tab w:val="clear" w:pos="8743"/>
              <w:tab w:val="right" w:pos="9026" w:leader="dot"/>
            </w:tabs>
            <w:rPr/>
          </w:pPr>
          <w:hyperlink w:anchor="__RefHeading___Toc12183859_2142443653">
            <w:r>
              <w:rPr>
                <w:webHidden/>
                <w:rStyle w:val="IndexLink"/>
                <w:rtl w:val="true"/>
              </w:rPr>
              <w:t>المصر على المنكر</w:t>
            </w:r>
            <w:r>
              <w:rPr>
                <w:rStyle w:val="IndexLink"/>
                <w:rtl w:val="true"/>
              </w:rPr>
              <w:tab/>
            </w:r>
            <w:r>
              <w:rPr>
                <w:rStyle w:val="IndexLink"/>
              </w:rPr>
              <w:t>100</w:t>
            </w:r>
          </w:hyperlink>
        </w:p>
        <w:p>
          <w:pPr>
            <w:pStyle w:val="Contents2"/>
            <w:tabs>
              <w:tab w:val="clear" w:pos="8743"/>
              <w:tab w:val="right" w:pos="9026" w:leader="dot"/>
            </w:tabs>
            <w:rPr/>
          </w:pPr>
          <w:hyperlink w:anchor="__RefHeading___Toc12183861_2142443653">
            <w:r>
              <w:rPr>
                <w:webHidden/>
                <w:rStyle w:val="IndexLink"/>
                <w:rtl w:val="true"/>
              </w:rPr>
              <w:t>مباهتة فاعل المنكر</w:t>
            </w:r>
            <w:r>
              <w:rPr>
                <w:rStyle w:val="IndexLink"/>
                <w:rtl w:val="true"/>
              </w:rPr>
              <w:tab/>
            </w:r>
            <w:r>
              <w:rPr>
                <w:rStyle w:val="IndexLink"/>
              </w:rPr>
              <w:t>101</w:t>
            </w:r>
          </w:hyperlink>
        </w:p>
        <w:p>
          <w:pPr>
            <w:pStyle w:val="Contents2"/>
            <w:tabs>
              <w:tab w:val="clear" w:pos="8743"/>
              <w:tab w:val="right" w:pos="9026" w:leader="dot"/>
            </w:tabs>
            <w:rPr/>
          </w:pPr>
          <w:hyperlink w:anchor="__RefHeading___Toc12183863_2142443653">
            <w:r>
              <w:rPr>
                <w:webHidden/>
                <w:rStyle w:val="IndexLink"/>
                <w:rtl w:val="true"/>
              </w:rPr>
              <w:t>الخبير بالأحكام الإسلامية</w:t>
            </w:r>
            <w:r>
              <w:rPr>
                <w:rStyle w:val="IndexLink"/>
                <w:rtl w:val="true"/>
              </w:rPr>
              <w:tab/>
            </w:r>
            <w:r>
              <w:rPr>
                <w:rStyle w:val="IndexLink"/>
              </w:rPr>
              <w:t>102</w:t>
            </w:r>
          </w:hyperlink>
        </w:p>
        <w:p>
          <w:pPr>
            <w:pStyle w:val="Contents2"/>
            <w:tabs>
              <w:tab w:val="clear" w:pos="8743"/>
              <w:tab w:val="right" w:pos="9026" w:leader="dot"/>
            </w:tabs>
            <w:rPr/>
          </w:pPr>
          <w:hyperlink w:anchor="__RefHeading___Toc12183865_2142443653">
            <w:r>
              <w:rPr>
                <w:webHidden/>
                <w:rStyle w:val="IndexLink"/>
                <w:rtl w:val="true"/>
              </w:rPr>
              <w:t>الإشاعات الكاذبة</w:t>
            </w:r>
            <w:r>
              <w:rPr>
                <w:rStyle w:val="IndexLink"/>
                <w:rtl w:val="true"/>
              </w:rPr>
              <w:tab/>
            </w:r>
            <w:r>
              <w:rPr>
                <w:rStyle w:val="IndexLink"/>
              </w:rPr>
              <w:t>103</w:t>
            </w:r>
          </w:hyperlink>
        </w:p>
        <w:p>
          <w:pPr>
            <w:pStyle w:val="Contents2"/>
            <w:tabs>
              <w:tab w:val="clear" w:pos="8743"/>
              <w:tab w:val="right" w:pos="9026" w:leader="dot"/>
            </w:tabs>
            <w:rPr/>
          </w:pPr>
          <w:hyperlink w:anchor="__RefHeading___Toc12183867_2142443653">
            <w:r>
              <w:rPr>
                <w:webHidden/>
                <w:rStyle w:val="IndexLink"/>
                <w:rtl w:val="true"/>
              </w:rPr>
              <w:t>وضع القوانين</w:t>
            </w:r>
            <w:r>
              <w:rPr>
                <w:rStyle w:val="IndexLink"/>
                <w:rtl w:val="true"/>
              </w:rPr>
              <w:tab/>
            </w:r>
            <w:r>
              <w:rPr>
                <w:rStyle w:val="IndexLink"/>
              </w:rPr>
              <w:t>103</w:t>
            </w:r>
          </w:hyperlink>
        </w:p>
        <w:p>
          <w:pPr>
            <w:pStyle w:val="Contents2"/>
            <w:tabs>
              <w:tab w:val="clear" w:pos="8743"/>
              <w:tab w:val="right" w:pos="9026" w:leader="dot"/>
            </w:tabs>
            <w:rPr/>
          </w:pPr>
          <w:hyperlink w:anchor="__RefHeading___Toc12183869_2142443653">
            <w:r>
              <w:rPr>
                <w:webHidden/>
                <w:rStyle w:val="IndexLink"/>
                <w:rtl w:val="true"/>
              </w:rPr>
              <w:t>دائمية الحكم الإسلامي</w:t>
            </w:r>
            <w:r>
              <w:rPr>
                <w:rStyle w:val="IndexLink"/>
                <w:rtl w:val="true"/>
              </w:rPr>
              <w:tab/>
            </w:r>
            <w:r>
              <w:rPr>
                <w:rStyle w:val="IndexLink"/>
              </w:rPr>
              <w:t>104</w:t>
            </w:r>
          </w:hyperlink>
        </w:p>
        <w:p>
          <w:pPr>
            <w:pStyle w:val="Contents2"/>
            <w:tabs>
              <w:tab w:val="clear" w:pos="8743"/>
              <w:tab w:val="right" w:pos="9026" w:leader="dot"/>
            </w:tabs>
            <w:rPr/>
          </w:pPr>
          <w:hyperlink w:anchor="__RefHeading___Toc12183871_2142443653">
            <w:r>
              <w:rPr>
                <w:webHidden/>
                <w:rStyle w:val="IndexLink"/>
                <w:rtl w:val="true"/>
              </w:rPr>
              <w:t>التحاكم إلى الطاغوت</w:t>
            </w:r>
            <w:r>
              <w:rPr>
                <w:rStyle w:val="IndexLink"/>
                <w:rtl w:val="true"/>
              </w:rPr>
              <w:tab/>
            </w:r>
            <w:r>
              <w:rPr>
                <w:rStyle w:val="IndexLink"/>
              </w:rPr>
              <w:t>105</w:t>
            </w:r>
          </w:hyperlink>
        </w:p>
        <w:p>
          <w:pPr>
            <w:pStyle w:val="Contents2"/>
            <w:tabs>
              <w:tab w:val="clear" w:pos="8743"/>
              <w:tab w:val="right" w:pos="9026" w:leader="dot"/>
            </w:tabs>
            <w:rPr/>
          </w:pPr>
          <w:hyperlink w:anchor="__RefHeading___Toc12183873_2142443653">
            <w:r>
              <w:rPr>
                <w:webHidden/>
                <w:rStyle w:val="IndexLink"/>
                <w:rtl w:val="true"/>
              </w:rPr>
              <w:t>لا حكم للحاكم المزيف</w:t>
            </w:r>
            <w:r>
              <w:rPr>
                <w:rStyle w:val="IndexLink"/>
                <w:rtl w:val="true"/>
              </w:rPr>
              <w:tab/>
            </w:r>
            <w:r>
              <w:rPr>
                <w:rStyle w:val="IndexLink"/>
              </w:rPr>
              <w:t>105</w:t>
            </w:r>
          </w:hyperlink>
        </w:p>
        <w:p>
          <w:pPr>
            <w:pStyle w:val="Contents2"/>
            <w:tabs>
              <w:tab w:val="clear" w:pos="8743"/>
              <w:tab w:val="right" w:pos="9026" w:leader="dot"/>
            </w:tabs>
            <w:rPr/>
          </w:pPr>
          <w:hyperlink w:anchor="__RefHeading___Toc12183875_2142443653">
            <w:r>
              <w:rPr>
                <w:webHidden/>
                <w:rStyle w:val="IndexLink"/>
                <w:rtl w:val="true"/>
              </w:rPr>
              <w:t>حكام الجور والتحاكم إليهم</w:t>
            </w:r>
            <w:r>
              <w:rPr>
                <w:rStyle w:val="IndexLink"/>
                <w:rtl w:val="true"/>
              </w:rPr>
              <w:tab/>
            </w:r>
            <w:r>
              <w:rPr>
                <w:rStyle w:val="IndexLink"/>
              </w:rPr>
              <w:t>106</w:t>
            </w:r>
          </w:hyperlink>
        </w:p>
        <w:p>
          <w:pPr>
            <w:pStyle w:val="Contents2"/>
            <w:tabs>
              <w:tab w:val="clear" w:pos="8743"/>
              <w:tab w:val="right" w:pos="9026" w:leader="dot"/>
            </w:tabs>
            <w:rPr/>
          </w:pPr>
          <w:hyperlink w:anchor="__RefHeading___Toc12183877_2142443653">
            <w:r>
              <w:rPr>
                <w:webHidden/>
                <w:rStyle w:val="IndexLink"/>
                <w:rtl w:val="true"/>
              </w:rPr>
              <w:t>دفع المنكر بغير الحد الشرعي</w:t>
            </w:r>
            <w:r>
              <w:rPr>
                <w:rStyle w:val="IndexLink"/>
                <w:rtl w:val="true"/>
              </w:rPr>
              <w:tab/>
            </w:r>
            <w:r>
              <w:rPr>
                <w:rStyle w:val="IndexLink"/>
              </w:rPr>
              <w:t>106</w:t>
            </w:r>
          </w:hyperlink>
        </w:p>
        <w:p>
          <w:pPr>
            <w:pStyle w:val="Contents2"/>
            <w:tabs>
              <w:tab w:val="clear" w:pos="8743"/>
              <w:tab w:val="right" w:pos="9026" w:leader="dot"/>
            </w:tabs>
            <w:rPr/>
          </w:pPr>
          <w:hyperlink w:anchor="__RefHeading___Toc12183879_2142443653">
            <w:r>
              <w:rPr>
                <w:webHidden/>
                <w:rStyle w:val="IndexLink"/>
                <w:rtl w:val="true"/>
              </w:rPr>
              <w:t>أضواء جديدة غير الشمس</w:t>
            </w:r>
            <w:r>
              <w:rPr>
                <w:rStyle w:val="IndexLink"/>
                <w:rtl w:val="true"/>
              </w:rPr>
              <w:tab/>
            </w:r>
            <w:r>
              <w:rPr>
                <w:rStyle w:val="IndexLink"/>
              </w:rPr>
              <w:t>107</w:t>
            </w:r>
          </w:hyperlink>
        </w:p>
        <w:p>
          <w:pPr>
            <w:pStyle w:val="Contents2"/>
            <w:tabs>
              <w:tab w:val="clear" w:pos="8743"/>
              <w:tab w:val="right" w:pos="9026" w:leader="dot"/>
            </w:tabs>
            <w:rPr/>
          </w:pPr>
          <w:hyperlink w:anchor="__RefHeading___Toc12183881_2142443653">
            <w:r>
              <w:rPr>
                <w:webHidden/>
                <w:rStyle w:val="IndexLink"/>
                <w:rtl w:val="true"/>
              </w:rPr>
              <w:t>فرض الظلام مع وجود الشمس</w:t>
            </w:r>
            <w:r>
              <w:rPr>
                <w:rStyle w:val="IndexLink"/>
                <w:rtl w:val="true"/>
              </w:rPr>
              <w:tab/>
            </w:r>
            <w:r>
              <w:rPr>
                <w:rStyle w:val="IndexLink"/>
              </w:rPr>
              <w:t>108</w:t>
            </w:r>
          </w:hyperlink>
        </w:p>
        <w:p>
          <w:pPr>
            <w:pStyle w:val="Contents2"/>
            <w:tabs>
              <w:tab w:val="clear" w:pos="8743"/>
              <w:tab w:val="right" w:pos="9026" w:leader="dot"/>
            </w:tabs>
            <w:rPr/>
          </w:pPr>
          <w:hyperlink w:anchor="__RefHeading___Toc12183883_2142443653">
            <w:r>
              <w:rPr>
                <w:webHidden/>
                <w:rStyle w:val="IndexLink"/>
                <w:rtl w:val="true"/>
              </w:rPr>
              <w:t>السفر إلى الفضاء والعمل حسب موازين تلك الجهات</w:t>
            </w:r>
            <w:r>
              <w:rPr>
                <w:rStyle w:val="IndexLink"/>
                <w:rtl w:val="true"/>
              </w:rPr>
              <w:tab/>
            </w:r>
            <w:r>
              <w:rPr>
                <w:rStyle w:val="IndexLink"/>
              </w:rPr>
              <w:t>108</w:t>
            </w:r>
          </w:hyperlink>
        </w:p>
        <w:p>
          <w:pPr>
            <w:pStyle w:val="Contents2"/>
            <w:tabs>
              <w:tab w:val="clear" w:pos="8743"/>
              <w:tab w:val="right" w:pos="9026" w:leader="dot"/>
            </w:tabs>
            <w:rPr/>
          </w:pPr>
          <w:hyperlink w:anchor="__RefHeading___Toc12183885_2142443653">
            <w:r>
              <w:rPr>
                <w:webHidden/>
                <w:rStyle w:val="IndexLink"/>
                <w:rtl w:val="true"/>
              </w:rPr>
              <w:t>السفر إلى القطبين</w:t>
            </w:r>
            <w:r>
              <w:rPr>
                <w:rStyle w:val="IndexLink"/>
                <w:rtl w:val="true"/>
              </w:rPr>
              <w:tab/>
            </w:r>
            <w:r>
              <w:rPr>
                <w:rStyle w:val="IndexLink"/>
              </w:rPr>
              <w:t>109</w:t>
            </w:r>
          </w:hyperlink>
        </w:p>
        <w:p>
          <w:pPr>
            <w:pStyle w:val="Contents2"/>
            <w:tabs>
              <w:tab w:val="clear" w:pos="8743"/>
              <w:tab w:val="right" w:pos="9026" w:leader="dot"/>
            </w:tabs>
            <w:rPr/>
          </w:pPr>
          <w:hyperlink w:anchor="__RefHeading___Toc12183887_2142443653">
            <w:r>
              <w:rPr>
                <w:webHidden/>
                <w:rStyle w:val="IndexLink"/>
                <w:rtl w:val="true"/>
              </w:rPr>
              <w:t>العبادة في الوجه المظلم للقمر</w:t>
            </w:r>
            <w:r>
              <w:rPr>
                <w:rStyle w:val="IndexLink"/>
                <w:rtl w:val="true"/>
              </w:rPr>
              <w:tab/>
            </w:r>
            <w:r>
              <w:rPr>
                <w:rStyle w:val="IndexLink"/>
              </w:rPr>
              <w:t>109</w:t>
            </w:r>
          </w:hyperlink>
        </w:p>
        <w:p>
          <w:pPr>
            <w:pStyle w:val="Contents2"/>
            <w:tabs>
              <w:tab w:val="clear" w:pos="8743"/>
              <w:tab w:val="right" w:pos="9026" w:leader="dot"/>
            </w:tabs>
            <w:rPr/>
          </w:pPr>
          <w:hyperlink w:anchor="__RefHeading___Toc12183889_2142443653">
            <w:r>
              <w:rPr>
                <w:webHidden/>
                <w:rStyle w:val="IndexLink"/>
                <w:rtl w:val="true"/>
              </w:rPr>
              <w:t>العبادة في الوجه المنير للقمر</w:t>
            </w:r>
            <w:r>
              <w:rPr>
                <w:rStyle w:val="IndexLink"/>
                <w:rtl w:val="true"/>
              </w:rPr>
              <w:tab/>
            </w:r>
            <w:r>
              <w:rPr>
                <w:rStyle w:val="IndexLink"/>
              </w:rPr>
              <w:t>111</w:t>
            </w:r>
          </w:hyperlink>
        </w:p>
        <w:p>
          <w:pPr>
            <w:pStyle w:val="Contents2"/>
            <w:tabs>
              <w:tab w:val="clear" w:pos="8743"/>
              <w:tab w:val="right" w:pos="9026" w:leader="dot"/>
            </w:tabs>
            <w:rPr/>
          </w:pPr>
          <w:hyperlink w:anchor="__RefHeading___Toc12183891_2142443653">
            <w:r>
              <w:rPr>
                <w:webHidden/>
                <w:rStyle w:val="IndexLink"/>
                <w:rtl w:val="true"/>
              </w:rPr>
              <w:t>العصيان في الفضاء</w:t>
            </w:r>
            <w:r>
              <w:rPr>
                <w:rStyle w:val="IndexLink"/>
                <w:rtl w:val="true"/>
              </w:rPr>
              <w:tab/>
            </w:r>
            <w:r>
              <w:rPr>
                <w:rStyle w:val="IndexLink"/>
              </w:rPr>
              <w:t>111</w:t>
            </w:r>
          </w:hyperlink>
        </w:p>
        <w:p>
          <w:pPr>
            <w:pStyle w:val="Contents2"/>
            <w:tabs>
              <w:tab w:val="clear" w:pos="8743"/>
              <w:tab w:val="right" w:pos="9026" w:leader="dot"/>
            </w:tabs>
            <w:rPr/>
          </w:pPr>
          <w:hyperlink w:anchor="__RefHeading___Toc12183893_2142443653">
            <w:r>
              <w:rPr>
                <w:webHidden/>
                <w:rStyle w:val="IndexLink"/>
                <w:rtl w:val="true"/>
              </w:rPr>
              <w:t>الصلاة خارج الكبسولة الفضائية</w:t>
            </w:r>
            <w:r>
              <w:rPr>
                <w:rStyle w:val="IndexLink"/>
                <w:rtl w:val="true"/>
              </w:rPr>
              <w:tab/>
            </w:r>
            <w:r>
              <w:rPr>
                <w:rStyle w:val="IndexLink"/>
              </w:rPr>
              <w:t>112</w:t>
            </w:r>
          </w:hyperlink>
        </w:p>
        <w:p>
          <w:pPr>
            <w:pStyle w:val="Contents2"/>
            <w:tabs>
              <w:tab w:val="clear" w:pos="8743"/>
              <w:tab w:val="right" w:pos="9026" w:leader="dot"/>
            </w:tabs>
            <w:rPr/>
          </w:pPr>
          <w:hyperlink w:anchor="__RefHeading___Toc12183895_2142443653">
            <w:r>
              <w:rPr>
                <w:webHidden/>
                <w:rStyle w:val="IndexLink"/>
                <w:rtl w:val="true"/>
              </w:rPr>
              <w:t>انعكاس نور الشمس ليلاً</w:t>
            </w:r>
            <w:r>
              <w:rPr>
                <w:rStyle w:val="IndexLink"/>
                <w:rtl w:val="true"/>
              </w:rPr>
              <w:tab/>
            </w:r>
            <w:r>
              <w:rPr>
                <w:rStyle w:val="IndexLink"/>
              </w:rPr>
              <w:t>112</w:t>
            </w:r>
          </w:hyperlink>
        </w:p>
        <w:p>
          <w:pPr>
            <w:pStyle w:val="Contents2"/>
            <w:tabs>
              <w:tab w:val="clear" w:pos="8743"/>
              <w:tab w:val="right" w:pos="9026" w:leader="dot"/>
            </w:tabs>
            <w:rPr/>
          </w:pPr>
          <w:hyperlink w:anchor="__RefHeading___Toc12183897_2142443653">
            <w:r>
              <w:rPr>
                <w:webHidden/>
                <w:rStyle w:val="IndexLink"/>
                <w:rtl w:val="true"/>
              </w:rPr>
              <w:t>التغذي بأشعة الشمس</w:t>
            </w:r>
            <w:r>
              <w:rPr>
                <w:rStyle w:val="IndexLink"/>
                <w:rtl w:val="true"/>
              </w:rPr>
              <w:tab/>
            </w:r>
            <w:r>
              <w:rPr>
                <w:rStyle w:val="IndexLink"/>
              </w:rPr>
              <w:t>113</w:t>
            </w:r>
          </w:hyperlink>
        </w:p>
        <w:p>
          <w:pPr>
            <w:pStyle w:val="Contents2"/>
            <w:tabs>
              <w:tab w:val="clear" w:pos="8743"/>
              <w:tab w:val="right" w:pos="9026" w:leader="dot"/>
            </w:tabs>
            <w:rPr/>
          </w:pPr>
          <w:hyperlink w:anchor="__RefHeading___Toc12183899_2142443653">
            <w:r>
              <w:rPr>
                <w:webHidden/>
                <w:rStyle w:val="IndexLink"/>
                <w:rtl w:val="true"/>
              </w:rPr>
              <w:t>من مستثنيات الطمأنينة في الأعضاء الصناعية</w:t>
            </w:r>
            <w:r>
              <w:rPr>
                <w:rStyle w:val="IndexLink"/>
                <w:rtl w:val="true"/>
              </w:rPr>
              <w:tab/>
            </w:r>
            <w:r>
              <w:rPr>
                <w:rStyle w:val="IndexLink"/>
              </w:rPr>
              <w:t>113</w:t>
            </w:r>
          </w:hyperlink>
        </w:p>
        <w:p>
          <w:pPr>
            <w:pStyle w:val="Contents2"/>
            <w:tabs>
              <w:tab w:val="clear" w:pos="8743"/>
              <w:tab w:val="right" w:pos="9026" w:leader="dot"/>
            </w:tabs>
            <w:rPr/>
          </w:pPr>
          <w:hyperlink w:anchor="__RefHeading___Toc12183901_2142443653">
            <w:r>
              <w:rPr>
                <w:webHidden/>
                <w:rStyle w:val="IndexLink"/>
                <w:rtl w:val="true"/>
              </w:rPr>
              <w:t>الصلاة على الثلوج</w:t>
            </w:r>
            <w:r>
              <w:rPr>
                <w:rStyle w:val="IndexLink"/>
                <w:rtl w:val="true"/>
              </w:rPr>
              <w:tab/>
            </w:r>
            <w:r>
              <w:rPr>
                <w:rStyle w:val="IndexLink"/>
              </w:rPr>
              <w:t>114</w:t>
            </w:r>
          </w:hyperlink>
        </w:p>
        <w:p>
          <w:pPr>
            <w:pStyle w:val="Contents2"/>
            <w:tabs>
              <w:tab w:val="clear" w:pos="8743"/>
              <w:tab w:val="right" w:pos="9026" w:leader="dot"/>
            </w:tabs>
            <w:rPr/>
          </w:pPr>
          <w:hyperlink w:anchor="__RefHeading___Toc12183903_2142443653">
            <w:r>
              <w:rPr>
                <w:webHidden/>
                <w:rStyle w:val="IndexLink"/>
                <w:rtl w:val="true"/>
              </w:rPr>
              <w:t>تشكيل النقابات</w:t>
            </w:r>
            <w:r>
              <w:rPr>
                <w:rStyle w:val="IndexLink"/>
                <w:rtl w:val="true"/>
              </w:rPr>
              <w:tab/>
            </w:r>
            <w:r>
              <w:rPr>
                <w:rStyle w:val="IndexLink"/>
              </w:rPr>
              <w:t>114</w:t>
            </w:r>
          </w:hyperlink>
        </w:p>
        <w:p>
          <w:pPr>
            <w:pStyle w:val="Contents2"/>
            <w:tabs>
              <w:tab w:val="clear" w:pos="8743"/>
              <w:tab w:val="right" w:pos="9026" w:leader="dot"/>
            </w:tabs>
            <w:rPr/>
          </w:pPr>
          <w:hyperlink w:anchor="__RefHeading___Toc12183905_2142443653">
            <w:r>
              <w:rPr>
                <w:webHidden/>
                <w:rStyle w:val="IndexLink"/>
                <w:rtl w:val="true"/>
              </w:rPr>
              <w:t>حدود النقابات</w:t>
            </w:r>
            <w:r>
              <w:rPr>
                <w:rStyle w:val="IndexLink"/>
                <w:rtl w:val="true"/>
              </w:rPr>
              <w:tab/>
            </w:r>
            <w:r>
              <w:rPr>
                <w:rStyle w:val="IndexLink"/>
              </w:rPr>
              <w:t>115</w:t>
            </w:r>
          </w:hyperlink>
        </w:p>
        <w:p>
          <w:pPr>
            <w:pStyle w:val="Contents2"/>
            <w:tabs>
              <w:tab w:val="clear" w:pos="8743"/>
              <w:tab w:val="right" w:pos="9026" w:leader="dot"/>
            </w:tabs>
            <w:rPr/>
          </w:pPr>
          <w:hyperlink w:anchor="__RefHeading___Toc12183907_2142443653">
            <w:r>
              <w:rPr>
                <w:webHidden/>
                <w:rStyle w:val="IndexLink"/>
                <w:rtl w:val="true"/>
              </w:rPr>
              <w:t>فرض الترتيب في شؤون الناس</w:t>
            </w:r>
            <w:r>
              <w:rPr>
                <w:rStyle w:val="IndexLink"/>
                <w:rtl w:val="true"/>
              </w:rPr>
              <w:tab/>
            </w:r>
            <w:r>
              <w:rPr>
                <w:rStyle w:val="IndexLink"/>
              </w:rPr>
              <w:t>117</w:t>
            </w:r>
          </w:hyperlink>
        </w:p>
        <w:p>
          <w:pPr>
            <w:pStyle w:val="Contents2"/>
            <w:tabs>
              <w:tab w:val="clear" w:pos="8743"/>
              <w:tab w:val="right" w:pos="9026" w:leader="dot"/>
            </w:tabs>
            <w:rPr/>
          </w:pPr>
          <w:hyperlink w:anchor="__RefHeading___Toc12183909_2142443653">
            <w:r>
              <w:rPr>
                <w:webHidden/>
                <w:rStyle w:val="IndexLink"/>
                <w:rtl w:val="true"/>
              </w:rPr>
              <w:t>فرض الترتيب في شؤون الدولة</w:t>
            </w:r>
            <w:r>
              <w:rPr>
                <w:rStyle w:val="IndexLink"/>
                <w:rtl w:val="true"/>
              </w:rPr>
              <w:tab/>
            </w:r>
            <w:r>
              <w:rPr>
                <w:rStyle w:val="IndexLink"/>
              </w:rPr>
              <w:t>117</w:t>
            </w:r>
          </w:hyperlink>
        </w:p>
        <w:p>
          <w:pPr>
            <w:pStyle w:val="Contents2"/>
            <w:tabs>
              <w:tab w:val="clear" w:pos="8743"/>
              <w:tab w:val="right" w:pos="9026" w:leader="dot"/>
            </w:tabs>
            <w:rPr/>
          </w:pPr>
          <w:hyperlink w:anchor="__RefHeading___Toc12183911_2142443653">
            <w:r>
              <w:rPr>
                <w:webHidden/>
                <w:rStyle w:val="IndexLink"/>
                <w:rtl w:val="true"/>
              </w:rPr>
              <w:t>فرض الترتيب على أصحاب السيارات</w:t>
            </w:r>
            <w:r>
              <w:rPr>
                <w:rStyle w:val="IndexLink"/>
                <w:rtl w:val="true"/>
              </w:rPr>
              <w:tab/>
            </w:r>
            <w:r>
              <w:rPr>
                <w:rStyle w:val="IndexLink"/>
              </w:rPr>
              <w:t>118</w:t>
            </w:r>
          </w:hyperlink>
        </w:p>
        <w:p>
          <w:pPr>
            <w:pStyle w:val="Contents2"/>
            <w:tabs>
              <w:tab w:val="clear" w:pos="8743"/>
              <w:tab w:val="right" w:pos="9026" w:leader="dot"/>
            </w:tabs>
            <w:rPr/>
          </w:pPr>
          <w:hyperlink w:anchor="__RefHeading___Toc12183913_2142443653">
            <w:r>
              <w:rPr>
                <w:webHidden/>
                <w:rStyle w:val="IndexLink"/>
                <w:rtl w:val="true"/>
              </w:rPr>
              <w:t>الدولة وفرض الترتيب</w:t>
            </w:r>
            <w:r>
              <w:rPr>
                <w:rStyle w:val="IndexLink"/>
                <w:rtl w:val="true"/>
              </w:rPr>
              <w:tab/>
            </w:r>
            <w:r>
              <w:rPr>
                <w:rStyle w:val="IndexLink"/>
              </w:rPr>
              <w:t>118</w:t>
            </w:r>
          </w:hyperlink>
        </w:p>
        <w:p>
          <w:pPr>
            <w:pStyle w:val="Contents2"/>
            <w:tabs>
              <w:tab w:val="clear" w:pos="8743"/>
              <w:tab w:val="right" w:pos="9026" w:leader="dot"/>
            </w:tabs>
            <w:rPr/>
          </w:pPr>
          <w:hyperlink w:anchor="__RefHeading___Toc12183915_2142443653">
            <w:r>
              <w:rPr>
                <w:webHidden/>
                <w:rStyle w:val="IndexLink"/>
                <w:rtl w:val="true"/>
              </w:rPr>
              <w:t>الحريات الإسلامية هي المقدمة</w:t>
            </w:r>
            <w:r>
              <w:rPr>
                <w:rStyle w:val="IndexLink"/>
                <w:rtl w:val="true"/>
              </w:rPr>
              <w:tab/>
            </w:r>
            <w:r>
              <w:rPr>
                <w:rStyle w:val="IndexLink"/>
              </w:rPr>
              <w:t>119</w:t>
            </w:r>
          </w:hyperlink>
        </w:p>
        <w:p>
          <w:pPr>
            <w:pStyle w:val="Contents2"/>
            <w:tabs>
              <w:tab w:val="clear" w:pos="8743"/>
              <w:tab w:val="right" w:pos="9026" w:leader="dot"/>
            </w:tabs>
            <w:rPr/>
          </w:pPr>
          <w:hyperlink w:anchor="__RefHeading___Toc12183917_2142443653">
            <w:r>
              <w:rPr>
                <w:webHidden/>
                <w:rStyle w:val="IndexLink"/>
                <w:rtl w:val="true"/>
              </w:rPr>
              <w:t>حرية السفر</w:t>
            </w:r>
            <w:r>
              <w:rPr>
                <w:rStyle w:val="IndexLink"/>
                <w:rtl w:val="true"/>
              </w:rPr>
              <w:tab/>
            </w:r>
            <w:r>
              <w:rPr>
                <w:rStyle w:val="IndexLink"/>
              </w:rPr>
              <w:t>120</w:t>
            </w:r>
          </w:hyperlink>
        </w:p>
        <w:p>
          <w:pPr>
            <w:pStyle w:val="Contents2"/>
            <w:tabs>
              <w:tab w:val="clear" w:pos="8743"/>
              <w:tab w:val="right" w:pos="9026" w:leader="dot"/>
            </w:tabs>
            <w:rPr/>
          </w:pPr>
          <w:hyperlink w:anchor="__RefHeading___Toc12183919_2142443653">
            <w:r>
              <w:rPr>
                <w:webHidden/>
                <w:rStyle w:val="IndexLink"/>
                <w:rtl w:val="true"/>
              </w:rPr>
              <w:t>المتآمرون على أمن الدولة الإسلامية</w:t>
            </w:r>
            <w:r>
              <w:rPr>
                <w:rStyle w:val="IndexLink"/>
                <w:rtl w:val="true"/>
              </w:rPr>
              <w:tab/>
            </w:r>
            <w:r>
              <w:rPr>
                <w:rStyle w:val="IndexLink"/>
              </w:rPr>
              <w:t>120</w:t>
            </w:r>
          </w:hyperlink>
        </w:p>
        <w:p>
          <w:pPr>
            <w:pStyle w:val="Contents2"/>
            <w:tabs>
              <w:tab w:val="clear" w:pos="8743"/>
              <w:tab w:val="right" w:pos="9026" w:leader="dot"/>
            </w:tabs>
            <w:rPr/>
          </w:pPr>
          <w:hyperlink w:anchor="__RefHeading___Toc12183921_2142443653">
            <w:r>
              <w:rPr>
                <w:webHidden/>
                <w:rStyle w:val="IndexLink"/>
                <w:rtl w:val="true"/>
              </w:rPr>
              <w:t>المتآمرون والبغاة</w:t>
            </w:r>
            <w:r>
              <w:rPr>
                <w:rStyle w:val="IndexLink"/>
                <w:rtl w:val="true"/>
              </w:rPr>
              <w:tab/>
            </w:r>
            <w:r>
              <w:rPr>
                <w:rStyle w:val="IndexLink"/>
              </w:rPr>
              <w:t>121</w:t>
            </w:r>
          </w:hyperlink>
        </w:p>
        <w:p>
          <w:pPr>
            <w:pStyle w:val="Contents2"/>
            <w:tabs>
              <w:tab w:val="clear" w:pos="8743"/>
              <w:tab w:val="right" w:pos="9026" w:leader="dot"/>
            </w:tabs>
            <w:rPr/>
          </w:pPr>
          <w:hyperlink w:anchor="__RefHeading___Toc12183923_2142443653">
            <w:r>
              <w:rPr>
                <w:webHidden/>
                <w:rStyle w:val="IndexLink"/>
                <w:rtl w:val="true"/>
              </w:rPr>
              <w:t>البيوتات المكشوفة</w:t>
            </w:r>
            <w:r>
              <w:rPr>
                <w:rStyle w:val="IndexLink"/>
                <w:rtl w:val="true"/>
              </w:rPr>
              <w:tab/>
            </w:r>
            <w:r>
              <w:rPr>
                <w:rStyle w:val="IndexLink"/>
              </w:rPr>
              <w:t>121</w:t>
            </w:r>
          </w:hyperlink>
        </w:p>
        <w:p>
          <w:pPr>
            <w:pStyle w:val="Contents2"/>
            <w:tabs>
              <w:tab w:val="clear" w:pos="8743"/>
              <w:tab w:val="right" w:pos="9026" w:leader="dot"/>
            </w:tabs>
            <w:rPr/>
          </w:pPr>
          <w:hyperlink w:anchor="__RefHeading___Toc12183925_2142443653">
            <w:r>
              <w:rPr>
                <w:webHidden/>
                <w:rStyle w:val="IndexLink"/>
                <w:rtl w:val="true"/>
              </w:rPr>
              <w:t>الإشراف على دار الغير</w:t>
            </w:r>
            <w:r>
              <w:rPr>
                <w:rStyle w:val="IndexLink"/>
                <w:rtl w:val="true"/>
              </w:rPr>
              <w:tab/>
            </w:r>
            <w:r>
              <w:rPr>
                <w:rStyle w:val="IndexLink"/>
              </w:rPr>
              <w:t>122</w:t>
            </w:r>
          </w:hyperlink>
        </w:p>
        <w:p>
          <w:pPr>
            <w:pStyle w:val="Contents2"/>
            <w:tabs>
              <w:tab w:val="clear" w:pos="8743"/>
              <w:tab w:val="right" w:pos="9026" w:leader="dot"/>
            </w:tabs>
            <w:rPr/>
          </w:pPr>
          <w:hyperlink w:anchor="__RefHeading___Toc12183927_2142443653">
            <w:r>
              <w:rPr>
                <w:webHidden/>
                <w:rStyle w:val="IndexLink"/>
                <w:rtl w:val="true"/>
              </w:rPr>
              <w:t>الانتحار بالهواء المسموم</w:t>
            </w:r>
            <w:r>
              <w:rPr>
                <w:rStyle w:val="IndexLink"/>
                <w:rtl w:val="true"/>
              </w:rPr>
              <w:tab/>
            </w:r>
            <w:r>
              <w:rPr>
                <w:rStyle w:val="IndexLink"/>
              </w:rPr>
              <w:t>123</w:t>
            </w:r>
          </w:hyperlink>
        </w:p>
        <w:p>
          <w:pPr>
            <w:pStyle w:val="Contents2"/>
            <w:tabs>
              <w:tab w:val="clear" w:pos="8743"/>
              <w:tab w:val="right" w:pos="9026" w:leader="dot"/>
            </w:tabs>
            <w:rPr/>
          </w:pPr>
          <w:hyperlink w:anchor="__RefHeading___Toc12183929_2142443653">
            <w:r>
              <w:rPr>
                <w:webHidden/>
                <w:rStyle w:val="IndexLink"/>
                <w:rtl w:val="true"/>
              </w:rPr>
              <w:t>التنفس بلا أجهزة</w:t>
            </w:r>
            <w:r>
              <w:rPr>
                <w:rStyle w:val="IndexLink"/>
                <w:rtl w:val="true"/>
              </w:rPr>
              <w:tab/>
            </w:r>
            <w:r>
              <w:rPr>
                <w:rStyle w:val="IndexLink"/>
              </w:rPr>
              <w:t>123</w:t>
            </w:r>
          </w:hyperlink>
        </w:p>
        <w:p>
          <w:pPr>
            <w:pStyle w:val="Contents2"/>
            <w:tabs>
              <w:tab w:val="clear" w:pos="8743"/>
              <w:tab w:val="right" w:pos="9026" w:leader="dot"/>
            </w:tabs>
            <w:rPr/>
          </w:pPr>
          <w:hyperlink w:anchor="__RefHeading___Toc12183931_2142443653">
            <w:r>
              <w:rPr>
                <w:webHidden/>
                <w:rStyle w:val="IndexLink"/>
                <w:rtl w:val="true"/>
              </w:rPr>
              <w:t>البقاء في الأجواء القاتلة</w:t>
            </w:r>
            <w:r>
              <w:rPr>
                <w:rStyle w:val="IndexLink"/>
                <w:rtl w:val="true"/>
              </w:rPr>
              <w:tab/>
            </w:r>
            <w:r>
              <w:rPr>
                <w:rStyle w:val="IndexLink"/>
              </w:rPr>
              <w:t>123</w:t>
            </w:r>
          </w:hyperlink>
        </w:p>
        <w:p>
          <w:pPr>
            <w:pStyle w:val="Contents2"/>
            <w:tabs>
              <w:tab w:val="clear" w:pos="8743"/>
              <w:tab w:val="right" w:pos="9026" w:leader="dot"/>
            </w:tabs>
            <w:rPr/>
          </w:pPr>
          <w:hyperlink w:anchor="__RefHeading___Toc12183933_2142443653">
            <w:r>
              <w:rPr>
                <w:webHidden/>
                <w:rStyle w:val="IndexLink"/>
                <w:rtl w:val="true"/>
              </w:rPr>
              <w:t>البقاء في محل يخشى فيه المرض</w:t>
            </w:r>
            <w:r>
              <w:rPr>
                <w:rStyle w:val="IndexLink"/>
                <w:rtl w:val="true"/>
              </w:rPr>
              <w:tab/>
            </w:r>
            <w:r>
              <w:rPr>
                <w:rStyle w:val="IndexLink"/>
              </w:rPr>
              <w:t>124</w:t>
            </w:r>
          </w:hyperlink>
        </w:p>
        <w:p>
          <w:pPr>
            <w:pStyle w:val="Contents2"/>
            <w:tabs>
              <w:tab w:val="clear" w:pos="8743"/>
              <w:tab w:val="right" w:pos="9026" w:leader="dot"/>
            </w:tabs>
            <w:rPr/>
          </w:pPr>
          <w:hyperlink w:anchor="__RefHeading___Toc12183935_2142443653">
            <w:r>
              <w:rPr>
                <w:webHidden/>
                <w:rStyle w:val="IndexLink"/>
                <w:rtl w:val="true"/>
              </w:rPr>
              <w:t>الصلاة في الطائرة</w:t>
            </w:r>
            <w:r>
              <w:rPr>
                <w:rStyle w:val="IndexLink"/>
                <w:rtl w:val="true"/>
              </w:rPr>
              <w:tab/>
            </w:r>
            <w:r>
              <w:rPr>
                <w:rStyle w:val="IndexLink"/>
              </w:rPr>
              <w:t>125</w:t>
            </w:r>
          </w:hyperlink>
        </w:p>
        <w:p>
          <w:pPr>
            <w:pStyle w:val="Contents2"/>
            <w:tabs>
              <w:tab w:val="clear" w:pos="8743"/>
              <w:tab w:val="right" w:pos="9026" w:leader="dot"/>
            </w:tabs>
            <w:rPr/>
          </w:pPr>
          <w:hyperlink w:anchor="__RefHeading___Toc12183937_2142443653">
            <w:r>
              <w:rPr>
                <w:webHidden/>
                <w:rStyle w:val="IndexLink"/>
                <w:rtl w:val="true"/>
              </w:rPr>
              <w:t>العلاقات الجنسية مع الأموات</w:t>
            </w:r>
            <w:r>
              <w:rPr>
                <w:rStyle w:val="IndexLink"/>
                <w:rtl w:val="true"/>
              </w:rPr>
              <w:tab/>
            </w:r>
            <w:r>
              <w:rPr>
                <w:rStyle w:val="IndexLink"/>
              </w:rPr>
              <w:t>126</w:t>
            </w:r>
          </w:hyperlink>
        </w:p>
        <w:p>
          <w:pPr>
            <w:pStyle w:val="Contents2"/>
            <w:tabs>
              <w:tab w:val="clear" w:pos="8743"/>
              <w:tab w:val="right" w:pos="9026" w:leader="dot"/>
            </w:tabs>
            <w:rPr/>
          </w:pPr>
          <w:hyperlink w:anchor="__RefHeading___Toc12183939_2142443653">
            <w:r>
              <w:rPr>
                <w:webHidden/>
                <w:rStyle w:val="IndexLink"/>
                <w:rtl w:val="true"/>
              </w:rPr>
              <w:t>معاشقة الحيوانات</w:t>
            </w:r>
            <w:r>
              <w:rPr>
                <w:rStyle w:val="IndexLink"/>
                <w:rtl w:val="true"/>
              </w:rPr>
              <w:tab/>
            </w:r>
            <w:r>
              <w:rPr>
                <w:rStyle w:val="IndexLink"/>
              </w:rPr>
              <w:t>127</w:t>
            </w:r>
          </w:hyperlink>
        </w:p>
        <w:p>
          <w:pPr>
            <w:pStyle w:val="Contents2"/>
            <w:tabs>
              <w:tab w:val="clear" w:pos="8743"/>
              <w:tab w:val="right" w:pos="9026" w:leader="dot"/>
            </w:tabs>
            <w:rPr/>
          </w:pPr>
          <w:hyperlink w:anchor="__RefHeading___Toc12183941_2142443653">
            <w:r>
              <w:rPr>
                <w:webHidden/>
                <w:rStyle w:val="IndexLink"/>
                <w:rtl w:val="true"/>
              </w:rPr>
              <w:t>معاشقة التماثيل</w:t>
            </w:r>
            <w:r>
              <w:rPr>
                <w:rStyle w:val="IndexLink"/>
                <w:rtl w:val="true"/>
              </w:rPr>
              <w:tab/>
            </w:r>
            <w:r>
              <w:rPr>
                <w:rStyle w:val="IndexLink"/>
              </w:rPr>
              <w:t>128</w:t>
            </w:r>
          </w:hyperlink>
        </w:p>
        <w:p>
          <w:pPr>
            <w:pStyle w:val="Contents2"/>
            <w:tabs>
              <w:tab w:val="clear" w:pos="8743"/>
              <w:tab w:val="right" w:pos="9026" w:leader="dot"/>
            </w:tabs>
            <w:rPr/>
          </w:pPr>
          <w:hyperlink w:anchor="__RefHeading___Toc12183943_2142443653">
            <w:r>
              <w:rPr>
                <w:webHidden/>
                <w:rStyle w:val="IndexLink"/>
                <w:rtl w:val="true"/>
              </w:rPr>
              <w:t>تطبيق حكم الكلي على الفرد</w:t>
            </w:r>
            <w:r>
              <w:rPr>
                <w:rStyle w:val="IndexLink"/>
                <w:rtl w:val="true"/>
              </w:rPr>
              <w:tab/>
            </w:r>
            <w:r>
              <w:rPr>
                <w:rStyle w:val="IndexLink"/>
              </w:rPr>
              <w:t>128</w:t>
            </w:r>
          </w:hyperlink>
        </w:p>
        <w:p>
          <w:pPr>
            <w:pStyle w:val="Contents2"/>
            <w:tabs>
              <w:tab w:val="clear" w:pos="8743"/>
              <w:tab w:val="right" w:pos="9026" w:leader="dot"/>
            </w:tabs>
            <w:rPr/>
          </w:pPr>
          <w:hyperlink w:anchor="__RefHeading___Toc12183945_2142443653">
            <w:r>
              <w:rPr>
                <w:webHidden/>
                <w:rStyle w:val="IndexLink"/>
                <w:rtl w:val="true"/>
              </w:rPr>
              <w:t>لو كان لرجل رحم</w:t>
            </w:r>
            <w:r>
              <w:rPr>
                <w:rStyle w:val="IndexLink"/>
                <w:rtl w:val="true"/>
              </w:rPr>
              <w:tab/>
            </w:r>
            <w:r>
              <w:rPr>
                <w:rStyle w:val="IndexLink"/>
              </w:rPr>
              <w:t>129</w:t>
            </w:r>
          </w:hyperlink>
        </w:p>
        <w:p>
          <w:pPr>
            <w:pStyle w:val="Contents2"/>
            <w:tabs>
              <w:tab w:val="clear" w:pos="8743"/>
              <w:tab w:val="right" w:pos="9026" w:leader="dot"/>
            </w:tabs>
            <w:rPr/>
          </w:pPr>
          <w:hyperlink w:anchor="__RefHeading___Toc12183947_2142443653">
            <w:r>
              <w:rPr>
                <w:webHidden/>
                <w:rStyle w:val="IndexLink"/>
                <w:rtl w:val="true"/>
              </w:rPr>
              <w:t>اتهام البريء</w:t>
            </w:r>
            <w:r>
              <w:rPr>
                <w:rStyle w:val="IndexLink"/>
                <w:rtl w:val="true"/>
              </w:rPr>
              <w:tab/>
            </w:r>
            <w:r>
              <w:rPr>
                <w:rStyle w:val="IndexLink"/>
              </w:rPr>
              <w:t>129</w:t>
            </w:r>
          </w:hyperlink>
        </w:p>
        <w:p>
          <w:pPr>
            <w:pStyle w:val="Contents2"/>
            <w:tabs>
              <w:tab w:val="clear" w:pos="8743"/>
              <w:tab w:val="right" w:pos="9026" w:leader="dot"/>
            </w:tabs>
            <w:rPr/>
          </w:pPr>
          <w:hyperlink w:anchor="__RefHeading___Toc12183949_2142443653">
            <w:r>
              <w:rPr>
                <w:webHidden/>
                <w:rStyle w:val="IndexLink"/>
                <w:rtl w:val="true"/>
              </w:rPr>
              <w:t>طفل بلا والدين</w:t>
            </w:r>
            <w:r>
              <w:rPr>
                <w:rStyle w:val="IndexLink"/>
                <w:rtl w:val="true"/>
              </w:rPr>
              <w:tab/>
            </w:r>
            <w:r>
              <w:rPr>
                <w:rStyle w:val="IndexLink"/>
              </w:rPr>
              <w:t>130</w:t>
            </w:r>
          </w:hyperlink>
        </w:p>
        <w:p>
          <w:pPr>
            <w:pStyle w:val="Contents2"/>
            <w:tabs>
              <w:tab w:val="clear" w:pos="8743"/>
              <w:tab w:val="right" w:pos="9026" w:leader="dot"/>
            </w:tabs>
            <w:rPr/>
          </w:pPr>
          <w:hyperlink w:anchor="__RefHeading___Toc12183951_2142443653">
            <w:r>
              <w:rPr>
                <w:webHidden/>
                <w:rStyle w:val="IndexLink"/>
                <w:rtl w:val="true"/>
              </w:rPr>
              <w:t>تشريح الميت</w:t>
            </w:r>
            <w:r>
              <w:rPr>
                <w:rStyle w:val="IndexLink"/>
                <w:rtl w:val="true"/>
              </w:rPr>
              <w:tab/>
            </w:r>
            <w:r>
              <w:rPr>
                <w:rStyle w:val="IndexLink"/>
              </w:rPr>
              <w:t>131</w:t>
            </w:r>
          </w:hyperlink>
        </w:p>
        <w:p>
          <w:pPr>
            <w:pStyle w:val="Contents2"/>
            <w:tabs>
              <w:tab w:val="clear" w:pos="8743"/>
              <w:tab w:val="right" w:pos="9026" w:leader="dot"/>
            </w:tabs>
            <w:rPr/>
          </w:pPr>
          <w:hyperlink w:anchor="__RefHeading___Toc12183953_2142443653">
            <w:r>
              <w:rPr>
                <w:webHidden/>
                <w:rStyle w:val="IndexLink"/>
                <w:rtl w:val="true"/>
              </w:rPr>
              <w:t>الجيل الجديد في القمر</w:t>
            </w:r>
            <w:r>
              <w:rPr>
                <w:rStyle w:val="IndexLink"/>
                <w:rtl w:val="true"/>
              </w:rPr>
              <w:tab/>
            </w:r>
            <w:r>
              <w:rPr>
                <w:rStyle w:val="IndexLink"/>
              </w:rPr>
              <w:t>133</w:t>
            </w:r>
          </w:hyperlink>
        </w:p>
        <w:p>
          <w:pPr>
            <w:pStyle w:val="Contents2"/>
            <w:tabs>
              <w:tab w:val="clear" w:pos="8743"/>
              <w:tab w:val="right" w:pos="9026" w:leader="dot"/>
            </w:tabs>
            <w:rPr/>
          </w:pPr>
          <w:hyperlink w:anchor="__RefHeading___Toc12183955_2142443653">
            <w:r>
              <w:rPr>
                <w:webHidden/>
                <w:rStyle w:val="IndexLink"/>
                <w:rtl w:val="true"/>
              </w:rPr>
              <w:t>الأحكام الشرعية لإنسان الكواكب</w:t>
            </w:r>
            <w:r>
              <w:rPr>
                <w:rStyle w:val="IndexLink"/>
                <w:rtl w:val="true"/>
              </w:rPr>
              <w:tab/>
            </w:r>
            <w:r>
              <w:rPr>
                <w:rStyle w:val="IndexLink"/>
              </w:rPr>
              <w:t>134</w:t>
            </w:r>
          </w:hyperlink>
        </w:p>
        <w:p>
          <w:pPr>
            <w:pStyle w:val="Contents2"/>
            <w:tabs>
              <w:tab w:val="clear" w:pos="8743"/>
              <w:tab w:val="right" w:pos="9026" w:leader="dot"/>
            </w:tabs>
            <w:rPr/>
          </w:pPr>
          <w:hyperlink w:anchor="__RefHeading___Toc12183957_2142443653">
            <w:r>
              <w:rPr>
                <w:webHidden/>
                <w:rStyle w:val="IndexLink"/>
                <w:rtl w:val="true"/>
              </w:rPr>
              <w:t>التعاطي بيننا وبين إنسان الكواكب</w:t>
            </w:r>
            <w:r>
              <w:rPr>
                <w:rStyle w:val="IndexLink"/>
                <w:rtl w:val="true"/>
              </w:rPr>
              <w:tab/>
            </w:r>
            <w:r>
              <w:rPr>
                <w:rStyle w:val="IndexLink"/>
              </w:rPr>
              <w:t>135</w:t>
            </w:r>
          </w:hyperlink>
        </w:p>
        <w:p>
          <w:pPr>
            <w:pStyle w:val="Contents2"/>
            <w:tabs>
              <w:tab w:val="clear" w:pos="8743"/>
              <w:tab w:val="right" w:pos="9026" w:leader="dot"/>
            </w:tabs>
            <w:rPr/>
          </w:pPr>
          <w:hyperlink w:anchor="__RefHeading___Toc12183959_2142443653">
            <w:r>
              <w:rPr>
                <w:webHidden/>
                <w:rStyle w:val="IndexLink"/>
                <w:rtl w:val="true"/>
              </w:rPr>
              <w:t>الجن والأرواح والشياطين وأحكامهم</w:t>
            </w:r>
            <w:r>
              <w:rPr>
                <w:rStyle w:val="IndexLink"/>
                <w:rtl w:val="true"/>
              </w:rPr>
              <w:tab/>
            </w:r>
            <w:r>
              <w:rPr>
                <w:rStyle w:val="IndexLink"/>
              </w:rPr>
              <w:t>136</w:t>
            </w:r>
          </w:hyperlink>
        </w:p>
        <w:p>
          <w:pPr>
            <w:pStyle w:val="Contents2"/>
            <w:tabs>
              <w:tab w:val="clear" w:pos="8743"/>
              <w:tab w:val="right" w:pos="9026" w:leader="dot"/>
            </w:tabs>
            <w:rPr/>
          </w:pPr>
          <w:hyperlink w:anchor="__RefHeading___Toc12183961_2142443653">
            <w:r>
              <w:rPr>
                <w:webHidden/>
                <w:rStyle w:val="IndexLink"/>
                <w:rtl w:val="true"/>
              </w:rPr>
              <w:t>كشف أسرار الغير</w:t>
            </w:r>
            <w:r>
              <w:rPr>
                <w:rStyle w:val="IndexLink"/>
                <w:rtl w:val="true"/>
              </w:rPr>
              <w:tab/>
            </w:r>
            <w:r>
              <w:rPr>
                <w:rStyle w:val="IndexLink"/>
              </w:rPr>
              <w:t>140</w:t>
            </w:r>
          </w:hyperlink>
        </w:p>
        <w:p>
          <w:pPr>
            <w:pStyle w:val="Contents2"/>
            <w:tabs>
              <w:tab w:val="clear" w:pos="8743"/>
              <w:tab w:val="right" w:pos="9026" w:leader="dot"/>
            </w:tabs>
            <w:rPr/>
          </w:pPr>
          <w:hyperlink w:anchor="__RefHeading___Toc12183963_2142443653">
            <w:r>
              <w:rPr>
                <w:webHidden/>
                <w:rStyle w:val="IndexLink"/>
                <w:rtl w:val="true"/>
              </w:rPr>
              <w:t>حكم تنجيس المساجد المتحركة</w:t>
            </w:r>
            <w:r>
              <w:rPr>
                <w:rStyle w:val="IndexLink"/>
                <w:rtl w:val="true"/>
              </w:rPr>
              <w:tab/>
            </w:r>
            <w:r>
              <w:rPr>
                <w:rStyle w:val="IndexLink"/>
              </w:rPr>
              <w:t>140</w:t>
            </w:r>
          </w:hyperlink>
        </w:p>
        <w:p>
          <w:pPr>
            <w:pStyle w:val="Contents2"/>
            <w:tabs>
              <w:tab w:val="clear" w:pos="8743"/>
              <w:tab w:val="right" w:pos="9026" w:leader="dot"/>
            </w:tabs>
            <w:rPr/>
          </w:pPr>
          <w:hyperlink w:anchor="__RefHeading___Toc12183965_2142443653">
            <w:r>
              <w:rPr>
                <w:webHidden/>
                <w:rStyle w:val="IndexLink"/>
                <w:rtl w:val="true"/>
              </w:rPr>
              <w:t>الإجناب بالحلال في الفضاء</w:t>
            </w:r>
            <w:r>
              <w:rPr>
                <w:rStyle w:val="IndexLink"/>
                <w:rtl w:val="true"/>
              </w:rPr>
              <w:tab/>
            </w:r>
            <w:r>
              <w:rPr>
                <w:rStyle w:val="IndexLink"/>
              </w:rPr>
              <w:t>141</w:t>
            </w:r>
          </w:hyperlink>
        </w:p>
        <w:p>
          <w:pPr>
            <w:pStyle w:val="Contents2"/>
            <w:tabs>
              <w:tab w:val="clear" w:pos="8743"/>
              <w:tab w:val="right" w:pos="9026" w:leader="dot"/>
            </w:tabs>
            <w:rPr/>
          </w:pPr>
          <w:hyperlink w:anchor="__RefHeading___Toc12183967_2142443653">
            <w:r>
              <w:rPr>
                <w:webHidden/>
                <w:rStyle w:val="IndexLink"/>
                <w:rtl w:val="true"/>
              </w:rPr>
              <w:t>بيع محطات الفضاء</w:t>
            </w:r>
            <w:r>
              <w:rPr>
                <w:rStyle w:val="IndexLink"/>
                <w:rtl w:val="true"/>
              </w:rPr>
              <w:tab/>
            </w:r>
            <w:r>
              <w:rPr>
                <w:rStyle w:val="IndexLink"/>
              </w:rPr>
              <w:t>141</w:t>
            </w:r>
          </w:hyperlink>
        </w:p>
        <w:p>
          <w:pPr>
            <w:pStyle w:val="Contents2"/>
            <w:tabs>
              <w:tab w:val="clear" w:pos="8743"/>
              <w:tab w:val="right" w:pos="9026" w:leader="dot"/>
            </w:tabs>
            <w:rPr/>
          </w:pPr>
          <w:hyperlink w:anchor="__RefHeading___Toc12183969_2142443653">
            <w:r>
              <w:rPr>
                <w:webHidden/>
                <w:rStyle w:val="IndexLink"/>
                <w:rtl w:val="true"/>
              </w:rPr>
              <w:t>بيع مراسي البحر</w:t>
            </w:r>
            <w:r>
              <w:rPr>
                <w:rStyle w:val="IndexLink"/>
                <w:rtl w:val="true"/>
              </w:rPr>
              <w:tab/>
            </w:r>
            <w:r>
              <w:rPr>
                <w:rStyle w:val="IndexLink"/>
              </w:rPr>
              <w:t>142</w:t>
            </w:r>
          </w:hyperlink>
        </w:p>
        <w:p>
          <w:pPr>
            <w:pStyle w:val="Contents2"/>
            <w:tabs>
              <w:tab w:val="clear" w:pos="8743"/>
              <w:tab w:val="right" w:pos="9026" w:leader="dot"/>
            </w:tabs>
            <w:rPr/>
          </w:pPr>
          <w:hyperlink w:anchor="__RefHeading___Toc12183971_2142443653">
            <w:r>
              <w:rPr>
                <w:webHidden/>
                <w:rStyle w:val="IndexLink"/>
                <w:rtl w:val="true"/>
              </w:rPr>
              <w:t>بيع طبقات الأرض</w:t>
            </w:r>
            <w:r>
              <w:rPr>
                <w:rStyle w:val="IndexLink"/>
                <w:rtl w:val="true"/>
              </w:rPr>
              <w:tab/>
            </w:r>
            <w:r>
              <w:rPr>
                <w:rStyle w:val="IndexLink"/>
              </w:rPr>
              <w:t>143</w:t>
            </w:r>
          </w:hyperlink>
        </w:p>
        <w:p>
          <w:pPr>
            <w:pStyle w:val="Contents2"/>
            <w:tabs>
              <w:tab w:val="clear" w:pos="8743"/>
              <w:tab w:val="right" w:pos="9026" w:leader="dot"/>
            </w:tabs>
            <w:rPr/>
          </w:pPr>
          <w:hyperlink w:anchor="__RefHeading___Toc12183973_2142443653">
            <w:r>
              <w:rPr>
                <w:webHidden/>
                <w:rStyle w:val="IndexLink"/>
                <w:rtl w:val="true"/>
              </w:rPr>
              <w:t>تأميم الغابات</w:t>
            </w:r>
            <w:r>
              <w:rPr>
                <w:rStyle w:val="IndexLink"/>
                <w:rtl w:val="true"/>
              </w:rPr>
              <w:tab/>
            </w:r>
            <w:r>
              <w:rPr>
                <w:rStyle w:val="IndexLink"/>
              </w:rPr>
              <w:t>143</w:t>
            </w:r>
          </w:hyperlink>
        </w:p>
        <w:p>
          <w:pPr>
            <w:pStyle w:val="Contents2"/>
            <w:tabs>
              <w:tab w:val="clear" w:pos="8743"/>
              <w:tab w:val="right" w:pos="9026" w:leader="dot"/>
            </w:tabs>
            <w:rPr/>
          </w:pPr>
          <w:hyperlink w:anchor="__RefHeading___Toc12183975_2142443653">
            <w:r>
              <w:rPr>
                <w:webHidden/>
                <w:rStyle w:val="IndexLink"/>
                <w:rtl w:val="true"/>
              </w:rPr>
              <w:t>تأميم البحار والصحاري</w:t>
            </w:r>
            <w:r>
              <w:rPr>
                <w:rStyle w:val="IndexLink"/>
                <w:rtl w:val="true"/>
              </w:rPr>
              <w:tab/>
            </w:r>
            <w:r>
              <w:rPr>
                <w:rStyle w:val="IndexLink"/>
              </w:rPr>
              <w:t>144</w:t>
            </w:r>
          </w:hyperlink>
        </w:p>
        <w:p>
          <w:pPr>
            <w:pStyle w:val="Contents2"/>
            <w:tabs>
              <w:tab w:val="clear" w:pos="8743"/>
              <w:tab w:val="right" w:pos="9026" w:leader="dot"/>
            </w:tabs>
            <w:rPr/>
          </w:pPr>
          <w:hyperlink w:anchor="__RefHeading___Toc12183977_2142443653">
            <w:r>
              <w:rPr>
                <w:webHidden/>
                <w:rStyle w:val="IndexLink"/>
                <w:rtl w:val="true"/>
              </w:rPr>
              <w:t>الاشتراكية في المعامل</w:t>
            </w:r>
            <w:r>
              <w:rPr>
                <w:rStyle w:val="IndexLink"/>
                <w:rtl w:val="true"/>
              </w:rPr>
              <w:tab/>
            </w:r>
            <w:r>
              <w:rPr>
                <w:rStyle w:val="IndexLink"/>
              </w:rPr>
              <w:t>144</w:t>
            </w:r>
          </w:hyperlink>
        </w:p>
        <w:p>
          <w:pPr>
            <w:pStyle w:val="Contents2"/>
            <w:tabs>
              <w:tab w:val="clear" w:pos="8743"/>
              <w:tab w:val="right" w:pos="9026" w:leader="dot"/>
            </w:tabs>
            <w:rPr/>
          </w:pPr>
          <w:hyperlink w:anchor="__RefHeading___Toc12183979_2142443653">
            <w:r>
              <w:rPr>
                <w:webHidden/>
                <w:rStyle w:val="IndexLink"/>
                <w:rtl w:val="true"/>
              </w:rPr>
              <w:t>التحاكم إلى العقول الالكترونية</w:t>
            </w:r>
            <w:r>
              <w:rPr>
                <w:rStyle w:val="IndexLink"/>
                <w:rtl w:val="true"/>
              </w:rPr>
              <w:tab/>
            </w:r>
            <w:r>
              <w:rPr>
                <w:rStyle w:val="IndexLink"/>
              </w:rPr>
              <w:t>145</w:t>
            </w:r>
          </w:hyperlink>
        </w:p>
        <w:p>
          <w:pPr>
            <w:pStyle w:val="Contents2"/>
            <w:tabs>
              <w:tab w:val="clear" w:pos="8743"/>
              <w:tab w:val="right" w:pos="9026" w:leader="dot"/>
            </w:tabs>
            <w:rPr/>
          </w:pPr>
          <w:hyperlink w:anchor="__RefHeading___Toc12183981_2142443653">
            <w:r>
              <w:rPr>
                <w:webHidden/>
                <w:rStyle w:val="IndexLink"/>
                <w:rtl w:val="true"/>
              </w:rPr>
              <w:t>رضا المتحاكمين بالعقل الالكتروني</w:t>
            </w:r>
            <w:r>
              <w:rPr>
                <w:rStyle w:val="IndexLink"/>
                <w:rtl w:val="true"/>
              </w:rPr>
              <w:tab/>
            </w:r>
            <w:r>
              <w:rPr>
                <w:rStyle w:val="IndexLink"/>
              </w:rPr>
              <w:t>146</w:t>
            </w:r>
          </w:hyperlink>
        </w:p>
        <w:p>
          <w:pPr>
            <w:pStyle w:val="Contents2"/>
            <w:tabs>
              <w:tab w:val="clear" w:pos="8743"/>
              <w:tab w:val="right" w:pos="9026" w:leader="dot"/>
            </w:tabs>
            <w:rPr/>
          </w:pPr>
          <w:hyperlink w:anchor="__RefHeading___Toc12183983_2142443653">
            <w:r>
              <w:rPr>
                <w:webHidden/>
                <w:rStyle w:val="IndexLink"/>
                <w:rtl w:val="true"/>
              </w:rPr>
              <w:t>حدود أحكام العقول الالكترونية</w:t>
            </w:r>
            <w:r>
              <w:rPr>
                <w:rStyle w:val="IndexLink"/>
                <w:rtl w:val="true"/>
              </w:rPr>
              <w:tab/>
            </w:r>
            <w:r>
              <w:rPr>
                <w:rStyle w:val="IndexLink"/>
              </w:rPr>
              <w:t>146</w:t>
            </w:r>
          </w:hyperlink>
        </w:p>
        <w:p>
          <w:pPr>
            <w:pStyle w:val="Contents2"/>
            <w:tabs>
              <w:tab w:val="clear" w:pos="8743"/>
              <w:tab w:val="right" w:pos="9026" w:leader="dot"/>
            </w:tabs>
            <w:rPr/>
          </w:pPr>
          <w:hyperlink w:anchor="__RefHeading___Toc12183985_2142443653">
            <w:r>
              <w:rPr>
                <w:webHidden/>
                <w:rStyle w:val="IndexLink"/>
                <w:rtl w:val="true"/>
              </w:rPr>
              <w:t>الخمر لو سقطت عن الإسكار</w:t>
            </w:r>
            <w:r>
              <w:rPr>
                <w:rStyle w:val="IndexLink"/>
                <w:rtl w:val="true"/>
              </w:rPr>
              <w:tab/>
            </w:r>
            <w:r>
              <w:rPr>
                <w:rStyle w:val="IndexLink"/>
              </w:rPr>
              <w:t>147</w:t>
            </w:r>
          </w:hyperlink>
        </w:p>
        <w:p>
          <w:pPr>
            <w:pStyle w:val="Contents2"/>
            <w:tabs>
              <w:tab w:val="clear" w:pos="8743"/>
              <w:tab w:val="right" w:pos="9026" w:leader="dot"/>
            </w:tabs>
            <w:rPr/>
          </w:pPr>
          <w:hyperlink w:anchor="__RefHeading___Toc12183987_2142443653">
            <w:r>
              <w:rPr>
                <w:webHidden/>
                <w:rStyle w:val="IndexLink"/>
                <w:rtl w:val="true"/>
              </w:rPr>
              <w:t>المسكرات الفضائية</w:t>
            </w:r>
            <w:r>
              <w:rPr>
                <w:rStyle w:val="IndexLink"/>
                <w:rtl w:val="true"/>
              </w:rPr>
              <w:tab/>
            </w:r>
            <w:r>
              <w:rPr>
                <w:rStyle w:val="IndexLink"/>
              </w:rPr>
              <w:t>148</w:t>
            </w:r>
          </w:hyperlink>
        </w:p>
        <w:p>
          <w:pPr>
            <w:pStyle w:val="Contents2"/>
            <w:tabs>
              <w:tab w:val="clear" w:pos="8743"/>
              <w:tab w:val="right" w:pos="9026" w:leader="dot"/>
            </w:tabs>
            <w:rPr/>
          </w:pPr>
          <w:hyperlink w:anchor="__RefHeading___Toc12183989_2142443653">
            <w:r>
              <w:rPr>
                <w:webHidden/>
                <w:rStyle w:val="IndexLink"/>
                <w:rtl w:val="true"/>
              </w:rPr>
              <w:t>من أحكام المسكر</w:t>
            </w:r>
            <w:r>
              <w:rPr>
                <w:rStyle w:val="IndexLink"/>
                <w:rtl w:val="true"/>
              </w:rPr>
              <w:tab/>
            </w:r>
            <w:r>
              <w:rPr>
                <w:rStyle w:val="IndexLink"/>
              </w:rPr>
              <w:t>148</w:t>
            </w:r>
          </w:hyperlink>
        </w:p>
        <w:p>
          <w:pPr>
            <w:pStyle w:val="Contents2"/>
            <w:tabs>
              <w:tab w:val="clear" w:pos="8743"/>
              <w:tab w:val="right" w:pos="9026" w:leader="dot"/>
            </w:tabs>
            <w:rPr/>
          </w:pPr>
          <w:hyperlink w:anchor="__RefHeading___Toc12183991_2142443653">
            <w:r>
              <w:rPr>
                <w:webHidden/>
                <w:rStyle w:val="IndexLink"/>
                <w:rtl w:val="true"/>
              </w:rPr>
              <w:t>الفواكه أو الأطعمة الموجبة للإسكار</w:t>
            </w:r>
            <w:r>
              <w:rPr>
                <w:rStyle w:val="IndexLink"/>
                <w:rtl w:val="true"/>
              </w:rPr>
              <w:tab/>
            </w:r>
            <w:r>
              <w:rPr>
                <w:rStyle w:val="IndexLink"/>
              </w:rPr>
              <w:t>149</w:t>
            </w:r>
          </w:hyperlink>
        </w:p>
        <w:p>
          <w:pPr>
            <w:pStyle w:val="Contents2"/>
            <w:tabs>
              <w:tab w:val="clear" w:pos="8743"/>
              <w:tab w:val="right" w:pos="9026" w:leader="dot"/>
            </w:tabs>
            <w:rPr/>
          </w:pPr>
          <w:hyperlink w:anchor="__RefHeading___Toc12183993_2142443653">
            <w:r>
              <w:rPr>
                <w:webHidden/>
                <w:rStyle w:val="IndexLink"/>
                <w:rtl w:val="true"/>
              </w:rPr>
              <w:t>العقل الآلي وتعيين أول الشهر</w:t>
            </w:r>
            <w:r>
              <w:rPr>
                <w:rStyle w:val="IndexLink"/>
                <w:rtl w:val="true"/>
              </w:rPr>
              <w:tab/>
            </w:r>
            <w:r>
              <w:rPr>
                <w:rStyle w:val="IndexLink"/>
              </w:rPr>
              <w:t>149</w:t>
            </w:r>
          </w:hyperlink>
        </w:p>
        <w:p>
          <w:pPr>
            <w:pStyle w:val="Contents2"/>
            <w:tabs>
              <w:tab w:val="clear" w:pos="8743"/>
              <w:tab w:val="right" w:pos="9026" w:leader="dot"/>
            </w:tabs>
            <w:rPr/>
          </w:pPr>
          <w:hyperlink w:anchor="__RefHeading___Toc12183995_2142443653">
            <w:r>
              <w:rPr>
                <w:webHidden/>
                <w:rStyle w:val="IndexLink"/>
                <w:rtl w:val="true"/>
              </w:rPr>
              <w:t>حصول العلم من العقل الآلي</w:t>
            </w:r>
            <w:r>
              <w:rPr>
                <w:rStyle w:val="IndexLink"/>
                <w:rtl w:val="true"/>
              </w:rPr>
              <w:tab/>
            </w:r>
            <w:r>
              <w:rPr>
                <w:rStyle w:val="IndexLink"/>
              </w:rPr>
              <w:t>150</w:t>
            </w:r>
          </w:hyperlink>
        </w:p>
        <w:p>
          <w:pPr>
            <w:pStyle w:val="Contents2"/>
            <w:tabs>
              <w:tab w:val="clear" w:pos="8743"/>
              <w:tab w:val="right" w:pos="9026" w:leader="dot"/>
            </w:tabs>
            <w:rPr/>
          </w:pPr>
          <w:hyperlink w:anchor="__RefHeading___Toc12183997_2142443653">
            <w:r>
              <w:rPr>
                <w:webHidden/>
                <w:rStyle w:val="IndexLink"/>
                <w:rtl w:val="true"/>
              </w:rPr>
              <w:t>الإضراب المستمر عن الطعام</w:t>
            </w:r>
            <w:r>
              <w:rPr>
                <w:rStyle w:val="IndexLink"/>
                <w:rtl w:val="true"/>
              </w:rPr>
              <w:tab/>
            </w:r>
            <w:r>
              <w:rPr>
                <w:rStyle w:val="IndexLink"/>
              </w:rPr>
              <w:t>150</w:t>
            </w:r>
          </w:hyperlink>
        </w:p>
        <w:p>
          <w:pPr>
            <w:pStyle w:val="Contents2"/>
            <w:tabs>
              <w:tab w:val="clear" w:pos="8743"/>
              <w:tab w:val="right" w:pos="9026" w:leader="dot"/>
            </w:tabs>
            <w:rPr/>
          </w:pPr>
          <w:hyperlink w:anchor="__RefHeading___Toc12183999_2142443653">
            <w:r>
              <w:rPr>
                <w:webHidden/>
                <w:rStyle w:val="IndexLink"/>
                <w:rtl w:val="true"/>
              </w:rPr>
              <w:t>الإضراب بإدامة الصيام</w:t>
            </w:r>
            <w:r>
              <w:rPr>
                <w:rStyle w:val="IndexLink"/>
                <w:rtl w:val="true"/>
              </w:rPr>
              <w:tab/>
            </w:r>
            <w:r>
              <w:rPr>
                <w:rStyle w:val="IndexLink"/>
              </w:rPr>
              <w:t>151</w:t>
            </w:r>
          </w:hyperlink>
        </w:p>
        <w:p>
          <w:pPr>
            <w:pStyle w:val="Contents2"/>
            <w:tabs>
              <w:tab w:val="clear" w:pos="8743"/>
              <w:tab w:val="right" w:pos="9026" w:leader="dot"/>
            </w:tabs>
            <w:rPr/>
          </w:pPr>
          <w:hyperlink w:anchor="__RefHeading___Toc12184001_2142443653">
            <w:r>
              <w:rPr>
                <w:webHidden/>
                <w:rStyle w:val="IndexLink"/>
                <w:rtl w:val="true"/>
              </w:rPr>
              <w:t>الإضراب الاحتجاجي</w:t>
            </w:r>
            <w:r>
              <w:rPr>
                <w:rStyle w:val="IndexLink"/>
                <w:rtl w:val="true"/>
              </w:rPr>
              <w:tab/>
            </w:r>
            <w:r>
              <w:rPr>
                <w:rStyle w:val="IndexLink"/>
              </w:rPr>
              <w:t>151</w:t>
            </w:r>
          </w:hyperlink>
        </w:p>
        <w:p>
          <w:pPr>
            <w:pStyle w:val="Contents2"/>
            <w:tabs>
              <w:tab w:val="clear" w:pos="8743"/>
              <w:tab w:val="right" w:pos="9026" w:leader="dot"/>
            </w:tabs>
            <w:rPr/>
          </w:pPr>
          <w:hyperlink w:anchor="__RefHeading___Toc12184003_2142443653">
            <w:r>
              <w:rPr>
                <w:webHidden/>
                <w:rStyle w:val="IndexLink"/>
                <w:rtl w:val="true"/>
              </w:rPr>
              <w:t>من أحكام الإضراب</w:t>
            </w:r>
            <w:r>
              <w:rPr>
                <w:rStyle w:val="IndexLink"/>
                <w:rtl w:val="true"/>
              </w:rPr>
              <w:tab/>
            </w:r>
            <w:r>
              <w:rPr>
                <w:rStyle w:val="IndexLink"/>
              </w:rPr>
              <w:t>152</w:t>
            </w:r>
          </w:hyperlink>
        </w:p>
        <w:p>
          <w:pPr>
            <w:pStyle w:val="Contents2"/>
            <w:tabs>
              <w:tab w:val="clear" w:pos="8743"/>
              <w:tab w:val="right" w:pos="9026" w:leader="dot"/>
            </w:tabs>
            <w:rPr/>
          </w:pPr>
          <w:hyperlink w:anchor="__RefHeading___Toc12184005_2142443653">
            <w:r>
              <w:rPr>
                <w:webHidden/>
                <w:rStyle w:val="IndexLink"/>
                <w:rtl w:val="true"/>
              </w:rPr>
              <w:t>البلوغ المبكر في الفضاء</w:t>
            </w:r>
            <w:r>
              <w:rPr>
                <w:rStyle w:val="IndexLink"/>
                <w:rtl w:val="true"/>
              </w:rPr>
              <w:tab/>
            </w:r>
            <w:r>
              <w:rPr>
                <w:rStyle w:val="IndexLink"/>
              </w:rPr>
              <w:t>153</w:t>
            </w:r>
          </w:hyperlink>
        </w:p>
        <w:p>
          <w:pPr>
            <w:pStyle w:val="Contents2"/>
            <w:tabs>
              <w:tab w:val="clear" w:pos="8743"/>
              <w:tab w:val="right" w:pos="9026" w:leader="dot"/>
            </w:tabs>
            <w:rPr/>
          </w:pPr>
          <w:hyperlink w:anchor="__RefHeading___Toc12184007_2142443653">
            <w:r>
              <w:rPr>
                <w:webHidden/>
                <w:rStyle w:val="IndexLink"/>
                <w:rtl w:val="true"/>
              </w:rPr>
              <w:t>البلوغ المتأخر في الفضاء</w:t>
            </w:r>
            <w:r>
              <w:rPr>
                <w:rStyle w:val="IndexLink"/>
                <w:rtl w:val="true"/>
              </w:rPr>
              <w:tab/>
            </w:r>
            <w:r>
              <w:rPr>
                <w:rStyle w:val="IndexLink"/>
              </w:rPr>
              <w:t>154</w:t>
            </w:r>
          </w:hyperlink>
        </w:p>
        <w:p>
          <w:pPr>
            <w:pStyle w:val="Contents2"/>
            <w:tabs>
              <w:tab w:val="clear" w:pos="8743"/>
              <w:tab w:val="right" w:pos="9026" w:leader="dot"/>
            </w:tabs>
            <w:rPr/>
          </w:pPr>
          <w:hyperlink w:anchor="__RefHeading___Toc12184009_2142443653">
            <w:r>
              <w:rPr>
                <w:webHidden/>
                <w:rStyle w:val="IndexLink"/>
                <w:rtl w:val="true"/>
              </w:rPr>
              <w:t>التسريع في إنتاج الغلات</w:t>
            </w:r>
            <w:r>
              <w:rPr>
                <w:rStyle w:val="IndexLink"/>
                <w:rtl w:val="true"/>
              </w:rPr>
              <w:tab/>
            </w:r>
            <w:r>
              <w:rPr>
                <w:rStyle w:val="IndexLink"/>
              </w:rPr>
              <w:t>154</w:t>
            </w:r>
          </w:hyperlink>
        </w:p>
        <w:p>
          <w:pPr>
            <w:pStyle w:val="Contents2"/>
            <w:tabs>
              <w:tab w:val="clear" w:pos="8743"/>
              <w:tab w:val="right" w:pos="9026" w:leader="dot"/>
            </w:tabs>
            <w:rPr/>
          </w:pPr>
          <w:hyperlink w:anchor="__RefHeading___Toc12184011_2142443653">
            <w:r>
              <w:rPr>
                <w:webHidden/>
                <w:rStyle w:val="IndexLink"/>
                <w:rtl w:val="true"/>
              </w:rPr>
              <w:t>تركيب الحنطة مع محصول آخر</w:t>
            </w:r>
            <w:r>
              <w:rPr>
                <w:rStyle w:val="IndexLink"/>
                <w:rtl w:val="true"/>
              </w:rPr>
              <w:tab/>
            </w:r>
            <w:r>
              <w:rPr>
                <w:rStyle w:val="IndexLink"/>
              </w:rPr>
              <w:t>154</w:t>
            </w:r>
          </w:hyperlink>
        </w:p>
        <w:p>
          <w:pPr>
            <w:pStyle w:val="Contents2"/>
            <w:tabs>
              <w:tab w:val="clear" w:pos="8743"/>
              <w:tab w:val="right" w:pos="9026" w:leader="dot"/>
            </w:tabs>
            <w:rPr/>
          </w:pPr>
          <w:hyperlink w:anchor="__RefHeading___Toc12184013_2142443653">
            <w:r>
              <w:rPr>
                <w:webHidden/>
                <w:rStyle w:val="IndexLink"/>
                <w:rtl w:val="true"/>
              </w:rPr>
              <w:t>عام الخمس في الكواكب</w:t>
            </w:r>
            <w:r>
              <w:rPr>
                <w:rStyle w:val="IndexLink"/>
                <w:rtl w:val="true"/>
              </w:rPr>
              <w:tab/>
            </w:r>
            <w:r>
              <w:rPr>
                <w:rStyle w:val="IndexLink"/>
              </w:rPr>
              <w:t>155</w:t>
            </w:r>
          </w:hyperlink>
        </w:p>
        <w:p>
          <w:pPr>
            <w:pStyle w:val="Contents2"/>
            <w:tabs>
              <w:tab w:val="clear" w:pos="8743"/>
              <w:tab w:val="right" w:pos="9026" w:leader="dot"/>
            </w:tabs>
            <w:rPr/>
          </w:pPr>
          <w:hyperlink w:anchor="__RefHeading___Toc12184015_2142443653">
            <w:r>
              <w:rPr>
                <w:webHidden/>
                <w:rStyle w:val="IndexLink"/>
                <w:rtl w:val="true"/>
              </w:rPr>
              <w:t>لو تبدلت أيام الأرض</w:t>
            </w:r>
            <w:r>
              <w:rPr>
                <w:rStyle w:val="IndexLink"/>
                <w:rtl w:val="true"/>
              </w:rPr>
              <w:tab/>
            </w:r>
            <w:r>
              <w:rPr>
                <w:rStyle w:val="IndexLink"/>
              </w:rPr>
              <w:t>156</w:t>
            </w:r>
          </w:hyperlink>
        </w:p>
        <w:p>
          <w:pPr>
            <w:pStyle w:val="Contents2"/>
            <w:tabs>
              <w:tab w:val="clear" w:pos="8743"/>
              <w:tab w:val="right" w:pos="9026" w:leader="dot"/>
            </w:tabs>
            <w:rPr/>
          </w:pPr>
          <w:hyperlink w:anchor="__RefHeading___Toc12184017_2142443653">
            <w:r>
              <w:rPr>
                <w:webHidden/>
                <w:rStyle w:val="IndexLink"/>
                <w:rtl w:val="true"/>
              </w:rPr>
              <w:t>لو لم تطلع الشمس أُسبوعاً</w:t>
            </w:r>
            <w:r>
              <w:rPr>
                <w:rStyle w:val="IndexLink"/>
                <w:rtl w:val="true"/>
              </w:rPr>
              <w:tab/>
            </w:r>
            <w:r>
              <w:rPr>
                <w:rStyle w:val="IndexLink"/>
              </w:rPr>
              <w:t>157</w:t>
            </w:r>
          </w:hyperlink>
        </w:p>
        <w:p>
          <w:pPr>
            <w:pStyle w:val="Contents2"/>
            <w:tabs>
              <w:tab w:val="clear" w:pos="8743"/>
              <w:tab w:val="right" w:pos="9026" w:leader="dot"/>
            </w:tabs>
            <w:rPr/>
          </w:pPr>
          <w:hyperlink w:anchor="__RefHeading___Toc12184019_2142443653">
            <w:r>
              <w:rPr>
                <w:webHidden/>
                <w:rStyle w:val="IndexLink"/>
                <w:rtl w:val="true"/>
              </w:rPr>
              <w:t>لو لم تغرب الشمس أُسبوعاُ</w:t>
            </w:r>
            <w:r>
              <w:rPr>
                <w:rStyle w:val="IndexLink"/>
                <w:rtl w:val="true"/>
              </w:rPr>
              <w:tab/>
            </w:r>
            <w:r>
              <w:rPr>
                <w:rStyle w:val="IndexLink"/>
              </w:rPr>
              <w:t>157</w:t>
            </w:r>
          </w:hyperlink>
        </w:p>
        <w:p>
          <w:pPr>
            <w:pStyle w:val="Contents2"/>
            <w:tabs>
              <w:tab w:val="clear" w:pos="8743"/>
              <w:tab w:val="right" w:pos="9026" w:leader="dot"/>
            </w:tabs>
            <w:rPr/>
          </w:pPr>
          <w:hyperlink w:anchor="__RefHeading___Toc12184021_2142443653">
            <w:r>
              <w:rPr>
                <w:webHidden/>
                <w:rStyle w:val="IndexLink"/>
                <w:rtl w:val="true"/>
              </w:rPr>
              <w:t>ظهور شمس جديدة</w:t>
            </w:r>
            <w:r>
              <w:rPr>
                <w:rStyle w:val="IndexLink"/>
                <w:rtl w:val="true"/>
              </w:rPr>
              <w:tab/>
            </w:r>
            <w:r>
              <w:rPr>
                <w:rStyle w:val="IndexLink"/>
              </w:rPr>
              <w:t>158</w:t>
            </w:r>
          </w:hyperlink>
        </w:p>
        <w:p>
          <w:pPr>
            <w:pStyle w:val="Contents2"/>
            <w:tabs>
              <w:tab w:val="clear" w:pos="8743"/>
              <w:tab w:val="right" w:pos="9026" w:leader="dot"/>
            </w:tabs>
            <w:rPr/>
          </w:pPr>
          <w:hyperlink w:anchor="__RefHeading___Toc12184023_2142443653">
            <w:r>
              <w:rPr>
                <w:webHidden/>
                <w:rStyle w:val="IndexLink"/>
                <w:rtl w:val="true"/>
              </w:rPr>
              <w:t>ضمان صاحب المرض المعدي</w:t>
            </w:r>
            <w:r>
              <w:rPr>
                <w:rStyle w:val="IndexLink"/>
                <w:rtl w:val="true"/>
              </w:rPr>
              <w:tab/>
            </w:r>
            <w:r>
              <w:rPr>
                <w:rStyle w:val="IndexLink"/>
              </w:rPr>
              <w:t>158</w:t>
            </w:r>
          </w:hyperlink>
        </w:p>
        <w:p>
          <w:pPr>
            <w:pStyle w:val="Contents2"/>
            <w:tabs>
              <w:tab w:val="clear" w:pos="8743"/>
              <w:tab w:val="right" w:pos="9026" w:leader="dot"/>
            </w:tabs>
            <w:rPr/>
          </w:pPr>
          <w:hyperlink w:anchor="__RefHeading___Toc12184025_2142443653">
            <w:r>
              <w:rPr>
                <w:webHidden/>
                <w:rStyle w:val="IndexLink"/>
                <w:rtl w:val="true"/>
              </w:rPr>
              <w:t>نوادي العراة والشذوذ الجنسي</w:t>
            </w:r>
            <w:r>
              <w:rPr>
                <w:rStyle w:val="IndexLink"/>
                <w:rtl w:val="true"/>
              </w:rPr>
              <w:tab/>
            </w:r>
            <w:r>
              <w:rPr>
                <w:rStyle w:val="IndexLink"/>
              </w:rPr>
              <w:t>159</w:t>
            </w:r>
          </w:hyperlink>
        </w:p>
        <w:p>
          <w:pPr>
            <w:pStyle w:val="Contents2"/>
            <w:tabs>
              <w:tab w:val="clear" w:pos="8743"/>
              <w:tab w:val="right" w:pos="9026" w:leader="dot"/>
            </w:tabs>
            <w:rPr/>
          </w:pPr>
          <w:hyperlink w:anchor="__RefHeading___Toc12184027_2142443653">
            <w:r>
              <w:rPr>
                <w:webHidden/>
                <w:rStyle w:val="IndexLink"/>
                <w:rtl w:val="true"/>
              </w:rPr>
              <w:t>أُجور المومسات</w:t>
            </w:r>
            <w:r>
              <w:rPr>
                <w:rStyle w:val="IndexLink"/>
                <w:rtl w:val="true"/>
              </w:rPr>
              <w:tab/>
            </w:r>
            <w:r>
              <w:rPr>
                <w:rStyle w:val="IndexLink"/>
              </w:rPr>
              <w:t>160</w:t>
            </w:r>
          </w:hyperlink>
        </w:p>
        <w:p>
          <w:pPr>
            <w:pStyle w:val="Contents2"/>
            <w:tabs>
              <w:tab w:val="clear" w:pos="8743"/>
              <w:tab w:val="right" w:pos="9026" w:leader="dot"/>
            </w:tabs>
            <w:rPr/>
          </w:pPr>
          <w:hyperlink w:anchor="__RefHeading___Toc12184029_2142443653">
            <w:r>
              <w:rPr>
                <w:webHidden/>
                <w:rStyle w:val="IndexLink"/>
                <w:rtl w:val="true"/>
              </w:rPr>
              <w:t>الارتباط بأرواح المعذبين</w:t>
            </w:r>
            <w:r>
              <w:rPr>
                <w:rStyle w:val="IndexLink"/>
                <w:rtl w:val="true"/>
              </w:rPr>
              <w:tab/>
            </w:r>
            <w:r>
              <w:rPr>
                <w:rStyle w:val="IndexLink"/>
              </w:rPr>
              <w:t>161</w:t>
            </w:r>
          </w:hyperlink>
        </w:p>
        <w:p>
          <w:pPr>
            <w:pStyle w:val="Contents2"/>
            <w:tabs>
              <w:tab w:val="clear" w:pos="8743"/>
              <w:tab w:val="right" w:pos="9026" w:leader="dot"/>
            </w:tabs>
            <w:rPr/>
          </w:pPr>
          <w:hyperlink w:anchor="__RefHeading___Toc12184031_2142443653">
            <w:r>
              <w:rPr>
                <w:webHidden/>
                <w:rStyle w:val="IndexLink"/>
                <w:rtl w:val="true"/>
              </w:rPr>
              <w:t>المواد التي تلصق بالجسم</w:t>
            </w:r>
            <w:r>
              <w:rPr>
                <w:rStyle w:val="IndexLink"/>
                <w:rtl w:val="true"/>
              </w:rPr>
              <w:tab/>
            </w:r>
            <w:r>
              <w:rPr>
                <w:rStyle w:val="IndexLink"/>
              </w:rPr>
              <w:t>163</w:t>
            </w:r>
          </w:hyperlink>
        </w:p>
        <w:p>
          <w:pPr>
            <w:pStyle w:val="Contents2"/>
            <w:tabs>
              <w:tab w:val="clear" w:pos="8743"/>
              <w:tab w:val="right" w:pos="9026" w:leader="dot"/>
            </w:tabs>
            <w:rPr/>
          </w:pPr>
          <w:hyperlink w:anchor="__RefHeading___Toc12184033_2142443653">
            <w:r>
              <w:rPr>
                <w:webHidden/>
                <w:rStyle w:val="IndexLink"/>
                <w:rtl w:val="true"/>
              </w:rPr>
              <w:t>شهادة الزور</w:t>
            </w:r>
            <w:r>
              <w:rPr>
                <w:rStyle w:val="IndexLink"/>
                <w:rtl w:val="true"/>
              </w:rPr>
              <w:tab/>
            </w:r>
            <w:r>
              <w:rPr>
                <w:rStyle w:val="IndexLink"/>
              </w:rPr>
              <w:t>164</w:t>
            </w:r>
          </w:hyperlink>
        </w:p>
        <w:p>
          <w:pPr>
            <w:pStyle w:val="Contents2"/>
            <w:tabs>
              <w:tab w:val="clear" w:pos="8743"/>
              <w:tab w:val="right" w:pos="9026" w:leader="dot"/>
            </w:tabs>
            <w:rPr/>
          </w:pPr>
          <w:hyperlink w:anchor="__RefHeading___Toc12184035_2142443653">
            <w:r>
              <w:rPr>
                <w:webHidden/>
                <w:rStyle w:val="IndexLink"/>
                <w:rtl w:val="true"/>
              </w:rPr>
              <w:t>البشرية والنضج الإسلامي</w:t>
            </w:r>
            <w:r>
              <w:rPr>
                <w:rStyle w:val="IndexLink"/>
                <w:rtl w:val="true"/>
              </w:rPr>
              <w:tab/>
            </w:r>
            <w:r>
              <w:rPr>
                <w:rStyle w:val="IndexLink"/>
              </w:rPr>
              <w:t>164</w:t>
            </w:r>
          </w:hyperlink>
        </w:p>
        <w:p>
          <w:pPr>
            <w:pStyle w:val="Contents2"/>
            <w:tabs>
              <w:tab w:val="clear" w:pos="8743"/>
              <w:tab w:val="right" w:pos="9026" w:leader="dot"/>
            </w:tabs>
            <w:rPr/>
          </w:pPr>
          <w:hyperlink w:anchor="__RefHeading___Toc12184037_2142443653">
            <w:r>
              <w:rPr>
                <w:webHidden/>
                <w:rStyle w:val="IndexLink"/>
                <w:rtl w:val="true"/>
              </w:rPr>
              <w:t>الذهب للرجال</w:t>
            </w:r>
            <w:r>
              <w:rPr>
                <w:rStyle w:val="IndexLink"/>
                <w:rtl w:val="true"/>
              </w:rPr>
              <w:tab/>
            </w:r>
            <w:r>
              <w:rPr>
                <w:rStyle w:val="IndexLink"/>
              </w:rPr>
              <w:t>166</w:t>
            </w:r>
          </w:hyperlink>
        </w:p>
        <w:p>
          <w:pPr>
            <w:pStyle w:val="Contents2"/>
            <w:tabs>
              <w:tab w:val="clear" w:pos="8743"/>
              <w:tab w:val="right" w:pos="9026" w:leader="dot"/>
            </w:tabs>
            <w:rPr/>
          </w:pPr>
          <w:hyperlink w:anchor="__RefHeading___Toc12184039_2142443653">
            <w:r>
              <w:rPr>
                <w:webHidden/>
                <w:rStyle w:val="IndexLink"/>
                <w:rtl w:val="true"/>
              </w:rPr>
              <w:t>تربية الطفل خارج الرحم</w:t>
            </w:r>
            <w:r>
              <w:rPr>
                <w:rStyle w:val="IndexLink"/>
                <w:rtl w:val="true"/>
              </w:rPr>
              <w:tab/>
            </w:r>
            <w:r>
              <w:rPr>
                <w:rStyle w:val="IndexLink"/>
              </w:rPr>
              <w:t>166</w:t>
            </w:r>
          </w:hyperlink>
        </w:p>
        <w:p>
          <w:pPr>
            <w:pStyle w:val="Contents2"/>
            <w:tabs>
              <w:tab w:val="clear" w:pos="8743"/>
              <w:tab w:val="right" w:pos="9026" w:leader="dot"/>
            </w:tabs>
            <w:rPr/>
          </w:pPr>
          <w:hyperlink w:anchor="__RefHeading___Toc12184041_2142443653">
            <w:r>
              <w:rPr>
                <w:webHidden/>
                <w:rStyle w:val="IndexLink"/>
                <w:rtl w:val="true"/>
              </w:rPr>
              <w:t>المؤسسات العامة للمساعدة والإنقاذ</w:t>
            </w:r>
            <w:r>
              <w:rPr>
                <w:rStyle w:val="IndexLink"/>
                <w:rtl w:val="true"/>
              </w:rPr>
              <w:tab/>
            </w:r>
            <w:r>
              <w:rPr>
                <w:rStyle w:val="IndexLink"/>
              </w:rPr>
              <w:t>167</w:t>
            </w:r>
          </w:hyperlink>
        </w:p>
        <w:p>
          <w:pPr>
            <w:pStyle w:val="Contents2"/>
            <w:tabs>
              <w:tab w:val="clear" w:pos="8743"/>
              <w:tab w:val="right" w:pos="9026" w:leader="dot"/>
            </w:tabs>
            <w:rPr/>
          </w:pPr>
          <w:hyperlink w:anchor="__RefHeading___Toc12184043_2142443653">
            <w:r>
              <w:rPr>
                <w:webHidden/>
                <w:rStyle w:val="IndexLink"/>
                <w:rtl w:val="true"/>
              </w:rPr>
              <w:t>مناسبات الكفار</w:t>
            </w:r>
            <w:r>
              <w:rPr>
                <w:rStyle w:val="IndexLink"/>
                <w:rtl w:val="true"/>
              </w:rPr>
              <w:tab/>
            </w:r>
            <w:r>
              <w:rPr>
                <w:rStyle w:val="IndexLink"/>
              </w:rPr>
              <w:t>168</w:t>
            </w:r>
          </w:hyperlink>
        </w:p>
        <w:p>
          <w:pPr>
            <w:pStyle w:val="Contents2"/>
            <w:tabs>
              <w:tab w:val="clear" w:pos="8743"/>
              <w:tab w:val="right" w:pos="9026" w:leader="dot"/>
            </w:tabs>
            <w:rPr/>
          </w:pPr>
          <w:hyperlink w:anchor="__RefHeading___Toc12184045_2142443653">
            <w:r>
              <w:rPr>
                <w:webHidden/>
                <w:rStyle w:val="IndexLink"/>
                <w:rtl w:val="true"/>
              </w:rPr>
              <w:t>لو تضاعف الوزن في الأرض</w:t>
            </w:r>
            <w:r>
              <w:rPr>
                <w:rStyle w:val="IndexLink"/>
                <w:rtl w:val="true"/>
              </w:rPr>
              <w:tab/>
            </w:r>
            <w:r>
              <w:rPr>
                <w:rStyle w:val="IndexLink"/>
              </w:rPr>
              <w:t>168</w:t>
            </w:r>
          </w:hyperlink>
        </w:p>
        <w:p>
          <w:pPr>
            <w:pStyle w:val="Contents2"/>
            <w:tabs>
              <w:tab w:val="clear" w:pos="8743"/>
              <w:tab w:val="right" w:pos="9026" w:leader="dot"/>
            </w:tabs>
            <w:rPr/>
          </w:pPr>
          <w:hyperlink w:anchor="__RefHeading___Toc12184047_2142443653">
            <w:r>
              <w:rPr>
                <w:webHidden/>
                <w:rStyle w:val="IndexLink"/>
                <w:rtl w:val="true"/>
              </w:rPr>
              <w:t>لو تضاعف الوزن في الكواكب</w:t>
            </w:r>
            <w:r>
              <w:rPr>
                <w:rStyle w:val="IndexLink"/>
                <w:rtl w:val="true"/>
              </w:rPr>
              <w:tab/>
            </w:r>
            <w:r>
              <w:rPr>
                <w:rStyle w:val="IndexLink"/>
              </w:rPr>
              <w:t>169</w:t>
            </w:r>
          </w:hyperlink>
        </w:p>
        <w:p>
          <w:pPr>
            <w:pStyle w:val="Contents2"/>
            <w:tabs>
              <w:tab w:val="clear" w:pos="8743"/>
              <w:tab w:val="right" w:pos="9026" w:leader="dot"/>
            </w:tabs>
            <w:rPr/>
          </w:pPr>
          <w:hyperlink w:anchor="__RefHeading___Toc12184049_2142443653">
            <w:r>
              <w:rPr>
                <w:webHidden/>
                <w:rStyle w:val="IndexLink"/>
                <w:rtl w:val="true"/>
              </w:rPr>
              <w:t>الغاز الخارج في منابع النفط</w:t>
            </w:r>
            <w:r>
              <w:rPr>
                <w:rStyle w:val="IndexLink"/>
                <w:rtl w:val="true"/>
              </w:rPr>
              <w:tab/>
            </w:r>
            <w:r>
              <w:rPr>
                <w:rStyle w:val="IndexLink"/>
              </w:rPr>
              <w:t>169</w:t>
            </w:r>
          </w:hyperlink>
        </w:p>
        <w:p>
          <w:pPr>
            <w:pStyle w:val="Contents2"/>
            <w:tabs>
              <w:tab w:val="clear" w:pos="8743"/>
              <w:tab w:val="right" w:pos="9026" w:leader="dot"/>
            </w:tabs>
            <w:rPr/>
          </w:pPr>
          <w:hyperlink w:anchor="__RefHeading___Toc12184051_2142443653">
            <w:r>
              <w:rPr>
                <w:webHidden/>
                <w:rStyle w:val="IndexLink"/>
                <w:rtl w:val="true"/>
              </w:rPr>
              <w:t>استخدام الذرة</w:t>
            </w:r>
            <w:r>
              <w:rPr>
                <w:rStyle w:val="IndexLink"/>
                <w:rtl w:val="true"/>
              </w:rPr>
              <w:tab/>
            </w:r>
            <w:r>
              <w:rPr>
                <w:rStyle w:val="IndexLink"/>
              </w:rPr>
              <w:t>170</w:t>
            </w:r>
          </w:hyperlink>
        </w:p>
        <w:p>
          <w:pPr>
            <w:pStyle w:val="Contents2"/>
            <w:tabs>
              <w:tab w:val="clear" w:pos="8743"/>
              <w:tab w:val="right" w:pos="9026" w:leader="dot"/>
            </w:tabs>
            <w:rPr/>
          </w:pPr>
          <w:hyperlink w:anchor="__RefHeading___Toc12184053_2142443653">
            <w:r>
              <w:rPr>
                <w:webHidden/>
                <w:rStyle w:val="IndexLink"/>
                <w:rtl w:val="true"/>
              </w:rPr>
              <w:t>استماع نشرات الأخبار</w:t>
            </w:r>
            <w:r>
              <w:rPr>
                <w:rStyle w:val="IndexLink"/>
                <w:rtl w:val="true"/>
              </w:rPr>
              <w:tab/>
            </w:r>
            <w:r>
              <w:rPr>
                <w:rStyle w:val="IndexLink"/>
              </w:rPr>
              <w:t>171</w:t>
            </w:r>
          </w:hyperlink>
        </w:p>
        <w:p>
          <w:pPr>
            <w:pStyle w:val="Contents2"/>
            <w:tabs>
              <w:tab w:val="clear" w:pos="8743"/>
              <w:tab w:val="right" w:pos="9026" w:leader="dot"/>
            </w:tabs>
            <w:rPr/>
          </w:pPr>
          <w:hyperlink w:anchor="__RefHeading___Toc12184055_2142443653">
            <w:r>
              <w:rPr>
                <w:webHidden/>
                <w:rStyle w:val="IndexLink"/>
                <w:rtl w:val="true"/>
              </w:rPr>
              <w:t>من شروط منع الاستماع</w:t>
            </w:r>
            <w:r>
              <w:rPr>
                <w:rStyle w:val="IndexLink"/>
                <w:rtl w:val="true"/>
              </w:rPr>
              <w:tab/>
            </w:r>
            <w:r>
              <w:rPr>
                <w:rStyle w:val="IndexLink"/>
              </w:rPr>
              <w:t>172</w:t>
            </w:r>
          </w:hyperlink>
        </w:p>
        <w:p>
          <w:pPr>
            <w:pStyle w:val="Contents2"/>
            <w:tabs>
              <w:tab w:val="clear" w:pos="8743"/>
              <w:tab w:val="right" w:pos="9026" w:leader="dot"/>
            </w:tabs>
            <w:rPr/>
          </w:pPr>
          <w:hyperlink w:anchor="__RefHeading___Toc12184057_2142443653">
            <w:r>
              <w:rPr>
                <w:webHidden/>
                <w:rStyle w:val="IndexLink"/>
                <w:rtl w:val="true"/>
              </w:rPr>
              <w:t>استماع الأخبار المضللة</w:t>
            </w:r>
            <w:r>
              <w:rPr>
                <w:rStyle w:val="IndexLink"/>
                <w:rtl w:val="true"/>
              </w:rPr>
              <w:tab/>
            </w:r>
            <w:r>
              <w:rPr>
                <w:rStyle w:val="IndexLink"/>
              </w:rPr>
              <w:t>172</w:t>
            </w:r>
          </w:hyperlink>
        </w:p>
        <w:p>
          <w:pPr>
            <w:pStyle w:val="Contents2"/>
            <w:tabs>
              <w:tab w:val="clear" w:pos="8743"/>
              <w:tab w:val="right" w:pos="9026" w:leader="dot"/>
            </w:tabs>
            <w:rPr/>
          </w:pPr>
          <w:hyperlink w:anchor="__RefHeading___Toc12184059_2142443653">
            <w:r>
              <w:rPr>
                <w:webHidden/>
                <w:rStyle w:val="IndexLink"/>
                <w:rtl w:val="true"/>
              </w:rPr>
              <w:t>الهاتف الصحراوي</w:t>
            </w:r>
            <w:r>
              <w:rPr>
                <w:rStyle w:val="IndexLink"/>
                <w:rtl w:val="true"/>
              </w:rPr>
              <w:tab/>
            </w:r>
            <w:r>
              <w:rPr>
                <w:rStyle w:val="IndexLink"/>
              </w:rPr>
              <w:t>173</w:t>
            </w:r>
          </w:hyperlink>
        </w:p>
        <w:p>
          <w:pPr>
            <w:pStyle w:val="Contents2"/>
            <w:tabs>
              <w:tab w:val="clear" w:pos="8743"/>
              <w:tab w:val="right" w:pos="9026" w:leader="dot"/>
            </w:tabs>
            <w:rPr/>
          </w:pPr>
          <w:hyperlink w:anchor="__RefHeading___Toc12184061_2142443653">
            <w:r>
              <w:rPr>
                <w:webHidden/>
                <w:rStyle w:val="IndexLink"/>
                <w:rtl w:val="true"/>
              </w:rPr>
              <w:t>إطلاق النار على المجرمين</w:t>
            </w:r>
            <w:r>
              <w:rPr>
                <w:rStyle w:val="IndexLink"/>
                <w:rtl w:val="true"/>
              </w:rPr>
              <w:tab/>
            </w:r>
            <w:r>
              <w:rPr>
                <w:rStyle w:val="IndexLink"/>
              </w:rPr>
              <w:t>173</w:t>
            </w:r>
          </w:hyperlink>
        </w:p>
        <w:p>
          <w:pPr>
            <w:pStyle w:val="Contents2"/>
            <w:tabs>
              <w:tab w:val="clear" w:pos="8743"/>
              <w:tab w:val="right" w:pos="9026" w:leader="dot"/>
            </w:tabs>
            <w:rPr/>
          </w:pPr>
          <w:hyperlink w:anchor="__RefHeading___Toc12184063_2142443653">
            <w:r>
              <w:rPr>
                <w:webHidden/>
                <w:rStyle w:val="IndexLink"/>
                <w:rtl w:val="true"/>
              </w:rPr>
              <w:t>المقتول على أيدي المجرمين</w:t>
            </w:r>
            <w:r>
              <w:rPr>
                <w:rStyle w:val="IndexLink"/>
                <w:rtl w:val="true"/>
              </w:rPr>
              <w:tab/>
            </w:r>
            <w:r>
              <w:rPr>
                <w:rStyle w:val="IndexLink"/>
              </w:rPr>
              <w:t>174</w:t>
            </w:r>
          </w:hyperlink>
        </w:p>
        <w:p>
          <w:pPr>
            <w:pStyle w:val="Contents2"/>
            <w:tabs>
              <w:tab w:val="clear" w:pos="8743"/>
              <w:tab w:val="right" w:pos="9026" w:leader="dot"/>
            </w:tabs>
            <w:rPr/>
          </w:pPr>
          <w:hyperlink w:anchor="__RefHeading___Toc12184065_2142443653">
            <w:r>
              <w:rPr>
                <w:webHidden/>
                <w:rStyle w:val="IndexLink"/>
                <w:rtl w:val="true"/>
              </w:rPr>
              <w:t>الصمود في المظاهرات</w:t>
            </w:r>
            <w:r>
              <w:rPr>
                <w:rStyle w:val="IndexLink"/>
                <w:rtl w:val="true"/>
              </w:rPr>
              <w:tab/>
            </w:r>
            <w:r>
              <w:rPr>
                <w:rStyle w:val="IndexLink"/>
              </w:rPr>
              <w:t>175</w:t>
            </w:r>
          </w:hyperlink>
        </w:p>
        <w:p>
          <w:pPr>
            <w:pStyle w:val="Contents2"/>
            <w:tabs>
              <w:tab w:val="clear" w:pos="8743"/>
              <w:tab w:val="right" w:pos="9026" w:leader="dot"/>
            </w:tabs>
            <w:rPr/>
          </w:pPr>
          <w:hyperlink w:anchor="__RefHeading___Toc12184067_2142443653">
            <w:r>
              <w:rPr>
                <w:webHidden/>
                <w:rStyle w:val="IndexLink"/>
                <w:rtl w:val="true"/>
              </w:rPr>
              <w:t>إنقاذ النفس من الموت</w:t>
            </w:r>
            <w:r>
              <w:rPr>
                <w:rStyle w:val="IndexLink"/>
                <w:rtl w:val="true"/>
              </w:rPr>
              <w:tab/>
            </w:r>
            <w:r>
              <w:rPr>
                <w:rStyle w:val="IndexLink"/>
              </w:rPr>
              <w:t>175</w:t>
            </w:r>
          </w:hyperlink>
        </w:p>
        <w:p>
          <w:pPr>
            <w:pStyle w:val="Contents2"/>
            <w:tabs>
              <w:tab w:val="clear" w:pos="8743"/>
              <w:tab w:val="right" w:pos="9026" w:leader="dot"/>
            </w:tabs>
            <w:rPr/>
          </w:pPr>
          <w:hyperlink w:anchor="__RefHeading___Toc12184069_2142443653">
            <w:r>
              <w:rPr>
                <w:webHidden/>
                <w:rStyle w:val="IndexLink"/>
                <w:rtl w:val="true"/>
              </w:rPr>
              <w:t>قتل الأُخت والزوجة</w:t>
            </w:r>
            <w:r>
              <w:rPr>
                <w:rStyle w:val="IndexLink"/>
                <w:rtl w:val="true"/>
              </w:rPr>
              <w:tab/>
            </w:r>
            <w:r>
              <w:rPr>
                <w:rStyle w:val="IndexLink"/>
              </w:rPr>
              <w:t>176</w:t>
            </w:r>
          </w:hyperlink>
        </w:p>
        <w:p>
          <w:pPr>
            <w:pStyle w:val="Contents2"/>
            <w:tabs>
              <w:tab w:val="clear" w:pos="8743"/>
              <w:tab w:val="right" w:pos="9026" w:leader="dot"/>
            </w:tabs>
            <w:rPr/>
          </w:pPr>
          <w:hyperlink w:anchor="__RefHeading___Toc12184071_2142443653">
            <w:r>
              <w:rPr>
                <w:webHidden/>
                <w:rStyle w:val="IndexLink"/>
                <w:rtl w:val="true"/>
              </w:rPr>
              <w:t>تفريق المتظاهرين</w:t>
            </w:r>
            <w:r>
              <w:rPr>
                <w:rStyle w:val="IndexLink"/>
                <w:rtl w:val="true"/>
              </w:rPr>
              <w:tab/>
            </w:r>
            <w:r>
              <w:rPr>
                <w:rStyle w:val="IndexLink"/>
              </w:rPr>
              <w:t>178</w:t>
            </w:r>
          </w:hyperlink>
        </w:p>
        <w:p>
          <w:pPr>
            <w:pStyle w:val="Contents2"/>
            <w:tabs>
              <w:tab w:val="clear" w:pos="8743"/>
              <w:tab w:val="right" w:pos="9026" w:leader="dot"/>
            </w:tabs>
            <w:rPr/>
          </w:pPr>
          <w:hyperlink w:anchor="__RefHeading___Toc12184073_2142443653">
            <w:r>
              <w:rPr>
                <w:webHidden/>
                <w:rStyle w:val="IndexLink"/>
                <w:rtl w:val="true"/>
              </w:rPr>
              <w:t>القنابل المسيلة للدموع</w:t>
            </w:r>
            <w:r>
              <w:rPr>
                <w:rStyle w:val="IndexLink"/>
                <w:rtl w:val="true"/>
              </w:rPr>
              <w:tab/>
            </w:r>
            <w:r>
              <w:rPr>
                <w:rStyle w:val="IndexLink"/>
              </w:rPr>
              <w:t>179</w:t>
            </w:r>
          </w:hyperlink>
        </w:p>
        <w:p>
          <w:pPr>
            <w:pStyle w:val="Contents2"/>
            <w:tabs>
              <w:tab w:val="clear" w:pos="8743"/>
              <w:tab w:val="right" w:pos="9026" w:leader="dot"/>
            </w:tabs>
            <w:rPr/>
          </w:pPr>
          <w:hyperlink w:anchor="__RefHeading___Toc12184075_2142443653">
            <w:r>
              <w:rPr>
                <w:webHidden/>
                <w:rStyle w:val="IndexLink"/>
                <w:rtl w:val="true"/>
              </w:rPr>
              <w:t>تقديم وتأخير الحيض</w:t>
            </w:r>
            <w:r>
              <w:rPr>
                <w:rStyle w:val="IndexLink"/>
                <w:rtl w:val="true"/>
              </w:rPr>
              <w:tab/>
            </w:r>
            <w:r>
              <w:rPr>
                <w:rStyle w:val="IndexLink"/>
              </w:rPr>
              <w:t>180</w:t>
            </w:r>
          </w:hyperlink>
        </w:p>
        <w:p>
          <w:pPr>
            <w:pStyle w:val="Contents2"/>
            <w:tabs>
              <w:tab w:val="clear" w:pos="8743"/>
              <w:tab w:val="right" w:pos="9026" w:leader="dot"/>
            </w:tabs>
            <w:rPr/>
          </w:pPr>
          <w:hyperlink w:anchor="__RefHeading___Toc12184077_2142443653">
            <w:r>
              <w:rPr>
                <w:webHidden/>
                <w:rStyle w:val="IndexLink"/>
                <w:rtl w:val="true"/>
              </w:rPr>
              <w:t>تكثير وتقليل الحيض</w:t>
            </w:r>
            <w:r>
              <w:rPr>
                <w:rStyle w:val="IndexLink"/>
                <w:rtl w:val="true"/>
              </w:rPr>
              <w:tab/>
            </w:r>
            <w:r>
              <w:rPr>
                <w:rStyle w:val="IndexLink"/>
              </w:rPr>
              <w:t>181</w:t>
            </w:r>
          </w:hyperlink>
        </w:p>
        <w:p>
          <w:pPr>
            <w:pStyle w:val="Contents2"/>
            <w:tabs>
              <w:tab w:val="clear" w:pos="8743"/>
              <w:tab w:val="right" w:pos="9026" w:leader="dot"/>
            </w:tabs>
            <w:rPr/>
          </w:pPr>
          <w:hyperlink w:anchor="__RefHeading___Toc12184079_2142443653">
            <w:r>
              <w:rPr>
                <w:webHidden/>
                <w:rStyle w:val="IndexLink"/>
                <w:rtl w:val="true"/>
              </w:rPr>
              <w:t>تكثير دفعات الحيض وتقليله</w:t>
            </w:r>
            <w:r>
              <w:rPr>
                <w:rStyle w:val="IndexLink"/>
                <w:rtl w:val="true"/>
              </w:rPr>
              <w:tab/>
            </w:r>
            <w:r>
              <w:rPr>
                <w:rStyle w:val="IndexLink"/>
              </w:rPr>
              <w:t>181</w:t>
            </w:r>
          </w:hyperlink>
        </w:p>
        <w:p>
          <w:pPr>
            <w:pStyle w:val="Contents2"/>
            <w:tabs>
              <w:tab w:val="clear" w:pos="8743"/>
              <w:tab w:val="right" w:pos="9026" w:leader="dot"/>
            </w:tabs>
            <w:rPr/>
          </w:pPr>
          <w:hyperlink w:anchor="__RefHeading___Toc12184081_2142443653">
            <w:r>
              <w:rPr>
                <w:webHidden/>
                <w:rStyle w:val="IndexLink"/>
                <w:rtl w:val="true"/>
              </w:rPr>
              <w:t>إيجاد الحيض وإعدامه</w:t>
            </w:r>
            <w:r>
              <w:rPr>
                <w:rStyle w:val="IndexLink"/>
                <w:rtl w:val="true"/>
              </w:rPr>
              <w:tab/>
            </w:r>
            <w:r>
              <w:rPr>
                <w:rStyle w:val="IndexLink"/>
              </w:rPr>
              <w:t>182</w:t>
            </w:r>
          </w:hyperlink>
        </w:p>
        <w:p>
          <w:pPr>
            <w:pStyle w:val="Contents2"/>
            <w:tabs>
              <w:tab w:val="clear" w:pos="8743"/>
              <w:tab w:val="right" w:pos="9026" w:leader="dot"/>
            </w:tabs>
            <w:rPr/>
          </w:pPr>
          <w:hyperlink w:anchor="__RefHeading___Toc12184083_2142443653">
            <w:r>
              <w:rPr>
                <w:webHidden/>
                <w:rStyle w:val="IndexLink"/>
                <w:rtl w:val="true"/>
              </w:rPr>
              <w:t>من أحكام تحقق الحيض</w:t>
            </w:r>
            <w:r>
              <w:rPr>
                <w:rStyle w:val="IndexLink"/>
                <w:rtl w:val="true"/>
              </w:rPr>
              <w:tab/>
            </w:r>
            <w:r>
              <w:rPr>
                <w:rStyle w:val="IndexLink"/>
              </w:rPr>
              <w:t>182</w:t>
            </w:r>
          </w:hyperlink>
        </w:p>
        <w:p>
          <w:pPr>
            <w:pStyle w:val="Contents2"/>
            <w:tabs>
              <w:tab w:val="clear" w:pos="8743"/>
              <w:tab w:val="right" w:pos="9026" w:leader="dot"/>
            </w:tabs>
            <w:rPr/>
          </w:pPr>
          <w:hyperlink w:anchor="__RefHeading___Toc12184085_2142443653">
            <w:r>
              <w:rPr>
                <w:webHidden/>
                <w:rStyle w:val="IndexLink"/>
                <w:rtl w:val="true"/>
              </w:rPr>
              <w:t>قطع الحيض بالوسيلة</w:t>
            </w:r>
            <w:r>
              <w:rPr>
                <w:rStyle w:val="IndexLink"/>
                <w:rtl w:val="true"/>
              </w:rPr>
              <w:tab/>
            </w:r>
            <w:r>
              <w:rPr>
                <w:rStyle w:val="IndexLink"/>
              </w:rPr>
              <w:t>183</w:t>
            </w:r>
          </w:hyperlink>
        </w:p>
        <w:p>
          <w:pPr>
            <w:pStyle w:val="Contents2"/>
            <w:tabs>
              <w:tab w:val="clear" w:pos="8743"/>
              <w:tab w:val="right" w:pos="9026" w:leader="dot"/>
            </w:tabs>
            <w:rPr/>
          </w:pPr>
          <w:hyperlink w:anchor="__RefHeading___Toc12184087_2142443653">
            <w:r>
              <w:rPr>
                <w:webHidden/>
                <w:rStyle w:val="IndexLink"/>
                <w:rtl w:val="true"/>
              </w:rPr>
              <w:t>النفاس والاستحاضة</w:t>
            </w:r>
            <w:r>
              <w:rPr>
                <w:rStyle w:val="IndexLink"/>
                <w:rtl w:val="true"/>
              </w:rPr>
              <w:tab/>
            </w:r>
            <w:r>
              <w:rPr>
                <w:rStyle w:val="IndexLink"/>
              </w:rPr>
              <w:t>184</w:t>
            </w:r>
          </w:hyperlink>
        </w:p>
        <w:p>
          <w:pPr>
            <w:pStyle w:val="Contents2"/>
            <w:tabs>
              <w:tab w:val="clear" w:pos="8743"/>
              <w:tab w:val="right" w:pos="9026" w:leader="dot"/>
            </w:tabs>
            <w:rPr/>
          </w:pPr>
          <w:hyperlink w:anchor="__RefHeading___Toc12184089_2142443653">
            <w:r>
              <w:rPr>
                <w:webHidden/>
                <w:rStyle w:val="IndexLink"/>
                <w:rtl w:val="true"/>
              </w:rPr>
              <w:t>التلاعب بالاستحاضة</w:t>
            </w:r>
            <w:r>
              <w:rPr>
                <w:rStyle w:val="IndexLink"/>
                <w:rtl w:val="true"/>
              </w:rPr>
              <w:tab/>
            </w:r>
            <w:r>
              <w:rPr>
                <w:rStyle w:val="IndexLink"/>
              </w:rPr>
              <w:t>185</w:t>
            </w:r>
          </w:hyperlink>
        </w:p>
        <w:p>
          <w:pPr>
            <w:pStyle w:val="Contents2"/>
            <w:tabs>
              <w:tab w:val="clear" w:pos="8743"/>
              <w:tab w:val="right" w:pos="9026" w:leader="dot"/>
            </w:tabs>
            <w:rPr/>
          </w:pPr>
          <w:hyperlink w:anchor="__RefHeading___Toc12184091_2142443653">
            <w:r>
              <w:rPr>
                <w:webHidden/>
                <w:rStyle w:val="IndexLink"/>
                <w:rtl w:val="true"/>
              </w:rPr>
              <w:t>الفرار من المواقعة الجنسية بين الزوجين</w:t>
            </w:r>
            <w:r>
              <w:rPr>
                <w:rStyle w:val="IndexLink"/>
                <w:rtl w:val="true"/>
              </w:rPr>
              <w:tab/>
            </w:r>
            <w:r>
              <w:rPr>
                <w:rStyle w:val="IndexLink"/>
              </w:rPr>
              <w:t>185</w:t>
            </w:r>
          </w:hyperlink>
        </w:p>
        <w:p>
          <w:pPr>
            <w:pStyle w:val="Contents2"/>
            <w:tabs>
              <w:tab w:val="clear" w:pos="8743"/>
              <w:tab w:val="right" w:pos="9026" w:leader="dot"/>
            </w:tabs>
            <w:rPr/>
          </w:pPr>
          <w:hyperlink w:anchor="__RefHeading___Toc12184093_2142443653">
            <w:r>
              <w:rPr>
                <w:webHidden/>
                <w:rStyle w:val="IndexLink"/>
                <w:rtl w:val="true"/>
              </w:rPr>
              <w:t>النفقة بعد تحقيق الفرار</w:t>
            </w:r>
            <w:r>
              <w:rPr>
                <w:rStyle w:val="IndexLink"/>
                <w:rtl w:val="true"/>
              </w:rPr>
              <w:tab/>
            </w:r>
            <w:r>
              <w:rPr>
                <w:rStyle w:val="IndexLink"/>
              </w:rPr>
              <w:t>186</w:t>
            </w:r>
          </w:hyperlink>
        </w:p>
        <w:p>
          <w:pPr>
            <w:pStyle w:val="Contents2"/>
            <w:tabs>
              <w:tab w:val="clear" w:pos="8743"/>
              <w:tab w:val="right" w:pos="9026" w:leader="dot"/>
            </w:tabs>
            <w:rPr/>
          </w:pPr>
          <w:hyperlink w:anchor="__RefHeading___Toc12184095_2142443653">
            <w:r>
              <w:rPr>
                <w:webHidden/>
                <w:rStyle w:val="IndexLink"/>
                <w:rtl w:val="true"/>
              </w:rPr>
              <w:t>سحب الدم بالآلة</w:t>
            </w:r>
            <w:r>
              <w:rPr>
                <w:rStyle w:val="IndexLink"/>
                <w:rtl w:val="true"/>
              </w:rPr>
              <w:tab/>
            </w:r>
            <w:r>
              <w:rPr>
                <w:rStyle w:val="IndexLink"/>
              </w:rPr>
              <w:t>187</w:t>
            </w:r>
          </w:hyperlink>
        </w:p>
        <w:p>
          <w:pPr>
            <w:pStyle w:val="Contents2"/>
            <w:tabs>
              <w:tab w:val="clear" w:pos="8743"/>
              <w:tab w:val="right" w:pos="9026" w:leader="dot"/>
            </w:tabs>
            <w:rPr/>
          </w:pPr>
          <w:hyperlink w:anchor="__RefHeading___Toc12184097_2142443653">
            <w:r>
              <w:rPr>
                <w:webHidden/>
                <w:rStyle w:val="IndexLink"/>
                <w:rtl w:val="true"/>
              </w:rPr>
              <w:t>الحيض لا من المخرج المتعارف</w:t>
            </w:r>
            <w:r>
              <w:rPr>
                <w:rStyle w:val="IndexLink"/>
                <w:rtl w:val="true"/>
              </w:rPr>
              <w:tab/>
            </w:r>
            <w:r>
              <w:rPr>
                <w:rStyle w:val="IndexLink"/>
              </w:rPr>
              <w:t>187</w:t>
            </w:r>
          </w:hyperlink>
        </w:p>
        <w:p>
          <w:pPr>
            <w:pStyle w:val="Contents2"/>
            <w:tabs>
              <w:tab w:val="clear" w:pos="8743"/>
              <w:tab w:val="right" w:pos="9026" w:leader="dot"/>
            </w:tabs>
            <w:rPr/>
          </w:pPr>
          <w:hyperlink w:anchor="__RefHeading___Toc12184099_2142443653">
            <w:r>
              <w:rPr>
                <w:webHidden/>
                <w:rStyle w:val="IndexLink"/>
                <w:rtl w:val="true"/>
              </w:rPr>
              <w:t>تسريع نبع دم الحيض</w:t>
            </w:r>
            <w:r>
              <w:rPr>
                <w:rStyle w:val="IndexLink"/>
                <w:rtl w:val="true"/>
              </w:rPr>
              <w:tab/>
            </w:r>
            <w:r>
              <w:rPr>
                <w:rStyle w:val="IndexLink"/>
              </w:rPr>
              <w:t>188</w:t>
            </w:r>
          </w:hyperlink>
        </w:p>
        <w:p>
          <w:pPr>
            <w:pStyle w:val="Contents2"/>
            <w:tabs>
              <w:tab w:val="clear" w:pos="8743"/>
              <w:tab w:val="right" w:pos="9026" w:leader="dot"/>
            </w:tabs>
            <w:rPr/>
          </w:pPr>
          <w:hyperlink w:anchor="__RefHeading___Toc12184101_2142443653">
            <w:r>
              <w:rPr>
                <w:webHidden/>
                <w:rStyle w:val="IndexLink"/>
                <w:rtl w:val="true"/>
              </w:rPr>
              <w:t>تكثير أيام الحيض</w:t>
            </w:r>
            <w:r>
              <w:rPr>
                <w:rStyle w:val="IndexLink"/>
                <w:rtl w:val="true"/>
              </w:rPr>
              <w:tab/>
            </w:r>
            <w:r>
              <w:rPr>
                <w:rStyle w:val="IndexLink"/>
              </w:rPr>
              <w:t>189</w:t>
            </w:r>
          </w:hyperlink>
        </w:p>
        <w:p>
          <w:pPr>
            <w:pStyle w:val="Contents2"/>
            <w:tabs>
              <w:tab w:val="clear" w:pos="8743"/>
              <w:tab w:val="right" w:pos="9026" w:leader="dot"/>
            </w:tabs>
            <w:rPr/>
          </w:pPr>
          <w:hyperlink w:anchor="__RefHeading___Toc12184103_2142443653">
            <w:r>
              <w:rPr>
                <w:webHidden/>
                <w:rStyle w:val="IndexLink"/>
                <w:rtl w:val="true"/>
              </w:rPr>
              <w:t>تقطيع دم الحيض بالآلة</w:t>
            </w:r>
            <w:r>
              <w:rPr>
                <w:rStyle w:val="IndexLink"/>
                <w:rtl w:val="true"/>
              </w:rPr>
              <w:tab/>
            </w:r>
            <w:r>
              <w:rPr>
                <w:rStyle w:val="IndexLink"/>
              </w:rPr>
              <w:t>190</w:t>
            </w:r>
          </w:hyperlink>
        </w:p>
        <w:p>
          <w:pPr>
            <w:pStyle w:val="Contents2"/>
            <w:tabs>
              <w:tab w:val="clear" w:pos="8743"/>
              <w:tab w:val="right" w:pos="9026" w:leader="dot"/>
            </w:tabs>
            <w:rPr/>
          </w:pPr>
          <w:hyperlink w:anchor="__RefHeading___Toc12184105_2142443653">
            <w:r>
              <w:rPr>
                <w:webHidden/>
                <w:rStyle w:val="IndexLink"/>
                <w:rtl w:val="true"/>
              </w:rPr>
              <w:t>السجود على ما صار مأكولاً</w:t>
            </w:r>
            <w:r>
              <w:rPr>
                <w:rStyle w:val="IndexLink"/>
                <w:rtl w:val="true"/>
              </w:rPr>
              <w:tab/>
            </w:r>
            <w:r>
              <w:rPr>
                <w:rStyle w:val="IndexLink"/>
              </w:rPr>
              <w:t>190</w:t>
            </w:r>
          </w:hyperlink>
        </w:p>
        <w:p>
          <w:pPr>
            <w:pStyle w:val="Contents2"/>
            <w:tabs>
              <w:tab w:val="clear" w:pos="8743"/>
              <w:tab w:val="right" w:pos="9026" w:leader="dot"/>
            </w:tabs>
            <w:rPr/>
          </w:pPr>
          <w:hyperlink w:anchor="__RefHeading___Toc12184107_2142443653">
            <w:r>
              <w:rPr>
                <w:webHidden/>
                <w:rStyle w:val="IndexLink"/>
                <w:rtl w:val="true"/>
              </w:rPr>
              <w:t>السجود على ما صار غير مأكول</w:t>
            </w:r>
            <w:r>
              <w:rPr>
                <w:rStyle w:val="IndexLink"/>
                <w:rtl w:val="true"/>
              </w:rPr>
              <w:tab/>
            </w:r>
            <w:r>
              <w:rPr>
                <w:rStyle w:val="IndexLink"/>
              </w:rPr>
              <w:t>191</w:t>
            </w:r>
          </w:hyperlink>
        </w:p>
        <w:p>
          <w:pPr>
            <w:pStyle w:val="Contents2"/>
            <w:tabs>
              <w:tab w:val="clear" w:pos="8743"/>
              <w:tab w:val="right" w:pos="9026" w:leader="dot"/>
            </w:tabs>
            <w:rPr/>
          </w:pPr>
          <w:hyperlink w:anchor="__RefHeading___Toc12184109_2142443653">
            <w:r>
              <w:rPr>
                <w:webHidden/>
                <w:rStyle w:val="IndexLink"/>
                <w:rtl w:val="true"/>
              </w:rPr>
              <w:t>السجود على ما كان ملبوساً وبالعكس</w:t>
            </w:r>
            <w:r>
              <w:rPr>
                <w:rStyle w:val="IndexLink"/>
                <w:rtl w:val="true"/>
              </w:rPr>
              <w:tab/>
            </w:r>
            <w:r>
              <w:rPr>
                <w:rStyle w:val="IndexLink"/>
              </w:rPr>
              <w:t>191</w:t>
            </w:r>
          </w:hyperlink>
        </w:p>
        <w:p>
          <w:pPr>
            <w:pStyle w:val="Contents2"/>
            <w:tabs>
              <w:tab w:val="clear" w:pos="8743"/>
              <w:tab w:val="right" w:pos="9026" w:leader="dot"/>
            </w:tabs>
            <w:rPr/>
          </w:pPr>
          <w:hyperlink w:anchor="__RefHeading___Toc12184111_2142443653">
            <w:r>
              <w:rPr>
                <w:webHidden/>
                <w:rStyle w:val="IndexLink"/>
                <w:rtl w:val="true"/>
              </w:rPr>
              <w:t>الحرير من الحيوانات الأُخرى</w:t>
            </w:r>
            <w:r>
              <w:rPr>
                <w:rStyle w:val="IndexLink"/>
                <w:rtl w:val="true"/>
              </w:rPr>
              <w:tab/>
            </w:r>
            <w:r>
              <w:rPr>
                <w:rStyle w:val="IndexLink"/>
              </w:rPr>
              <w:t>192</w:t>
            </w:r>
          </w:hyperlink>
        </w:p>
        <w:p>
          <w:pPr>
            <w:pStyle w:val="Contents2"/>
            <w:tabs>
              <w:tab w:val="clear" w:pos="8743"/>
              <w:tab w:val="right" w:pos="9026" w:leader="dot"/>
            </w:tabs>
            <w:rPr/>
          </w:pPr>
          <w:hyperlink w:anchor="__RefHeading___Toc12184113_2142443653">
            <w:r>
              <w:rPr>
                <w:webHidden/>
                <w:rStyle w:val="IndexLink"/>
                <w:rtl w:val="true"/>
              </w:rPr>
              <w:t>تغيير مادة الحرير</w:t>
            </w:r>
            <w:r>
              <w:rPr>
                <w:rStyle w:val="IndexLink"/>
                <w:rtl w:val="true"/>
              </w:rPr>
              <w:tab/>
            </w:r>
            <w:r>
              <w:rPr>
                <w:rStyle w:val="IndexLink"/>
              </w:rPr>
              <w:t>193</w:t>
            </w:r>
          </w:hyperlink>
        </w:p>
        <w:p>
          <w:pPr>
            <w:pStyle w:val="Contents2"/>
            <w:tabs>
              <w:tab w:val="clear" w:pos="8743"/>
              <w:tab w:val="right" w:pos="9026" w:leader="dot"/>
            </w:tabs>
            <w:rPr/>
          </w:pPr>
          <w:hyperlink w:anchor="__RefHeading___Toc12184115_2142443653">
            <w:r>
              <w:rPr>
                <w:webHidden/>
                <w:rStyle w:val="IndexLink"/>
                <w:rtl w:val="true"/>
              </w:rPr>
              <w:t>لجنة مراسم الدفن في الهلال الأحمر</w:t>
            </w:r>
            <w:r>
              <w:rPr>
                <w:rStyle w:val="IndexLink"/>
                <w:rtl w:val="true"/>
              </w:rPr>
              <w:tab/>
            </w:r>
            <w:r>
              <w:rPr>
                <w:rStyle w:val="IndexLink"/>
              </w:rPr>
              <w:t>193</w:t>
            </w:r>
          </w:hyperlink>
        </w:p>
        <w:p>
          <w:pPr>
            <w:pStyle w:val="Contents2"/>
            <w:tabs>
              <w:tab w:val="clear" w:pos="8743"/>
              <w:tab w:val="right" w:pos="9026" w:leader="dot"/>
            </w:tabs>
            <w:rPr/>
          </w:pPr>
          <w:hyperlink w:anchor="__RefHeading___Toc12184117_2142443653">
            <w:r>
              <w:rPr>
                <w:webHidden/>
                <w:rStyle w:val="IndexLink"/>
                <w:rtl w:val="true"/>
              </w:rPr>
              <w:t>زيارة الأرواح للأئمة</w:t>
            </w:r>
            <w:r>
              <w:rPr>
                <w:rStyle w:val="IndexLink"/>
                <w:rtl w:val="true"/>
              </w:rPr>
              <w:tab/>
            </w:r>
            <w:r>
              <w:rPr>
                <w:rStyle w:val="IndexLink"/>
              </w:rPr>
              <w:t>194</w:t>
            </w:r>
          </w:hyperlink>
        </w:p>
        <w:p>
          <w:pPr>
            <w:pStyle w:val="Contents2"/>
            <w:tabs>
              <w:tab w:val="clear" w:pos="8743"/>
              <w:tab w:val="right" w:pos="9026" w:leader="dot"/>
            </w:tabs>
            <w:rPr/>
          </w:pPr>
          <w:hyperlink w:anchor="__RefHeading___Toc12184119_2142443653">
            <w:r>
              <w:rPr>
                <w:webHidden/>
                <w:rStyle w:val="IndexLink"/>
                <w:rtl w:val="true"/>
              </w:rPr>
              <w:t>نهج البلاغة في الإذاعات</w:t>
            </w:r>
            <w:r>
              <w:rPr>
                <w:rStyle w:val="IndexLink"/>
                <w:rtl w:val="true"/>
              </w:rPr>
              <w:tab/>
            </w:r>
            <w:r>
              <w:rPr>
                <w:rStyle w:val="IndexLink"/>
              </w:rPr>
              <w:t>194</w:t>
            </w:r>
          </w:hyperlink>
        </w:p>
        <w:p>
          <w:pPr>
            <w:pStyle w:val="Contents2"/>
            <w:tabs>
              <w:tab w:val="clear" w:pos="8743"/>
              <w:tab w:val="right" w:pos="9026" w:leader="dot"/>
            </w:tabs>
            <w:rPr/>
          </w:pPr>
          <w:hyperlink w:anchor="__RefHeading___Toc12184121_2142443653">
            <w:r>
              <w:rPr>
                <w:webHidden/>
                <w:rStyle w:val="IndexLink"/>
                <w:rtl w:val="true"/>
              </w:rPr>
              <w:t>الأدعية في الإذاعات</w:t>
            </w:r>
            <w:r>
              <w:rPr>
                <w:rStyle w:val="IndexLink"/>
                <w:rtl w:val="true"/>
              </w:rPr>
              <w:tab/>
            </w:r>
            <w:r>
              <w:rPr>
                <w:rStyle w:val="IndexLink"/>
              </w:rPr>
              <w:t>195</w:t>
            </w:r>
          </w:hyperlink>
        </w:p>
        <w:p>
          <w:pPr>
            <w:pStyle w:val="Contents2"/>
            <w:tabs>
              <w:tab w:val="clear" w:pos="8743"/>
              <w:tab w:val="right" w:pos="9026" w:leader="dot"/>
            </w:tabs>
            <w:rPr/>
          </w:pPr>
          <w:hyperlink w:anchor="__RefHeading___Toc12184123_2142443653">
            <w:r>
              <w:rPr>
                <w:webHidden/>
                <w:rStyle w:val="IndexLink"/>
                <w:rtl w:val="true"/>
              </w:rPr>
              <w:t>التبليغ الإسلامي عبر الإذاعات</w:t>
            </w:r>
            <w:r>
              <w:rPr>
                <w:rStyle w:val="IndexLink"/>
                <w:rtl w:val="true"/>
              </w:rPr>
              <w:tab/>
            </w:r>
            <w:r>
              <w:rPr>
                <w:rStyle w:val="IndexLink"/>
              </w:rPr>
              <w:t>195</w:t>
            </w:r>
          </w:hyperlink>
        </w:p>
        <w:p>
          <w:pPr>
            <w:pStyle w:val="Contents2"/>
            <w:tabs>
              <w:tab w:val="clear" w:pos="8743"/>
              <w:tab w:val="right" w:pos="9026" w:leader="dot"/>
            </w:tabs>
            <w:rPr/>
          </w:pPr>
          <w:hyperlink w:anchor="__RefHeading___Toc12184125_2142443653">
            <w:r>
              <w:rPr>
                <w:webHidden/>
                <w:rStyle w:val="IndexLink"/>
                <w:rtl w:val="true"/>
              </w:rPr>
              <w:t>استيجار الدراجة الهوائية</w:t>
            </w:r>
            <w:r>
              <w:rPr>
                <w:rStyle w:val="IndexLink"/>
                <w:rtl w:val="true"/>
              </w:rPr>
              <w:tab/>
            </w:r>
            <w:r>
              <w:rPr>
                <w:rStyle w:val="IndexLink"/>
              </w:rPr>
              <w:t>196</w:t>
            </w:r>
          </w:hyperlink>
        </w:p>
        <w:p>
          <w:pPr>
            <w:pStyle w:val="Contents2"/>
            <w:tabs>
              <w:tab w:val="clear" w:pos="8743"/>
              <w:tab w:val="right" w:pos="9026" w:leader="dot"/>
            </w:tabs>
            <w:rPr/>
          </w:pPr>
          <w:hyperlink w:anchor="__RefHeading___Toc12184127_2142443653">
            <w:r>
              <w:rPr>
                <w:webHidden/>
                <w:rStyle w:val="IndexLink"/>
                <w:rtl w:val="true"/>
              </w:rPr>
              <w:t>إثبات الاتهام بالوسائل العلمية</w:t>
            </w:r>
            <w:r>
              <w:rPr>
                <w:rStyle w:val="IndexLink"/>
                <w:rtl w:val="true"/>
              </w:rPr>
              <w:tab/>
            </w:r>
            <w:r>
              <w:rPr>
                <w:rStyle w:val="IndexLink"/>
              </w:rPr>
              <w:t>197</w:t>
            </w:r>
          </w:hyperlink>
        </w:p>
        <w:p>
          <w:pPr>
            <w:pStyle w:val="Contents2"/>
            <w:tabs>
              <w:tab w:val="clear" w:pos="8743"/>
              <w:tab w:val="right" w:pos="9026" w:leader="dot"/>
            </w:tabs>
            <w:rPr/>
          </w:pPr>
          <w:hyperlink w:anchor="__RefHeading___Toc12184129_2142443653">
            <w:r>
              <w:rPr>
                <w:webHidden/>
                <w:rStyle w:val="IndexLink"/>
                <w:rtl w:val="true"/>
              </w:rPr>
              <w:t>بصمات الأصابع</w:t>
            </w:r>
            <w:r>
              <w:rPr>
                <w:rStyle w:val="IndexLink"/>
                <w:rtl w:val="true"/>
              </w:rPr>
              <w:tab/>
            </w:r>
            <w:r>
              <w:rPr>
                <w:rStyle w:val="IndexLink"/>
              </w:rPr>
              <w:t>198</w:t>
            </w:r>
          </w:hyperlink>
        </w:p>
        <w:p>
          <w:pPr>
            <w:pStyle w:val="Contents2"/>
            <w:tabs>
              <w:tab w:val="clear" w:pos="8743"/>
              <w:tab w:val="right" w:pos="9026" w:leader="dot"/>
            </w:tabs>
            <w:rPr/>
          </w:pPr>
          <w:hyperlink w:anchor="__RefHeading___Toc12184131_2142443653">
            <w:r>
              <w:rPr>
                <w:webHidden/>
                <w:rStyle w:val="IndexLink"/>
                <w:rtl w:val="true"/>
              </w:rPr>
              <w:t>مجال استناد الحاكم إلى علمه</w:t>
            </w:r>
            <w:r>
              <w:rPr>
                <w:rStyle w:val="IndexLink"/>
                <w:rtl w:val="true"/>
              </w:rPr>
              <w:tab/>
            </w:r>
            <w:r>
              <w:rPr>
                <w:rStyle w:val="IndexLink"/>
              </w:rPr>
              <w:t>198</w:t>
            </w:r>
          </w:hyperlink>
        </w:p>
        <w:p>
          <w:pPr>
            <w:pStyle w:val="Contents2"/>
            <w:tabs>
              <w:tab w:val="clear" w:pos="8743"/>
              <w:tab w:val="right" w:pos="9026" w:leader="dot"/>
            </w:tabs>
            <w:rPr/>
          </w:pPr>
          <w:hyperlink w:anchor="__RefHeading___Toc12184133_2142443653">
            <w:r>
              <w:rPr>
                <w:webHidden/>
                <w:rStyle w:val="IndexLink"/>
                <w:rtl w:val="true"/>
              </w:rPr>
              <w:t>الإيذاء عبر جهاز التنبيه</w:t>
            </w:r>
            <w:r>
              <w:rPr>
                <w:rStyle w:val="IndexLink"/>
                <w:rtl w:val="true"/>
              </w:rPr>
              <w:tab/>
            </w:r>
            <w:r>
              <w:rPr>
                <w:rStyle w:val="IndexLink"/>
              </w:rPr>
              <w:t>199</w:t>
            </w:r>
          </w:hyperlink>
        </w:p>
        <w:p>
          <w:pPr>
            <w:pStyle w:val="Contents2"/>
            <w:tabs>
              <w:tab w:val="clear" w:pos="8743"/>
              <w:tab w:val="right" w:pos="9026" w:leader="dot"/>
            </w:tabs>
            <w:rPr/>
          </w:pPr>
          <w:hyperlink w:anchor="__RefHeading___Toc12184135_2142443653">
            <w:r>
              <w:rPr>
                <w:webHidden/>
                <w:rStyle w:val="IndexLink"/>
                <w:rtl w:val="true"/>
              </w:rPr>
              <w:t>الإيذاء عبر وسائل النقل</w:t>
            </w:r>
            <w:r>
              <w:rPr>
                <w:rStyle w:val="IndexLink"/>
                <w:rtl w:val="true"/>
              </w:rPr>
              <w:tab/>
            </w:r>
            <w:r>
              <w:rPr>
                <w:rStyle w:val="IndexLink"/>
              </w:rPr>
              <w:t>199</w:t>
            </w:r>
          </w:hyperlink>
        </w:p>
        <w:p>
          <w:pPr>
            <w:pStyle w:val="Contents2"/>
            <w:tabs>
              <w:tab w:val="clear" w:pos="8743"/>
              <w:tab w:val="right" w:pos="9026" w:leader="dot"/>
            </w:tabs>
            <w:rPr/>
          </w:pPr>
          <w:hyperlink w:anchor="__RefHeading___Toc12184137_2142443653">
            <w:r>
              <w:rPr>
                <w:webHidden/>
                <w:rStyle w:val="IndexLink"/>
                <w:rtl w:val="true"/>
              </w:rPr>
              <w:t>الاصطدام بالسيارة</w:t>
            </w:r>
            <w:r>
              <w:rPr>
                <w:rStyle w:val="IndexLink"/>
                <w:rtl w:val="true"/>
              </w:rPr>
              <w:tab/>
            </w:r>
            <w:r>
              <w:rPr>
                <w:rStyle w:val="IndexLink"/>
              </w:rPr>
              <w:t>200</w:t>
            </w:r>
          </w:hyperlink>
        </w:p>
        <w:p>
          <w:pPr>
            <w:pStyle w:val="Contents2"/>
            <w:tabs>
              <w:tab w:val="clear" w:pos="8743"/>
              <w:tab w:val="right" w:pos="9026" w:leader="dot"/>
            </w:tabs>
            <w:rPr/>
          </w:pPr>
          <w:hyperlink w:anchor="__RefHeading___Toc12184139_2142443653">
            <w:r>
              <w:rPr>
                <w:webHidden/>
                <w:rStyle w:val="IndexLink"/>
                <w:rtl w:val="true"/>
              </w:rPr>
              <w:t>من أحكام الاصطدام</w:t>
            </w:r>
            <w:r>
              <w:rPr>
                <w:rStyle w:val="IndexLink"/>
                <w:rtl w:val="true"/>
              </w:rPr>
              <w:tab/>
            </w:r>
            <w:r>
              <w:rPr>
                <w:rStyle w:val="IndexLink"/>
              </w:rPr>
              <w:t>200</w:t>
            </w:r>
          </w:hyperlink>
        </w:p>
        <w:p>
          <w:pPr>
            <w:pStyle w:val="Contents2"/>
            <w:tabs>
              <w:tab w:val="clear" w:pos="8743"/>
              <w:tab w:val="right" w:pos="9026" w:leader="dot"/>
            </w:tabs>
            <w:rPr/>
          </w:pPr>
          <w:hyperlink w:anchor="__RefHeading___Toc12184141_2142443653">
            <w:r>
              <w:rPr>
                <w:webHidden/>
                <w:rStyle w:val="IndexLink"/>
                <w:rtl w:val="true"/>
              </w:rPr>
              <w:t>مستثنيات الدين وأحكامها</w:t>
            </w:r>
            <w:r>
              <w:rPr>
                <w:rStyle w:val="IndexLink"/>
                <w:rtl w:val="true"/>
              </w:rPr>
              <w:tab/>
            </w:r>
            <w:r>
              <w:rPr>
                <w:rStyle w:val="IndexLink"/>
              </w:rPr>
              <w:t>201</w:t>
            </w:r>
          </w:hyperlink>
        </w:p>
        <w:p>
          <w:pPr>
            <w:pStyle w:val="Contents2"/>
            <w:tabs>
              <w:tab w:val="clear" w:pos="8743"/>
              <w:tab w:val="right" w:pos="9026" w:leader="dot"/>
            </w:tabs>
            <w:rPr/>
          </w:pPr>
          <w:hyperlink w:anchor="__RefHeading___Toc12184143_2142443653">
            <w:r>
              <w:rPr>
                <w:webHidden/>
                <w:rStyle w:val="IndexLink"/>
                <w:rtl w:val="true"/>
              </w:rPr>
              <w:t>اصطدام القطار</w:t>
            </w:r>
            <w:r>
              <w:rPr>
                <w:rStyle w:val="IndexLink"/>
                <w:rtl w:val="true"/>
              </w:rPr>
              <w:tab/>
            </w:r>
            <w:r>
              <w:rPr>
                <w:rStyle w:val="IndexLink"/>
              </w:rPr>
              <w:t>202</w:t>
            </w:r>
          </w:hyperlink>
        </w:p>
        <w:p>
          <w:pPr>
            <w:pStyle w:val="Contents2"/>
            <w:tabs>
              <w:tab w:val="clear" w:pos="8743"/>
              <w:tab w:val="right" w:pos="9026" w:leader="dot"/>
            </w:tabs>
            <w:rPr/>
          </w:pPr>
          <w:hyperlink w:anchor="__RefHeading___Toc12184145_2142443653">
            <w:r>
              <w:rPr>
                <w:webHidden/>
                <w:rStyle w:val="IndexLink"/>
                <w:rtl w:val="true"/>
              </w:rPr>
              <w:t>القتل بالاصطدام</w:t>
            </w:r>
            <w:r>
              <w:rPr>
                <w:rStyle w:val="IndexLink"/>
                <w:rtl w:val="true"/>
              </w:rPr>
              <w:tab/>
            </w:r>
            <w:r>
              <w:rPr>
                <w:rStyle w:val="IndexLink"/>
              </w:rPr>
              <w:t>203</w:t>
            </w:r>
          </w:hyperlink>
        </w:p>
        <w:p>
          <w:pPr>
            <w:pStyle w:val="Contents2"/>
            <w:tabs>
              <w:tab w:val="clear" w:pos="8743"/>
              <w:tab w:val="right" w:pos="9026" w:leader="dot"/>
            </w:tabs>
            <w:rPr/>
          </w:pPr>
          <w:hyperlink w:anchor="__RefHeading___Toc12184147_2142443653">
            <w:r>
              <w:rPr>
                <w:webHidden/>
                <w:rStyle w:val="IndexLink"/>
                <w:rtl w:val="true"/>
              </w:rPr>
              <w:t>الأطفال وارتكاب المحرمات</w:t>
            </w:r>
            <w:r>
              <w:rPr>
                <w:rStyle w:val="IndexLink"/>
                <w:rtl w:val="true"/>
              </w:rPr>
              <w:tab/>
            </w:r>
            <w:r>
              <w:rPr>
                <w:rStyle w:val="IndexLink"/>
              </w:rPr>
              <w:t>203</w:t>
            </w:r>
          </w:hyperlink>
        </w:p>
        <w:p>
          <w:pPr>
            <w:pStyle w:val="Contents2"/>
            <w:tabs>
              <w:tab w:val="clear" w:pos="8743"/>
              <w:tab w:val="right" w:pos="9026" w:leader="dot"/>
            </w:tabs>
            <w:rPr/>
          </w:pPr>
          <w:hyperlink w:anchor="__RefHeading___Toc12184149_2142443653">
            <w:r>
              <w:rPr>
                <w:webHidden/>
                <w:rStyle w:val="IndexLink"/>
                <w:rtl w:val="true"/>
              </w:rPr>
              <w:t>من أحكام الغصب في الأموال العامة</w:t>
            </w:r>
            <w:r>
              <w:rPr>
                <w:rStyle w:val="IndexLink"/>
                <w:rtl w:val="true"/>
              </w:rPr>
              <w:tab/>
            </w:r>
            <w:r>
              <w:rPr>
                <w:rStyle w:val="IndexLink"/>
              </w:rPr>
              <w:t>206</w:t>
            </w:r>
          </w:hyperlink>
        </w:p>
        <w:p>
          <w:pPr>
            <w:pStyle w:val="Contents2"/>
            <w:tabs>
              <w:tab w:val="clear" w:pos="8743"/>
              <w:tab w:val="right" w:pos="9026" w:leader="dot"/>
            </w:tabs>
            <w:rPr/>
          </w:pPr>
          <w:hyperlink w:anchor="__RefHeading___Toc12184151_2142443653">
            <w:r>
              <w:rPr>
                <w:webHidden/>
                <w:rStyle w:val="IndexLink"/>
                <w:rtl w:val="true"/>
              </w:rPr>
              <w:t>فضاء المسجد وحدوده</w:t>
            </w:r>
            <w:r>
              <w:rPr>
                <w:rStyle w:val="IndexLink"/>
                <w:rtl w:val="true"/>
              </w:rPr>
              <w:tab/>
            </w:r>
            <w:r>
              <w:rPr>
                <w:rStyle w:val="IndexLink"/>
              </w:rPr>
              <w:t>208</w:t>
            </w:r>
          </w:hyperlink>
        </w:p>
        <w:p>
          <w:pPr>
            <w:pStyle w:val="Contents2"/>
            <w:tabs>
              <w:tab w:val="clear" w:pos="8743"/>
              <w:tab w:val="right" w:pos="9026" w:leader="dot"/>
            </w:tabs>
            <w:rPr/>
          </w:pPr>
          <w:hyperlink w:anchor="__RefHeading___Toc12184153_2142443653">
            <w:r>
              <w:rPr>
                <w:webHidden/>
                <w:rStyle w:val="IndexLink"/>
                <w:rtl w:val="true"/>
              </w:rPr>
              <w:t>التقاط صور العمارات والأبنية</w:t>
            </w:r>
            <w:r>
              <w:rPr>
                <w:rStyle w:val="IndexLink"/>
                <w:rtl w:val="true"/>
              </w:rPr>
              <w:tab/>
            </w:r>
            <w:r>
              <w:rPr>
                <w:rStyle w:val="IndexLink"/>
              </w:rPr>
              <w:t>208</w:t>
            </w:r>
          </w:hyperlink>
        </w:p>
        <w:p>
          <w:pPr>
            <w:pStyle w:val="Contents2"/>
            <w:tabs>
              <w:tab w:val="clear" w:pos="8743"/>
              <w:tab w:val="right" w:pos="9026" w:leader="dot"/>
            </w:tabs>
            <w:rPr/>
          </w:pPr>
          <w:hyperlink w:anchor="__RefHeading___Toc12184155_2142443653">
            <w:r>
              <w:rPr>
                <w:webHidden/>
                <w:rStyle w:val="IndexLink"/>
                <w:rtl w:val="true"/>
              </w:rPr>
              <w:t>تصوير مواقع الجيش والسلاح</w:t>
            </w:r>
            <w:r>
              <w:rPr>
                <w:rStyle w:val="IndexLink"/>
                <w:rtl w:val="true"/>
              </w:rPr>
              <w:tab/>
            </w:r>
            <w:r>
              <w:rPr>
                <w:rStyle w:val="IndexLink"/>
              </w:rPr>
              <w:t>209</w:t>
            </w:r>
          </w:hyperlink>
        </w:p>
        <w:p>
          <w:pPr>
            <w:pStyle w:val="Contents2"/>
            <w:tabs>
              <w:tab w:val="clear" w:pos="8743"/>
              <w:tab w:val="right" w:pos="9026" w:leader="dot"/>
            </w:tabs>
            <w:rPr/>
          </w:pPr>
          <w:hyperlink w:anchor="__RefHeading___Toc12184157_2142443653">
            <w:r>
              <w:rPr>
                <w:webHidden/>
                <w:rStyle w:val="IndexLink"/>
                <w:rtl w:val="true"/>
              </w:rPr>
              <w:t>فضح المسلم المستور</w:t>
            </w:r>
            <w:r>
              <w:rPr>
                <w:rStyle w:val="IndexLink"/>
                <w:rtl w:val="true"/>
              </w:rPr>
              <w:tab/>
            </w:r>
            <w:r>
              <w:rPr>
                <w:rStyle w:val="IndexLink"/>
              </w:rPr>
              <w:t>210</w:t>
            </w:r>
          </w:hyperlink>
        </w:p>
        <w:p>
          <w:pPr>
            <w:pStyle w:val="Contents2"/>
            <w:tabs>
              <w:tab w:val="clear" w:pos="8743"/>
              <w:tab w:val="right" w:pos="9026" w:leader="dot"/>
            </w:tabs>
            <w:rPr/>
          </w:pPr>
          <w:hyperlink w:anchor="__RefHeading___Toc12184159_2142443653">
            <w:r>
              <w:rPr>
                <w:webHidden/>
                <w:rStyle w:val="IndexLink"/>
                <w:rtl w:val="true"/>
              </w:rPr>
              <w:t>كشف أموال الناس</w:t>
            </w:r>
            <w:r>
              <w:rPr>
                <w:rStyle w:val="IndexLink"/>
                <w:rtl w:val="true"/>
              </w:rPr>
              <w:tab/>
            </w:r>
            <w:r>
              <w:rPr>
                <w:rStyle w:val="IndexLink"/>
              </w:rPr>
              <w:t>210</w:t>
            </w:r>
          </w:hyperlink>
        </w:p>
        <w:p>
          <w:pPr>
            <w:pStyle w:val="Contents2"/>
            <w:tabs>
              <w:tab w:val="clear" w:pos="8743"/>
              <w:tab w:val="right" w:pos="9026" w:leader="dot"/>
            </w:tabs>
            <w:rPr/>
          </w:pPr>
          <w:hyperlink w:anchor="__RefHeading___Toc12184161_2142443653">
            <w:r>
              <w:rPr>
                <w:webHidden/>
                <w:rStyle w:val="IndexLink"/>
                <w:rtl w:val="true"/>
              </w:rPr>
              <w:t>فضاء الكعبة وحدوده</w:t>
            </w:r>
            <w:r>
              <w:rPr>
                <w:rStyle w:val="IndexLink"/>
                <w:rtl w:val="true"/>
              </w:rPr>
              <w:tab/>
            </w:r>
            <w:r>
              <w:rPr>
                <w:rStyle w:val="IndexLink"/>
              </w:rPr>
              <w:t>211</w:t>
            </w:r>
          </w:hyperlink>
        </w:p>
        <w:p>
          <w:pPr>
            <w:pStyle w:val="Contents2"/>
            <w:tabs>
              <w:tab w:val="clear" w:pos="8743"/>
              <w:tab w:val="right" w:pos="9026" w:leader="dot"/>
            </w:tabs>
            <w:rPr/>
          </w:pPr>
          <w:hyperlink w:anchor="__RefHeading___Toc12184163_2142443653">
            <w:r>
              <w:rPr>
                <w:webHidden/>
                <w:rStyle w:val="IndexLink"/>
                <w:rtl w:val="true"/>
              </w:rPr>
              <w:t>الاتصال بصلاة الجماعة عبر الراديو</w:t>
            </w:r>
            <w:r>
              <w:rPr>
                <w:rStyle w:val="IndexLink"/>
                <w:rtl w:val="true"/>
              </w:rPr>
              <w:tab/>
            </w:r>
            <w:r>
              <w:rPr>
                <w:rStyle w:val="IndexLink"/>
              </w:rPr>
              <w:t>211</w:t>
            </w:r>
          </w:hyperlink>
        </w:p>
        <w:p>
          <w:pPr>
            <w:pStyle w:val="Contents2"/>
            <w:tabs>
              <w:tab w:val="clear" w:pos="8743"/>
              <w:tab w:val="right" w:pos="9026" w:leader="dot"/>
            </w:tabs>
            <w:rPr/>
          </w:pPr>
          <w:hyperlink w:anchor="__RefHeading___Toc12184165_2142443653">
            <w:r>
              <w:rPr>
                <w:webHidden/>
                <w:rStyle w:val="IndexLink"/>
                <w:rtl w:val="true"/>
              </w:rPr>
              <w:t>من أحكام النقل الجوي</w:t>
            </w:r>
            <w:r>
              <w:rPr>
                <w:rStyle w:val="IndexLink"/>
                <w:rtl w:val="true"/>
              </w:rPr>
              <w:tab/>
            </w:r>
            <w:r>
              <w:rPr>
                <w:rStyle w:val="IndexLink"/>
              </w:rPr>
              <w:t>212</w:t>
            </w:r>
          </w:hyperlink>
        </w:p>
        <w:p>
          <w:pPr>
            <w:pStyle w:val="Contents2"/>
            <w:tabs>
              <w:tab w:val="clear" w:pos="8743"/>
              <w:tab w:val="right" w:pos="9026" w:leader="dot"/>
            </w:tabs>
            <w:rPr/>
          </w:pPr>
          <w:hyperlink w:anchor="__RefHeading___Toc12184167_2142443653">
            <w:r>
              <w:rPr>
                <w:webHidden/>
                <w:rStyle w:val="IndexLink"/>
                <w:rtl w:val="true"/>
              </w:rPr>
              <w:t>اختطاف الطائرات والسيارات</w:t>
            </w:r>
            <w:r>
              <w:rPr>
                <w:rStyle w:val="IndexLink"/>
                <w:rtl w:val="true"/>
              </w:rPr>
              <w:tab/>
            </w:r>
            <w:r>
              <w:rPr>
                <w:rStyle w:val="IndexLink"/>
              </w:rPr>
              <w:t>213</w:t>
            </w:r>
          </w:hyperlink>
        </w:p>
        <w:p>
          <w:pPr>
            <w:pStyle w:val="Contents2"/>
            <w:tabs>
              <w:tab w:val="clear" w:pos="8743"/>
              <w:tab w:val="right" w:pos="9026" w:leader="dot"/>
            </w:tabs>
            <w:rPr/>
          </w:pPr>
          <w:hyperlink w:anchor="__RefHeading___Toc12184169_2142443653">
            <w:r>
              <w:rPr>
                <w:webHidden/>
                <w:rStyle w:val="IndexLink"/>
                <w:rtl w:val="true"/>
              </w:rPr>
              <w:t>تبديل الصفيف إلى الدفيف</w:t>
            </w:r>
            <w:r>
              <w:rPr>
                <w:rStyle w:val="IndexLink"/>
                <w:rtl w:val="true"/>
              </w:rPr>
              <w:tab/>
            </w:r>
            <w:r>
              <w:rPr>
                <w:rStyle w:val="IndexLink"/>
              </w:rPr>
              <w:t>214</w:t>
            </w:r>
          </w:hyperlink>
        </w:p>
        <w:p>
          <w:pPr>
            <w:pStyle w:val="Contents2"/>
            <w:tabs>
              <w:tab w:val="clear" w:pos="8743"/>
              <w:tab w:val="right" w:pos="9026" w:leader="dot"/>
            </w:tabs>
            <w:rPr/>
          </w:pPr>
          <w:hyperlink w:anchor="__RefHeading___Toc12184171_2142443653">
            <w:r>
              <w:rPr>
                <w:webHidden/>
                <w:rStyle w:val="IndexLink"/>
                <w:rtl w:val="true"/>
              </w:rPr>
              <w:t>تبديل الدفيف إلى الصفيف</w:t>
            </w:r>
            <w:r>
              <w:rPr>
                <w:rStyle w:val="IndexLink"/>
                <w:rtl w:val="true"/>
              </w:rPr>
              <w:tab/>
            </w:r>
            <w:r>
              <w:rPr>
                <w:rStyle w:val="IndexLink"/>
              </w:rPr>
              <w:t>215</w:t>
            </w:r>
          </w:hyperlink>
        </w:p>
        <w:p>
          <w:pPr>
            <w:pStyle w:val="Contents2"/>
            <w:tabs>
              <w:tab w:val="clear" w:pos="8743"/>
              <w:tab w:val="right" w:pos="9026" w:leader="dot"/>
            </w:tabs>
            <w:rPr/>
          </w:pPr>
          <w:hyperlink w:anchor="__RefHeading___Toc12184173_2142443653">
            <w:r>
              <w:rPr>
                <w:webHidden/>
                <w:rStyle w:val="IndexLink"/>
                <w:rtl w:val="true"/>
              </w:rPr>
              <w:t>التصرف في القمر</w:t>
            </w:r>
            <w:r>
              <w:rPr>
                <w:rStyle w:val="IndexLink"/>
                <w:rtl w:val="true"/>
              </w:rPr>
              <w:tab/>
            </w:r>
            <w:r>
              <w:rPr>
                <w:rStyle w:val="IndexLink"/>
              </w:rPr>
              <w:t>215</w:t>
            </w:r>
          </w:hyperlink>
        </w:p>
        <w:p>
          <w:pPr>
            <w:pStyle w:val="Contents2"/>
            <w:tabs>
              <w:tab w:val="clear" w:pos="8743"/>
              <w:tab w:val="right" w:pos="9026" w:leader="dot"/>
            </w:tabs>
            <w:rPr/>
          </w:pPr>
          <w:hyperlink w:anchor="__RefHeading___Toc12184175_2142443653">
            <w:r>
              <w:rPr>
                <w:webHidden/>
                <w:rStyle w:val="IndexLink"/>
                <w:rtl w:val="true"/>
              </w:rPr>
              <w:t>تنصيف القمر</w:t>
            </w:r>
            <w:r>
              <w:rPr>
                <w:rStyle w:val="IndexLink"/>
                <w:rtl w:val="true"/>
              </w:rPr>
              <w:tab/>
            </w:r>
            <w:r>
              <w:rPr>
                <w:rStyle w:val="IndexLink"/>
              </w:rPr>
              <w:t>216</w:t>
            </w:r>
          </w:hyperlink>
        </w:p>
        <w:p>
          <w:pPr>
            <w:pStyle w:val="Contents2"/>
            <w:tabs>
              <w:tab w:val="clear" w:pos="8743"/>
              <w:tab w:val="right" w:pos="9026" w:leader="dot"/>
            </w:tabs>
            <w:rPr/>
          </w:pPr>
          <w:hyperlink w:anchor="__RefHeading___Toc12184177_2142443653">
            <w:r>
              <w:rPr>
                <w:webHidden/>
                <w:rStyle w:val="IndexLink"/>
                <w:rtl w:val="true"/>
              </w:rPr>
              <w:t>تمديد حمل الجنين</w:t>
            </w:r>
            <w:r>
              <w:rPr>
                <w:rStyle w:val="IndexLink"/>
                <w:rtl w:val="true"/>
              </w:rPr>
              <w:tab/>
            </w:r>
            <w:r>
              <w:rPr>
                <w:rStyle w:val="IndexLink"/>
              </w:rPr>
              <w:t>216</w:t>
            </w:r>
          </w:hyperlink>
        </w:p>
        <w:p>
          <w:pPr>
            <w:pStyle w:val="Contents2"/>
            <w:tabs>
              <w:tab w:val="clear" w:pos="8743"/>
              <w:tab w:val="right" w:pos="9026" w:leader="dot"/>
            </w:tabs>
            <w:rPr/>
          </w:pPr>
          <w:hyperlink w:anchor="__RefHeading___Toc12184179_2142443653">
            <w:r>
              <w:rPr>
                <w:webHidden/>
                <w:rStyle w:val="IndexLink"/>
                <w:rtl w:val="true"/>
              </w:rPr>
              <w:t>تقليص حمل الجنين</w:t>
            </w:r>
            <w:r>
              <w:rPr>
                <w:rStyle w:val="IndexLink"/>
                <w:rtl w:val="true"/>
              </w:rPr>
              <w:tab/>
            </w:r>
            <w:r>
              <w:rPr>
                <w:rStyle w:val="IndexLink"/>
              </w:rPr>
              <w:t>217</w:t>
            </w:r>
          </w:hyperlink>
        </w:p>
        <w:p>
          <w:pPr>
            <w:pStyle w:val="Contents2"/>
            <w:tabs>
              <w:tab w:val="clear" w:pos="8743"/>
              <w:tab w:val="right" w:pos="9026" w:leader="dot"/>
            </w:tabs>
            <w:rPr/>
          </w:pPr>
          <w:hyperlink w:anchor="__RefHeading___Toc12184181_2142443653">
            <w:r>
              <w:rPr>
                <w:webHidden/>
                <w:rStyle w:val="IndexLink"/>
                <w:rtl w:val="true"/>
              </w:rPr>
              <w:t>تربية الجنين خارج الرحم</w:t>
            </w:r>
            <w:r>
              <w:rPr>
                <w:rStyle w:val="IndexLink"/>
                <w:rtl w:val="true"/>
              </w:rPr>
              <w:tab/>
            </w:r>
            <w:r>
              <w:rPr>
                <w:rStyle w:val="IndexLink"/>
              </w:rPr>
              <w:t>218</w:t>
            </w:r>
          </w:hyperlink>
        </w:p>
        <w:p>
          <w:pPr>
            <w:pStyle w:val="Contents2"/>
            <w:tabs>
              <w:tab w:val="clear" w:pos="8743"/>
              <w:tab w:val="right" w:pos="9026" w:leader="dot"/>
            </w:tabs>
            <w:rPr/>
          </w:pPr>
          <w:hyperlink w:anchor="__RefHeading___Toc12184183_2142443653">
            <w:r>
              <w:rPr>
                <w:webHidden/>
                <w:rStyle w:val="IndexLink"/>
                <w:rtl w:val="true"/>
              </w:rPr>
              <w:t>التركيب بين الحيوانات المحرمة والمحللة</w:t>
            </w:r>
            <w:r>
              <w:rPr>
                <w:rStyle w:val="IndexLink"/>
                <w:rtl w:val="true"/>
              </w:rPr>
              <w:tab/>
            </w:r>
            <w:r>
              <w:rPr>
                <w:rStyle w:val="IndexLink"/>
              </w:rPr>
              <w:t>218</w:t>
            </w:r>
          </w:hyperlink>
        </w:p>
        <w:p>
          <w:pPr>
            <w:pStyle w:val="Contents2"/>
            <w:tabs>
              <w:tab w:val="clear" w:pos="8743"/>
              <w:tab w:val="right" w:pos="9026" w:leader="dot"/>
            </w:tabs>
            <w:rPr/>
          </w:pPr>
          <w:hyperlink w:anchor="__RefHeading___Toc12184185_2142443653">
            <w:r>
              <w:rPr>
                <w:webHidden/>
                <w:rStyle w:val="IndexLink"/>
                <w:rtl w:val="true"/>
              </w:rPr>
              <w:t>تسميم الأجواء</w:t>
            </w:r>
            <w:r>
              <w:rPr>
                <w:rStyle w:val="IndexLink"/>
                <w:rtl w:val="true"/>
              </w:rPr>
              <w:tab/>
            </w:r>
            <w:r>
              <w:rPr>
                <w:rStyle w:val="IndexLink"/>
              </w:rPr>
              <w:t>218</w:t>
            </w:r>
          </w:hyperlink>
        </w:p>
        <w:p>
          <w:pPr>
            <w:pStyle w:val="Contents2"/>
            <w:tabs>
              <w:tab w:val="clear" w:pos="8743"/>
              <w:tab w:val="right" w:pos="9026" w:leader="dot"/>
            </w:tabs>
            <w:rPr/>
          </w:pPr>
          <w:hyperlink w:anchor="__RefHeading___Toc12184187_2142443653">
            <w:r>
              <w:rPr>
                <w:webHidden/>
                <w:rStyle w:val="IndexLink"/>
                <w:rtl w:val="true"/>
              </w:rPr>
              <w:t>أجهزة التنبيه المؤذية</w:t>
            </w:r>
            <w:r>
              <w:rPr>
                <w:rStyle w:val="IndexLink"/>
                <w:rtl w:val="true"/>
              </w:rPr>
              <w:tab/>
            </w:r>
            <w:r>
              <w:rPr>
                <w:rStyle w:val="IndexLink"/>
              </w:rPr>
              <w:t>219</w:t>
            </w:r>
          </w:hyperlink>
        </w:p>
        <w:p>
          <w:pPr>
            <w:pStyle w:val="Contents2"/>
            <w:tabs>
              <w:tab w:val="clear" w:pos="8743"/>
              <w:tab w:val="right" w:pos="9026" w:leader="dot"/>
            </w:tabs>
            <w:rPr/>
          </w:pPr>
          <w:hyperlink w:anchor="__RefHeading___Toc12184189_2142443653">
            <w:r>
              <w:rPr>
                <w:webHidden/>
                <w:rStyle w:val="IndexLink"/>
                <w:rtl w:val="true"/>
              </w:rPr>
              <w:t>تغيير لون الدم</w:t>
            </w:r>
            <w:r>
              <w:rPr>
                <w:rStyle w:val="IndexLink"/>
                <w:rtl w:val="true"/>
              </w:rPr>
              <w:tab/>
            </w:r>
            <w:r>
              <w:rPr>
                <w:rStyle w:val="IndexLink"/>
              </w:rPr>
              <w:t>219</w:t>
            </w:r>
          </w:hyperlink>
        </w:p>
        <w:p>
          <w:pPr>
            <w:pStyle w:val="Contents2"/>
            <w:tabs>
              <w:tab w:val="clear" w:pos="8743"/>
              <w:tab w:val="right" w:pos="9026" w:leader="dot"/>
            </w:tabs>
            <w:rPr/>
          </w:pPr>
          <w:hyperlink w:anchor="__RefHeading___Toc12184191_2142443653">
            <w:r>
              <w:rPr>
                <w:webHidden/>
                <w:rStyle w:val="IndexLink"/>
                <w:rtl w:val="true"/>
              </w:rPr>
              <w:t>تحويل الدم إلى لبن</w:t>
            </w:r>
            <w:r>
              <w:rPr>
                <w:rStyle w:val="IndexLink"/>
                <w:rtl w:val="true"/>
              </w:rPr>
              <w:tab/>
            </w:r>
            <w:r>
              <w:rPr>
                <w:rStyle w:val="IndexLink"/>
              </w:rPr>
              <w:t>220</w:t>
            </w:r>
          </w:hyperlink>
        </w:p>
        <w:p>
          <w:pPr>
            <w:pStyle w:val="Contents2"/>
            <w:tabs>
              <w:tab w:val="clear" w:pos="8743"/>
              <w:tab w:val="right" w:pos="9026" w:leader="dot"/>
            </w:tabs>
            <w:rPr/>
          </w:pPr>
          <w:hyperlink w:anchor="__RefHeading___Toc12184193_2142443653">
            <w:r>
              <w:rPr>
                <w:webHidden/>
                <w:rStyle w:val="IndexLink"/>
                <w:rtl w:val="true"/>
              </w:rPr>
              <w:t>فصائل الحيوانات</w:t>
            </w:r>
            <w:r>
              <w:rPr>
                <w:rStyle w:val="IndexLink"/>
                <w:rtl w:val="true"/>
              </w:rPr>
              <w:tab/>
            </w:r>
            <w:r>
              <w:rPr>
                <w:rStyle w:val="IndexLink"/>
              </w:rPr>
              <w:t>221</w:t>
            </w:r>
          </w:hyperlink>
        </w:p>
        <w:p>
          <w:pPr>
            <w:pStyle w:val="Contents2"/>
            <w:tabs>
              <w:tab w:val="clear" w:pos="8743"/>
              <w:tab w:val="right" w:pos="9026" w:leader="dot"/>
            </w:tabs>
            <w:rPr/>
          </w:pPr>
          <w:hyperlink w:anchor="__RefHeading___Toc12184195_2142443653">
            <w:r>
              <w:rPr>
                <w:webHidden/>
                <w:rStyle w:val="IndexLink"/>
                <w:rtl w:val="true"/>
              </w:rPr>
              <w:t>تغيير الفأر طائراً</w:t>
            </w:r>
            <w:r>
              <w:rPr>
                <w:rStyle w:val="IndexLink"/>
                <w:rtl w:val="true"/>
              </w:rPr>
              <w:tab/>
            </w:r>
            <w:r>
              <w:rPr>
                <w:rStyle w:val="IndexLink"/>
              </w:rPr>
              <w:t>221</w:t>
            </w:r>
          </w:hyperlink>
        </w:p>
        <w:p>
          <w:pPr>
            <w:pStyle w:val="Contents2"/>
            <w:tabs>
              <w:tab w:val="clear" w:pos="8743"/>
              <w:tab w:val="right" w:pos="9026" w:leader="dot"/>
            </w:tabs>
            <w:rPr/>
          </w:pPr>
          <w:hyperlink w:anchor="__RefHeading___Toc12184197_2142443653">
            <w:r>
              <w:rPr>
                <w:webHidden/>
                <w:rStyle w:val="IndexLink"/>
                <w:rtl w:val="true"/>
              </w:rPr>
              <w:t>الخفاش بلا جناح</w:t>
            </w:r>
            <w:r>
              <w:rPr>
                <w:rStyle w:val="IndexLink"/>
                <w:rtl w:val="true"/>
              </w:rPr>
              <w:tab/>
            </w:r>
            <w:r>
              <w:rPr>
                <w:rStyle w:val="IndexLink"/>
              </w:rPr>
              <w:t>222</w:t>
            </w:r>
          </w:hyperlink>
        </w:p>
        <w:p>
          <w:pPr>
            <w:pStyle w:val="Contents2"/>
            <w:tabs>
              <w:tab w:val="clear" w:pos="8743"/>
              <w:tab w:val="right" w:pos="9026" w:leader="dot"/>
            </w:tabs>
            <w:rPr/>
          </w:pPr>
          <w:hyperlink w:anchor="__RefHeading___Toc12184199_2142443653">
            <w:r>
              <w:rPr>
                <w:webHidden/>
                <w:rStyle w:val="IndexLink"/>
                <w:rtl w:val="true"/>
              </w:rPr>
              <w:t>من أحكام تغيير الحيوان</w:t>
            </w:r>
            <w:r>
              <w:rPr>
                <w:rStyle w:val="IndexLink"/>
                <w:rtl w:val="true"/>
              </w:rPr>
              <w:tab/>
            </w:r>
            <w:r>
              <w:rPr>
                <w:rStyle w:val="IndexLink"/>
              </w:rPr>
              <w:t>222</w:t>
            </w:r>
          </w:hyperlink>
        </w:p>
        <w:p>
          <w:pPr>
            <w:pStyle w:val="Contents2"/>
            <w:tabs>
              <w:tab w:val="clear" w:pos="8743"/>
              <w:tab w:val="right" w:pos="9026" w:leader="dot"/>
            </w:tabs>
            <w:rPr/>
          </w:pPr>
          <w:hyperlink w:anchor="__RefHeading___Toc12184201_2142443653">
            <w:r>
              <w:rPr>
                <w:webHidden/>
                <w:rStyle w:val="IndexLink"/>
                <w:rtl w:val="true"/>
              </w:rPr>
              <w:t>شفافية جسد الإنسان</w:t>
            </w:r>
            <w:r>
              <w:rPr>
                <w:rStyle w:val="IndexLink"/>
                <w:rtl w:val="true"/>
              </w:rPr>
              <w:tab/>
            </w:r>
            <w:r>
              <w:rPr>
                <w:rStyle w:val="IndexLink"/>
              </w:rPr>
              <w:t>223</w:t>
            </w:r>
          </w:hyperlink>
        </w:p>
        <w:p>
          <w:pPr>
            <w:pStyle w:val="Contents2"/>
            <w:tabs>
              <w:tab w:val="clear" w:pos="8743"/>
              <w:tab w:val="right" w:pos="9026" w:leader="dot"/>
            </w:tabs>
            <w:rPr/>
          </w:pPr>
          <w:hyperlink w:anchor="__RefHeading___Toc12184203_2142443653">
            <w:r>
              <w:rPr>
                <w:webHidden/>
                <w:rStyle w:val="IndexLink"/>
                <w:rtl w:val="true"/>
              </w:rPr>
              <w:t>شفافية جسد الحيوان</w:t>
            </w:r>
            <w:r>
              <w:rPr>
                <w:rStyle w:val="IndexLink"/>
                <w:rtl w:val="true"/>
              </w:rPr>
              <w:tab/>
            </w:r>
            <w:r>
              <w:rPr>
                <w:rStyle w:val="IndexLink"/>
              </w:rPr>
              <w:t>223</w:t>
            </w:r>
          </w:hyperlink>
        </w:p>
        <w:p>
          <w:pPr>
            <w:pStyle w:val="Contents2"/>
            <w:tabs>
              <w:tab w:val="clear" w:pos="8743"/>
              <w:tab w:val="right" w:pos="9026" w:leader="dot"/>
            </w:tabs>
            <w:rPr/>
          </w:pPr>
          <w:hyperlink w:anchor="__RefHeading___Toc12184205_2142443653">
            <w:r>
              <w:rPr>
                <w:webHidden/>
                <w:rStyle w:val="IndexLink"/>
                <w:rtl w:val="true"/>
              </w:rPr>
              <w:t>تحنيط الأموات لبقاء الجسد</w:t>
            </w:r>
            <w:r>
              <w:rPr>
                <w:rStyle w:val="IndexLink"/>
                <w:rtl w:val="true"/>
              </w:rPr>
              <w:tab/>
            </w:r>
            <w:r>
              <w:rPr>
                <w:rStyle w:val="IndexLink"/>
              </w:rPr>
              <w:t>223</w:t>
            </w:r>
          </w:hyperlink>
        </w:p>
        <w:p>
          <w:pPr>
            <w:pStyle w:val="Contents2"/>
            <w:tabs>
              <w:tab w:val="clear" w:pos="8743"/>
              <w:tab w:val="right" w:pos="9026" w:leader="dot"/>
            </w:tabs>
            <w:rPr/>
          </w:pPr>
          <w:hyperlink w:anchor="__RefHeading___Toc12184207_2142443653">
            <w:r>
              <w:rPr>
                <w:webHidden/>
                <w:rStyle w:val="IndexLink"/>
                <w:rtl w:val="true"/>
              </w:rPr>
              <w:t>التحنيط لو أتلف الجسد</w:t>
            </w:r>
            <w:r>
              <w:rPr>
                <w:rStyle w:val="IndexLink"/>
                <w:rtl w:val="true"/>
              </w:rPr>
              <w:tab/>
            </w:r>
            <w:r>
              <w:rPr>
                <w:rStyle w:val="IndexLink"/>
              </w:rPr>
              <w:t>224</w:t>
            </w:r>
          </w:hyperlink>
        </w:p>
        <w:p>
          <w:pPr>
            <w:pStyle w:val="Contents2"/>
            <w:tabs>
              <w:tab w:val="clear" w:pos="8743"/>
              <w:tab w:val="right" w:pos="9026" w:leader="dot"/>
            </w:tabs>
            <w:rPr/>
          </w:pPr>
          <w:hyperlink w:anchor="__RefHeading___Toc12184209_2142443653">
            <w:r>
              <w:rPr>
                <w:webHidden/>
                <w:rStyle w:val="IndexLink"/>
                <w:rtl w:val="true"/>
              </w:rPr>
              <w:t>جوف الأُنثى</w:t>
            </w:r>
            <w:r>
              <w:rPr>
                <w:rStyle w:val="IndexLink"/>
                <w:rtl w:val="true"/>
              </w:rPr>
              <w:tab/>
            </w:r>
            <w:r>
              <w:rPr>
                <w:rStyle w:val="IndexLink"/>
              </w:rPr>
              <w:t>225</w:t>
            </w:r>
          </w:hyperlink>
        </w:p>
        <w:p>
          <w:pPr>
            <w:pStyle w:val="Contents2"/>
            <w:tabs>
              <w:tab w:val="clear" w:pos="8743"/>
              <w:tab w:val="right" w:pos="9026" w:leader="dot"/>
            </w:tabs>
            <w:rPr/>
          </w:pPr>
          <w:hyperlink w:anchor="__RefHeading___Toc12184211_2142443653">
            <w:r>
              <w:rPr>
                <w:webHidden/>
                <w:rStyle w:val="IndexLink"/>
                <w:rtl w:val="true"/>
              </w:rPr>
              <w:t>جوف الرجل</w:t>
            </w:r>
            <w:r>
              <w:rPr>
                <w:rStyle w:val="IndexLink"/>
                <w:rtl w:val="true"/>
              </w:rPr>
              <w:tab/>
            </w:r>
            <w:r>
              <w:rPr>
                <w:rStyle w:val="IndexLink"/>
              </w:rPr>
              <w:t>225</w:t>
            </w:r>
          </w:hyperlink>
        </w:p>
        <w:p>
          <w:pPr>
            <w:pStyle w:val="Contents2"/>
            <w:tabs>
              <w:tab w:val="clear" w:pos="8743"/>
              <w:tab w:val="right" w:pos="9026" w:leader="dot"/>
            </w:tabs>
            <w:rPr/>
          </w:pPr>
          <w:hyperlink w:anchor="__RefHeading___Toc12184213_2142443653">
            <w:r>
              <w:rPr>
                <w:webHidden/>
                <w:rStyle w:val="IndexLink"/>
                <w:rtl w:val="true"/>
              </w:rPr>
              <w:t>الزنا قبل الزواج</w:t>
            </w:r>
            <w:r>
              <w:rPr>
                <w:rStyle w:val="IndexLink"/>
                <w:rtl w:val="true"/>
              </w:rPr>
              <w:tab/>
            </w:r>
            <w:r>
              <w:rPr>
                <w:rStyle w:val="IndexLink"/>
              </w:rPr>
              <w:t>226</w:t>
            </w:r>
          </w:hyperlink>
        </w:p>
        <w:p>
          <w:pPr>
            <w:pStyle w:val="Contents2"/>
            <w:tabs>
              <w:tab w:val="clear" w:pos="8743"/>
              <w:tab w:val="right" w:pos="9026" w:leader="dot"/>
            </w:tabs>
            <w:rPr/>
          </w:pPr>
          <w:hyperlink w:anchor="__RefHeading___Toc12184215_2142443653">
            <w:r>
              <w:rPr>
                <w:webHidden/>
                <w:rStyle w:val="IndexLink"/>
                <w:rtl w:val="true"/>
              </w:rPr>
              <w:t>الزنا بعد الطلاق</w:t>
            </w:r>
            <w:r>
              <w:rPr>
                <w:rStyle w:val="IndexLink"/>
                <w:rtl w:val="true"/>
              </w:rPr>
              <w:tab/>
            </w:r>
            <w:r>
              <w:rPr>
                <w:rStyle w:val="IndexLink"/>
              </w:rPr>
              <w:t>226</w:t>
            </w:r>
          </w:hyperlink>
        </w:p>
        <w:p>
          <w:pPr>
            <w:pStyle w:val="Contents2"/>
            <w:tabs>
              <w:tab w:val="clear" w:pos="8743"/>
              <w:tab w:val="right" w:pos="9026" w:leader="dot"/>
            </w:tabs>
            <w:rPr/>
          </w:pPr>
          <w:hyperlink w:anchor="__RefHeading___Toc12184217_2142443653">
            <w:r>
              <w:rPr>
                <w:webHidden/>
                <w:rStyle w:val="IndexLink"/>
                <w:rtl w:val="true"/>
              </w:rPr>
              <w:t>تشبّه الرجل بالمرأة</w:t>
            </w:r>
            <w:r>
              <w:rPr>
                <w:rStyle w:val="IndexLink"/>
                <w:rtl w:val="true"/>
              </w:rPr>
              <w:tab/>
            </w:r>
            <w:r>
              <w:rPr>
                <w:rStyle w:val="IndexLink"/>
              </w:rPr>
              <w:t>228</w:t>
            </w:r>
          </w:hyperlink>
        </w:p>
        <w:p>
          <w:pPr>
            <w:pStyle w:val="Contents2"/>
            <w:tabs>
              <w:tab w:val="clear" w:pos="8743"/>
              <w:tab w:val="right" w:pos="9026" w:leader="dot"/>
            </w:tabs>
            <w:rPr/>
          </w:pPr>
          <w:hyperlink w:anchor="__RefHeading___Toc12184219_2142443653">
            <w:r>
              <w:rPr>
                <w:webHidden/>
                <w:rStyle w:val="IndexLink"/>
                <w:rtl w:val="true"/>
              </w:rPr>
              <w:t>تشبّه المرأة بالرجل</w:t>
            </w:r>
            <w:r>
              <w:rPr>
                <w:rStyle w:val="IndexLink"/>
                <w:rtl w:val="true"/>
              </w:rPr>
              <w:tab/>
            </w:r>
            <w:r>
              <w:rPr>
                <w:rStyle w:val="IndexLink"/>
              </w:rPr>
              <w:t>229</w:t>
            </w:r>
          </w:hyperlink>
        </w:p>
        <w:p>
          <w:pPr>
            <w:pStyle w:val="Contents2"/>
            <w:tabs>
              <w:tab w:val="clear" w:pos="8743"/>
              <w:tab w:val="right" w:pos="9026" w:leader="dot"/>
            </w:tabs>
            <w:rPr/>
          </w:pPr>
          <w:hyperlink w:anchor="__RefHeading___Toc12184221_2142443653">
            <w:r>
              <w:rPr>
                <w:webHidden/>
                <w:rStyle w:val="IndexLink"/>
                <w:rtl w:val="true"/>
              </w:rPr>
              <w:t>إجراء الصيغة بالقلب</w:t>
            </w:r>
            <w:r>
              <w:rPr>
                <w:rStyle w:val="IndexLink"/>
                <w:rtl w:val="true"/>
              </w:rPr>
              <w:tab/>
            </w:r>
            <w:r>
              <w:rPr>
                <w:rStyle w:val="IndexLink"/>
              </w:rPr>
              <w:t>229</w:t>
            </w:r>
          </w:hyperlink>
        </w:p>
        <w:p>
          <w:pPr>
            <w:pStyle w:val="Contents2"/>
            <w:tabs>
              <w:tab w:val="clear" w:pos="8743"/>
              <w:tab w:val="right" w:pos="9026" w:leader="dot"/>
            </w:tabs>
            <w:rPr/>
          </w:pPr>
          <w:hyperlink w:anchor="__RefHeading___Toc12184223_2142443653">
            <w:r>
              <w:rPr>
                <w:webHidden/>
                <w:rStyle w:val="IndexLink"/>
                <w:rtl w:val="true"/>
              </w:rPr>
              <w:t>جائزة نوبل</w:t>
            </w:r>
            <w:r>
              <w:rPr>
                <w:rStyle w:val="IndexLink"/>
                <w:rtl w:val="true"/>
              </w:rPr>
              <w:tab/>
            </w:r>
            <w:r>
              <w:rPr>
                <w:rStyle w:val="IndexLink"/>
              </w:rPr>
              <w:t>230</w:t>
            </w:r>
          </w:hyperlink>
        </w:p>
        <w:p>
          <w:pPr>
            <w:pStyle w:val="Contents2"/>
            <w:tabs>
              <w:tab w:val="clear" w:pos="8743"/>
              <w:tab w:val="right" w:pos="9026" w:leader="dot"/>
            </w:tabs>
            <w:rPr/>
          </w:pPr>
          <w:hyperlink w:anchor="__RefHeading___Toc12184225_2142443653">
            <w:r>
              <w:rPr>
                <w:webHidden/>
                <w:rStyle w:val="IndexLink"/>
                <w:rtl w:val="true"/>
              </w:rPr>
              <w:t>إجراء العقد بالآلة أو الحيوان</w:t>
            </w:r>
            <w:r>
              <w:rPr>
                <w:rStyle w:val="IndexLink"/>
                <w:rtl w:val="true"/>
              </w:rPr>
              <w:tab/>
            </w:r>
            <w:r>
              <w:rPr>
                <w:rStyle w:val="IndexLink"/>
              </w:rPr>
              <w:t>230</w:t>
            </w:r>
          </w:hyperlink>
        </w:p>
        <w:p>
          <w:pPr>
            <w:pStyle w:val="Contents2"/>
            <w:tabs>
              <w:tab w:val="clear" w:pos="8743"/>
              <w:tab w:val="right" w:pos="9026" w:leader="dot"/>
            </w:tabs>
            <w:rPr/>
          </w:pPr>
          <w:hyperlink w:anchor="__RefHeading___Toc12184227_2142443653">
            <w:r>
              <w:rPr>
                <w:webHidden/>
                <w:rStyle w:val="IndexLink"/>
                <w:rtl w:val="true"/>
              </w:rPr>
              <w:t>الغش بالاستعطاف</w:t>
            </w:r>
            <w:r>
              <w:rPr>
                <w:rStyle w:val="IndexLink"/>
                <w:rtl w:val="true"/>
              </w:rPr>
              <w:tab/>
            </w:r>
            <w:r>
              <w:rPr>
                <w:rStyle w:val="IndexLink"/>
              </w:rPr>
              <w:t>231</w:t>
            </w:r>
          </w:hyperlink>
        </w:p>
        <w:p>
          <w:pPr>
            <w:pStyle w:val="Contents2"/>
            <w:tabs>
              <w:tab w:val="clear" w:pos="8743"/>
              <w:tab w:val="right" w:pos="9026" w:leader="dot"/>
            </w:tabs>
            <w:rPr/>
          </w:pPr>
          <w:hyperlink w:anchor="__RefHeading___Toc12184229_2142443653">
            <w:r>
              <w:rPr>
                <w:webHidden/>
                <w:rStyle w:val="IndexLink"/>
                <w:rtl w:val="true"/>
              </w:rPr>
              <w:t>الاستعطاف لأجل المريض</w:t>
            </w:r>
            <w:r>
              <w:rPr>
                <w:rStyle w:val="IndexLink"/>
                <w:rtl w:val="true"/>
              </w:rPr>
              <w:tab/>
            </w:r>
            <w:r>
              <w:rPr>
                <w:rStyle w:val="IndexLink"/>
              </w:rPr>
              <w:t>231</w:t>
            </w:r>
          </w:hyperlink>
        </w:p>
        <w:p>
          <w:pPr>
            <w:pStyle w:val="Contents2"/>
            <w:tabs>
              <w:tab w:val="clear" w:pos="8743"/>
              <w:tab w:val="right" w:pos="9026" w:leader="dot"/>
            </w:tabs>
            <w:rPr/>
          </w:pPr>
          <w:hyperlink w:anchor="__RefHeading___Toc12184231_2142443653">
            <w:r>
              <w:rPr>
                <w:webHidden/>
                <w:rStyle w:val="IndexLink"/>
                <w:rtl w:val="true"/>
              </w:rPr>
              <w:t>الاستنفاع بالحيوان مخادعة</w:t>
            </w:r>
            <w:r>
              <w:rPr>
                <w:rStyle w:val="IndexLink"/>
                <w:rtl w:val="true"/>
              </w:rPr>
              <w:tab/>
            </w:r>
            <w:r>
              <w:rPr>
                <w:rStyle w:val="IndexLink"/>
              </w:rPr>
              <w:t>232</w:t>
            </w:r>
          </w:hyperlink>
        </w:p>
        <w:p>
          <w:pPr>
            <w:pStyle w:val="Contents2"/>
            <w:tabs>
              <w:tab w:val="clear" w:pos="8743"/>
              <w:tab w:val="right" w:pos="9026" w:leader="dot"/>
            </w:tabs>
            <w:rPr/>
          </w:pPr>
          <w:hyperlink w:anchor="__RefHeading___Toc12184233_2142443653">
            <w:r>
              <w:rPr>
                <w:webHidden/>
                <w:rStyle w:val="IndexLink"/>
                <w:rtl w:val="true"/>
              </w:rPr>
              <w:t>جرائم الشحاذين</w:t>
            </w:r>
            <w:r>
              <w:rPr>
                <w:rStyle w:val="IndexLink"/>
                <w:rtl w:val="true"/>
              </w:rPr>
              <w:tab/>
            </w:r>
            <w:r>
              <w:rPr>
                <w:rStyle w:val="IndexLink"/>
              </w:rPr>
              <w:t>232</w:t>
            </w:r>
          </w:hyperlink>
        </w:p>
        <w:p>
          <w:pPr>
            <w:pStyle w:val="Contents2"/>
            <w:tabs>
              <w:tab w:val="clear" w:pos="8743"/>
              <w:tab w:val="right" w:pos="9026" w:leader="dot"/>
            </w:tabs>
            <w:rPr/>
          </w:pPr>
          <w:hyperlink w:anchor="__RefHeading___Toc12184235_2142443653">
            <w:r>
              <w:rPr>
                <w:webHidden/>
                <w:rStyle w:val="IndexLink"/>
                <w:rtl w:val="true"/>
              </w:rPr>
              <w:t>احتكار المرافق العامة</w:t>
            </w:r>
            <w:r>
              <w:rPr>
                <w:rStyle w:val="IndexLink"/>
                <w:rtl w:val="true"/>
              </w:rPr>
              <w:tab/>
            </w:r>
            <w:r>
              <w:rPr>
                <w:rStyle w:val="IndexLink"/>
              </w:rPr>
              <w:t>232</w:t>
            </w:r>
          </w:hyperlink>
        </w:p>
        <w:p>
          <w:pPr>
            <w:pStyle w:val="Contents2"/>
            <w:tabs>
              <w:tab w:val="clear" w:pos="8743"/>
              <w:tab w:val="right" w:pos="9026" w:leader="dot"/>
            </w:tabs>
            <w:rPr/>
          </w:pPr>
          <w:hyperlink w:anchor="__RefHeading___Toc12184237_2142443653">
            <w:r>
              <w:rPr>
                <w:webHidden/>
                <w:rStyle w:val="IndexLink"/>
                <w:rtl w:val="true"/>
              </w:rPr>
              <w:t>الإسراف في الموقوفات</w:t>
            </w:r>
            <w:r>
              <w:rPr>
                <w:rStyle w:val="IndexLink"/>
                <w:rtl w:val="true"/>
              </w:rPr>
              <w:tab/>
            </w:r>
            <w:r>
              <w:rPr>
                <w:rStyle w:val="IndexLink"/>
              </w:rPr>
              <w:t>233</w:t>
            </w:r>
          </w:hyperlink>
        </w:p>
        <w:p>
          <w:pPr>
            <w:pStyle w:val="Contents2"/>
            <w:tabs>
              <w:tab w:val="clear" w:pos="8743"/>
              <w:tab w:val="right" w:pos="9026" w:leader="dot"/>
            </w:tabs>
            <w:rPr/>
          </w:pPr>
          <w:hyperlink w:anchor="__RefHeading___Toc12184239_2142443653">
            <w:r>
              <w:rPr>
                <w:webHidden/>
                <w:rStyle w:val="IndexLink"/>
                <w:rtl w:val="true"/>
              </w:rPr>
              <w:t>الاسترزاق عن طريق الغرائب</w:t>
            </w:r>
            <w:r>
              <w:rPr>
                <w:rStyle w:val="IndexLink"/>
                <w:rtl w:val="true"/>
              </w:rPr>
              <w:tab/>
            </w:r>
            <w:r>
              <w:rPr>
                <w:rStyle w:val="IndexLink"/>
              </w:rPr>
              <w:t>234</w:t>
            </w:r>
          </w:hyperlink>
        </w:p>
        <w:p>
          <w:pPr>
            <w:pStyle w:val="Contents2"/>
            <w:tabs>
              <w:tab w:val="clear" w:pos="8743"/>
              <w:tab w:val="right" w:pos="9026" w:leader="dot"/>
            </w:tabs>
            <w:rPr/>
          </w:pPr>
          <w:hyperlink w:anchor="__RefHeading___Toc12184241_2142443653">
            <w:r>
              <w:rPr>
                <w:webHidden/>
                <w:rStyle w:val="IndexLink"/>
                <w:rtl w:val="true"/>
              </w:rPr>
              <w:t>الخداع في الغرائب</w:t>
            </w:r>
            <w:r>
              <w:rPr>
                <w:rStyle w:val="IndexLink"/>
                <w:rtl w:val="true"/>
              </w:rPr>
              <w:tab/>
            </w:r>
            <w:r>
              <w:rPr>
                <w:rStyle w:val="IndexLink"/>
              </w:rPr>
              <w:t>234</w:t>
            </w:r>
          </w:hyperlink>
        </w:p>
        <w:p>
          <w:pPr>
            <w:pStyle w:val="Contents2"/>
            <w:tabs>
              <w:tab w:val="clear" w:pos="8743"/>
              <w:tab w:val="right" w:pos="9026" w:leader="dot"/>
            </w:tabs>
            <w:rPr/>
          </w:pPr>
          <w:hyperlink w:anchor="__RefHeading___Toc12184243_2142443653">
            <w:r>
              <w:rPr>
                <w:webHidden/>
                <w:rStyle w:val="IndexLink"/>
                <w:rtl w:val="true"/>
              </w:rPr>
              <w:t>التصرف في الشؤون العامة</w:t>
            </w:r>
            <w:r>
              <w:rPr>
                <w:rStyle w:val="IndexLink"/>
                <w:rtl w:val="true"/>
              </w:rPr>
              <w:tab/>
            </w:r>
            <w:r>
              <w:rPr>
                <w:rStyle w:val="IndexLink"/>
              </w:rPr>
              <w:t>235</w:t>
            </w:r>
          </w:hyperlink>
        </w:p>
        <w:p>
          <w:pPr>
            <w:pStyle w:val="Contents2"/>
            <w:tabs>
              <w:tab w:val="clear" w:pos="8743"/>
              <w:tab w:val="right" w:pos="9026" w:leader="dot"/>
            </w:tabs>
            <w:rPr/>
          </w:pPr>
          <w:hyperlink w:anchor="__RefHeading___Toc12184245_2142443653">
            <w:r>
              <w:rPr>
                <w:webHidden/>
                <w:rStyle w:val="IndexLink"/>
                <w:rtl w:val="true"/>
              </w:rPr>
              <w:t>إيذاء الناس مادياً</w:t>
            </w:r>
            <w:r>
              <w:rPr>
                <w:rStyle w:val="IndexLink"/>
                <w:rtl w:val="true"/>
              </w:rPr>
              <w:tab/>
            </w:r>
            <w:r>
              <w:rPr>
                <w:rStyle w:val="IndexLink"/>
              </w:rPr>
              <w:t>235</w:t>
            </w:r>
          </w:hyperlink>
        </w:p>
        <w:p>
          <w:pPr>
            <w:pStyle w:val="Contents2"/>
            <w:tabs>
              <w:tab w:val="clear" w:pos="8743"/>
              <w:tab w:val="right" w:pos="9026" w:leader="dot"/>
            </w:tabs>
            <w:rPr/>
          </w:pPr>
          <w:hyperlink w:anchor="__RefHeading___Toc12184247_2142443653">
            <w:r>
              <w:rPr>
                <w:webHidden/>
                <w:rStyle w:val="IndexLink"/>
                <w:rtl w:val="true"/>
              </w:rPr>
              <w:t>التصرف في ممتلكات الناس</w:t>
            </w:r>
            <w:r>
              <w:rPr>
                <w:rStyle w:val="IndexLink"/>
                <w:rtl w:val="true"/>
              </w:rPr>
              <w:tab/>
            </w:r>
            <w:r>
              <w:rPr>
                <w:rStyle w:val="IndexLink"/>
              </w:rPr>
              <w:t>236</w:t>
            </w:r>
          </w:hyperlink>
        </w:p>
        <w:p>
          <w:pPr>
            <w:pStyle w:val="Contents2"/>
            <w:tabs>
              <w:tab w:val="clear" w:pos="8743"/>
              <w:tab w:val="right" w:pos="9026" w:leader="dot"/>
            </w:tabs>
            <w:rPr/>
          </w:pPr>
          <w:hyperlink w:anchor="__RefHeading___Toc12184249_2142443653">
            <w:r>
              <w:rPr>
                <w:webHidden/>
                <w:rStyle w:val="IndexLink"/>
                <w:rtl w:val="true"/>
              </w:rPr>
              <w:t>التصرف في ممتلكات الحكومة</w:t>
            </w:r>
            <w:r>
              <w:rPr>
                <w:rStyle w:val="IndexLink"/>
                <w:rtl w:val="true"/>
              </w:rPr>
              <w:tab/>
            </w:r>
            <w:r>
              <w:rPr>
                <w:rStyle w:val="IndexLink"/>
              </w:rPr>
              <w:t>236</w:t>
            </w:r>
          </w:hyperlink>
        </w:p>
        <w:p>
          <w:pPr>
            <w:pStyle w:val="Contents2"/>
            <w:tabs>
              <w:tab w:val="clear" w:pos="8743"/>
              <w:tab w:val="right" w:pos="9026" w:leader="dot"/>
            </w:tabs>
            <w:rPr/>
          </w:pPr>
          <w:hyperlink w:anchor="__RefHeading___Toc12184251_2142443653">
            <w:r>
              <w:rPr>
                <w:webHidden/>
                <w:rStyle w:val="IndexLink"/>
                <w:rtl w:val="true"/>
              </w:rPr>
              <w:t>تعارض المصلحتين</w:t>
            </w:r>
            <w:r>
              <w:rPr>
                <w:rStyle w:val="IndexLink"/>
                <w:rtl w:val="true"/>
              </w:rPr>
              <w:tab/>
            </w:r>
            <w:r>
              <w:rPr>
                <w:rStyle w:val="IndexLink"/>
              </w:rPr>
              <w:t>237</w:t>
            </w:r>
          </w:hyperlink>
        </w:p>
        <w:p>
          <w:pPr>
            <w:pStyle w:val="Contents2"/>
            <w:tabs>
              <w:tab w:val="clear" w:pos="8743"/>
              <w:tab w:val="right" w:pos="9026" w:leader="dot"/>
            </w:tabs>
            <w:rPr/>
          </w:pPr>
          <w:hyperlink w:anchor="__RefHeading___Toc12184253_2142443653">
            <w:r>
              <w:rPr>
                <w:webHidden/>
                <w:rStyle w:val="IndexLink"/>
                <w:rtl w:val="true"/>
              </w:rPr>
              <w:t>دورة المياه</w:t>
            </w:r>
            <w:r>
              <w:rPr>
                <w:rStyle w:val="IndexLink"/>
                <w:rtl w:val="true"/>
              </w:rPr>
              <w:tab/>
            </w:r>
            <w:r>
              <w:rPr>
                <w:rStyle w:val="IndexLink"/>
              </w:rPr>
              <w:t>240</w:t>
            </w:r>
          </w:hyperlink>
        </w:p>
        <w:p>
          <w:pPr>
            <w:pStyle w:val="Contents2"/>
            <w:tabs>
              <w:tab w:val="clear" w:pos="8743"/>
              <w:tab w:val="right" w:pos="9026" w:leader="dot"/>
            </w:tabs>
            <w:rPr/>
          </w:pPr>
          <w:hyperlink w:anchor="__RefHeading___Toc12184255_2142443653">
            <w:r>
              <w:rPr>
                <w:webHidden/>
                <w:rStyle w:val="IndexLink"/>
                <w:rtl w:val="true"/>
              </w:rPr>
              <w:t>الحدائق العامة وأحكامها</w:t>
            </w:r>
            <w:r>
              <w:rPr>
                <w:rStyle w:val="IndexLink"/>
                <w:rtl w:val="true"/>
              </w:rPr>
              <w:tab/>
            </w:r>
            <w:r>
              <w:rPr>
                <w:rStyle w:val="IndexLink"/>
              </w:rPr>
              <w:t>240</w:t>
            </w:r>
          </w:hyperlink>
        </w:p>
        <w:p>
          <w:pPr>
            <w:pStyle w:val="Contents2"/>
            <w:tabs>
              <w:tab w:val="clear" w:pos="8743"/>
              <w:tab w:val="right" w:pos="9026" w:leader="dot"/>
            </w:tabs>
            <w:rPr/>
          </w:pPr>
          <w:hyperlink w:anchor="__RefHeading___Toc12184257_2142443653">
            <w:r>
              <w:rPr>
                <w:webHidden/>
                <w:rStyle w:val="IndexLink"/>
                <w:rtl w:val="true"/>
              </w:rPr>
              <w:t>قطف الزهور من الحدائق</w:t>
            </w:r>
            <w:r>
              <w:rPr>
                <w:rStyle w:val="IndexLink"/>
                <w:rtl w:val="true"/>
              </w:rPr>
              <w:tab/>
            </w:r>
            <w:r>
              <w:rPr>
                <w:rStyle w:val="IndexLink"/>
              </w:rPr>
              <w:t>241</w:t>
            </w:r>
          </w:hyperlink>
        </w:p>
        <w:p>
          <w:pPr>
            <w:pStyle w:val="Contents2"/>
            <w:tabs>
              <w:tab w:val="clear" w:pos="8743"/>
              <w:tab w:val="right" w:pos="9026" w:leader="dot"/>
            </w:tabs>
            <w:rPr/>
          </w:pPr>
          <w:hyperlink w:anchor="__RefHeading___Toc12184259_2142443653">
            <w:r>
              <w:rPr>
                <w:webHidden/>
                <w:rStyle w:val="IndexLink"/>
                <w:rtl w:val="true"/>
              </w:rPr>
              <w:t>توسيع الشوارع</w:t>
            </w:r>
            <w:r>
              <w:rPr>
                <w:rStyle w:val="IndexLink"/>
                <w:rtl w:val="true"/>
              </w:rPr>
              <w:tab/>
            </w:r>
            <w:r>
              <w:rPr>
                <w:rStyle w:val="IndexLink"/>
              </w:rPr>
              <w:t>241</w:t>
            </w:r>
          </w:hyperlink>
        </w:p>
        <w:p>
          <w:pPr>
            <w:pStyle w:val="Contents2"/>
            <w:tabs>
              <w:tab w:val="clear" w:pos="8743"/>
              <w:tab w:val="right" w:pos="9026" w:leader="dot"/>
            </w:tabs>
            <w:rPr/>
          </w:pPr>
          <w:hyperlink w:anchor="__RefHeading___Toc12184261_2142443653">
            <w:r>
              <w:rPr>
                <w:webHidden/>
                <w:rStyle w:val="IndexLink"/>
                <w:rtl w:val="true"/>
              </w:rPr>
              <w:t>العبادة مع العمل في وسائل النقل</w:t>
            </w:r>
            <w:r>
              <w:rPr>
                <w:rStyle w:val="IndexLink"/>
                <w:rtl w:val="true"/>
              </w:rPr>
              <w:tab/>
            </w:r>
            <w:r>
              <w:rPr>
                <w:rStyle w:val="IndexLink"/>
              </w:rPr>
              <w:t>243</w:t>
            </w:r>
          </w:hyperlink>
        </w:p>
        <w:p>
          <w:pPr>
            <w:pStyle w:val="Contents2"/>
            <w:tabs>
              <w:tab w:val="clear" w:pos="8743"/>
              <w:tab w:val="right" w:pos="9026" w:leader="dot"/>
            </w:tabs>
            <w:rPr/>
          </w:pPr>
          <w:hyperlink w:anchor="__RefHeading___Toc12184263_2142443653">
            <w:r>
              <w:rPr>
                <w:webHidden/>
                <w:rStyle w:val="IndexLink"/>
                <w:rtl w:val="true"/>
              </w:rPr>
              <w:t>الهروب من السجن</w:t>
            </w:r>
            <w:r>
              <w:rPr>
                <w:rStyle w:val="IndexLink"/>
                <w:rtl w:val="true"/>
              </w:rPr>
              <w:tab/>
            </w:r>
            <w:r>
              <w:rPr>
                <w:rStyle w:val="IndexLink"/>
              </w:rPr>
              <w:t>244</w:t>
            </w:r>
          </w:hyperlink>
        </w:p>
        <w:p>
          <w:pPr>
            <w:pStyle w:val="Contents2"/>
            <w:tabs>
              <w:tab w:val="clear" w:pos="8743"/>
              <w:tab w:val="right" w:pos="9026" w:leader="dot"/>
            </w:tabs>
            <w:rPr/>
          </w:pPr>
          <w:hyperlink w:anchor="__RefHeading___Toc12184265_2142443653">
            <w:r>
              <w:rPr>
                <w:webHidden/>
                <w:rStyle w:val="IndexLink"/>
                <w:rtl w:val="true"/>
              </w:rPr>
              <w:t>من أحكام الضيافة</w:t>
            </w:r>
            <w:r>
              <w:rPr>
                <w:rStyle w:val="IndexLink"/>
                <w:rtl w:val="true"/>
              </w:rPr>
              <w:tab/>
            </w:r>
            <w:r>
              <w:rPr>
                <w:rStyle w:val="IndexLink"/>
              </w:rPr>
              <w:t>245</w:t>
            </w:r>
          </w:hyperlink>
        </w:p>
        <w:p>
          <w:pPr>
            <w:pStyle w:val="Contents2"/>
            <w:tabs>
              <w:tab w:val="clear" w:pos="8743"/>
              <w:tab w:val="right" w:pos="9026" w:leader="dot"/>
            </w:tabs>
            <w:rPr/>
          </w:pPr>
          <w:hyperlink w:anchor="__RefHeading___Toc12184267_2142443653">
            <w:r>
              <w:rPr>
                <w:webHidden/>
                <w:rStyle w:val="IndexLink"/>
                <w:rtl w:val="true"/>
              </w:rPr>
              <w:t>التصرف في الأمكنة العامة</w:t>
            </w:r>
            <w:r>
              <w:rPr>
                <w:rStyle w:val="IndexLink"/>
                <w:rtl w:val="true"/>
              </w:rPr>
              <w:tab/>
            </w:r>
            <w:r>
              <w:rPr>
                <w:rStyle w:val="IndexLink"/>
              </w:rPr>
              <w:t>246</w:t>
            </w:r>
          </w:hyperlink>
        </w:p>
        <w:p>
          <w:pPr>
            <w:pStyle w:val="Contents2"/>
            <w:tabs>
              <w:tab w:val="clear" w:pos="8743"/>
              <w:tab w:val="right" w:pos="9026" w:leader="dot"/>
            </w:tabs>
            <w:rPr/>
          </w:pPr>
          <w:hyperlink w:anchor="__RefHeading___Toc12184269_2142443653">
            <w:r>
              <w:rPr>
                <w:webHidden/>
                <w:rStyle w:val="IndexLink"/>
                <w:rtl w:val="true"/>
              </w:rPr>
              <w:t>التستر بغير الثوب</w:t>
            </w:r>
            <w:r>
              <w:rPr>
                <w:rStyle w:val="IndexLink"/>
                <w:rtl w:val="true"/>
              </w:rPr>
              <w:tab/>
            </w:r>
            <w:r>
              <w:rPr>
                <w:rStyle w:val="IndexLink"/>
              </w:rPr>
              <w:t>246</w:t>
            </w:r>
          </w:hyperlink>
        </w:p>
        <w:p>
          <w:pPr>
            <w:pStyle w:val="Contents2"/>
            <w:tabs>
              <w:tab w:val="clear" w:pos="8743"/>
              <w:tab w:val="right" w:pos="9026" w:leader="dot"/>
            </w:tabs>
            <w:rPr/>
          </w:pPr>
          <w:hyperlink w:anchor="__RefHeading___Toc12184271_2142443653">
            <w:r>
              <w:rPr>
                <w:webHidden/>
                <w:rStyle w:val="IndexLink"/>
                <w:rtl w:val="true"/>
              </w:rPr>
              <w:t>رؤية المحرمات بالمرايا المعاكسة</w:t>
            </w:r>
            <w:r>
              <w:rPr>
                <w:rStyle w:val="IndexLink"/>
                <w:rtl w:val="true"/>
              </w:rPr>
              <w:tab/>
            </w:r>
            <w:r>
              <w:rPr>
                <w:rStyle w:val="IndexLink"/>
              </w:rPr>
              <w:t>247</w:t>
            </w:r>
          </w:hyperlink>
        </w:p>
        <w:p>
          <w:pPr>
            <w:pStyle w:val="Contents2"/>
            <w:tabs>
              <w:tab w:val="clear" w:pos="8743"/>
              <w:tab w:val="right" w:pos="9026" w:leader="dot"/>
            </w:tabs>
            <w:rPr/>
          </w:pPr>
          <w:hyperlink w:anchor="__RefHeading___Toc12184273_2142443653">
            <w:r>
              <w:rPr>
                <w:webHidden/>
                <w:rStyle w:val="IndexLink"/>
                <w:rtl w:val="true"/>
              </w:rPr>
              <w:t>من أحكام النظر بواسطة الأجهزة</w:t>
            </w:r>
            <w:r>
              <w:rPr>
                <w:rStyle w:val="IndexLink"/>
                <w:rtl w:val="true"/>
              </w:rPr>
              <w:tab/>
            </w:r>
            <w:r>
              <w:rPr>
                <w:rStyle w:val="IndexLink"/>
              </w:rPr>
              <w:t>249</w:t>
            </w:r>
          </w:hyperlink>
        </w:p>
        <w:p>
          <w:pPr>
            <w:pStyle w:val="Contents2"/>
            <w:tabs>
              <w:tab w:val="clear" w:pos="8743"/>
              <w:tab w:val="right" w:pos="9026" w:leader="dot"/>
            </w:tabs>
            <w:rPr/>
          </w:pPr>
          <w:hyperlink w:anchor="__RefHeading___Toc12184275_2142443653">
            <w:r>
              <w:rPr>
                <w:webHidden/>
                <w:rStyle w:val="IndexLink"/>
                <w:rtl w:val="true"/>
              </w:rPr>
              <w:t>الرؤية المشوهة</w:t>
            </w:r>
            <w:r>
              <w:rPr>
                <w:rStyle w:val="IndexLink"/>
                <w:rtl w:val="true"/>
              </w:rPr>
              <w:tab/>
            </w:r>
            <w:r>
              <w:rPr>
                <w:rStyle w:val="IndexLink"/>
              </w:rPr>
              <w:t>249</w:t>
            </w:r>
          </w:hyperlink>
        </w:p>
        <w:p>
          <w:pPr>
            <w:pStyle w:val="Contents2"/>
            <w:tabs>
              <w:tab w:val="clear" w:pos="8743"/>
              <w:tab w:val="right" w:pos="9026" w:leader="dot"/>
            </w:tabs>
            <w:rPr/>
          </w:pPr>
          <w:hyperlink w:anchor="__RefHeading___Toc12184277_2142443653">
            <w:r>
              <w:rPr>
                <w:webHidden/>
                <w:rStyle w:val="IndexLink"/>
                <w:rtl w:val="true"/>
              </w:rPr>
              <w:t>اندراس المقابر</w:t>
            </w:r>
            <w:r>
              <w:rPr>
                <w:rStyle w:val="IndexLink"/>
                <w:rtl w:val="true"/>
              </w:rPr>
              <w:tab/>
            </w:r>
            <w:r>
              <w:rPr>
                <w:rStyle w:val="IndexLink"/>
              </w:rPr>
              <w:t>250</w:t>
            </w:r>
          </w:hyperlink>
        </w:p>
        <w:p>
          <w:pPr>
            <w:pStyle w:val="Contents2"/>
            <w:tabs>
              <w:tab w:val="clear" w:pos="8743"/>
              <w:tab w:val="right" w:pos="9026" w:leader="dot"/>
            </w:tabs>
            <w:rPr/>
          </w:pPr>
          <w:hyperlink w:anchor="__RefHeading___Toc12184279_2142443653">
            <w:r>
              <w:rPr>
                <w:webHidden/>
                <w:rStyle w:val="IndexLink"/>
                <w:rtl w:val="true"/>
              </w:rPr>
              <w:t>تبديل المقبرة أو نقلها</w:t>
            </w:r>
            <w:r>
              <w:rPr>
                <w:rStyle w:val="IndexLink"/>
                <w:rtl w:val="true"/>
              </w:rPr>
              <w:tab/>
            </w:r>
            <w:r>
              <w:rPr>
                <w:rStyle w:val="IndexLink"/>
              </w:rPr>
              <w:t>251</w:t>
            </w:r>
          </w:hyperlink>
        </w:p>
        <w:p>
          <w:pPr>
            <w:pStyle w:val="Contents2"/>
            <w:tabs>
              <w:tab w:val="clear" w:pos="8743"/>
              <w:tab w:val="right" w:pos="9026" w:leader="dot"/>
            </w:tabs>
            <w:rPr/>
          </w:pPr>
          <w:hyperlink w:anchor="__RefHeading___Toc12184281_2142443653">
            <w:r>
              <w:rPr>
                <w:webHidden/>
                <w:rStyle w:val="IndexLink"/>
                <w:rtl w:val="true"/>
              </w:rPr>
              <w:t>خروج الجثة من القبر</w:t>
            </w:r>
            <w:r>
              <w:rPr>
                <w:rStyle w:val="IndexLink"/>
                <w:rtl w:val="true"/>
              </w:rPr>
              <w:tab/>
            </w:r>
            <w:r>
              <w:rPr>
                <w:rStyle w:val="IndexLink"/>
              </w:rPr>
              <w:t>252</w:t>
            </w:r>
          </w:hyperlink>
        </w:p>
        <w:p>
          <w:pPr>
            <w:pStyle w:val="Contents2"/>
            <w:tabs>
              <w:tab w:val="clear" w:pos="8743"/>
              <w:tab w:val="right" w:pos="9026" w:leader="dot"/>
            </w:tabs>
            <w:rPr/>
          </w:pPr>
          <w:hyperlink w:anchor="__RefHeading___Toc12184283_2142443653">
            <w:r>
              <w:rPr>
                <w:webHidden/>
                <w:rStyle w:val="IndexLink"/>
                <w:rtl w:val="true"/>
              </w:rPr>
              <w:t>نقل القبر بالأجهزة الحديثة</w:t>
            </w:r>
            <w:r>
              <w:rPr>
                <w:rStyle w:val="IndexLink"/>
                <w:rtl w:val="true"/>
              </w:rPr>
              <w:tab/>
            </w:r>
            <w:r>
              <w:rPr>
                <w:rStyle w:val="IndexLink"/>
              </w:rPr>
              <w:t>253</w:t>
            </w:r>
          </w:hyperlink>
        </w:p>
        <w:p>
          <w:pPr>
            <w:pStyle w:val="Contents2"/>
            <w:tabs>
              <w:tab w:val="clear" w:pos="8743"/>
              <w:tab w:val="right" w:pos="9026" w:leader="dot"/>
            </w:tabs>
            <w:rPr/>
          </w:pPr>
          <w:hyperlink w:anchor="__RefHeading___Toc12184285_2142443653">
            <w:r>
              <w:rPr>
                <w:webHidden/>
                <w:rStyle w:val="IndexLink"/>
                <w:rtl w:val="true"/>
              </w:rPr>
              <w:t>التيمم في السجن المغصوب</w:t>
            </w:r>
            <w:r>
              <w:rPr>
                <w:rStyle w:val="IndexLink"/>
                <w:rtl w:val="true"/>
              </w:rPr>
              <w:tab/>
            </w:r>
            <w:r>
              <w:rPr>
                <w:rStyle w:val="IndexLink"/>
              </w:rPr>
              <w:t>253</w:t>
            </w:r>
          </w:hyperlink>
        </w:p>
        <w:p>
          <w:pPr>
            <w:pStyle w:val="Contents2"/>
            <w:tabs>
              <w:tab w:val="clear" w:pos="8743"/>
              <w:tab w:val="right" w:pos="9026" w:leader="dot"/>
            </w:tabs>
            <w:rPr/>
          </w:pPr>
          <w:hyperlink w:anchor="__RefHeading___Toc12184287_2142443653">
            <w:r>
              <w:rPr>
                <w:webHidden/>
                <w:rStyle w:val="IndexLink"/>
                <w:rtl w:val="true"/>
              </w:rPr>
              <w:t>الفرار بنقب السجن</w:t>
            </w:r>
            <w:r>
              <w:rPr>
                <w:rStyle w:val="IndexLink"/>
                <w:rtl w:val="true"/>
              </w:rPr>
              <w:tab/>
            </w:r>
            <w:r>
              <w:rPr>
                <w:rStyle w:val="IndexLink"/>
              </w:rPr>
              <w:t>254</w:t>
            </w:r>
          </w:hyperlink>
        </w:p>
        <w:p>
          <w:pPr>
            <w:pStyle w:val="Contents2"/>
            <w:tabs>
              <w:tab w:val="clear" w:pos="8743"/>
              <w:tab w:val="right" w:pos="9026" w:leader="dot"/>
            </w:tabs>
            <w:rPr/>
          </w:pPr>
          <w:hyperlink w:anchor="__RefHeading___Toc12184289_2142443653">
            <w:r>
              <w:rPr>
                <w:webHidden/>
                <w:rStyle w:val="IndexLink"/>
                <w:rtl w:val="true"/>
              </w:rPr>
              <w:t>الهيروئين والمخدرات الأُخرى</w:t>
            </w:r>
            <w:r>
              <w:rPr>
                <w:rStyle w:val="IndexLink"/>
                <w:rtl w:val="true"/>
              </w:rPr>
              <w:tab/>
            </w:r>
            <w:r>
              <w:rPr>
                <w:rStyle w:val="IndexLink"/>
              </w:rPr>
              <w:t>255</w:t>
            </w:r>
          </w:hyperlink>
        </w:p>
        <w:p>
          <w:pPr>
            <w:pStyle w:val="Contents2"/>
            <w:tabs>
              <w:tab w:val="clear" w:pos="8743"/>
              <w:tab w:val="right" w:pos="9026" w:leader="dot"/>
            </w:tabs>
            <w:rPr/>
          </w:pPr>
          <w:hyperlink w:anchor="__RefHeading___Toc12184291_2142443653">
            <w:r>
              <w:rPr>
                <w:webHidden/>
                <w:rStyle w:val="IndexLink"/>
                <w:rtl w:val="true"/>
              </w:rPr>
              <w:t>مهرب المخدرات</w:t>
            </w:r>
            <w:r>
              <w:rPr>
                <w:rStyle w:val="IndexLink"/>
                <w:rtl w:val="true"/>
              </w:rPr>
              <w:tab/>
            </w:r>
            <w:r>
              <w:rPr>
                <w:rStyle w:val="IndexLink"/>
              </w:rPr>
              <w:t>256</w:t>
            </w:r>
          </w:hyperlink>
        </w:p>
        <w:p>
          <w:pPr>
            <w:pStyle w:val="Contents2"/>
            <w:tabs>
              <w:tab w:val="clear" w:pos="8743"/>
              <w:tab w:val="right" w:pos="9026" w:leader="dot"/>
            </w:tabs>
            <w:rPr/>
          </w:pPr>
          <w:hyperlink w:anchor="__RefHeading___Toc12184293_2142443653">
            <w:r>
              <w:rPr>
                <w:webHidden/>
                <w:rStyle w:val="IndexLink"/>
                <w:rtl w:val="true"/>
              </w:rPr>
              <w:t>الكواكب الأُخرى وأول الشهر</w:t>
            </w:r>
            <w:r>
              <w:rPr>
                <w:rStyle w:val="IndexLink"/>
                <w:rtl w:val="true"/>
              </w:rPr>
              <w:tab/>
            </w:r>
            <w:r>
              <w:rPr>
                <w:rStyle w:val="IndexLink"/>
              </w:rPr>
              <w:t>256</w:t>
            </w:r>
          </w:hyperlink>
        </w:p>
        <w:p>
          <w:pPr>
            <w:pStyle w:val="Contents2"/>
            <w:tabs>
              <w:tab w:val="clear" w:pos="8743"/>
              <w:tab w:val="right" w:pos="9026" w:leader="dot"/>
            </w:tabs>
            <w:rPr/>
          </w:pPr>
          <w:hyperlink w:anchor="__RefHeading___Toc12184295_2142443653">
            <w:r>
              <w:rPr>
                <w:webHidden/>
                <w:rStyle w:val="IndexLink"/>
                <w:rtl w:val="true"/>
              </w:rPr>
              <w:t>التاريخ في الكواكب الأُخرى</w:t>
            </w:r>
            <w:r>
              <w:rPr>
                <w:rStyle w:val="IndexLink"/>
                <w:rtl w:val="true"/>
              </w:rPr>
              <w:tab/>
            </w:r>
            <w:r>
              <w:rPr>
                <w:rStyle w:val="IndexLink"/>
              </w:rPr>
              <w:t>257</w:t>
            </w:r>
          </w:hyperlink>
        </w:p>
        <w:p>
          <w:pPr>
            <w:pStyle w:val="Contents2"/>
            <w:tabs>
              <w:tab w:val="clear" w:pos="8743"/>
              <w:tab w:val="right" w:pos="9026" w:leader="dot"/>
            </w:tabs>
            <w:rPr/>
          </w:pPr>
          <w:hyperlink w:anchor="__RefHeading___Toc12184297_2142443653">
            <w:r>
              <w:rPr>
                <w:webHidden/>
                <w:rStyle w:val="IndexLink"/>
                <w:rtl w:val="true"/>
              </w:rPr>
              <w:t>اختلاف أول الشهر</w:t>
            </w:r>
            <w:r>
              <w:rPr>
                <w:rStyle w:val="IndexLink"/>
                <w:rtl w:val="true"/>
              </w:rPr>
              <w:tab/>
            </w:r>
            <w:r>
              <w:rPr>
                <w:rStyle w:val="IndexLink"/>
              </w:rPr>
              <w:t>257</w:t>
            </w:r>
          </w:hyperlink>
        </w:p>
        <w:p>
          <w:pPr>
            <w:pStyle w:val="Contents2"/>
            <w:tabs>
              <w:tab w:val="clear" w:pos="8743"/>
              <w:tab w:val="right" w:pos="9026" w:leader="dot"/>
            </w:tabs>
            <w:rPr/>
          </w:pPr>
          <w:hyperlink w:anchor="__RefHeading___Toc12184299_2142443653">
            <w:r>
              <w:rPr>
                <w:webHidden/>
                <w:rStyle w:val="IndexLink"/>
                <w:rtl w:val="true"/>
              </w:rPr>
              <w:t>حكم الإعدام في الإسلام</w:t>
            </w:r>
            <w:r>
              <w:rPr>
                <w:rStyle w:val="IndexLink"/>
                <w:rtl w:val="true"/>
              </w:rPr>
              <w:tab/>
            </w:r>
            <w:r>
              <w:rPr>
                <w:rStyle w:val="IndexLink"/>
              </w:rPr>
              <w:t>258</w:t>
            </w:r>
          </w:hyperlink>
        </w:p>
        <w:p>
          <w:pPr>
            <w:pStyle w:val="Contents2"/>
            <w:tabs>
              <w:tab w:val="clear" w:pos="8743"/>
              <w:tab w:val="right" w:pos="9026" w:leader="dot"/>
            </w:tabs>
            <w:rPr/>
          </w:pPr>
          <w:hyperlink w:anchor="__RefHeading___Toc12184301_2142443653">
            <w:r>
              <w:rPr>
                <w:webHidden/>
                <w:rStyle w:val="IndexLink"/>
                <w:rtl w:val="true"/>
              </w:rPr>
              <w:t>الكسوف المرئي في القمر</w:t>
            </w:r>
            <w:r>
              <w:rPr>
                <w:rStyle w:val="IndexLink"/>
                <w:rtl w:val="true"/>
              </w:rPr>
              <w:tab/>
            </w:r>
            <w:r>
              <w:rPr>
                <w:rStyle w:val="IndexLink"/>
              </w:rPr>
              <w:t>259</w:t>
            </w:r>
          </w:hyperlink>
        </w:p>
        <w:p>
          <w:pPr>
            <w:pStyle w:val="Contents2"/>
            <w:tabs>
              <w:tab w:val="clear" w:pos="8743"/>
              <w:tab w:val="right" w:pos="9026" w:leader="dot"/>
            </w:tabs>
            <w:rPr/>
          </w:pPr>
          <w:hyperlink w:anchor="__RefHeading___Toc12184303_2142443653">
            <w:r>
              <w:rPr>
                <w:webHidden/>
                <w:rStyle w:val="IndexLink"/>
                <w:rtl w:val="true"/>
              </w:rPr>
              <w:t>ظهور الآيات في الكواكب الأُخرى</w:t>
            </w:r>
            <w:r>
              <w:rPr>
                <w:rStyle w:val="IndexLink"/>
                <w:rtl w:val="true"/>
              </w:rPr>
              <w:tab/>
            </w:r>
            <w:r>
              <w:rPr>
                <w:rStyle w:val="IndexLink"/>
              </w:rPr>
              <w:t>259</w:t>
            </w:r>
          </w:hyperlink>
        </w:p>
        <w:p>
          <w:pPr>
            <w:pStyle w:val="Contents2"/>
            <w:tabs>
              <w:tab w:val="clear" w:pos="8743"/>
              <w:tab w:val="right" w:pos="9026" w:leader="dot"/>
            </w:tabs>
            <w:rPr/>
          </w:pPr>
          <w:hyperlink w:anchor="__RefHeading___Toc12184305_2142443653">
            <w:r>
              <w:rPr>
                <w:webHidden/>
                <w:rStyle w:val="IndexLink"/>
                <w:rtl w:val="true"/>
              </w:rPr>
              <w:t>الأعياد في القمر</w:t>
            </w:r>
            <w:r>
              <w:rPr>
                <w:rStyle w:val="IndexLink"/>
                <w:rtl w:val="true"/>
              </w:rPr>
              <w:tab/>
            </w:r>
            <w:r>
              <w:rPr>
                <w:rStyle w:val="IndexLink"/>
              </w:rPr>
              <w:t>260</w:t>
            </w:r>
          </w:hyperlink>
        </w:p>
        <w:p>
          <w:pPr>
            <w:pStyle w:val="Contents2"/>
            <w:tabs>
              <w:tab w:val="clear" w:pos="8743"/>
              <w:tab w:val="right" w:pos="9026" w:leader="dot"/>
            </w:tabs>
            <w:rPr/>
          </w:pPr>
          <w:hyperlink w:anchor="__RefHeading___Toc12184307_2142443653">
            <w:r>
              <w:rPr>
                <w:webHidden/>
                <w:rStyle w:val="IndexLink"/>
                <w:rtl w:val="true"/>
              </w:rPr>
              <w:t>التوقيت في الكواكب البعيدة</w:t>
            </w:r>
            <w:r>
              <w:rPr>
                <w:rStyle w:val="IndexLink"/>
                <w:rtl w:val="true"/>
              </w:rPr>
              <w:tab/>
            </w:r>
            <w:r>
              <w:rPr>
                <w:rStyle w:val="IndexLink"/>
              </w:rPr>
              <w:t>260</w:t>
            </w:r>
          </w:hyperlink>
        </w:p>
        <w:p>
          <w:pPr>
            <w:pStyle w:val="Contents2"/>
            <w:tabs>
              <w:tab w:val="clear" w:pos="8743"/>
              <w:tab w:val="right" w:pos="9026" w:leader="dot"/>
            </w:tabs>
            <w:rPr/>
          </w:pPr>
          <w:hyperlink w:anchor="__RefHeading___Toc12184309_2142443653">
            <w:r>
              <w:rPr>
                <w:webHidden/>
                <w:rStyle w:val="IndexLink"/>
                <w:rtl w:val="true"/>
              </w:rPr>
              <w:t>لو كان للكواكب توقيت</w:t>
            </w:r>
            <w:r>
              <w:rPr>
                <w:rStyle w:val="IndexLink"/>
                <w:rtl w:val="true"/>
              </w:rPr>
              <w:tab/>
            </w:r>
            <w:r>
              <w:rPr>
                <w:rStyle w:val="IndexLink"/>
              </w:rPr>
              <w:t>262</w:t>
            </w:r>
          </w:hyperlink>
        </w:p>
        <w:p>
          <w:pPr>
            <w:pStyle w:val="Contents2"/>
            <w:tabs>
              <w:tab w:val="clear" w:pos="8743"/>
              <w:tab w:val="right" w:pos="9026" w:leader="dot"/>
            </w:tabs>
            <w:rPr/>
          </w:pPr>
          <w:hyperlink w:anchor="__RefHeading___Toc12184311_2142443653">
            <w:r>
              <w:rPr>
                <w:webHidden/>
                <w:rStyle w:val="IndexLink"/>
                <w:rtl w:val="true"/>
              </w:rPr>
              <w:t>الإقامة في المحطات الفضائية</w:t>
            </w:r>
            <w:r>
              <w:rPr>
                <w:rStyle w:val="IndexLink"/>
                <w:rtl w:val="true"/>
              </w:rPr>
              <w:tab/>
            </w:r>
            <w:r>
              <w:rPr>
                <w:rStyle w:val="IndexLink"/>
              </w:rPr>
              <w:t>262</w:t>
            </w:r>
          </w:hyperlink>
        </w:p>
        <w:p>
          <w:pPr>
            <w:pStyle w:val="Contents2"/>
            <w:tabs>
              <w:tab w:val="clear" w:pos="8743"/>
              <w:tab w:val="right" w:pos="9026" w:leader="dot"/>
            </w:tabs>
            <w:rPr/>
          </w:pPr>
          <w:hyperlink w:anchor="__RefHeading___Toc12184313_2142443653">
            <w:r>
              <w:rPr>
                <w:webHidden/>
                <w:rStyle w:val="IndexLink"/>
                <w:rtl w:val="true"/>
              </w:rPr>
              <w:t>نفقات ارتياد الفضاء</w:t>
            </w:r>
            <w:r>
              <w:rPr>
                <w:rStyle w:val="IndexLink"/>
                <w:rtl w:val="true"/>
              </w:rPr>
              <w:tab/>
            </w:r>
            <w:r>
              <w:rPr>
                <w:rStyle w:val="IndexLink"/>
              </w:rPr>
              <w:t>263</w:t>
            </w:r>
          </w:hyperlink>
        </w:p>
        <w:p>
          <w:pPr>
            <w:pStyle w:val="Contents2"/>
            <w:tabs>
              <w:tab w:val="clear" w:pos="8743"/>
              <w:tab w:val="right" w:pos="9026" w:leader="dot"/>
            </w:tabs>
            <w:rPr/>
          </w:pPr>
          <w:hyperlink w:anchor="__RefHeading___Toc12184315_2142443653">
            <w:r>
              <w:rPr>
                <w:webHidden/>
                <w:rStyle w:val="IndexLink"/>
                <w:rtl w:val="true"/>
              </w:rPr>
              <w:t>الموت في القمر</w:t>
            </w:r>
            <w:r>
              <w:rPr>
                <w:rStyle w:val="IndexLink"/>
                <w:rtl w:val="true"/>
              </w:rPr>
              <w:tab/>
            </w:r>
            <w:r>
              <w:rPr>
                <w:rStyle w:val="IndexLink"/>
              </w:rPr>
              <w:t>263</w:t>
            </w:r>
          </w:hyperlink>
        </w:p>
        <w:p>
          <w:pPr>
            <w:pStyle w:val="Contents2"/>
            <w:tabs>
              <w:tab w:val="clear" w:pos="8743"/>
              <w:tab w:val="right" w:pos="9026" w:leader="dot"/>
            </w:tabs>
            <w:rPr/>
          </w:pPr>
          <w:hyperlink w:anchor="__RefHeading___Toc12184317_2142443653">
            <w:r>
              <w:rPr>
                <w:webHidden/>
                <w:rStyle w:val="IndexLink"/>
                <w:rtl w:val="true"/>
              </w:rPr>
              <w:t>الموت في المحطات الفضائية</w:t>
            </w:r>
            <w:r>
              <w:rPr>
                <w:rStyle w:val="IndexLink"/>
                <w:rtl w:val="true"/>
              </w:rPr>
              <w:tab/>
            </w:r>
            <w:r>
              <w:rPr>
                <w:rStyle w:val="IndexLink"/>
              </w:rPr>
              <w:t>264</w:t>
            </w:r>
          </w:hyperlink>
        </w:p>
        <w:p>
          <w:pPr>
            <w:pStyle w:val="Contents2"/>
            <w:tabs>
              <w:tab w:val="clear" w:pos="8743"/>
              <w:tab w:val="right" w:pos="9026" w:leader="dot"/>
            </w:tabs>
            <w:rPr/>
          </w:pPr>
          <w:hyperlink w:anchor="__RefHeading___Toc12184319_2142443653">
            <w:r>
              <w:rPr>
                <w:webHidden/>
                <w:rStyle w:val="IndexLink"/>
                <w:rtl w:val="true"/>
              </w:rPr>
              <w:t>الاعتكاف في الفضاء</w:t>
            </w:r>
            <w:r>
              <w:rPr>
                <w:rStyle w:val="IndexLink"/>
                <w:rtl w:val="true"/>
              </w:rPr>
              <w:tab/>
            </w:r>
            <w:r>
              <w:rPr>
                <w:rStyle w:val="IndexLink"/>
              </w:rPr>
              <w:t>264</w:t>
            </w:r>
          </w:hyperlink>
        </w:p>
        <w:p>
          <w:pPr>
            <w:pStyle w:val="Contents2"/>
            <w:tabs>
              <w:tab w:val="clear" w:pos="8743"/>
              <w:tab w:val="right" w:pos="9026" w:leader="dot"/>
            </w:tabs>
            <w:rPr/>
          </w:pPr>
          <w:hyperlink w:anchor="__RefHeading___Toc12184321_2142443653">
            <w:r>
              <w:rPr>
                <w:webHidden/>
                <w:rStyle w:val="IndexLink"/>
                <w:rtl w:val="true"/>
              </w:rPr>
              <w:t>التمركز خارج الجاذبية</w:t>
            </w:r>
            <w:r>
              <w:rPr>
                <w:rStyle w:val="IndexLink"/>
                <w:rtl w:val="true"/>
              </w:rPr>
              <w:tab/>
            </w:r>
            <w:r>
              <w:rPr>
                <w:rStyle w:val="IndexLink"/>
              </w:rPr>
              <w:t>264</w:t>
            </w:r>
          </w:hyperlink>
        </w:p>
        <w:p>
          <w:pPr>
            <w:pStyle w:val="Contents2"/>
            <w:tabs>
              <w:tab w:val="clear" w:pos="8743"/>
              <w:tab w:val="right" w:pos="9026" w:leader="dot"/>
            </w:tabs>
            <w:rPr/>
          </w:pPr>
          <w:hyperlink w:anchor="__RefHeading___Toc12184323_2142443653">
            <w:r>
              <w:rPr>
                <w:webHidden/>
                <w:rStyle w:val="IndexLink"/>
                <w:rtl w:val="true"/>
              </w:rPr>
              <w:t>ائتلاف الأفراد بالزكاة</w:t>
            </w:r>
            <w:r>
              <w:rPr>
                <w:rStyle w:val="IndexLink"/>
                <w:rtl w:val="true"/>
              </w:rPr>
              <w:tab/>
            </w:r>
            <w:r>
              <w:rPr>
                <w:rStyle w:val="IndexLink"/>
              </w:rPr>
              <w:t>265</w:t>
            </w:r>
          </w:hyperlink>
        </w:p>
        <w:p>
          <w:pPr>
            <w:pStyle w:val="Contents2"/>
            <w:tabs>
              <w:tab w:val="clear" w:pos="8743"/>
              <w:tab w:val="right" w:pos="9026" w:leader="dot"/>
            </w:tabs>
            <w:rPr/>
          </w:pPr>
          <w:hyperlink w:anchor="__RefHeading___Toc12184325_2142443653">
            <w:r>
              <w:rPr>
                <w:webHidden/>
                <w:rStyle w:val="IndexLink"/>
                <w:rtl w:val="true"/>
              </w:rPr>
              <w:t>الزكاة للبعثات العلمية</w:t>
            </w:r>
            <w:r>
              <w:rPr>
                <w:rStyle w:val="IndexLink"/>
                <w:rtl w:val="true"/>
              </w:rPr>
              <w:tab/>
            </w:r>
            <w:r>
              <w:rPr>
                <w:rStyle w:val="IndexLink"/>
              </w:rPr>
              <w:t>266</w:t>
            </w:r>
          </w:hyperlink>
        </w:p>
        <w:p>
          <w:pPr>
            <w:pStyle w:val="Contents2"/>
            <w:tabs>
              <w:tab w:val="clear" w:pos="8743"/>
              <w:tab w:val="right" w:pos="9026" w:leader="dot"/>
            </w:tabs>
            <w:rPr/>
          </w:pPr>
          <w:hyperlink w:anchor="__RefHeading___Toc12184327_2142443653">
            <w:r>
              <w:rPr>
                <w:webHidden/>
                <w:rStyle w:val="IndexLink"/>
                <w:rtl w:val="true"/>
              </w:rPr>
              <w:t>ضمان المتظاهرين للمتلفات</w:t>
            </w:r>
            <w:r>
              <w:rPr>
                <w:rStyle w:val="IndexLink"/>
                <w:rtl w:val="true"/>
              </w:rPr>
              <w:tab/>
            </w:r>
            <w:r>
              <w:rPr>
                <w:rStyle w:val="IndexLink"/>
              </w:rPr>
              <w:t>266</w:t>
            </w:r>
          </w:hyperlink>
        </w:p>
        <w:p>
          <w:pPr>
            <w:pStyle w:val="Contents2"/>
            <w:tabs>
              <w:tab w:val="clear" w:pos="8743"/>
              <w:tab w:val="right" w:pos="9026" w:leader="dot"/>
            </w:tabs>
            <w:rPr/>
          </w:pPr>
          <w:hyperlink w:anchor="__RefHeading___Toc12184329_2142443653">
            <w:r>
              <w:rPr>
                <w:webHidden/>
                <w:rStyle w:val="IndexLink"/>
                <w:rtl w:val="true"/>
              </w:rPr>
              <w:t>موارد جديدة لصرف الزكاة</w:t>
            </w:r>
            <w:r>
              <w:rPr>
                <w:rStyle w:val="IndexLink"/>
                <w:rtl w:val="true"/>
              </w:rPr>
              <w:tab/>
            </w:r>
            <w:r>
              <w:rPr>
                <w:rStyle w:val="IndexLink"/>
              </w:rPr>
              <w:t>267</w:t>
            </w:r>
          </w:hyperlink>
        </w:p>
        <w:p>
          <w:pPr>
            <w:pStyle w:val="Contents2"/>
            <w:tabs>
              <w:tab w:val="clear" w:pos="8743"/>
              <w:tab w:val="right" w:pos="9026" w:leader="dot"/>
            </w:tabs>
            <w:rPr/>
          </w:pPr>
          <w:hyperlink w:anchor="__RefHeading___Toc12184331_2142443653">
            <w:r>
              <w:rPr>
                <w:webHidden/>
                <w:rStyle w:val="IndexLink"/>
                <w:rtl w:val="true"/>
              </w:rPr>
              <w:t>الخمس في أحجار الفضاء</w:t>
            </w:r>
            <w:r>
              <w:rPr>
                <w:rStyle w:val="IndexLink"/>
                <w:rtl w:val="true"/>
              </w:rPr>
              <w:tab/>
            </w:r>
            <w:r>
              <w:rPr>
                <w:rStyle w:val="IndexLink"/>
              </w:rPr>
              <w:t>268</w:t>
            </w:r>
          </w:hyperlink>
        </w:p>
        <w:p>
          <w:pPr>
            <w:pStyle w:val="Contents2"/>
            <w:tabs>
              <w:tab w:val="clear" w:pos="8743"/>
              <w:tab w:val="right" w:pos="9026" w:leader="dot"/>
            </w:tabs>
            <w:rPr/>
          </w:pPr>
          <w:hyperlink w:anchor="__RefHeading___Toc12184333_2142443653">
            <w:r>
              <w:rPr>
                <w:webHidden/>
                <w:rStyle w:val="IndexLink"/>
                <w:rtl w:val="true"/>
              </w:rPr>
              <w:t>الكوكب إذا كان معدناً</w:t>
            </w:r>
            <w:r>
              <w:rPr>
                <w:rStyle w:val="IndexLink"/>
                <w:rtl w:val="true"/>
              </w:rPr>
              <w:tab/>
            </w:r>
            <w:r>
              <w:rPr>
                <w:rStyle w:val="IndexLink"/>
              </w:rPr>
              <w:t>268</w:t>
            </w:r>
          </w:hyperlink>
        </w:p>
        <w:p>
          <w:pPr>
            <w:pStyle w:val="Contents2"/>
            <w:tabs>
              <w:tab w:val="clear" w:pos="8743"/>
              <w:tab w:val="right" w:pos="9026" w:leader="dot"/>
            </w:tabs>
            <w:rPr/>
          </w:pPr>
          <w:hyperlink w:anchor="__RefHeading___Toc12184335_2142443653">
            <w:r>
              <w:rPr>
                <w:webHidden/>
                <w:rStyle w:val="IndexLink"/>
                <w:rtl w:val="true"/>
              </w:rPr>
              <w:t>المستخرجات من البحر</w:t>
            </w:r>
            <w:r>
              <w:rPr>
                <w:rStyle w:val="IndexLink"/>
                <w:rtl w:val="true"/>
              </w:rPr>
              <w:tab/>
            </w:r>
            <w:r>
              <w:rPr>
                <w:rStyle w:val="IndexLink"/>
              </w:rPr>
              <w:t>269</w:t>
            </w:r>
          </w:hyperlink>
        </w:p>
        <w:p>
          <w:pPr>
            <w:pStyle w:val="Contents2"/>
            <w:tabs>
              <w:tab w:val="clear" w:pos="8743"/>
              <w:tab w:val="right" w:pos="9026" w:leader="dot"/>
            </w:tabs>
            <w:rPr/>
          </w:pPr>
          <w:hyperlink w:anchor="__RefHeading___Toc12184337_2142443653">
            <w:r>
              <w:rPr>
                <w:webHidden/>
                <w:rStyle w:val="IndexLink"/>
                <w:rtl w:val="true"/>
              </w:rPr>
              <w:t>لو اجتازت الطائرة بالمواقيت</w:t>
            </w:r>
            <w:r>
              <w:rPr>
                <w:rStyle w:val="IndexLink"/>
                <w:rtl w:val="true"/>
              </w:rPr>
              <w:tab/>
            </w:r>
            <w:r>
              <w:rPr>
                <w:rStyle w:val="IndexLink"/>
              </w:rPr>
              <w:t>270</w:t>
            </w:r>
          </w:hyperlink>
        </w:p>
        <w:p>
          <w:pPr>
            <w:pStyle w:val="Contents2"/>
            <w:tabs>
              <w:tab w:val="clear" w:pos="8743"/>
              <w:tab w:val="right" w:pos="9026" w:leader="dot"/>
            </w:tabs>
            <w:rPr/>
          </w:pPr>
          <w:hyperlink w:anchor="__RefHeading___Toc12184339_2142443653">
            <w:r>
              <w:rPr>
                <w:webHidden/>
                <w:rStyle w:val="IndexLink"/>
                <w:rtl w:val="true"/>
              </w:rPr>
              <w:t>المدارس العلمية المغتصبة</w:t>
            </w:r>
            <w:r>
              <w:rPr>
                <w:rStyle w:val="IndexLink"/>
                <w:rtl w:val="true"/>
              </w:rPr>
              <w:tab/>
            </w:r>
            <w:r>
              <w:rPr>
                <w:rStyle w:val="IndexLink"/>
              </w:rPr>
              <w:t>270</w:t>
            </w:r>
          </w:hyperlink>
        </w:p>
        <w:p>
          <w:pPr>
            <w:pStyle w:val="Contents2"/>
            <w:tabs>
              <w:tab w:val="clear" w:pos="8743"/>
              <w:tab w:val="right" w:pos="9026" w:leader="dot"/>
            </w:tabs>
            <w:rPr/>
          </w:pPr>
          <w:hyperlink w:anchor="__RefHeading___Toc12184341_2142443653">
            <w:r>
              <w:rPr>
                <w:webHidden/>
                <w:rStyle w:val="IndexLink"/>
                <w:rtl w:val="true"/>
              </w:rPr>
              <w:t>الوباء في مكة والمواقف</w:t>
            </w:r>
            <w:r>
              <w:rPr>
                <w:rStyle w:val="IndexLink"/>
                <w:rtl w:val="true"/>
              </w:rPr>
              <w:tab/>
            </w:r>
            <w:r>
              <w:rPr>
                <w:rStyle w:val="IndexLink"/>
              </w:rPr>
              <w:t>271</w:t>
            </w:r>
          </w:hyperlink>
        </w:p>
        <w:p>
          <w:pPr>
            <w:pStyle w:val="Contents2"/>
            <w:tabs>
              <w:tab w:val="clear" w:pos="8743"/>
              <w:tab w:val="right" w:pos="9026" w:leader="dot"/>
            </w:tabs>
            <w:rPr/>
          </w:pPr>
          <w:hyperlink w:anchor="__RefHeading___Toc12184343_2142443653">
            <w:r>
              <w:rPr>
                <w:webHidden/>
                <w:rStyle w:val="IndexLink"/>
                <w:rtl w:val="true"/>
              </w:rPr>
              <w:t>من واجب العلماء إزاء البدعة</w:t>
            </w:r>
            <w:r>
              <w:rPr>
                <w:rStyle w:val="IndexLink"/>
                <w:rtl w:val="true"/>
              </w:rPr>
              <w:tab/>
            </w:r>
            <w:r>
              <w:rPr>
                <w:rStyle w:val="IndexLink"/>
              </w:rPr>
              <w:t>271</w:t>
            </w:r>
          </w:hyperlink>
        </w:p>
        <w:p>
          <w:pPr>
            <w:pStyle w:val="Contents2"/>
            <w:tabs>
              <w:tab w:val="clear" w:pos="8743"/>
              <w:tab w:val="right" w:pos="9026" w:leader="dot"/>
            </w:tabs>
            <w:rPr/>
          </w:pPr>
          <w:hyperlink w:anchor="__RefHeading___Toc12184345_2142443653">
            <w:r>
              <w:rPr>
                <w:webHidden/>
                <w:rStyle w:val="IndexLink"/>
                <w:rtl w:val="true"/>
              </w:rPr>
              <w:t>سكوت العلماء</w:t>
            </w:r>
            <w:r>
              <w:rPr>
                <w:rStyle w:val="IndexLink"/>
                <w:rtl w:val="true"/>
              </w:rPr>
              <w:tab/>
            </w:r>
            <w:r>
              <w:rPr>
                <w:rStyle w:val="IndexLink"/>
              </w:rPr>
              <w:t>272</w:t>
            </w:r>
          </w:hyperlink>
        </w:p>
        <w:p>
          <w:pPr>
            <w:pStyle w:val="Contents2"/>
            <w:tabs>
              <w:tab w:val="clear" w:pos="8743"/>
              <w:tab w:val="right" w:pos="9026" w:leader="dot"/>
            </w:tabs>
            <w:rPr/>
          </w:pPr>
          <w:hyperlink w:anchor="__RefHeading___Toc12184347_2142443653">
            <w:r>
              <w:rPr>
                <w:webHidden/>
                <w:rStyle w:val="IndexLink"/>
                <w:rtl w:val="true"/>
              </w:rPr>
              <w:t>الأُمور العامة للمسلمين</w:t>
            </w:r>
            <w:r>
              <w:rPr>
                <w:rStyle w:val="IndexLink"/>
                <w:rtl w:val="true"/>
              </w:rPr>
              <w:tab/>
            </w:r>
            <w:r>
              <w:rPr>
                <w:rStyle w:val="IndexLink"/>
              </w:rPr>
              <w:t>273</w:t>
            </w:r>
          </w:hyperlink>
        </w:p>
        <w:p>
          <w:pPr>
            <w:pStyle w:val="Contents2"/>
            <w:tabs>
              <w:tab w:val="clear" w:pos="8743"/>
              <w:tab w:val="right" w:pos="9026" w:leader="dot"/>
            </w:tabs>
            <w:rPr/>
          </w:pPr>
          <w:hyperlink w:anchor="__RefHeading___Toc12184349_2142443653">
            <w:r>
              <w:rPr>
                <w:webHidden/>
                <w:rStyle w:val="IndexLink"/>
                <w:rtl w:val="true"/>
              </w:rPr>
              <w:t>المعاهدات الدولية مع الكفار</w:t>
            </w:r>
            <w:r>
              <w:rPr>
                <w:rStyle w:val="IndexLink"/>
                <w:rtl w:val="true"/>
              </w:rPr>
              <w:tab/>
            </w:r>
            <w:r>
              <w:rPr>
                <w:rStyle w:val="IndexLink"/>
              </w:rPr>
              <w:t>274</w:t>
            </w:r>
          </w:hyperlink>
        </w:p>
        <w:p>
          <w:pPr>
            <w:pStyle w:val="Contents2"/>
            <w:tabs>
              <w:tab w:val="clear" w:pos="8743"/>
              <w:tab w:val="right" w:pos="9026" w:leader="dot"/>
            </w:tabs>
            <w:rPr/>
          </w:pPr>
          <w:hyperlink w:anchor="__RefHeading___Toc12184351_2142443653">
            <w:r>
              <w:rPr>
                <w:webHidden/>
                <w:rStyle w:val="IndexLink"/>
                <w:rtl w:val="true"/>
              </w:rPr>
              <w:t>الاستعمار السياسي والاقتصادي</w:t>
            </w:r>
            <w:r>
              <w:rPr>
                <w:rStyle w:val="IndexLink"/>
                <w:rtl w:val="true"/>
              </w:rPr>
              <w:tab/>
            </w:r>
            <w:r>
              <w:rPr>
                <w:rStyle w:val="IndexLink"/>
              </w:rPr>
              <w:t>276</w:t>
            </w:r>
          </w:hyperlink>
        </w:p>
        <w:p>
          <w:pPr>
            <w:pStyle w:val="Contents2"/>
            <w:tabs>
              <w:tab w:val="clear" w:pos="8743"/>
              <w:tab w:val="right" w:pos="9026" w:leader="dot"/>
            </w:tabs>
            <w:rPr/>
          </w:pPr>
          <w:hyperlink w:anchor="__RefHeading___Toc12184353_2142443653">
            <w:r>
              <w:rPr>
                <w:webHidden/>
                <w:rStyle w:val="IndexLink"/>
                <w:rtl w:val="true"/>
              </w:rPr>
              <w:t>المعاهدات الاقتصادية مع الأجانب</w:t>
            </w:r>
            <w:r>
              <w:rPr>
                <w:rStyle w:val="IndexLink"/>
                <w:rtl w:val="true"/>
              </w:rPr>
              <w:tab/>
            </w:r>
            <w:r>
              <w:rPr>
                <w:rStyle w:val="IndexLink"/>
              </w:rPr>
              <w:t>277</w:t>
            </w:r>
          </w:hyperlink>
        </w:p>
        <w:p>
          <w:pPr>
            <w:pStyle w:val="Contents2"/>
            <w:tabs>
              <w:tab w:val="clear" w:pos="8743"/>
              <w:tab w:val="right" w:pos="9026" w:leader="dot"/>
            </w:tabs>
            <w:rPr/>
          </w:pPr>
          <w:hyperlink w:anchor="__RefHeading___Toc12184355_2142443653">
            <w:r>
              <w:rPr>
                <w:webHidden/>
                <w:rStyle w:val="IndexLink"/>
                <w:rtl w:val="true"/>
              </w:rPr>
              <w:t>الشركات الاستعمارية</w:t>
            </w:r>
            <w:r>
              <w:rPr>
                <w:rStyle w:val="IndexLink"/>
                <w:rtl w:val="true"/>
              </w:rPr>
              <w:tab/>
            </w:r>
            <w:r>
              <w:rPr>
                <w:rStyle w:val="IndexLink"/>
              </w:rPr>
              <w:t>277</w:t>
            </w:r>
          </w:hyperlink>
        </w:p>
        <w:p>
          <w:pPr>
            <w:pStyle w:val="Contents2"/>
            <w:tabs>
              <w:tab w:val="clear" w:pos="8743"/>
              <w:tab w:val="right" w:pos="9026" w:leader="dot"/>
            </w:tabs>
            <w:rPr/>
          </w:pPr>
          <w:hyperlink w:anchor="__RefHeading___Toc12184357_2142443653">
            <w:r>
              <w:rPr>
                <w:webHidden/>
                <w:rStyle w:val="IndexLink"/>
                <w:rtl w:val="true"/>
              </w:rPr>
              <w:t>الشركات المساهمة مع الكفار</w:t>
            </w:r>
            <w:r>
              <w:rPr>
                <w:rStyle w:val="IndexLink"/>
                <w:rtl w:val="true"/>
              </w:rPr>
              <w:tab/>
            </w:r>
            <w:r>
              <w:rPr>
                <w:rStyle w:val="IndexLink"/>
              </w:rPr>
              <w:t>278</w:t>
            </w:r>
          </w:hyperlink>
        </w:p>
        <w:p>
          <w:pPr>
            <w:pStyle w:val="Contents2"/>
            <w:tabs>
              <w:tab w:val="clear" w:pos="8743"/>
              <w:tab w:val="right" w:pos="9026" w:leader="dot"/>
            </w:tabs>
            <w:rPr/>
          </w:pPr>
          <w:hyperlink w:anchor="__RefHeading___Toc12184359_2142443653">
            <w:r>
              <w:rPr>
                <w:webHidden/>
                <w:rStyle w:val="IndexLink"/>
                <w:rtl w:val="true"/>
              </w:rPr>
              <w:t>تطهير مظاهر الخمور والفجور</w:t>
            </w:r>
            <w:r>
              <w:rPr>
                <w:rStyle w:val="IndexLink"/>
                <w:rtl w:val="true"/>
              </w:rPr>
              <w:tab/>
            </w:r>
            <w:r>
              <w:rPr>
                <w:rStyle w:val="IndexLink"/>
              </w:rPr>
              <w:t>279</w:t>
            </w:r>
          </w:hyperlink>
        </w:p>
        <w:p>
          <w:pPr>
            <w:pStyle w:val="Contents2"/>
            <w:tabs>
              <w:tab w:val="clear" w:pos="8743"/>
              <w:tab w:val="right" w:pos="9026" w:leader="dot"/>
            </w:tabs>
            <w:rPr/>
          </w:pPr>
          <w:hyperlink w:anchor="__RefHeading___Toc12184361_2142443653">
            <w:r>
              <w:rPr>
                <w:webHidden/>
                <w:rStyle w:val="IndexLink"/>
                <w:rtl w:val="true"/>
              </w:rPr>
              <w:t>من واجب الدول الإسلامية تجاه الدول الأُخرى</w:t>
            </w:r>
            <w:r>
              <w:rPr>
                <w:rStyle w:val="IndexLink"/>
                <w:rtl w:val="true"/>
              </w:rPr>
              <w:tab/>
            </w:r>
            <w:r>
              <w:rPr>
                <w:rStyle w:val="IndexLink"/>
              </w:rPr>
              <w:t>280</w:t>
            </w:r>
          </w:hyperlink>
        </w:p>
        <w:p>
          <w:pPr>
            <w:pStyle w:val="Contents2"/>
            <w:tabs>
              <w:tab w:val="clear" w:pos="8743"/>
              <w:tab w:val="right" w:pos="9026" w:leader="dot"/>
            </w:tabs>
            <w:rPr/>
          </w:pPr>
          <w:hyperlink w:anchor="__RefHeading___Toc12184363_2142443653">
            <w:r>
              <w:rPr>
                <w:webHidden/>
                <w:rStyle w:val="IndexLink"/>
                <w:rtl w:val="true"/>
              </w:rPr>
              <w:t>دعم الفئات والدول الإسلامية</w:t>
            </w:r>
            <w:r>
              <w:rPr>
                <w:rStyle w:val="IndexLink"/>
                <w:rtl w:val="true"/>
              </w:rPr>
              <w:tab/>
            </w:r>
            <w:r>
              <w:rPr>
                <w:rStyle w:val="IndexLink"/>
              </w:rPr>
              <w:t>281</w:t>
            </w:r>
          </w:hyperlink>
        </w:p>
        <w:p>
          <w:pPr>
            <w:pStyle w:val="Contents2"/>
            <w:tabs>
              <w:tab w:val="clear" w:pos="8743"/>
              <w:tab w:val="right" w:pos="9026" w:leader="dot"/>
            </w:tabs>
            <w:rPr/>
          </w:pPr>
          <w:hyperlink w:anchor="__RefHeading___Toc12184365_2142443653">
            <w:r>
              <w:rPr>
                <w:webHidden/>
                <w:rStyle w:val="IndexLink"/>
                <w:rtl w:val="true"/>
              </w:rPr>
              <w:t>وجوب الإنقاذ عيني وكفائي</w:t>
            </w:r>
            <w:r>
              <w:rPr>
                <w:rStyle w:val="IndexLink"/>
                <w:rtl w:val="true"/>
              </w:rPr>
              <w:tab/>
            </w:r>
            <w:r>
              <w:rPr>
                <w:rStyle w:val="IndexLink"/>
              </w:rPr>
              <w:t>281</w:t>
            </w:r>
          </w:hyperlink>
        </w:p>
        <w:p>
          <w:pPr>
            <w:pStyle w:val="Contents2"/>
            <w:tabs>
              <w:tab w:val="clear" w:pos="8743"/>
              <w:tab w:val="right" w:pos="9026" w:leader="dot"/>
            </w:tabs>
            <w:rPr/>
          </w:pPr>
          <w:hyperlink w:anchor="__RefHeading___Toc12184367_2142443653">
            <w:r>
              <w:rPr>
                <w:webHidden/>
                <w:rStyle w:val="IndexLink"/>
                <w:rtl w:val="true"/>
              </w:rPr>
              <w:t>المؤسسات والمنظمات المندسة</w:t>
            </w:r>
            <w:r>
              <w:rPr>
                <w:rStyle w:val="IndexLink"/>
                <w:rtl w:val="true"/>
              </w:rPr>
              <w:tab/>
            </w:r>
            <w:r>
              <w:rPr>
                <w:rStyle w:val="IndexLink"/>
              </w:rPr>
              <w:t>282</w:t>
            </w:r>
          </w:hyperlink>
        </w:p>
        <w:p>
          <w:pPr>
            <w:pStyle w:val="Contents2"/>
            <w:tabs>
              <w:tab w:val="clear" w:pos="8743"/>
              <w:tab w:val="right" w:pos="9026" w:leader="dot"/>
            </w:tabs>
            <w:rPr/>
          </w:pPr>
          <w:hyperlink w:anchor="__RefHeading___Toc12184369_2142443653">
            <w:r>
              <w:rPr>
                <w:webHidden/>
                <w:rStyle w:val="IndexLink"/>
                <w:rtl w:val="true"/>
              </w:rPr>
              <w:t>مقاطعة المؤسسات الاستعمارية</w:t>
            </w:r>
            <w:r>
              <w:rPr>
                <w:rStyle w:val="IndexLink"/>
                <w:rtl w:val="true"/>
              </w:rPr>
              <w:tab/>
            </w:r>
            <w:r>
              <w:rPr>
                <w:rStyle w:val="IndexLink"/>
              </w:rPr>
              <w:t>283</w:t>
            </w:r>
          </w:hyperlink>
        </w:p>
        <w:p>
          <w:pPr>
            <w:pStyle w:val="Contents2"/>
            <w:tabs>
              <w:tab w:val="clear" w:pos="8743"/>
              <w:tab w:val="right" w:pos="9026" w:leader="dot"/>
            </w:tabs>
            <w:rPr/>
          </w:pPr>
          <w:hyperlink w:anchor="__RefHeading___Toc12184371_2142443653">
            <w:r>
              <w:rPr>
                <w:webHidden/>
                <w:rStyle w:val="IndexLink"/>
                <w:rtl w:val="true"/>
              </w:rPr>
              <w:t>التطلع على عورات الناس</w:t>
            </w:r>
            <w:r>
              <w:rPr>
                <w:rStyle w:val="IndexLink"/>
                <w:rtl w:val="true"/>
              </w:rPr>
              <w:tab/>
            </w:r>
            <w:r>
              <w:rPr>
                <w:rStyle w:val="IndexLink"/>
              </w:rPr>
              <w:t>283</w:t>
            </w:r>
          </w:hyperlink>
        </w:p>
        <w:p>
          <w:pPr>
            <w:pStyle w:val="Contents2"/>
            <w:tabs>
              <w:tab w:val="clear" w:pos="8743"/>
              <w:tab w:val="right" w:pos="9026" w:leader="dot"/>
            </w:tabs>
            <w:rPr/>
          </w:pPr>
          <w:hyperlink w:anchor="__RefHeading___Toc12184373_2142443653">
            <w:r>
              <w:rPr>
                <w:webHidden/>
                <w:rStyle w:val="IndexLink"/>
                <w:rtl w:val="true"/>
              </w:rPr>
              <w:t>المحلات التجارية واستخدام الفتيات</w:t>
            </w:r>
            <w:r>
              <w:rPr>
                <w:rStyle w:val="IndexLink"/>
                <w:rtl w:val="true"/>
              </w:rPr>
              <w:tab/>
            </w:r>
            <w:r>
              <w:rPr>
                <w:rStyle w:val="IndexLink"/>
              </w:rPr>
              <w:t>285</w:t>
            </w:r>
          </w:hyperlink>
        </w:p>
        <w:p>
          <w:pPr>
            <w:pStyle w:val="Contents2"/>
            <w:tabs>
              <w:tab w:val="clear" w:pos="8743"/>
              <w:tab w:val="right" w:pos="9026" w:leader="dot"/>
            </w:tabs>
            <w:rPr/>
          </w:pPr>
          <w:hyperlink w:anchor="__RefHeading___Toc12184375_2142443653">
            <w:r>
              <w:rPr>
                <w:webHidden/>
                <w:rStyle w:val="IndexLink"/>
                <w:rtl w:val="true"/>
              </w:rPr>
              <w:t>المحلات التجارية واستخدام الفتيان</w:t>
            </w:r>
            <w:r>
              <w:rPr>
                <w:rStyle w:val="IndexLink"/>
                <w:rtl w:val="true"/>
              </w:rPr>
              <w:tab/>
            </w:r>
            <w:r>
              <w:rPr>
                <w:rStyle w:val="IndexLink"/>
              </w:rPr>
              <w:t>286</w:t>
            </w:r>
          </w:hyperlink>
        </w:p>
        <w:p>
          <w:pPr>
            <w:pStyle w:val="Contents2"/>
            <w:tabs>
              <w:tab w:val="clear" w:pos="8743"/>
              <w:tab w:val="right" w:pos="9026" w:leader="dot"/>
            </w:tabs>
            <w:rPr/>
          </w:pPr>
          <w:hyperlink w:anchor="__RefHeading___Toc12184377_2142443653">
            <w:r>
              <w:rPr>
                <w:webHidden/>
                <w:rStyle w:val="IndexLink"/>
                <w:rtl w:val="true"/>
              </w:rPr>
              <w:t>السياقة للنساء</w:t>
            </w:r>
            <w:r>
              <w:rPr>
                <w:rStyle w:val="IndexLink"/>
                <w:rtl w:val="true"/>
              </w:rPr>
              <w:tab/>
            </w:r>
            <w:r>
              <w:rPr>
                <w:rStyle w:val="IndexLink"/>
              </w:rPr>
              <w:t>286</w:t>
            </w:r>
          </w:hyperlink>
        </w:p>
        <w:p>
          <w:pPr>
            <w:pStyle w:val="Contents2"/>
            <w:tabs>
              <w:tab w:val="clear" w:pos="8743"/>
              <w:tab w:val="right" w:pos="9026" w:leader="dot"/>
            </w:tabs>
            <w:rPr/>
          </w:pPr>
          <w:hyperlink w:anchor="__RefHeading___Toc12184379_2142443653">
            <w:r>
              <w:rPr>
                <w:webHidden/>
                <w:rStyle w:val="IndexLink"/>
                <w:rtl w:val="true"/>
              </w:rPr>
              <w:t>استخدام السائق غير الأمين</w:t>
            </w:r>
            <w:r>
              <w:rPr>
                <w:rStyle w:val="IndexLink"/>
                <w:rtl w:val="true"/>
              </w:rPr>
              <w:tab/>
            </w:r>
            <w:r>
              <w:rPr>
                <w:rStyle w:val="IndexLink"/>
              </w:rPr>
              <w:t>287</w:t>
            </w:r>
          </w:hyperlink>
        </w:p>
        <w:p>
          <w:pPr>
            <w:pStyle w:val="Contents2"/>
            <w:tabs>
              <w:tab w:val="clear" w:pos="8743"/>
              <w:tab w:val="right" w:pos="9026" w:leader="dot"/>
            </w:tabs>
            <w:rPr/>
          </w:pPr>
          <w:hyperlink w:anchor="__RefHeading___Toc12184381_2142443653">
            <w:r>
              <w:rPr>
                <w:webHidden/>
                <w:rStyle w:val="IndexLink"/>
                <w:rtl w:val="true"/>
              </w:rPr>
              <w:t>استخدام الكافر للطبخ والغسل</w:t>
            </w:r>
            <w:r>
              <w:rPr>
                <w:rStyle w:val="IndexLink"/>
                <w:rtl w:val="true"/>
              </w:rPr>
              <w:tab/>
            </w:r>
            <w:r>
              <w:rPr>
                <w:rStyle w:val="IndexLink"/>
              </w:rPr>
              <w:t>287</w:t>
            </w:r>
          </w:hyperlink>
        </w:p>
        <w:p>
          <w:pPr>
            <w:pStyle w:val="Contents2"/>
            <w:tabs>
              <w:tab w:val="clear" w:pos="8743"/>
              <w:tab w:val="right" w:pos="9026" w:leader="dot"/>
            </w:tabs>
            <w:rPr/>
          </w:pPr>
          <w:hyperlink w:anchor="__RefHeading___Toc12184383_2142443653">
            <w:r>
              <w:rPr>
                <w:webHidden/>
                <w:rStyle w:val="IndexLink"/>
                <w:rtl w:val="true"/>
              </w:rPr>
              <w:t>ترك المرأة وحدها مع الأجنبي</w:t>
            </w:r>
            <w:r>
              <w:rPr>
                <w:rStyle w:val="IndexLink"/>
                <w:rtl w:val="true"/>
              </w:rPr>
              <w:tab/>
            </w:r>
            <w:r>
              <w:rPr>
                <w:rStyle w:val="IndexLink"/>
              </w:rPr>
              <w:t>288</w:t>
            </w:r>
          </w:hyperlink>
        </w:p>
        <w:p>
          <w:pPr>
            <w:pStyle w:val="Contents2"/>
            <w:tabs>
              <w:tab w:val="clear" w:pos="8743"/>
              <w:tab w:val="right" w:pos="9026" w:leader="dot"/>
            </w:tabs>
            <w:rPr/>
          </w:pPr>
          <w:hyperlink w:anchor="__RefHeading___Toc12184385_2142443653">
            <w:r>
              <w:rPr>
                <w:webHidden/>
                <w:rStyle w:val="IndexLink"/>
                <w:rtl w:val="true"/>
              </w:rPr>
              <w:t>استخدام الفتيات في البيت</w:t>
            </w:r>
            <w:r>
              <w:rPr>
                <w:rStyle w:val="IndexLink"/>
                <w:rtl w:val="true"/>
              </w:rPr>
              <w:tab/>
            </w:r>
            <w:r>
              <w:rPr>
                <w:rStyle w:val="IndexLink"/>
              </w:rPr>
              <w:t>289</w:t>
            </w:r>
          </w:hyperlink>
        </w:p>
        <w:p>
          <w:pPr>
            <w:pStyle w:val="Contents2"/>
            <w:tabs>
              <w:tab w:val="clear" w:pos="8743"/>
              <w:tab w:val="right" w:pos="9026" w:leader="dot"/>
            </w:tabs>
            <w:rPr/>
          </w:pPr>
          <w:hyperlink w:anchor="__RefHeading___Toc12184387_2142443653">
            <w:r>
              <w:rPr>
                <w:webHidden/>
                <w:rStyle w:val="IndexLink"/>
                <w:rtl w:val="true"/>
              </w:rPr>
              <w:t>السكرتيرة المكشفة</w:t>
            </w:r>
            <w:r>
              <w:rPr>
                <w:rStyle w:val="IndexLink"/>
                <w:rtl w:val="true"/>
              </w:rPr>
              <w:tab/>
            </w:r>
            <w:r>
              <w:rPr>
                <w:rStyle w:val="IndexLink"/>
              </w:rPr>
              <w:t>289</w:t>
            </w:r>
          </w:hyperlink>
        </w:p>
        <w:p>
          <w:pPr>
            <w:pStyle w:val="Contents2"/>
            <w:tabs>
              <w:tab w:val="clear" w:pos="8743"/>
              <w:tab w:val="right" w:pos="9026" w:leader="dot"/>
            </w:tabs>
            <w:rPr/>
          </w:pPr>
          <w:hyperlink w:anchor="__RefHeading___Toc12184389_2142443653">
            <w:r>
              <w:rPr>
                <w:webHidden/>
                <w:rStyle w:val="IndexLink"/>
                <w:rtl w:val="true"/>
              </w:rPr>
              <w:t>خياطة الرجل للنساء</w:t>
            </w:r>
            <w:r>
              <w:rPr>
                <w:rStyle w:val="IndexLink"/>
                <w:rtl w:val="true"/>
              </w:rPr>
              <w:tab/>
            </w:r>
            <w:r>
              <w:rPr>
                <w:rStyle w:val="IndexLink"/>
              </w:rPr>
              <w:t>289</w:t>
            </w:r>
          </w:hyperlink>
        </w:p>
        <w:p>
          <w:pPr>
            <w:pStyle w:val="Contents2"/>
            <w:tabs>
              <w:tab w:val="clear" w:pos="8743"/>
              <w:tab w:val="right" w:pos="9026" w:leader="dot"/>
            </w:tabs>
            <w:rPr/>
          </w:pPr>
          <w:hyperlink w:anchor="__RefHeading___Toc12184391_2142443653">
            <w:r>
              <w:rPr>
                <w:webHidden/>
                <w:rStyle w:val="IndexLink"/>
                <w:rtl w:val="true"/>
              </w:rPr>
              <w:t>المنازع النسائية في المحلات</w:t>
            </w:r>
            <w:r>
              <w:rPr>
                <w:rStyle w:val="IndexLink"/>
                <w:rtl w:val="true"/>
              </w:rPr>
              <w:tab/>
            </w:r>
            <w:r>
              <w:rPr>
                <w:rStyle w:val="IndexLink"/>
              </w:rPr>
              <w:t>290</w:t>
            </w:r>
          </w:hyperlink>
        </w:p>
        <w:p>
          <w:pPr>
            <w:pStyle w:val="Contents2"/>
            <w:tabs>
              <w:tab w:val="clear" w:pos="8743"/>
              <w:tab w:val="right" w:pos="9026" w:leader="dot"/>
            </w:tabs>
            <w:rPr/>
          </w:pPr>
          <w:hyperlink w:anchor="__RefHeading___Toc12184393_2142443653">
            <w:r>
              <w:rPr>
                <w:webHidden/>
                <w:rStyle w:val="IndexLink"/>
                <w:rtl w:val="true"/>
              </w:rPr>
              <w:t>في محلات المصورين</w:t>
            </w:r>
            <w:r>
              <w:rPr>
                <w:rStyle w:val="IndexLink"/>
                <w:rtl w:val="true"/>
              </w:rPr>
              <w:tab/>
            </w:r>
            <w:r>
              <w:rPr>
                <w:rStyle w:val="IndexLink"/>
              </w:rPr>
              <w:t>291</w:t>
            </w:r>
          </w:hyperlink>
        </w:p>
        <w:p>
          <w:pPr>
            <w:pStyle w:val="Contents2"/>
            <w:tabs>
              <w:tab w:val="clear" w:pos="8743"/>
              <w:tab w:val="right" w:pos="9026" w:leader="dot"/>
            </w:tabs>
            <w:rPr/>
          </w:pPr>
          <w:hyperlink w:anchor="__RefHeading___Toc12184395_2142443653">
            <w:r>
              <w:rPr>
                <w:webHidden/>
                <w:rStyle w:val="IndexLink"/>
                <w:rtl w:val="true"/>
              </w:rPr>
              <w:t>إشعال الفتن بين الكفار</w:t>
            </w:r>
            <w:r>
              <w:rPr>
                <w:rStyle w:val="IndexLink"/>
                <w:rtl w:val="true"/>
              </w:rPr>
              <w:tab/>
            </w:r>
            <w:r>
              <w:rPr>
                <w:rStyle w:val="IndexLink"/>
              </w:rPr>
              <w:t>291</w:t>
            </w:r>
          </w:hyperlink>
        </w:p>
        <w:p>
          <w:pPr>
            <w:pStyle w:val="Contents2"/>
            <w:tabs>
              <w:tab w:val="clear" w:pos="8743"/>
              <w:tab w:val="right" w:pos="9026" w:leader="dot"/>
            </w:tabs>
            <w:rPr/>
          </w:pPr>
          <w:hyperlink w:anchor="__RefHeading___Toc12184397_2142443653">
            <w:r>
              <w:rPr>
                <w:webHidden/>
                <w:rStyle w:val="IndexLink"/>
                <w:rtl w:val="true"/>
              </w:rPr>
              <w:t>حدود إلقاء الفتن</w:t>
            </w:r>
            <w:r>
              <w:rPr>
                <w:rStyle w:val="IndexLink"/>
                <w:rtl w:val="true"/>
              </w:rPr>
              <w:tab/>
            </w:r>
            <w:r>
              <w:rPr>
                <w:rStyle w:val="IndexLink"/>
              </w:rPr>
              <w:t>293</w:t>
            </w:r>
          </w:hyperlink>
        </w:p>
        <w:p>
          <w:pPr>
            <w:pStyle w:val="Contents2"/>
            <w:tabs>
              <w:tab w:val="clear" w:pos="8743"/>
              <w:tab w:val="right" w:pos="9026" w:leader="dot"/>
            </w:tabs>
            <w:rPr/>
          </w:pPr>
          <w:hyperlink w:anchor="__RefHeading___Toc12184399_2142443653">
            <w:r>
              <w:rPr>
                <w:webHidden/>
                <w:rStyle w:val="IndexLink"/>
                <w:rtl w:val="true"/>
              </w:rPr>
              <w:t>عدم جواز إيذاء أبناء الكفار</w:t>
            </w:r>
            <w:r>
              <w:rPr>
                <w:rStyle w:val="IndexLink"/>
                <w:rtl w:val="true"/>
              </w:rPr>
              <w:tab/>
            </w:r>
            <w:r>
              <w:rPr>
                <w:rStyle w:val="IndexLink"/>
              </w:rPr>
              <w:t>293</w:t>
            </w:r>
          </w:hyperlink>
        </w:p>
        <w:p>
          <w:pPr>
            <w:pStyle w:val="Contents2"/>
            <w:tabs>
              <w:tab w:val="clear" w:pos="8743"/>
              <w:tab w:val="right" w:pos="9026" w:leader="dot"/>
            </w:tabs>
            <w:rPr/>
          </w:pPr>
          <w:hyperlink w:anchor="__RefHeading___Toc12184401_2142443653">
            <w:r>
              <w:rPr>
                <w:webHidden/>
                <w:rStyle w:val="IndexLink"/>
                <w:rtl w:val="true"/>
              </w:rPr>
              <w:t>إيذاء الأسرى</w:t>
            </w:r>
            <w:r>
              <w:rPr>
                <w:rStyle w:val="IndexLink"/>
                <w:rtl w:val="true"/>
              </w:rPr>
              <w:tab/>
            </w:r>
            <w:r>
              <w:rPr>
                <w:rStyle w:val="IndexLink"/>
              </w:rPr>
              <w:t>294</w:t>
            </w:r>
          </w:hyperlink>
        </w:p>
        <w:p>
          <w:pPr>
            <w:pStyle w:val="Contents2"/>
            <w:tabs>
              <w:tab w:val="clear" w:pos="8743"/>
              <w:tab w:val="right" w:pos="9026" w:leader="dot"/>
            </w:tabs>
            <w:rPr/>
          </w:pPr>
          <w:hyperlink w:anchor="__RefHeading___Toc12184403_2142443653">
            <w:r>
              <w:rPr>
                <w:webHidden/>
                <w:rStyle w:val="IndexLink"/>
                <w:rtl w:val="true"/>
              </w:rPr>
              <w:t>المقابلة بالمثل</w:t>
            </w:r>
            <w:r>
              <w:rPr>
                <w:rStyle w:val="IndexLink"/>
                <w:rtl w:val="true"/>
              </w:rPr>
              <w:tab/>
            </w:r>
            <w:r>
              <w:rPr>
                <w:rStyle w:val="IndexLink"/>
              </w:rPr>
              <w:t>294</w:t>
            </w:r>
          </w:hyperlink>
        </w:p>
        <w:p>
          <w:pPr>
            <w:pStyle w:val="Contents2"/>
            <w:tabs>
              <w:tab w:val="clear" w:pos="8743"/>
              <w:tab w:val="right" w:pos="9026" w:leader="dot"/>
            </w:tabs>
            <w:rPr/>
          </w:pPr>
          <w:hyperlink w:anchor="__RefHeading___Toc12184405_2142443653">
            <w:r>
              <w:rPr>
                <w:webHidden/>
                <w:rStyle w:val="IndexLink"/>
                <w:rtl w:val="true"/>
              </w:rPr>
              <w:t>خطف الأبرياء وتعذيبهم</w:t>
            </w:r>
            <w:r>
              <w:rPr>
                <w:rStyle w:val="IndexLink"/>
                <w:rtl w:val="true"/>
              </w:rPr>
              <w:tab/>
            </w:r>
            <w:r>
              <w:rPr>
                <w:rStyle w:val="IndexLink"/>
              </w:rPr>
              <w:t>295</w:t>
            </w:r>
          </w:hyperlink>
        </w:p>
        <w:p>
          <w:pPr>
            <w:pStyle w:val="Contents2"/>
            <w:tabs>
              <w:tab w:val="clear" w:pos="8743"/>
              <w:tab w:val="right" w:pos="9026" w:leader="dot"/>
            </w:tabs>
            <w:rPr/>
          </w:pPr>
          <w:hyperlink w:anchor="__RefHeading___Toc12184407_2142443653">
            <w:r>
              <w:rPr>
                <w:webHidden/>
                <w:rStyle w:val="IndexLink"/>
                <w:rtl w:val="true"/>
              </w:rPr>
              <w:t>الاختطاف لأجل حق مشروع</w:t>
            </w:r>
            <w:r>
              <w:rPr>
                <w:rStyle w:val="IndexLink"/>
                <w:rtl w:val="true"/>
              </w:rPr>
              <w:tab/>
            </w:r>
            <w:r>
              <w:rPr>
                <w:rStyle w:val="IndexLink"/>
              </w:rPr>
              <w:t>295</w:t>
            </w:r>
          </w:hyperlink>
        </w:p>
        <w:p>
          <w:pPr>
            <w:pStyle w:val="Contents2"/>
            <w:tabs>
              <w:tab w:val="clear" w:pos="8743"/>
              <w:tab w:val="right" w:pos="9026" w:leader="dot"/>
            </w:tabs>
            <w:rPr/>
          </w:pPr>
          <w:hyperlink w:anchor="__RefHeading___Toc12184409_2142443653">
            <w:r>
              <w:rPr>
                <w:webHidden/>
                <w:rStyle w:val="IndexLink"/>
                <w:rtl w:val="true"/>
              </w:rPr>
              <w:t>مخادعة الحيوان</w:t>
            </w:r>
            <w:r>
              <w:rPr>
                <w:rStyle w:val="IndexLink"/>
                <w:rtl w:val="true"/>
              </w:rPr>
              <w:tab/>
            </w:r>
            <w:r>
              <w:rPr>
                <w:rStyle w:val="IndexLink"/>
              </w:rPr>
              <w:t>296</w:t>
            </w:r>
          </w:hyperlink>
        </w:p>
        <w:p>
          <w:pPr>
            <w:pStyle w:val="Contents2"/>
            <w:tabs>
              <w:tab w:val="clear" w:pos="8743"/>
              <w:tab w:val="right" w:pos="9026" w:leader="dot"/>
            </w:tabs>
            <w:rPr/>
          </w:pPr>
          <w:hyperlink w:anchor="__RefHeading___Toc12184411_2142443653">
            <w:r>
              <w:rPr>
                <w:webHidden/>
                <w:rStyle w:val="IndexLink"/>
                <w:rtl w:val="true"/>
              </w:rPr>
              <w:t>استمناء الحيوان للعلاج</w:t>
            </w:r>
            <w:r>
              <w:rPr>
                <w:rStyle w:val="IndexLink"/>
                <w:rtl w:val="true"/>
              </w:rPr>
              <w:tab/>
            </w:r>
            <w:r>
              <w:rPr>
                <w:rStyle w:val="IndexLink"/>
              </w:rPr>
              <w:t>296</w:t>
            </w:r>
          </w:hyperlink>
        </w:p>
        <w:p>
          <w:pPr>
            <w:pStyle w:val="Contents2"/>
            <w:tabs>
              <w:tab w:val="clear" w:pos="8743"/>
              <w:tab w:val="right" w:pos="9026" w:leader="dot"/>
            </w:tabs>
            <w:rPr/>
          </w:pPr>
          <w:hyperlink w:anchor="__RefHeading___Toc12184413_2142443653">
            <w:r>
              <w:rPr>
                <w:webHidden/>
                <w:rStyle w:val="IndexLink"/>
                <w:rtl w:val="true"/>
              </w:rPr>
              <w:t>نزو الحيوانات فيما بينها</w:t>
            </w:r>
            <w:r>
              <w:rPr>
                <w:rStyle w:val="IndexLink"/>
                <w:rtl w:val="true"/>
              </w:rPr>
              <w:tab/>
            </w:r>
            <w:r>
              <w:rPr>
                <w:rStyle w:val="IndexLink"/>
              </w:rPr>
              <w:t>297</w:t>
            </w:r>
          </w:hyperlink>
        </w:p>
        <w:p>
          <w:pPr>
            <w:pStyle w:val="Contents2"/>
            <w:tabs>
              <w:tab w:val="clear" w:pos="8743"/>
              <w:tab w:val="right" w:pos="9026" w:leader="dot"/>
            </w:tabs>
            <w:rPr/>
          </w:pPr>
          <w:hyperlink w:anchor="__RefHeading___Toc12184415_2142443653">
            <w:r>
              <w:rPr>
                <w:webHidden/>
                <w:rStyle w:val="IndexLink"/>
                <w:rtl w:val="true"/>
              </w:rPr>
              <w:t>تسجيل الأملاك بأسماء بديلة</w:t>
            </w:r>
            <w:r>
              <w:rPr>
                <w:rStyle w:val="IndexLink"/>
                <w:rtl w:val="true"/>
              </w:rPr>
              <w:tab/>
            </w:r>
            <w:r>
              <w:rPr>
                <w:rStyle w:val="IndexLink"/>
              </w:rPr>
              <w:t>297</w:t>
            </w:r>
          </w:hyperlink>
        </w:p>
        <w:p>
          <w:pPr>
            <w:pStyle w:val="Contents2"/>
            <w:tabs>
              <w:tab w:val="clear" w:pos="8743"/>
              <w:tab w:val="right" w:pos="9026" w:leader="dot"/>
            </w:tabs>
            <w:rPr/>
          </w:pPr>
          <w:hyperlink w:anchor="__RefHeading___Toc12184417_2142443653">
            <w:r>
              <w:rPr>
                <w:webHidden/>
                <w:rStyle w:val="IndexLink"/>
                <w:rtl w:val="true"/>
              </w:rPr>
              <w:t>اختطاف أولاد التجار</w:t>
            </w:r>
            <w:r>
              <w:rPr>
                <w:rStyle w:val="IndexLink"/>
                <w:rtl w:val="true"/>
              </w:rPr>
              <w:tab/>
            </w:r>
            <w:r>
              <w:rPr>
                <w:rStyle w:val="IndexLink"/>
              </w:rPr>
              <w:t>297</w:t>
            </w:r>
          </w:hyperlink>
        </w:p>
        <w:p>
          <w:pPr>
            <w:pStyle w:val="Contents2"/>
            <w:tabs>
              <w:tab w:val="clear" w:pos="8743"/>
              <w:tab w:val="right" w:pos="9026" w:leader="dot"/>
            </w:tabs>
            <w:rPr/>
          </w:pPr>
          <w:hyperlink w:anchor="__RefHeading___Toc12184419_2142443653">
            <w:r>
              <w:rPr>
                <w:webHidden/>
                <w:rStyle w:val="IndexLink"/>
                <w:rtl w:val="true"/>
              </w:rPr>
              <w:t>الإسلام تقدمي</w:t>
            </w:r>
            <w:r>
              <w:rPr>
                <w:rStyle w:val="IndexLink"/>
                <w:rtl w:val="true"/>
              </w:rPr>
              <w:tab/>
            </w:r>
            <w:r>
              <w:rPr>
                <w:rStyle w:val="IndexLink"/>
              </w:rPr>
              <w:t>297</w:t>
            </w:r>
          </w:hyperlink>
        </w:p>
        <w:p>
          <w:pPr>
            <w:pStyle w:val="Contents2"/>
            <w:tabs>
              <w:tab w:val="clear" w:pos="8743"/>
              <w:tab w:val="right" w:pos="9026" w:leader="dot"/>
            </w:tabs>
            <w:rPr/>
          </w:pPr>
          <w:hyperlink w:anchor="__RefHeading___Toc12184421_2142443653">
            <w:r>
              <w:rPr>
                <w:webHidden/>
                <w:rStyle w:val="IndexLink"/>
                <w:rtl w:val="true"/>
              </w:rPr>
              <w:t>ذبح الحيوانات في الشوارع</w:t>
            </w:r>
            <w:r>
              <w:rPr>
                <w:rStyle w:val="IndexLink"/>
                <w:rtl w:val="true"/>
              </w:rPr>
              <w:tab/>
            </w:r>
            <w:r>
              <w:rPr>
                <w:rStyle w:val="IndexLink"/>
              </w:rPr>
              <w:t>298</w:t>
            </w:r>
          </w:hyperlink>
        </w:p>
        <w:p>
          <w:pPr>
            <w:pStyle w:val="Contents2"/>
            <w:tabs>
              <w:tab w:val="clear" w:pos="8743"/>
              <w:tab w:val="right" w:pos="9026" w:leader="dot"/>
            </w:tabs>
            <w:rPr/>
          </w:pPr>
          <w:hyperlink w:anchor="__RefHeading___Toc12184423_2142443653">
            <w:r>
              <w:rPr>
                <w:webHidden/>
                <w:rStyle w:val="IndexLink"/>
                <w:rtl w:val="true"/>
              </w:rPr>
              <w:t>تجميل المحلات</w:t>
            </w:r>
            <w:r>
              <w:rPr>
                <w:rStyle w:val="IndexLink"/>
                <w:rtl w:val="true"/>
              </w:rPr>
              <w:tab/>
            </w:r>
            <w:r>
              <w:rPr>
                <w:rStyle w:val="IndexLink"/>
              </w:rPr>
              <w:t>298</w:t>
            </w:r>
          </w:hyperlink>
        </w:p>
        <w:p>
          <w:pPr>
            <w:pStyle w:val="Contents2"/>
            <w:tabs>
              <w:tab w:val="clear" w:pos="8743"/>
              <w:tab w:val="right" w:pos="9026" w:leader="dot"/>
            </w:tabs>
            <w:rPr/>
          </w:pPr>
          <w:hyperlink w:anchor="__RefHeading___Toc12184425_2142443653">
            <w:r>
              <w:rPr>
                <w:webHidden/>
                <w:rStyle w:val="IndexLink"/>
                <w:rtl w:val="true"/>
              </w:rPr>
              <w:t>حدود التصرفات الفردية</w:t>
            </w:r>
            <w:r>
              <w:rPr>
                <w:rStyle w:val="IndexLink"/>
                <w:rtl w:val="true"/>
              </w:rPr>
              <w:tab/>
            </w:r>
            <w:r>
              <w:rPr>
                <w:rStyle w:val="IndexLink"/>
              </w:rPr>
              <w:t>299</w:t>
            </w:r>
          </w:hyperlink>
        </w:p>
        <w:p>
          <w:pPr>
            <w:pStyle w:val="Contents2"/>
            <w:tabs>
              <w:tab w:val="clear" w:pos="8743"/>
              <w:tab w:val="right" w:pos="9026" w:leader="dot"/>
            </w:tabs>
            <w:rPr/>
          </w:pPr>
          <w:hyperlink w:anchor="__RefHeading___Toc12184427_2142443653">
            <w:r>
              <w:rPr>
                <w:webHidden/>
                <w:rStyle w:val="IndexLink"/>
                <w:rtl w:val="true"/>
              </w:rPr>
              <w:t>مراجعة الطبيب</w:t>
            </w:r>
            <w:r>
              <w:rPr>
                <w:rStyle w:val="IndexLink"/>
                <w:rtl w:val="true"/>
              </w:rPr>
              <w:tab/>
            </w:r>
            <w:r>
              <w:rPr>
                <w:rStyle w:val="IndexLink"/>
              </w:rPr>
              <w:t>299</w:t>
            </w:r>
          </w:hyperlink>
        </w:p>
        <w:p>
          <w:pPr>
            <w:pStyle w:val="Contents2"/>
            <w:tabs>
              <w:tab w:val="clear" w:pos="8743"/>
              <w:tab w:val="right" w:pos="9026" w:leader="dot"/>
            </w:tabs>
            <w:rPr/>
          </w:pPr>
          <w:hyperlink w:anchor="__RefHeading___Toc12184429_2142443653">
            <w:r>
              <w:rPr>
                <w:webHidden/>
                <w:rStyle w:val="IndexLink"/>
                <w:rtl w:val="true"/>
              </w:rPr>
              <w:t>التراب المطهر</w:t>
            </w:r>
            <w:r>
              <w:rPr>
                <w:rStyle w:val="IndexLink"/>
                <w:rtl w:val="true"/>
              </w:rPr>
              <w:tab/>
            </w:r>
            <w:r>
              <w:rPr>
                <w:rStyle w:val="IndexLink"/>
              </w:rPr>
              <w:t>300</w:t>
            </w:r>
          </w:hyperlink>
        </w:p>
        <w:p>
          <w:pPr>
            <w:pStyle w:val="Contents2"/>
            <w:tabs>
              <w:tab w:val="clear" w:pos="8743"/>
              <w:tab w:val="right" w:pos="9026" w:leader="dot"/>
            </w:tabs>
            <w:rPr/>
          </w:pPr>
          <w:hyperlink w:anchor="__RefHeading___Toc12184431_2142443653">
            <w:r>
              <w:rPr>
                <w:webHidden/>
                <w:rStyle w:val="IndexLink"/>
                <w:rtl w:val="true"/>
              </w:rPr>
              <w:t>العملية الجراحية ونسبة النجاح</w:t>
            </w:r>
            <w:r>
              <w:rPr>
                <w:rStyle w:val="IndexLink"/>
                <w:rtl w:val="true"/>
              </w:rPr>
              <w:tab/>
            </w:r>
            <w:r>
              <w:rPr>
                <w:rStyle w:val="IndexLink"/>
              </w:rPr>
              <w:t>300</w:t>
            </w:r>
          </w:hyperlink>
        </w:p>
        <w:p>
          <w:pPr>
            <w:pStyle w:val="Contents2"/>
            <w:tabs>
              <w:tab w:val="clear" w:pos="8743"/>
              <w:tab w:val="right" w:pos="9026" w:leader="dot"/>
            </w:tabs>
            <w:rPr/>
          </w:pPr>
          <w:hyperlink w:anchor="__RefHeading___Toc12184433_2142443653">
            <w:r>
              <w:rPr>
                <w:webHidden/>
                <w:rStyle w:val="IndexLink"/>
                <w:rtl w:val="true"/>
              </w:rPr>
              <w:t>نصرة المظلوم</w:t>
            </w:r>
            <w:r>
              <w:rPr>
                <w:rStyle w:val="IndexLink"/>
                <w:rtl w:val="true"/>
              </w:rPr>
              <w:tab/>
            </w:r>
            <w:r>
              <w:rPr>
                <w:rStyle w:val="IndexLink"/>
              </w:rPr>
              <w:t>300</w:t>
            </w:r>
          </w:hyperlink>
        </w:p>
        <w:p>
          <w:pPr>
            <w:pStyle w:val="Contents2"/>
            <w:tabs>
              <w:tab w:val="clear" w:pos="8743"/>
              <w:tab w:val="right" w:pos="9026" w:leader="dot"/>
            </w:tabs>
            <w:rPr/>
          </w:pPr>
          <w:hyperlink w:anchor="__RefHeading___Toc12184435_2142443653">
            <w:r>
              <w:rPr>
                <w:webHidden/>
                <w:rStyle w:val="IndexLink"/>
                <w:rtl w:val="true"/>
              </w:rPr>
              <w:t>الصوم مع اختلاف الآفاق</w:t>
            </w:r>
            <w:r>
              <w:rPr>
                <w:rStyle w:val="IndexLink"/>
                <w:rtl w:val="true"/>
              </w:rPr>
              <w:tab/>
            </w:r>
            <w:r>
              <w:rPr>
                <w:rStyle w:val="IndexLink"/>
              </w:rPr>
              <w:t>301</w:t>
            </w:r>
          </w:hyperlink>
        </w:p>
        <w:p>
          <w:pPr>
            <w:pStyle w:val="Contents2"/>
            <w:tabs>
              <w:tab w:val="clear" w:pos="8743"/>
              <w:tab w:val="right" w:pos="9026" w:leader="dot"/>
            </w:tabs>
            <w:rPr/>
          </w:pPr>
          <w:hyperlink w:anchor="__RefHeading___Toc12184437_2142443653">
            <w:r>
              <w:rPr>
                <w:webHidden/>
                <w:rStyle w:val="IndexLink"/>
                <w:rtl w:val="true"/>
              </w:rPr>
              <w:t>تصوير وتمثيل ذكريات الإسلام</w:t>
            </w:r>
            <w:r>
              <w:rPr>
                <w:rStyle w:val="IndexLink"/>
                <w:rtl w:val="true"/>
              </w:rPr>
              <w:tab/>
            </w:r>
            <w:r>
              <w:rPr>
                <w:rStyle w:val="IndexLink"/>
              </w:rPr>
              <w:t>301</w:t>
            </w:r>
          </w:hyperlink>
        </w:p>
        <w:p>
          <w:pPr>
            <w:pStyle w:val="Contents2"/>
            <w:tabs>
              <w:tab w:val="clear" w:pos="8743"/>
              <w:tab w:val="right" w:pos="9026" w:leader="dot"/>
            </w:tabs>
            <w:rPr/>
          </w:pPr>
          <w:hyperlink w:anchor="__RefHeading___Toc12184439_2142443653">
            <w:r>
              <w:rPr>
                <w:webHidden/>
                <w:rStyle w:val="IndexLink"/>
                <w:rtl w:val="true"/>
              </w:rPr>
              <w:t>التأليف حول الإسلام</w:t>
            </w:r>
            <w:r>
              <w:rPr>
                <w:rStyle w:val="IndexLink"/>
                <w:rtl w:val="true"/>
              </w:rPr>
              <w:tab/>
            </w:r>
            <w:r>
              <w:rPr>
                <w:rStyle w:val="IndexLink"/>
              </w:rPr>
              <w:t>302</w:t>
            </w:r>
          </w:hyperlink>
        </w:p>
        <w:p>
          <w:pPr>
            <w:pStyle w:val="Contents2"/>
            <w:tabs>
              <w:tab w:val="clear" w:pos="8743"/>
              <w:tab w:val="right" w:pos="9026" w:leader="dot"/>
            </w:tabs>
            <w:rPr/>
          </w:pPr>
          <w:hyperlink w:anchor="__RefHeading___Toc12184441_2142443653">
            <w:r>
              <w:rPr>
                <w:webHidden/>
                <w:rStyle w:val="IndexLink"/>
                <w:rtl w:val="true"/>
              </w:rPr>
              <w:t>مفاتيح لأبواب الآخرين</w:t>
            </w:r>
            <w:r>
              <w:rPr>
                <w:rStyle w:val="IndexLink"/>
                <w:rtl w:val="true"/>
              </w:rPr>
              <w:tab/>
            </w:r>
            <w:r>
              <w:rPr>
                <w:rStyle w:val="IndexLink"/>
              </w:rPr>
              <w:t>302</w:t>
            </w:r>
          </w:hyperlink>
        </w:p>
        <w:p>
          <w:pPr>
            <w:pStyle w:val="Contents2"/>
            <w:tabs>
              <w:tab w:val="clear" w:pos="8743"/>
              <w:tab w:val="right" w:pos="9026" w:leader="dot"/>
            </w:tabs>
            <w:rPr/>
          </w:pPr>
          <w:hyperlink w:anchor="__RefHeading___Toc12184443_2142443653">
            <w:r>
              <w:rPr>
                <w:webHidden/>
                <w:rStyle w:val="IndexLink"/>
                <w:rtl w:val="true"/>
              </w:rPr>
              <w:t>الهوايات</w:t>
            </w:r>
            <w:r>
              <w:rPr>
                <w:rStyle w:val="IndexLink"/>
                <w:rtl w:val="true"/>
              </w:rPr>
              <w:tab/>
            </w:r>
            <w:r>
              <w:rPr>
                <w:rStyle w:val="IndexLink"/>
              </w:rPr>
              <w:t>302</w:t>
            </w:r>
          </w:hyperlink>
        </w:p>
        <w:p>
          <w:pPr>
            <w:pStyle w:val="Contents2"/>
            <w:tabs>
              <w:tab w:val="clear" w:pos="8743"/>
              <w:tab w:val="right" w:pos="9026" w:leader="dot"/>
            </w:tabs>
            <w:rPr/>
          </w:pPr>
          <w:hyperlink w:anchor="__RefHeading___Toc12184445_2142443653">
            <w:r>
              <w:rPr>
                <w:webHidden/>
                <w:rStyle w:val="IndexLink"/>
                <w:rtl w:val="true"/>
              </w:rPr>
              <w:t>مراسلة الفتيات</w:t>
            </w:r>
            <w:r>
              <w:rPr>
                <w:rStyle w:val="IndexLink"/>
                <w:rtl w:val="true"/>
              </w:rPr>
              <w:tab/>
            </w:r>
            <w:r>
              <w:rPr>
                <w:rStyle w:val="IndexLink"/>
              </w:rPr>
              <w:t>303</w:t>
            </w:r>
          </w:hyperlink>
        </w:p>
        <w:p>
          <w:pPr>
            <w:pStyle w:val="Contents2"/>
            <w:tabs>
              <w:tab w:val="clear" w:pos="8743"/>
              <w:tab w:val="right" w:pos="9026" w:leader="dot"/>
            </w:tabs>
            <w:rPr/>
          </w:pPr>
          <w:hyperlink w:anchor="__RefHeading___Toc12184447_2142443653">
            <w:r>
              <w:rPr>
                <w:webHidden/>
                <w:rStyle w:val="IndexLink"/>
                <w:rtl w:val="true"/>
              </w:rPr>
              <w:t>سرقة الأسماء</w:t>
            </w:r>
            <w:r>
              <w:rPr>
                <w:rStyle w:val="IndexLink"/>
                <w:rtl w:val="true"/>
              </w:rPr>
              <w:tab/>
            </w:r>
            <w:r>
              <w:rPr>
                <w:rStyle w:val="IndexLink"/>
              </w:rPr>
              <w:t>303</w:t>
            </w:r>
          </w:hyperlink>
        </w:p>
        <w:p>
          <w:pPr>
            <w:pStyle w:val="Contents2"/>
            <w:tabs>
              <w:tab w:val="clear" w:pos="8743"/>
              <w:tab w:val="right" w:pos="9026" w:leader="dot"/>
            </w:tabs>
            <w:rPr/>
          </w:pPr>
          <w:hyperlink w:anchor="__RefHeading___Toc12184449_2142443653">
            <w:r>
              <w:rPr>
                <w:webHidden/>
                <w:rStyle w:val="IndexLink"/>
                <w:rtl w:val="true"/>
              </w:rPr>
              <w:t>الضغط على أهل المنكر</w:t>
            </w:r>
            <w:r>
              <w:rPr>
                <w:rStyle w:val="IndexLink"/>
                <w:rtl w:val="true"/>
              </w:rPr>
              <w:tab/>
            </w:r>
            <w:r>
              <w:rPr>
                <w:rStyle w:val="IndexLink"/>
              </w:rPr>
              <w:t>303</w:t>
            </w:r>
          </w:hyperlink>
        </w:p>
        <w:p>
          <w:pPr>
            <w:pStyle w:val="Contents2"/>
            <w:tabs>
              <w:tab w:val="clear" w:pos="8743"/>
              <w:tab w:val="right" w:pos="9026" w:leader="dot"/>
            </w:tabs>
            <w:rPr/>
          </w:pPr>
          <w:hyperlink w:anchor="__RefHeading___Toc12184451_2142443653">
            <w:r>
              <w:rPr>
                <w:webHidden/>
                <w:rStyle w:val="IndexLink"/>
                <w:rtl w:val="true"/>
              </w:rPr>
              <w:t>الديبلوماسيات</w:t>
            </w:r>
            <w:r>
              <w:rPr>
                <w:rStyle w:val="IndexLink"/>
                <w:rtl w:val="true"/>
              </w:rPr>
              <w:tab/>
            </w:r>
            <w:r>
              <w:rPr>
                <w:rStyle w:val="IndexLink"/>
              </w:rPr>
              <w:t>303</w:t>
            </w:r>
          </w:hyperlink>
        </w:p>
        <w:p>
          <w:pPr>
            <w:pStyle w:val="Contents2"/>
            <w:tabs>
              <w:tab w:val="clear" w:pos="8743"/>
              <w:tab w:val="right" w:pos="9026" w:leader="dot"/>
            </w:tabs>
            <w:rPr/>
          </w:pPr>
          <w:hyperlink w:anchor="__RefHeading___Toc12184453_2142443653">
            <w:r>
              <w:rPr>
                <w:webHidden/>
                <w:rStyle w:val="IndexLink"/>
                <w:rtl w:val="true"/>
              </w:rPr>
              <w:t>تكوين الجمعيات</w:t>
            </w:r>
            <w:r>
              <w:rPr>
                <w:rStyle w:val="IndexLink"/>
                <w:rtl w:val="true"/>
              </w:rPr>
              <w:tab/>
            </w:r>
            <w:r>
              <w:rPr>
                <w:rStyle w:val="IndexLink"/>
              </w:rPr>
              <w:t>304</w:t>
            </w:r>
          </w:hyperlink>
        </w:p>
        <w:p>
          <w:pPr>
            <w:pStyle w:val="Contents2"/>
            <w:tabs>
              <w:tab w:val="clear" w:pos="8743"/>
              <w:tab w:val="right" w:pos="9026" w:leader="dot"/>
            </w:tabs>
            <w:rPr/>
          </w:pPr>
          <w:hyperlink w:anchor="__RefHeading___Toc12184455_2142443653">
            <w:r>
              <w:rPr>
                <w:webHidden/>
                <w:rStyle w:val="IndexLink"/>
                <w:rtl w:val="true"/>
              </w:rPr>
              <w:t>الحجز على فاعل المنكر</w:t>
            </w:r>
            <w:r>
              <w:rPr>
                <w:rStyle w:val="IndexLink"/>
                <w:rtl w:val="true"/>
              </w:rPr>
              <w:tab/>
            </w:r>
            <w:r>
              <w:rPr>
                <w:rStyle w:val="IndexLink"/>
              </w:rPr>
              <w:t>304</w:t>
            </w:r>
          </w:hyperlink>
        </w:p>
        <w:p>
          <w:pPr>
            <w:pStyle w:val="Contents2"/>
            <w:tabs>
              <w:tab w:val="clear" w:pos="8743"/>
              <w:tab w:val="right" w:pos="9026" w:leader="dot"/>
            </w:tabs>
            <w:rPr/>
          </w:pPr>
          <w:hyperlink w:anchor="__RefHeading___Toc12184457_2142443653">
            <w:r>
              <w:rPr>
                <w:webHidden/>
                <w:rStyle w:val="IndexLink"/>
                <w:rtl w:val="true"/>
              </w:rPr>
              <w:t>التحالف مع الكفار</w:t>
            </w:r>
            <w:r>
              <w:rPr>
                <w:rStyle w:val="IndexLink"/>
                <w:rtl w:val="true"/>
              </w:rPr>
              <w:tab/>
            </w:r>
            <w:r>
              <w:rPr>
                <w:rStyle w:val="IndexLink"/>
              </w:rPr>
              <w:t>305</w:t>
            </w:r>
          </w:hyperlink>
        </w:p>
        <w:p>
          <w:pPr>
            <w:pStyle w:val="Contents2"/>
            <w:tabs>
              <w:tab w:val="clear" w:pos="8743"/>
              <w:tab w:val="right" w:pos="9026" w:leader="dot"/>
            </w:tabs>
            <w:rPr/>
          </w:pPr>
          <w:hyperlink w:anchor="__RefHeading___Toc12184459_2142443653">
            <w:r>
              <w:rPr>
                <w:webHidden/>
                <w:rStyle w:val="IndexLink"/>
                <w:rtl w:val="true"/>
              </w:rPr>
              <w:t>الأجنحة على الطرق العامة</w:t>
            </w:r>
            <w:r>
              <w:rPr>
                <w:rStyle w:val="IndexLink"/>
                <w:rtl w:val="true"/>
              </w:rPr>
              <w:tab/>
            </w:r>
            <w:r>
              <w:rPr>
                <w:rStyle w:val="IndexLink"/>
              </w:rPr>
              <w:t>305</w:t>
            </w:r>
          </w:hyperlink>
        </w:p>
        <w:p>
          <w:pPr>
            <w:pStyle w:val="Contents2"/>
            <w:tabs>
              <w:tab w:val="clear" w:pos="8743"/>
              <w:tab w:val="right" w:pos="9026" w:leader="dot"/>
            </w:tabs>
            <w:rPr/>
          </w:pPr>
          <w:hyperlink w:anchor="__RefHeading___Toc12184461_2142443653">
            <w:r>
              <w:rPr>
                <w:webHidden/>
                <w:rStyle w:val="IndexLink"/>
                <w:rtl w:val="true"/>
              </w:rPr>
              <w:t>فتح الأبواب على الطرق العامة</w:t>
            </w:r>
            <w:r>
              <w:rPr>
                <w:rStyle w:val="IndexLink"/>
                <w:rtl w:val="true"/>
              </w:rPr>
              <w:tab/>
            </w:r>
            <w:r>
              <w:rPr>
                <w:rStyle w:val="IndexLink"/>
              </w:rPr>
              <w:t>306</w:t>
            </w:r>
          </w:hyperlink>
        </w:p>
        <w:p>
          <w:pPr>
            <w:pStyle w:val="Contents2"/>
            <w:tabs>
              <w:tab w:val="clear" w:pos="8743"/>
              <w:tab w:val="right" w:pos="9026" w:leader="dot"/>
            </w:tabs>
            <w:rPr/>
          </w:pPr>
          <w:hyperlink w:anchor="__RefHeading___Toc12184463_2142443653">
            <w:r>
              <w:rPr>
                <w:webHidden/>
                <w:rStyle w:val="IndexLink"/>
                <w:rtl w:val="true"/>
              </w:rPr>
              <w:t>النافذة على بيت الجار</w:t>
            </w:r>
            <w:r>
              <w:rPr>
                <w:rStyle w:val="IndexLink"/>
                <w:rtl w:val="true"/>
              </w:rPr>
              <w:tab/>
            </w:r>
            <w:r>
              <w:rPr>
                <w:rStyle w:val="IndexLink"/>
              </w:rPr>
              <w:t>306</w:t>
            </w:r>
          </w:hyperlink>
        </w:p>
        <w:p>
          <w:pPr>
            <w:pStyle w:val="Contents2"/>
            <w:tabs>
              <w:tab w:val="clear" w:pos="8743"/>
              <w:tab w:val="right" w:pos="9026" w:leader="dot"/>
            </w:tabs>
            <w:rPr/>
          </w:pPr>
          <w:hyperlink w:anchor="__RefHeading___Toc12184465_2142443653">
            <w:r>
              <w:rPr>
                <w:webHidden/>
                <w:rStyle w:val="IndexLink"/>
                <w:rtl w:val="true"/>
              </w:rPr>
              <w:t>تأجير الوسائل الحديثة</w:t>
            </w:r>
            <w:r>
              <w:rPr>
                <w:rStyle w:val="IndexLink"/>
                <w:rtl w:val="true"/>
              </w:rPr>
              <w:tab/>
            </w:r>
            <w:r>
              <w:rPr>
                <w:rStyle w:val="IndexLink"/>
              </w:rPr>
              <w:t>306</w:t>
            </w:r>
          </w:hyperlink>
        </w:p>
        <w:p>
          <w:pPr>
            <w:pStyle w:val="Contents2"/>
            <w:tabs>
              <w:tab w:val="clear" w:pos="8743"/>
              <w:tab w:val="right" w:pos="9026" w:leader="dot"/>
            </w:tabs>
            <w:rPr/>
          </w:pPr>
          <w:hyperlink w:anchor="__RefHeading___Toc12184467_2142443653">
            <w:r>
              <w:rPr>
                <w:webHidden/>
                <w:rStyle w:val="IndexLink"/>
                <w:rtl w:val="true"/>
              </w:rPr>
              <w:t>السياقة بلا إجازة</w:t>
            </w:r>
            <w:r>
              <w:rPr>
                <w:rStyle w:val="IndexLink"/>
                <w:rtl w:val="true"/>
              </w:rPr>
              <w:tab/>
            </w:r>
            <w:r>
              <w:rPr>
                <w:rStyle w:val="IndexLink"/>
              </w:rPr>
              <w:t>307</w:t>
            </w:r>
          </w:hyperlink>
        </w:p>
        <w:p>
          <w:pPr>
            <w:pStyle w:val="Contents2"/>
            <w:tabs>
              <w:tab w:val="clear" w:pos="8743"/>
              <w:tab w:val="right" w:pos="9026" w:leader="dot"/>
            </w:tabs>
            <w:rPr/>
          </w:pPr>
          <w:hyperlink w:anchor="__RefHeading___Toc12184469_2142443653">
            <w:r>
              <w:rPr>
                <w:webHidden/>
                <w:rStyle w:val="IndexLink"/>
                <w:rtl w:val="true"/>
              </w:rPr>
              <w:t>الدكتور ضامن</w:t>
            </w:r>
            <w:r>
              <w:rPr>
                <w:rStyle w:val="IndexLink"/>
                <w:rtl w:val="true"/>
              </w:rPr>
              <w:tab/>
            </w:r>
            <w:r>
              <w:rPr>
                <w:rStyle w:val="IndexLink"/>
              </w:rPr>
              <w:t>307</w:t>
            </w:r>
          </w:hyperlink>
        </w:p>
        <w:p>
          <w:pPr>
            <w:pStyle w:val="Contents2"/>
            <w:tabs>
              <w:tab w:val="clear" w:pos="8743"/>
              <w:tab w:val="right" w:pos="9026" w:leader="dot"/>
            </w:tabs>
            <w:rPr/>
          </w:pPr>
          <w:hyperlink w:anchor="__RefHeading___Toc12184471_2142443653">
            <w:r>
              <w:rPr>
                <w:webHidden/>
                <w:rStyle w:val="IndexLink"/>
                <w:rtl w:val="true"/>
              </w:rPr>
              <w:t>إعارة الأسلحة</w:t>
            </w:r>
            <w:r>
              <w:rPr>
                <w:rStyle w:val="IndexLink"/>
                <w:rtl w:val="true"/>
              </w:rPr>
              <w:tab/>
            </w:r>
            <w:r>
              <w:rPr>
                <w:rStyle w:val="IndexLink"/>
              </w:rPr>
              <w:t>307</w:t>
            </w:r>
          </w:hyperlink>
        </w:p>
        <w:p>
          <w:pPr>
            <w:pStyle w:val="Contents2"/>
            <w:tabs>
              <w:tab w:val="clear" w:pos="8743"/>
              <w:tab w:val="right" w:pos="9026" w:leader="dot"/>
            </w:tabs>
            <w:rPr/>
          </w:pPr>
          <w:hyperlink w:anchor="__RefHeading___Toc12184473_2142443653">
            <w:r>
              <w:rPr>
                <w:webHidden/>
                <w:rStyle w:val="IndexLink"/>
                <w:rtl w:val="true"/>
              </w:rPr>
              <w:t>إجارة الأسلحة</w:t>
            </w:r>
            <w:r>
              <w:rPr>
                <w:rStyle w:val="IndexLink"/>
                <w:rtl w:val="true"/>
              </w:rPr>
              <w:tab/>
            </w:r>
            <w:r>
              <w:rPr>
                <w:rStyle w:val="IndexLink"/>
              </w:rPr>
              <w:t>308</w:t>
            </w:r>
          </w:hyperlink>
        </w:p>
        <w:p>
          <w:pPr>
            <w:pStyle w:val="Contents2"/>
            <w:tabs>
              <w:tab w:val="clear" w:pos="8743"/>
              <w:tab w:val="right" w:pos="9026" w:leader="dot"/>
            </w:tabs>
            <w:rPr/>
          </w:pPr>
          <w:hyperlink w:anchor="__RefHeading___Toc12184475_2142443653">
            <w:r>
              <w:rPr>
                <w:webHidden/>
                <w:rStyle w:val="IndexLink"/>
                <w:rtl w:val="true"/>
              </w:rPr>
              <w:t>الإيداع في المصارف الربوية</w:t>
            </w:r>
            <w:r>
              <w:rPr>
                <w:rStyle w:val="IndexLink"/>
                <w:rtl w:val="true"/>
              </w:rPr>
              <w:tab/>
            </w:r>
            <w:r>
              <w:rPr>
                <w:rStyle w:val="IndexLink"/>
              </w:rPr>
              <w:t>308</w:t>
            </w:r>
          </w:hyperlink>
        </w:p>
        <w:p>
          <w:pPr>
            <w:pStyle w:val="Contents2"/>
            <w:tabs>
              <w:tab w:val="clear" w:pos="8743"/>
              <w:tab w:val="right" w:pos="9026" w:leader="dot"/>
            </w:tabs>
            <w:rPr/>
          </w:pPr>
          <w:hyperlink w:anchor="__RefHeading___Toc12184477_2142443653">
            <w:r>
              <w:rPr>
                <w:webHidden/>
                <w:rStyle w:val="IndexLink"/>
                <w:rtl w:val="true"/>
              </w:rPr>
              <w:t>المسروق إذا ثبت كونه سرقة</w:t>
            </w:r>
            <w:r>
              <w:rPr>
                <w:rStyle w:val="IndexLink"/>
                <w:rtl w:val="true"/>
              </w:rPr>
              <w:tab/>
            </w:r>
            <w:r>
              <w:rPr>
                <w:rStyle w:val="IndexLink"/>
              </w:rPr>
              <w:t>308</w:t>
            </w:r>
          </w:hyperlink>
        </w:p>
        <w:p>
          <w:pPr>
            <w:pStyle w:val="Contents2"/>
            <w:tabs>
              <w:tab w:val="clear" w:pos="8743"/>
              <w:tab w:val="right" w:pos="9026" w:leader="dot"/>
            </w:tabs>
            <w:rPr/>
          </w:pPr>
          <w:hyperlink w:anchor="__RefHeading___Toc12184479_2142443653">
            <w:r>
              <w:rPr>
                <w:webHidden/>
                <w:rStyle w:val="IndexLink"/>
                <w:rtl w:val="true"/>
              </w:rPr>
              <w:t>الصفقات الفضائية</w:t>
            </w:r>
            <w:r>
              <w:rPr>
                <w:rStyle w:val="IndexLink"/>
                <w:rtl w:val="true"/>
              </w:rPr>
              <w:tab/>
            </w:r>
            <w:r>
              <w:rPr>
                <w:rStyle w:val="IndexLink"/>
              </w:rPr>
              <w:t>309</w:t>
            </w:r>
          </w:hyperlink>
        </w:p>
        <w:p>
          <w:pPr>
            <w:pStyle w:val="Contents2"/>
            <w:tabs>
              <w:tab w:val="clear" w:pos="8743"/>
              <w:tab w:val="right" w:pos="9026" w:leader="dot"/>
            </w:tabs>
            <w:rPr/>
          </w:pPr>
          <w:hyperlink w:anchor="__RefHeading___Toc12184481_2142443653">
            <w:r>
              <w:rPr>
                <w:webHidden/>
                <w:rStyle w:val="IndexLink"/>
                <w:rtl w:val="true"/>
              </w:rPr>
              <w:t>الإفلاس في الدول والشركات</w:t>
            </w:r>
            <w:r>
              <w:rPr>
                <w:rStyle w:val="IndexLink"/>
                <w:rtl w:val="true"/>
              </w:rPr>
              <w:tab/>
            </w:r>
            <w:r>
              <w:rPr>
                <w:rStyle w:val="IndexLink"/>
              </w:rPr>
              <w:t>309</w:t>
            </w:r>
          </w:hyperlink>
        </w:p>
        <w:p>
          <w:pPr>
            <w:pStyle w:val="Contents2"/>
            <w:tabs>
              <w:tab w:val="clear" w:pos="8743"/>
              <w:tab w:val="right" w:pos="9026" w:leader="dot"/>
            </w:tabs>
            <w:rPr/>
          </w:pPr>
          <w:hyperlink w:anchor="__RefHeading___Toc12184483_2142443653">
            <w:r>
              <w:rPr>
                <w:webHidden/>
                <w:rStyle w:val="IndexLink"/>
                <w:rtl w:val="true"/>
              </w:rPr>
              <w:t>تصفية الشركات</w:t>
            </w:r>
            <w:r>
              <w:rPr>
                <w:rStyle w:val="IndexLink"/>
                <w:rtl w:val="true"/>
              </w:rPr>
              <w:tab/>
            </w:r>
            <w:r>
              <w:rPr>
                <w:rStyle w:val="IndexLink"/>
              </w:rPr>
              <w:t>309</w:t>
            </w:r>
          </w:hyperlink>
        </w:p>
        <w:p>
          <w:pPr>
            <w:pStyle w:val="Contents2"/>
            <w:tabs>
              <w:tab w:val="clear" w:pos="8743"/>
              <w:tab w:val="right" w:pos="9026" w:leader="dot"/>
            </w:tabs>
            <w:rPr/>
          </w:pPr>
          <w:hyperlink w:anchor="__RefHeading___Toc12184485_2142443653">
            <w:r>
              <w:rPr>
                <w:webHidden/>
                <w:rStyle w:val="IndexLink"/>
                <w:rtl w:val="true"/>
              </w:rPr>
              <w:t>الوكالات التجارية</w:t>
            </w:r>
            <w:r>
              <w:rPr>
                <w:rStyle w:val="IndexLink"/>
                <w:rtl w:val="true"/>
              </w:rPr>
              <w:tab/>
            </w:r>
            <w:r>
              <w:rPr>
                <w:rStyle w:val="IndexLink"/>
              </w:rPr>
              <w:t>309</w:t>
            </w:r>
          </w:hyperlink>
        </w:p>
        <w:p>
          <w:pPr>
            <w:pStyle w:val="Contents2"/>
            <w:tabs>
              <w:tab w:val="clear" w:pos="8743"/>
              <w:tab w:val="right" w:pos="9026" w:leader="dot"/>
            </w:tabs>
            <w:rPr/>
          </w:pPr>
          <w:hyperlink w:anchor="__RefHeading___Toc12184487_2142443653">
            <w:r>
              <w:rPr>
                <w:webHidden/>
                <w:rStyle w:val="IndexLink"/>
                <w:rtl w:val="true"/>
              </w:rPr>
              <w:t>السكنى داخل البحر</w:t>
            </w:r>
            <w:r>
              <w:rPr>
                <w:rStyle w:val="IndexLink"/>
                <w:rtl w:val="true"/>
              </w:rPr>
              <w:tab/>
            </w:r>
            <w:r>
              <w:rPr>
                <w:rStyle w:val="IndexLink"/>
              </w:rPr>
              <w:t>310</w:t>
            </w:r>
          </w:hyperlink>
        </w:p>
        <w:p>
          <w:pPr>
            <w:pStyle w:val="Contents2"/>
            <w:tabs>
              <w:tab w:val="clear" w:pos="8743"/>
              <w:tab w:val="right" w:pos="9026" w:leader="dot"/>
            </w:tabs>
            <w:rPr/>
          </w:pPr>
          <w:hyperlink w:anchor="__RefHeading___Toc12184489_2142443653">
            <w:r>
              <w:rPr>
                <w:webHidden/>
                <w:rStyle w:val="IndexLink"/>
                <w:rtl w:val="true"/>
              </w:rPr>
              <w:t>الوقف الضائع</w:t>
            </w:r>
            <w:r>
              <w:rPr>
                <w:rStyle w:val="IndexLink"/>
                <w:rtl w:val="true"/>
              </w:rPr>
              <w:tab/>
            </w:r>
            <w:r>
              <w:rPr>
                <w:rStyle w:val="IndexLink"/>
              </w:rPr>
              <w:t>310</w:t>
            </w:r>
          </w:hyperlink>
        </w:p>
        <w:p>
          <w:pPr>
            <w:pStyle w:val="Contents2"/>
            <w:tabs>
              <w:tab w:val="clear" w:pos="8743"/>
              <w:tab w:val="right" w:pos="9026" w:leader="dot"/>
            </w:tabs>
            <w:rPr/>
          </w:pPr>
          <w:hyperlink w:anchor="__RefHeading___Toc12184491_2142443653">
            <w:r>
              <w:rPr>
                <w:webHidden/>
                <w:rStyle w:val="IndexLink"/>
                <w:rtl w:val="true"/>
              </w:rPr>
              <w:t>السيول المصطنعة</w:t>
            </w:r>
            <w:r>
              <w:rPr>
                <w:rStyle w:val="IndexLink"/>
                <w:rtl w:val="true"/>
              </w:rPr>
              <w:tab/>
            </w:r>
            <w:r>
              <w:rPr>
                <w:rStyle w:val="IndexLink"/>
              </w:rPr>
              <w:t>310</w:t>
            </w:r>
          </w:hyperlink>
        </w:p>
        <w:p>
          <w:pPr>
            <w:pStyle w:val="Contents2"/>
            <w:tabs>
              <w:tab w:val="clear" w:pos="8743"/>
              <w:tab w:val="right" w:pos="9026" w:leader="dot"/>
            </w:tabs>
            <w:rPr/>
          </w:pPr>
          <w:hyperlink w:anchor="__RefHeading___Toc12184493_2142443653">
            <w:r>
              <w:rPr>
                <w:webHidden/>
                <w:rStyle w:val="IndexLink"/>
                <w:rtl w:val="true"/>
              </w:rPr>
              <w:t>خرق حاجز الصوت</w:t>
            </w:r>
            <w:r>
              <w:rPr>
                <w:rStyle w:val="IndexLink"/>
                <w:rtl w:val="true"/>
              </w:rPr>
              <w:tab/>
            </w:r>
            <w:r>
              <w:rPr>
                <w:rStyle w:val="IndexLink"/>
              </w:rPr>
              <w:t>311</w:t>
            </w:r>
          </w:hyperlink>
        </w:p>
        <w:p>
          <w:pPr>
            <w:pStyle w:val="Contents2"/>
            <w:tabs>
              <w:tab w:val="clear" w:pos="8743"/>
              <w:tab w:val="right" w:pos="9026" w:leader="dot"/>
            </w:tabs>
            <w:rPr/>
          </w:pPr>
          <w:hyperlink w:anchor="__RefHeading___Toc12184495_2142443653">
            <w:r>
              <w:rPr>
                <w:webHidden/>
                <w:rStyle w:val="IndexLink"/>
                <w:rtl w:val="true"/>
              </w:rPr>
              <w:t>الأصوات المسببة للإجهاض</w:t>
            </w:r>
            <w:r>
              <w:rPr>
                <w:rStyle w:val="IndexLink"/>
                <w:rtl w:val="true"/>
              </w:rPr>
              <w:tab/>
            </w:r>
            <w:r>
              <w:rPr>
                <w:rStyle w:val="IndexLink"/>
              </w:rPr>
              <w:t>311</w:t>
            </w:r>
          </w:hyperlink>
        </w:p>
        <w:p>
          <w:pPr>
            <w:pStyle w:val="Contents2"/>
            <w:tabs>
              <w:tab w:val="clear" w:pos="8743"/>
              <w:tab w:val="right" w:pos="9026" w:leader="dot"/>
            </w:tabs>
            <w:rPr/>
          </w:pPr>
          <w:hyperlink w:anchor="__RefHeading___Toc12184497_2142443653">
            <w:r>
              <w:rPr>
                <w:webHidden/>
                <w:rStyle w:val="IndexLink"/>
                <w:rtl w:val="true"/>
              </w:rPr>
              <w:t>تهديم الوقف</w:t>
            </w:r>
            <w:r>
              <w:rPr>
                <w:rStyle w:val="IndexLink"/>
                <w:rtl w:val="true"/>
              </w:rPr>
              <w:tab/>
            </w:r>
            <w:r>
              <w:rPr>
                <w:rStyle w:val="IndexLink"/>
              </w:rPr>
              <w:t>311</w:t>
            </w:r>
          </w:hyperlink>
        </w:p>
        <w:p>
          <w:pPr>
            <w:pStyle w:val="Contents2"/>
            <w:tabs>
              <w:tab w:val="clear" w:pos="8743"/>
              <w:tab w:val="right" w:pos="9026" w:leader="dot"/>
            </w:tabs>
            <w:rPr/>
          </w:pPr>
          <w:hyperlink w:anchor="__RefHeading___Toc12184499_2142443653">
            <w:r>
              <w:rPr>
                <w:webHidden/>
                <w:rStyle w:val="IndexLink"/>
                <w:rtl w:val="true"/>
              </w:rPr>
              <w:t>إعادة الوقف من جديد</w:t>
            </w:r>
            <w:r>
              <w:rPr>
                <w:rStyle w:val="IndexLink"/>
                <w:rtl w:val="true"/>
              </w:rPr>
              <w:tab/>
            </w:r>
            <w:r>
              <w:rPr>
                <w:rStyle w:val="IndexLink"/>
              </w:rPr>
              <w:t>312</w:t>
            </w:r>
          </w:hyperlink>
        </w:p>
        <w:p>
          <w:pPr>
            <w:pStyle w:val="Contents2"/>
            <w:tabs>
              <w:tab w:val="clear" w:pos="8743"/>
              <w:tab w:val="right" w:pos="9026" w:leader="dot"/>
            </w:tabs>
            <w:rPr/>
          </w:pPr>
          <w:hyperlink w:anchor="__RefHeading___Toc12184501_2142443653">
            <w:r>
              <w:rPr>
                <w:webHidden/>
                <w:rStyle w:val="IndexLink"/>
                <w:rtl w:val="true"/>
              </w:rPr>
              <w:t>الترفيه عن الزائرين</w:t>
            </w:r>
            <w:r>
              <w:rPr>
                <w:rStyle w:val="IndexLink"/>
                <w:rtl w:val="true"/>
              </w:rPr>
              <w:tab/>
            </w:r>
            <w:r>
              <w:rPr>
                <w:rStyle w:val="IndexLink"/>
              </w:rPr>
              <w:t>313</w:t>
            </w:r>
          </w:hyperlink>
        </w:p>
        <w:p>
          <w:pPr>
            <w:pStyle w:val="Contents2"/>
            <w:tabs>
              <w:tab w:val="clear" w:pos="8743"/>
              <w:tab w:val="right" w:pos="9026" w:leader="dot"/>
            </w:tabs>
            <w:rPr/>
          </w:pPr>
          <w:hyperlink w:anchor="__RefHeading___Toc12184503_2142443653">
            <w:r>
              <w:rPr>
                <w:webHidden/>
                <w:rStyle w:val="IndexLink"/>
                <w:rtl w:val="true"/>
              </w:rPr>
              <w:t>الفوضى في مصارف الأوقاف</w:t>
            </w:r>
            <w:r>
              <w:rPr>
                <w:rStyle w:val="IndexLink"/>
                <w:rtl w:val="true"/>
              </w:rPr>
              <w:tab/>
            </w:r>
            <w:r>
              <w:rPr>
                <w:rStyle w:val="IndexLink"/>
              </w:rPr>
              <w:t>313</w:t>
            </w:r>
          </w:hyperlink>
        </w:p>
        <w:p>
          <w:pPr>
            <w:pStyle w:val="Contents2"/>
            <w:tabs>
              <w:tab w:val="clear" w:pos="8743"/>
              <w:tab w:val="right" w:pos="9026" w:leader="dot"/>
            </w:tabs>
            <w:rPr/>
          </w:pPr>
          <w:hyperlink w:anchor="__RefHeading___Toc12184505_2142443653">
            <w:r>
              <w:rPr>
                <w:webHidden/>
                <w:rStyle w:val="IndexLink"/>
                <w:rtl w:val="true"/>
              </w:rPr>
              <w:t>صرف الوقف في غير مورده</w:t>
            </w:r>
            <w:r>
              <w:rPr>
                <w:rStyle w:val="IndexLink"/>
                <w:rtl w:val="true"/>
              </w:rPr>
              <w:tab/>
            </w:r>
            <w:r>
              <w:rPr>
                <w:rStyle w:val="IndexLink"/>
              </w:rPr>
              <w:t>314</w:t>
            </w:r>
          </w:hyperlink>
        </w:p>
        <w:p>
          <w:pPr>
            <w:pStyle w:val="Contents2"/>
            <w:tabs>
              <w:tab w:val="clear" w:pos="8743"/>
              <w:tab w:val="right" w:pos="9026" w:leader="dot"/>
            </w:tabs>
            <w:rPr/>
          </w:pPr>
          <w:hyperlink w:anchor="__RefHeading___Toc12184507_2142443653">
            <w:r>
              <w:rPr>
                <w:webHidden/>
                <w:rStyle w:val="IndexLink"/>
                <w:rtl w:val="true"/>
              </w:rPr>
              <w:t>الوقف لا يبطل</w:t>
            </w:r>
            <w:r>
              <w:rPr>
                <w:rStyle w:val="IndexLink"/>
                <w:rtl w:val="true"/>
              </w:rPr>
              <w:tab/>
            </w:r>
            <w:r>
              <w:rPr>
                <w:rStyle w:val="IndexLink"/>
              </w:rPr>
              <w:t>314</w:t>
            </w:r>
          </w:hyperlink>
        </w:p>
        <w:p>
          <w:pPr>
            <w:pStyle w:val="Contents2"/>
            <w:tabs>
              <w:tab w:val="clear" w:pos="8743"/>
              <w:tab w:val="right" w:pos="9026" w:leader="dot"/>
            </w:tabs>
            <w:rPr/>
          </w:pPr>
          <w:hyperlink w:anchor="__RefHeading___Toc12184509_2142443653">
            <w:r>
              <w:rPr>
                <w:webHidden/>
                <w:rStyle w:val="IndexLink"/>
                <w:rtl w:val="true"/>
              </w:rPr>
              <w:t>الادعاء الخادع للحكومات</w:t>
            </w:r>
            <w:r>
              <w:rPr>
                <w:rStyle w:val="IndexLink"/>
                <w:rtl w:val="true"/>
              </w:rPr>
              <w:tab/>
            </w:r>
            <w:r>
              <w:rPr>
                <w:rStyle w:val="IndexLink"/>
              </w:rPr>
              <w:t>314</w:t>
            </w:r>
          </w:hyperlink>
        </w:p>
        <w:p>
          <w:pPr>
            <w:pStyle w:val="Contents2"/>
            <w:tabs>
              <w:tab w:val="clear" w:pos="8743"/>
              <w:tab w:val="right" w:pos="9026" w:leader="dot"/>
            </w:tabs>
            <w:rPr/>
          </w:pPr>
          <w:hyperlink w:anchor="__RefHeading___Toc12184511_2142443653">
            <w:r>
              <w:rPr>
                <w:webHidden/>
                <w:rStyle w:val="IndexLink"/>
                <w:rtl w:val="true"/>
              </w:rPr>
              <w:t>الانهزامية الفكرية</w:t>
            </w:r>
            <w:r>
              <w:rPr>
                <w:rStyle w:val="IndexLink"/>
                <w:rtl w:val="true"/>
              </w:rPr>
              <w:tab/>
            </w:r>
            <w:r>
              <w:rPr>
                <w:rStyle w:val="IndexLink"/>
              </w:rPr>
              <w:t>315</w:t>
            </w:r>
          </w:hyperlink>
        </w:p>
        <w:p>
          <w:pPr>
            <w:pStyle w:val="Contents2"/>
            <w:tabs>
              <w:tab w:val="clear" w:pos="8743"/>
              <w:tab w:val="right" w:pos="9026" w:leader="dot"/>
            </w:tabs>
            <w:rPr/>
          </w:pPr>
          <w:hyperlink w:anchor="__RefHeading___Toc12184513_2142443653">
            <w:r>
              <w:rPr>
                <w:webHidden/>
                <w:rStyle w:val="IndexLink"/>
                <w:rtl w:val="true"/>
              </w:rPr>
              <w:t>الوصية في آلة التسجيل</w:t>
            </w:r>
            <w:r>
              <w:rPr>
                <w:rStyle w:val="IndexLink"/>
                <w:rtl w:val="true"/>
              </w:rPr>
              <w:tab/>
            </w:r>
            <w:r>
              <w:rPr>
                <w:rStyle w:val="IndexLink"/>
              </w:rPr>
              <w:t>315</w:t>
            </w:r>
          </w:hyperlink>
        </w:p>
        <w:p>
          <w:pPr>
            <w:pStyle w:val="Contents2"/>
            <w:tabs>
              <w:tab w:val="clear" w:pos="8743"/>
              <w:tab w:val="right" w:pos="9026" w:leader="dot"/>
            </w:tabs>
            <w:rPr/>
          </w:pPr>
          <w:hyperlink w:anchor="__RefHeading___Toc12184515_2142443653">
            <w:r>
              <w:rPr>
                <w:webHidden/>
                <w:rStyle w:val="IndexLink"/>
                <w:rtl w:val="true"/>
              </w:rPr>
              <w:t>الوصية بقراءة القرآن</w:t>
            </w:r>
            <w:r>
              <w:rPr>
                <w:rStyle w:val="IndexLink"/>
                <w:rtl w:val="true"/>
              </w:rPr>
              <w:tab/>
            </w:r>
            <w:r>
              <w:rPr>
                <w:rStyle w:val="IndexLink"/>
              </w:rPr>
              <w:t>315</w:t>
            </w:r>
          </w:hyperlink>
        </w:p>
        <w:p>
          <w:pPr>
            <w:pStyle w:val="Contents2"/>
            <w:tabs>
              <w:tab w:val="clear" w:pos="8743"/>
              <w:tab w:val="right" w:pos="9026" w:leader="dot"/>
            </w:tabs>
            <w:rPr/>
          </w:pPr>
          <w:hyperlink w:anchor="__RefHeading___Toc12184517_2142443653">
            <w:r>
              <w:rPr>
                <w:webHidden/>
                <w:rStyle w:val="IndexLink"/>
                <w:rtl w:val="true"/>
              </w:rPr>
              <w:t>كيفية إنفاذ الوصية</w:t>
            </w:r>
            <w:r>
              <w:rPr>
                <w:rStyle w:val="IndexLink"/>
                <w:rtl w:val="true"/>
              </w:rPr>
              <w:tab/>
            </w:r>
            <w:r>
              <w:rPr>
                <w:rStyle w:val="IndexLink"/>
              </w:rPr>
              <w:t>316</w:t>
            </w:r>
          </w:hyperlink>
        </w:p>
        <w:p>
          <w:pPr>
            <w:pStyle w:val="Contents2"/>
            <w:tabs>
              <w:tab w:val="clear" w:pos="8743"/>
              <w:tab w:val="right" w:pos="9026" w:leader="dot"/>
            </w:tabs>
            <w:rPr/>
          </w:pPr>
          <w:hyperlink w:anchor="__RefHeading___Toc12184519_2142443653">
            <w:r>
              <w:rPr>
                <w:webHidden/>
                <w:rStyle w:val="IndexLink"/>
                <w:rtl w:val="true"/>
              </w:rPr>
              <w:t>توسيع المراكز المقدسة</w:t>
            </w:r>
            <w:r>
              <w:rPr>
                <w:rStyle w:val="IndexLink"/>
                <w:rtl w:val="true"/>
              </w:rPr>
              <w:tab/>
            </w:r>
            <w:r>
              <w:rPr>
                <w:rStyle w:val="IndexLink"/>
              </w:rPr>
              <w:t>316</w:t>
            </w:r>
          </w:hyperlink>
        </w:p>
        <w:p>
          <w:pPr>
            <w:pStyle w:val="Contents2"/>
            <w:tabs>
              <w:tab w:val="clear" w:pos="8743"/>
              <w:tab w:val="right" w:pos="9026" w:leader="dot"/>
            </w:tabs>
            <w:rPr/>
          </w:pPr>
          <w:hyperlink w:anchor="__RefHeading___Toc12184521_2142443653">
            <w:r>
              <w:rPr>
                <w:webHidden/>
                <w:rStyle w:val="IndexLink"/>
                <w:rtl w:val="true"/>
              </w:rPr>
              <w:t>المراكز المقدسة منطلقات تبليغية</w:t>
            </w:r>
            <w:r>
              <w:rPr>
                <w:rStyle w:val="IndexLink"/>
                <w:rtl w:val="true"/>
              </w:rPr>
              <w:tab/>
            </w:r>
            <w:r>
              <w:rPr>
                <w:rStyle w:val="IndexLink"/>
              </w:rPr>
              <w:t>316</w:t>
            </w:r>
          </w:hyperlink>
        </w:p>
        <w:p>
          <w:pPr>
            <w:pStyle w:val="Contents2"/>
            <w:tabs>
              <w:tab w:val="clear" w:pos="8743"/>
              <w:tab w:val="right" w:pos="9026" w:leader="dot"/>
            </w:tabs>
            <w:rPr/>
          </w:pPr>
          <w:hyperlink w:anchor="__RefHeading___Toc12184523_2142443653">
            <w:r>
              <w:rPr>
                <w:webHidden/>
                <w:rStyle w:val="IndexLink"/>
                <w:rtl w:val="true"/>
              </w:rPr>
              <w:t>تخدير السمك للصيد</w:t>
            </w:r>
            <w:r>
              <w:rPr>
                <w:rStyle w:val="IndexLink"/>
                <w:rtl w:val="true"/>
              </w:rPr>
              <w:tab/>
            </w:r>
            <w:r>
              <w:rPr>
                <w:rStyle w:val="IndexLink"/>
              </w:rPr>
              <w:t>317</w:t>
            </w:r>
          </w:hyperlink>
        </w:p>
        <w:p>
          <w:pPr>
            <w:pStyle w:val="Contents2"/>
            <w:tabs>
              <w:tab w:val="clear" w:pos="8743"/>
              <w:tab w:val="right" w:pos="9026" w:leader="dot"/>
            </w:tabs>
            <w:rPr/>
          </w:pPr>
          <w:hyperlink w:anchor="__RefHeading___Toc12184525_2142443653">
            <w:r>
              <w:rPr>
                <w:webHidden/>
                <w:rStyle w:val="IndexLink"/>
                <w:rtl w:val="true"/>
              </w:rPr>
              <w:t>تخدير الطيور والوحوش</w:t>
            </w:r>
            <w:r>
              <w:rPr>
                <w:rStyle w:val="IndexLink"/>
                <w:rtl w:val="true"/>
              </w:rPr>
              <w:tab/>
            </w:r>
            <w:r>
              <w:rPr>
                <w:rStyle w:val="IndexLink"/>
              </w:rPr>
              <w:t>317</w:t>
            </w:r>
          </w:hyperlink>
        </w:p>
        <w:p>
          <w:pPr>
            <w:pStyle w:val="Contents2"/>
            <w:tabs>
              <w:tab w:val="clear" w:pos="8743"/>
              <w:tab w:val="right" w:pos="9026" w:leader="dot"/>
            </w:tabs>
            <w:rPr/>
          </w:pPr>
          <w:hyperlink w:anchor="__RefHeading___Toc12184527_2142443653">
            <w:r>
              <w:rPr>
                <w:webHidden/>
                <w:rStyle w:val="IndexLink"/>
                <w:rtl w:val="true"/>
              </w:rPr>
              <w:t>القنابل غير المبيدة</w:t>
            </w:r>
            <w:r>
              <w:rPr>
                <w:rStyle w:val="IndexLink"/>
                <w:rtl w:val="true"/>
              </w:rPr>
              <w:tab/>
            </w:r>
            <w:r>
              <w:rPr>
                <w:rStyle w:val="IndexLink"/>
              </w:rPr>
              <w:t>318</w:t>
            </w:r>
          </w:hyperlink>
        </w:p>
        <w:p>
          <w:pPr>
            <w:pStyle w:val="Contents2"/>
            <w:tabs>
              <w:tab w:val="clear" w:pos="8743"/>
              <w:tab w:val="right" w:pos="9026" w:leader="dot"/>
            </w:tabs>
            <w:rPr/>
          </w:pPr>
          <w:hyperlink w:anchor="__RefHeading___Toc12184529_2142443653">
            <w:r>
              <w:rPr>
                <w:webHidden/>
                <w:rStyle w:val="IndexLink"/>
                <w:rtl w:val="true"/>
              </w:rPr>
              <w:t>أحواض الصيد</w:t>
            </w:r>
            <w:r>
              <w:rPr>
                <w:rStyle w:val="IndexLink"/>
                <w:rtl w:val="true"/>
              </w:rPr>
              <w:tab/>
            </w:r>
            <w:r>
              <w:rPr>
                <w:rStyle w:val="IndexLink"/>
              </w:rPr>
              <w:t>318</w:t>
            </w:r>
          </w:hyperlink>
        </w:p>
        <w:p>
          <w:pPr>
            <w:pStyle w:val="Contents2"/>
            <w:tabs>
              <w:tab w:val="clear" w:pos="8743"/>
              <w:tab w:val="right" w:pos="9026" w:leader="dot"/>
            </w:tabs>
            <w:rPr/>
          </w:pPr>
          <w:hyperlink w:anchor="__RefHeading___Toc12184531_2142443653">
            <w:r>
              <w:rPr>
                <w:webHidden/>
                <w:rStyle w:val="IndexLink"/>
                <w:rtl w:val="true"/>
              </w:rPr>
              <w:t>الوصية بالوسائل الحديثة</w:t>
            </w:r>
            <w:r>
              <w:rPr>
                <w:rStyle w:val="IndexLink"/>
                <w:rtl w:val="true"/>
              </w:rPr>
              <w:tab/>
            </w:r>
            <w:r>
              <w:rPr>
                <w:rStyle w:val="IndexLink"/>
              </w:rPr>
              <w:t>318</w:t>
            </w:r>
          </w:hyperlink>
        </w:p>
        <w:p>
          <w:pPr>
            <w:pStyle w:val="Contents2"/>
            <w:tabs>
              <w:tab w:val="clear" w:pos="8743"/>
              <w:tab w:val="right" w:pos="9026" w:leader="dot"/>
            </w:tabs>
            <w:rPr/>
          </w:pPr>
          <w:hyperlink w:anchor="__RefHeading___Toc12184533_2142443653">
            <w:r>
              <w:rPr>
                <w:webHidden/>
                <w:rStyle w:val="IndexLink"/>
                <w:rtl w:val="true"/>
              </w:rPr>
              <w:t>حريم حقول البترول</w:t>
            </w:r>
            <w:r>
              <w:rPr>
                <w:rStyle w:val="IndexLink"/>
                <w:rtl w:val="true"/>
              </w:rPr>
              <w:tab/>
            </w:r>
            <w:r>
              <w:rPr>
                <w:rStyle w:val="IndexLink"/>
              </w:rPr>
              <w:t>318</w:t>
            </w:r>
          </w:hyperlink>
        </w:p>
        <w:p>
          <w:pPr>
            <w:pStyle w:val="Contents2"/>
            <w:tabs>
              <w:tab w:val="clear" w:pos="8743"/>
              <w:tab w:val="right" w:pos="9026" w:leader="dot"/>
            </w:tabs>
            <w:rPr/>
          </w:pPr>
          <w:hyperlink w:anchor="__RefHeading___Toc12184535_2142443653">
            <w:r>
              <w:rPr>
                <w:webHidden/>
                <w:rStyle w:val="IndexLink"/>
                <w:rtl w:val="true"/>
              </w:rPr>
              <w:t>حدود التعميق في الآبار</w:t>
            </w:r>
            <w:r>
              <w:rPr>
                <w:rStyle w:val="IndexLink"/>
                <w:rtl w:val="true"/>
              </w:rPr>
              <w:tab/>
            </w:r>
            <w:r>
              <w:rPr>
                <w:rStyle w:val="IndexLink"/>
              </w:rPr>
              <w:t>319</w:t>
            </w:r>
          </w:hyperlink>
        </w:p>
        <w:p>
          <w:pPr>
            <w:pStyle w:val="Contents2"/>
            <w:tabs>
              <w:tab w:val="clear" w:pos="8743"/>
              <w:tab w:val="right" w:pos="9026" w:leader="dot"/>
            </w:tabs>
            <w:rPr/>
          </w:pPr>
          <w:hyperlink w:anchor="__RefHeading___Toc12184537_2142443653">
            <w:r>
              <w:rPr>
                <w:webHidden/>
                <w:rStyle w:val="IndexLink"/>
                <w:rtl w:val="true"/>
              </w:rPr>
              <w:t>حريم المراكز العامة</w:t>
            </w:r>
            <w:r>
              <w:rPr>
                <w:rStyle w:val="IndexLink"/>
                <w:rtl w:val="true"/>
              </w:rPr>
              <w:tab/>
            </w:r>
            <w:r>
              <w:rPr>
                <w:rStyle w:val="IndexLink"/>
              </w:rPr>
              <w:t>319</w:t>
            </w:r>
          </w:hyperlink>
        </w:p>
        <w:p>
          <w:pPr>
            <w:pStyle w:val="Contents2"/>
            <w:tabs>
              <w:tab w:val="clear" w:pos="8743"/>
              <w:tab w:val="right" w:pos="9026" w:leader="dot"/>
            </w:tabs>
            <w:rPr/>
          </w:pPr>
          <w:hyperlink w:anchor="__RefHeading___Toc12184539_2142443653">
            <w:r>
              <w:rPr>
                <w:webHidden/>
                <w:rStyle w:val="IndexLink"/>
                <w:rtl w:val="true"/>
              </w:rPr>
              <w:t>ملكية القنوات والخلجان</w:t>
            </w:r>
            <w:r>
              <w:rPr>
                <w:rStyle w:val="IndexLink"/>
                <w:rtl w:val="true"/>
              </w:rPr>
              <w:tab/>
            </w:r>
            <w:r>
              <w:rPr>
                <w:rStyle w:val="IndexLink"/>
              </w:rPr>
              <w:t>319</w:t>
            </w:r>
          </w:hyperlink>
        </w:p>
        <w:p>
          <w:pPr>
            <w:pStyle w:val="Contents2"/>
            <w:tabs>
              <w:tab w:val="clear" w:pos="8743"/>
              <w:tab w:val="right" w:pos="9026" w:leader="dot"/>
            </w:tabs>
            <w:rPr/>
          </w:pPr>
          <w:hyperlink w:anchor="__RefHeading___Toc12184541_2142443653">
            <w:r>
              <w:rPr>
                <w:webHidden/>
                <w:rStyle w:val="IndexLink"/>
                <w:rtl w:val="true"/>
              </w:rPr>
              <w:t>من حقوق الذمي</w:t>
            </w:r>
            <w:r>
              <w:rPr>
                <w:rStyle w:val="IndexLink"/>
                <w:rtl w:val="true"/>
              </w:rPr>
              <w:tab/>
            </w:r>
            <w:r>
              <w:rPr>
                <w:rStyle w:val="IndexLink"/>
              </w:rPr>
              <w:t>320</w:t>
            </w:r>
          </w:hyperlink>
        </w:p>
        <w:p>
          <w:pPr>
            <w:pStyle w:val="Contents2"/>
            <w:tabs>
              <w:tab w:val="clear" w:pos="8743"/>
              <w:tab w:val="right" w:pos="9026" w:leader="dot"/>
            </w:tabs>
            <w:rPr/>
          </w:pPr>
          <w:hyperlink w:anchor="__RefHeading___Toc12184543_2142443653">
            <w:r>
              <w:rPr>
                <w:webHidden/>
                <w:rStyle w:val="IndexLink"/>
                <w:rtl w:val="true"/>
              </w:rPr>
              <w:t>من أحكام المعادن</w:t>
            </w:r>
            <w:r>
              <w:rPr>
                <w:rStyle w:val="IndexLink"/>
                <w:rtl w:val="true"/>
              </w:rPr>
              <w:tab/>
            </w:r>
            <w:r>
              <w:rPr>
                <w:rStyle w:val="IndexLink"/>
              </w:rPr>
              <w:t>320</w:t>
            </w:r>
          </w:hyperlink>
        </w:p>
        <w:p>
          <w:pPr>
            <w:pStyle w:val="Contents2"/>
            <w:tabs>
              <w:tab w:val="clear" w:pos="8743"/>
              <w:tab w:val="right" w:pos="9026" w:leader="dot"/>
            </w:tabs>
            <w:rPr/>
          </w:pPr>
          <w:hyperlink w:anchor="__RefHeading___Toc12184545_2142443653">
            <w:r>
              <w:rPr>
                <w:webHidden/>
                <w:rStyle w:val="IndexLink"/>
                <w:rtl w:val="true"/>
              </w:rPr>
              <w:t>الزواج من نجوم السينما</w:t>
            </w:r>
            <w:r>
              <w:rPr>
                <w:rStyle w:val="IndexLink"/>
                <w:rtl w:val="true"/>
              </w:rPr>
              <w:tab/>
            </w:r>
            <w:r>
              <w:rPr>
                <w:rStyle w:val="IndexLink"/>
              </w:rPr>
              <w:t>320</w:t>
            </w:r>
          </w:hyperlink>
        </w:p>
        <w:p>
          <w:pPr>
            <w:pStyle w:val="Contents2"/>
            <w:tabs>
              <w:tab w:val="clear" w:pos="8743"/>
              <w:tab w:val="right" w:pos="9026" w:leader="dot"/>
            </w:tabs>
            <w:rPr/>
          </w:pPr>
          <w:hyperlink w:anchor="__RefHeading___Toc12184547_2142443653">
            <w:r>
              <w:rPr>
                <w:webHidden/>
                <w:rStyle w:val="IndexLink"/>
                <w:rtl w:val="true"/>
              </w:rPr>
              <w:t>الزواج من ملكات الجمال</w:t>
            </w:r>
            <w:r>
              <w:rPr>
                <w:rStyle w:val="IndexLink"/>
                <w:rtl w:val="true"/>
              </w:rPr>
              <w:tab/>
            </w:r>
            <w:r>
              <w:rPr>
                <w:rStyle w:val="IndexLink"/>
              </w:rPr>
              <w:t>321</w:t>
            </w:r>
          </w:hyperlink>
        </w:p>
        <w:p>
          <w:pPr>
            <w:pStyle w:val="Contents2"/>
            <w:tabs>
              <w:tab w:val="clear" w:pos="8743"/>
              <w:tab w:val="right" w:pos="9026" w:leader="dot"/>
            </w:tabs>
            <w:rPr/>
          </w:pPr>
          <w:hyperlink w:anchor="__RefHeading___Toc12184549_2142443653">
            <w:r>
              <w:rPr>
                <w:webHidden/>
                <w:rStyle w:val="IndexLink"/>
                <w:rtl w:val="true"/>
              </w:rPr>
              <w:t>الزواج من المليونيرات</w:t>
            </w:r>
            <w:r>
              <w:rPr>
                <w:rStyle w:val="IndexLink"/>
                <w:rtl w:val="true"/>
              </w:rPr>
              <w:tab/>
            </w:r>
            <w:r>
              <w:rPr>
                <w:rStyle w:val="IndexLink"/>
              </w:rPr>
              <w:t>321</w:t>
            </w:r>
          </w:hyperlink>
        </w:p>
        <w:p>
          <w:pPr>
            <w:pStyle w:val="Contents2"/>
            <w:tabs>
              <w:tab w:val="clear" w:pos="8743"/>
              <w:tab w:val="right" w:pos="9026" w:leader="dot"/>
            </w:tabs>
            <w:rPr/>
          </w:pPr>
          <w:hyperlink w:anchor="__RefHeading___Toc12184551_2142443653">
            <w:r>
              <w:rPr>
                <w:webHidden/>
                <w:rStyle w:val="IndexLink"/>
                <w:rtl w:val="true"/>
              </w:rPr>
              <w:t>مراقصة الزوجة</w:t>
            </w:r>
            <w:r>
              <w:rPr>
                <w:rStyle w:val="IndexLink"/>
                <w:rtl w:val="true"/>
              </w:rPr>
              <w:tab/>
            </w:r>
            <w:r>
              <w:rPr>
                <w:rStyle w:val="IndexLink"/>
              </w:rPr>
              <w:t>322</w:t>
            </w:r>
          </w:hyperlink>
        </w:p>
        <w:p>
          <w:pPr>
            <w:pStyle w:val="Contents2"/>
            <w:tabs>
              <w:tab w:val="clear" w:pos="8743"/>
              <w:tab w:val="right" w:pos="9026" w:leader="dot"/>
            </w:tabs>
            <w:rPr/>
          </w:pPr>
          <w:hyperlink w:anchor="__RefHeading___Toc12184553_2142443653">
            <w:r>
              <w:rPr>
                <w:webHidden/>
                <w:rStyle w:val="IndexLink"/>
                <w:rtl w:val="true"/>
              </w:rPr>
              <w:t>تبديل الأزواج</w:t>
            </w:r>
            <w:r>
              <w:rPr>
                <w:rStyle w:val="IndexLink"/>
                <w:rtl w:val="true"/>
              </w:rPr>
              <w:tab/>
            </w:r>
            <w:r>
              <w:rPr>
                <w:rStyle w:val="IndexLink"/>
              </w:rPr>
              <w:t>322</w:t>
            </w:r>
          </w:hyperlink>
        </w:p>
        <w:p>
          <w:pPr>
            <w:pStyle w:val="Contents2"/>
            <w:tabs>
              <w:tab w:val="clear" w:pos="8743"/>
              <w:tab w:val="right" w:pos="9026" w:leader="dot"/>
            </w:tabs>
            <w:rPr/>
          </w:pPr>
          <w:hyperlink w:anchor="__RefHeading___Toc12184555_2142443653">
            <w:r>
              <w:rPr>
                <w:webHidden/>
                <w:rStyle w:val="IndexLink"/>
                <w:rtl w:val="true"/>
              </w:rPr>
              <w:t>لعبة المفاتيح الحمراء</w:t>
            </w:r>
            <w:r>
              <w:rPr>
                <w:rStyle w:val="IndexLink"/>
                <w:rtl w:val="true"/>
              </w:rPr>
              <w:tab/>
            </w:r>
            <w:r>
              <w:rPr>
                <w:rStyle w:val="IndexLink"/>
              </w:rPr>
              <w:t>322</w:t>
            </w:r>
          </w:hyperlink>
        </w:p>
        <w:p>
          <w:pPr>
            <w:pStyle w:val="Contents2"/>
            <w:tabs>
              <w:tab w:val="clear" w:pos="8743"/>
              <w:tab w:val="right" w:pos="9026" w:leader="dot"/>
            </w:tabs>
            <w:rPr/>
          </w:pPr>
          <w:hyperlink w:anchor="__RefHeading___Toc12184557_2142443653">
            <w:r>
              <w:rPr>
                <w:webHidden/>
                <w:rStyle w:val="IndexLink"/>
                <w:rtl w:val="true"/>
              </w:rPr>
              <w:t>النظر إلى الكافرات</w:t>
            </w:r>
            <w:r>
              <w:rPr>
                <w:rStyle w:val="IndexLink"/>
                <w:rtl w:val="true"/>
              </w:rPr>
              <w:tab/>
            </w:r>
            <w:r>
              <w:rPr>
                <w:rStyle w:val="IndexLink"/>
              </w:rPr>
              <w:t>322</w:t>
            </w:r>
          </w:hyperlink>
        </w:p>
        <w:p>
          <w:pPr>
            <w:pStyle w:val="Contents2"/>
            <w:tabs>
              <w:tab w:val="clear" w:pos="8743"/>
              <w:tab w:val="right" w:pos="9026" w:leader="dot"/>
            </w:tabs>
            <w:rPr/>
          </w:pPr>
          <w:hyperlink w:anchor="__RefHeading___Toc12184559_2142443653">
            <w:r>
              <w:rPr>
                <w:webHidden/>
                <w:rStyle w:val="IndexLink"/>
                <w:rtl w:val="true"/>
              </w:rPr>
              <w:t>نكاح الشغار</w:t>
            </w:r>
            <w:r>
              <w:rPr>
                <w:rStyle w:val="IndexLink"/>
                <w:rtl w:val="true"/>
              </w:rPr>
              <w:tab/>
            </w:r>
            <w:r>
              <w:rPr>
                <w:rStyle w:val="IndexLink"/>
              </w:rPr>
              <w:t>323</w:t>
            </w:r>
          </w:hyperlink>
        </w:p>
        <w:p>
          <w:pPr>
            <w:pStyle w:val="Contents2"/>
            <w:tabs>
              <w:tab w:val="clear" w:pos="8743"/>
              <w:tab w:val="right" w:pos="9026" w:leader="dot"/>
            </w:tabs>
            <w:rPr/>
          </w:pPr>
          <w:hyperlink w:anchor="__RefHeading___Toc12184561_2142443653">
            <w:r>
              <w:rPr>
                <w:webHidden/>
                <w:rStyle w:val="IndexLink"/>
                <w:rtl w:val="true"/>
              </w:rPr>
              <w:t>التمتع بالراقصات</w:t>
            </w:r>
            <w:r>
              <w:rPr>
                <w:rStyle w:val="IndexLink"/>
                <w:rtl w:val="true"/>
              </w:rPr>
              <w:tab/>
            </w:r>
            <w:r>
              <w:rPr>
                <w:rStyle w:val="IndexLink"/>
              </w:rPr>
              <w:t>323</w:t>
            </w:r>
          </w:hyperlink>
        </w:p>
        <w:p>
          <w:pPr>
            <w:pStyle w:val="Contents2"/>
            <w:tabs>
              <w:tab w:val="clear" w:pos="8743"/>
              <w:tab w:val="right" w:pos="9026" w:leader="dot"/>
            </w:tabs>
            <w:rPr/>
          </w:pPr>
          <w:hyperlink w:anchor="__RefHeading___Toc12184563_2142443653">
            <w:r>
              <w:rPr>
                <w:webHidden/>
                <w:rStyle w:val="IndexLink"/>
                <w:rtl w:val="true"/>
              </w:rPr>
              <w:t>الحلق والختان بالمحاليل</w:t>
            </w:r>
            <w:r>
              <w:rPr>
                <w:rStyle w:val="IndexLink"/>
                <w:rtl w:val="true"/>
              </w:rPr>
              <w:tab/>
            </w:r>
            <w:r>
              <w:rPr>
                <w:rStyle w:val="IndexLink"/>
              </w:rPr>
              <w:t>324</w:t>
            </w:r>
          </w:hyperlink>
        </w:p>
        <w:p>
          <w:pPr>
            <w:pStyle w:val="Contents2"/>
            <w:tabs>
              <w:tab w:val="clear" w:pos="8743"/>
              <w:tab w:val="right" w:pos="9026" w:leader="dot"/>
            </w:tabs>
            <w:rPr/>
          </w:pPr>
          <w:hyperlink w:anchor="__RefHeading___Toc12184565_2142443653">
            <w:r>
              <w:rPr>
                <w:webHidden/>
                <w:rStyle w:val="IndexLink"/>
                <w:rtl w:val="true"/>
              </w:rPr>
              <w:t>إزالة الوشم بالآلات</w:t>
            </w:r>
            <w:r>
              <w:rPr>
                <w:rStyle w:val="IndexLink"/>
                <w:rtl w:val="true"/>
              </w:rPr>
              <w:tab/>
            </w:r>
            <w:r>
              <w:rPr>
                <w:rStyle w:val="IndexLink"/>
              </w:rPr>
              <w:t>324</w:t>
            </w:r>
          </w:hyperlink>
        </w:p>
        <w:p>
          <w:pPr>
            <w:pStyle w:val="Contents2"/>
            <w:tabs>
              <w:tab w:val="clear" w:pos="8743"/>
              <w:tab w:val="right" w:pos="9026" w:leader="dot"/>
            </w:tabs>
            <w:rPr/>
          </w:pPr>
          <w:hyperlink w:anchor="__RefHeading___Toc12184567_2142443653">
            <w:r>
              <w:rPr>
                <w:webHidden/>
                <w:rStyle w:val="IndexLink"/>
                <w:rtl w:val="true"/>
              </w:rPr>
              <w:t>اللبن المجفف</w:t>
            </w:r>
            <w:r>
              <w:rPr>
                <w:rStyle w:val="IndexLink"/>
                <w:rtl w:val="true"/>
              </w:rPr>
              <w:tab/>
            </w:r>
            <w:r>
              <w:rPr>
                <w:rStyle w:val="IndexLink"/>
              </w:rPr>
              <w:t>324</w:t>
            </w:r>
          </w:hyperlink>
        </w:p>
        <w:p>
          <w:pPr>
            <w:pStyle w:val="Contents2"/>
            <w:tabs>
              <w:tab w:val="clear" w:pos="8743"/>
              <w:tab w:val="right" w:pos="9026" w:leader="dot"/>
            </w:tabs>
            <w:rPr/>
          </w:pPr>
          <w:hyperlink w:anchor="__RefHeading___Toc12184569_2142443653">
            <w:r>
              <w:rPr>
                <w:webHidden/>
                <w:rStyle w:val="IndexLink"/>
                <w:rtl w:val="true"/>
              </w:rPr>
              <w:t>الامتناع عن النسل المشوه</w:t>
            </w:r>
            <w:r>
              <w:rPr>
                <w:rStyle w:val="IndexLink"/>
                <w:rtl w:val="true"/>
              </w:rPr>
              <w:tab/>
            </w:r>
            <w:r>
              <w:rPr>
                <w:rStyle w:val="IndexLink"/>
              </w:rPr>
              <w:t>324</w:t>
            </w:r>
          </w:hyperlink>
        </w:p>
        <w:p>
          <w:pPr>
            <w:pStyle w:val="Contents2"/>
            <w:tabs>
              <w:tab w:val="clear" w:pos="8743"/>
              <w:tab w:val="right" w:pos="9026" w:leader="dot"/>
            </w:tabs>
            <w:rPr/>
          </w:pPr>
          <w:hyperlink w:anchor="__RefHeading___Toc12184571_2142443653">
            <w:r>
              <w:rPr>
                <w:webHidden/>
                <w:rStyle w:val="IndexLink"/>
                <w:rtl w:val="true"/>
              </w:rPr>
              <w:t>التوائم المختلفين</w:t>
            </w:r>
            <w:r>
              <w:rPr>
                <w:rStyle w:val="IndexLink"/>
                <w:rtl w:val="true"/>
              </w:rPr>
              <w:tab/>
            </w:r>
            <w:r>
              <w:rPr>
                <w:rStyle w:val="IndexLink"/>
              </w:rPr>
              <w:t>325</w:t>
            </w:r>
          </w:hyperlink>
        </w:p>
        <w:p>
          <w:pPr>
            <w:pStyle w:val="Contents2"/>
            <w:tabs>
              <w:tab w:val="clear" w:pos="8743"/>
              <w:tab w:val="right" w:pos="9026" w:leader="dot"/>
            </w:tabs>
            <w:rPr/>
          </w:pPr>
          <w:hyperlink w:anchor="__RefHeading___Toc12184573_2142443653">
            <w:r>
              <w:rPr>
                <w:webHidden/>
                <w:rStyle w:val="IndexLink"/>
                <w:rtl w:val="true"/>
              </w:rPr>
              <w:t>واجبات دور الحضانة</w:t>
            </w:r>
            <w:r>
              <w:rPr>
                <w:rStyle w:val="IndexLink"/>
                <w:rtl w:val="true"/>
              </w:rPr>
              <w:tab/>
            </w:r>
            <w:r>
              <w:rPr>
                <w:rStyle w:val="IndexLink"/>
              </w:rPr>
              <w:t>325</w:t>
            </w:r>
          </w:hyperlink>
        </w:p>
        <w:p>
          <w:pPr>
            <w:pStyle w:val="Contents2"/>
            <w:tabs>
              <w:tab w:val="clear" w:pos="8743"/>
              <w:tab w:val="right" w:pos="9026" w:leader="dot"/>
            </w:tabs>
            <w:rPr/>
          </w:pPr>
          <w:hyperlink w:anchor="__RefHeading___Toc12184575_2142443653">
            <w:r>
              <w:rPr>
                <w:webHidden/>
                <w:rStyle w:val="IndexLink"/>
                <w:rtl w:val="true"/>
              </w:rPr>
              <w:t>الإجهاض مباشرة أو تسبيباً</w:t>
            </w:r>
            <w:r>
              <w:rPr>
                <w:rStyle w:val="IndexLink"/>
                <w:rtl w:val="true"/>
              </w:rPr>
              <w:tab/>
            </w:r>
            <w:r>
              <w:rPr>
                <w:rStyle w:val="IndexLink"/>
              </w:rPr>
              <w:t>325</w:t>
            </w:r>
          </w:hyperlink>
        </w:p>
        <w:p>
          <w:pPr>
            <w:pStyle w:val="Contents2"/>
            <w:tabs>
              <w:tab w:val="clear" w:pos="8743"/>
              <w:tab w:val="right" w:pos="9026" w:leader="dot"/>
            </w:tabs>
            <w:rPr/>
          </w:pPr>
          <w:hyperlink w:anchor="__RefHeading___Toc12184577_2142443653">
            <w:r>
              <w:rPr>
                <w:webHidden/>
                <w:rStyle w:val="IndexLink"/>
                <w:rtl w:val="true"/>
              </w:rPr>
              <w:t>مطالبة طلاق الخلع</w:t>
            </w:r>
            <w:r>
              <w:rPr>
                <w:rStyle w:val="IndexLink"/>
                <w:rtl w:val="true"/>
              </w:rPr>
              <w:tab/>
            </w:r>
            <w:r>
              <w:rPr>
                <w:rStyle w:val="IndexLink"/>
              </w:rPr>
              <w:t>326</w:t>
            </w:r>
          </w:hyperlink>
        </w:p>
        <w:p>
          <w:pPr>
            <w:pStyle w:val="Contents2"/>
            <w:tabs>
              <w:tab w:val="clear" w:pos="8743"/>
              <w:tab w:val="right" w:pos="9026" w:leader="dot"/>
            </w:tabs>
            <w:rPr/>
          </w:pPr>
          <w:hyperlink w:anchor="__RefHeading___Toc12184579_2142443653">
            <w:r>
              <w:rPr>
                <w:webHidden/>
                <w:rStyle w:val="IndexLink"/>
                <w:rtl w:val="true"/>
              </w:rPr>
              <w:t>كشف هوية الجنين بالأشعة</w:t>
            </w:r>
            <w:r>
              <w:rPr>
                <w:rStyle w:val="IndexLink"/>
                <w:rtl w:val="true"/>
              </w:rPr>
              <w:tab/>
            </w:r>
            <w:r>
              <w:rPr>
                <w:rStyle w:val="IndexLink"/>
              </w:rPr>
              <w:t>326</w:t>
            </w:r>
          </w:hyperlink>
        </w:p>
        <w:p>
          <w:pPr>
            <w:pStyle w:val="Contents2"/>
            <w:tabs>
              <w:tab w:val="clear" w:pos="8743"/>
              <w:tab w:val="right" w:pos="9026" w:leader="dot"/>
            </w:tabs>
            <w:rPr/>
          </w:pPr>
          <w:hyperlink w:anchor="__RefHeading___Toc12184581_2142443653">
            <w:r>
              <w:rPr>
                <w:webHidden/>
                <w:rStyle w:val="IndexLink"/>
                <w:rtl w:val="true"/>
              </w:rPr>
              <w:t>موت المتوارثين سوية</w:t>
            </w:r>
            <w:r>
              <w:rPr>
                <w:rStyle w:val="IndexLink"/>
                <w:rtl w:val="true"/>
              </w:rPr>
              <w:tab/>
            </w:r>
            <w:r>
              <w:rPr>
                <w:rStyle w:val="IndexLink"/>
              </w:rPr>
              <w:t>326</w:t>
            </w:r>
          </w:hyperlink>
        </w:p>
        <w:p>
          <w:pPr>
            <w:pStyle w:val="Contents2"/>
            <w:tabs>
              <w:tab w:val="clear" w:pos="8743"/>
              <w:tab w:val="right" w:pos="9026" w:leader="dot"/>
            </w:tabs>
            <w:rPr/>
          </w:pPr>
          <w:hyperlink w:anchor="__RefHeading___Toc12184583_2142443653">
            <w:r>
              <w:rPr>
                <w:webHidden/>
                <w:rStyle w:val="IndexLink"/>
                <w:rtl w:val="true"/>
              </w:rPr>
              <w:t>اتخاذ الحمام الراعب</w:t>
            </w:r>
            <w:r>
              <w:rPr>
                <w:rStyle w:val="IndexLink"/>
                <w:rtl w:val="true"/>
              </w:rPr>
              <w:tab/>
            </w:r>
            <w:r>
              <w:rPr>
                <w:rStyle w:val="IndexLink"/>
              </w:rPr>
              <w:t>327</w:t>
            </w:r>
          </w:hyperlink>
        </w:p>
        <w:p>
          <w:pPr>
            <w:pStyle w:val="Contents2"/>
            <w:tabs>
              <w:tab w:val="clear" w:pos="8743"/>
              <w:tab w:val="right" w:pos="9026" w:leader="dot"/>
            </w:tabs>
            <w:rPr/>
          </w:pPr>
          <w:hyperlink w:anchor="__RefHeading___Toc12184585_2142443653">
            <w:r>
              <w:rPr>
                <w:webHidden/>
                <w:rStyle w:val="IndexLink"/>
                <w:rtl w:val="true"/>
              </w:rPr>
              <w:t>تأسيس حديقة الحيوانات</w:t>
            </w:r>
            <w:r>
              <w:rPr>
                <w:rStyle w:val="IndexLink"/>
                <w:rtl w:val="true"/>
              </w:rPr>
              <w:tab/>
            </w:r>
            <w:r>
              <w:rPr>
                <w:rStyle w:val="IndexLink"/>
              </w:rPr>
              <w:t>328</w:t>
            </w:r>
          </w:hyperlink>
        </w:p>
        <w:p>
          <w:pPr>
            <w:pStyle w:val="Contents2"/>
            <w:tabs>
              <w:tab w:val="clear" w:pos="8743"/>
              <w:tab w:val="right" w:pos="9026" w:leader="dot"/>
            </w:tabs>
            <w:rPr/>
          </w:pPr>
          <w:hyperlink w:anchor="__RefHeading___Toc12184587_2142443653">
            <w:r>
              <w:rPr>
                <w:webHidden/>
                <w:rStyle w:val="IndexLink"/>
                <w:rtl w:val="true"/>
              </w:rPr>
              <w:t>لا للمؤسسات التبشيرية</w:t>
            </w:r>
            <w:r>
              <w:rPr>
                <w:rStyle w:val="IndexLink"/>
                <w:rtl w:val="true"/>
              </w:rPr>
              <w:tab/>
            </w:r>
            <w:r>
              <w:rPr>
                <w:rStyle w:val="IndexLink"/>
              </w:rPr>
              <w:t>328</w:t>
            </w:r>
          </w:hyperlink>
        </w:p>
        <w:p>
          <w:pPr>
            <w:pStyle w:val="Contents2"/>
            <w:tabs>
              <w:tab w:val="clear" w:pos="8743"/>
              <w:tab w:val="right" w:pos="9026" w:leader="dot"/>
            </w:tabs>
            <w:rPr/>
          </w:pPr>
          <w:hyperlink w:anchor="__RefHeading___Toc12184589_2142443653">
            <w:r>
              <w:rPr>
                <w:webHidden/>
                <w:rStyle w:val="IndexLink"/>
                <w:rtl w:val="true"/>
              </w:rPr>
              <w:t>تناقل ما يوهن المسلمين</w:t>
            </w:r>
            <w:r>
              <w:rPr>
                <w:rStyle w:val="IndexLink"/>
                <w:rtl w:val="true"/>
              </w:rPr>
              <w:tab/>
            </w:r>
            <w:r>
              <w:rPr>
                <w:rStyle w:val="IndexLink"/>
              </w:rPr>
              <w:t>328</w:t>
            </w:r>
          </w:hyperlink>
        </w:p>
        <w:p>
          <w:pPr>
            <w:pStyle w:val="Contents2"/>
            <w:tabs>
              <w:tab w:val="clear" w:pos="8743"/>
              <w:tab w:val="right" w:pos="9026" w:leader="dot"/>
            </w:tabs>
            <w:rPr/>
          </w:pPr>
          <w:hyperlink w:anchor="__RefHeading___Toc12184591_2142443653">
            <w:r>
              <w:rPr>
                <w:webHidden/>
                <w:rStyle w:val="IndexLink"/>
                <w:rtl w:val="true"/>
              </w:rPr>
              <w:t>من أحكام المراكز المقدسة</w:t>
            </w:r>
            <w:r>
              <w:rPr>
                <w:rStyle w:val="IndexLink"/>
                <w:rtl w:val="true"/>
              </w:rPr>
              <w:tab/>
            </w:r>
            <w:r>
              <w:rPr>
                <w:rStyle w:val="IndexLink"/>
              </w:rPr>
              <w:t>329</w:t>
            </w:r>
          </w:hyperlink>
        </w:p>
        <w:p>
          <w:pPr>
            <w:pStyle w:val="Contents2"/>
            <w:tabs>
              <w:tab w:val="clear" w:pos="8743"/>
              <w:tab w:val="right" w:pos="9026" w:leader="dot"/>
            </w:tabs>
            <w:rPr/>
          </w:pPr>
          <w:hyperlink w:anchor="__RefHeading___Toc12184593_2142443653">
            <w:r>
              <w:rPr>
                <w:webHidden/>
                <w:rStyle w:val="IndexLink"/>
                <w:rtl w:val="true"/>
              </w:rPr>
              <w:t>تصوير المراكز المقدسة</w:t>
            </w:r>
            <w:r>
              <w:rPr>
                <w:rStyle w:val="IndexLink"/>
                <w:rtl w:val="true"/>
              </w:rPr>
              <w:tab/>
            </w:r>
            <w:r>
              <w:rPr>
                <w:rStyle w:val="IndexLink"/>
              </w:rPr>
              <w:t>329</w:t>
            </w:r>
          </w:hyperlink>
        </w:p>
        <w:p>
          <w:pPr>
            <w:pStyle w:val="Contents2"/>
            <w:tabs>
              <w:tab w:val="clear" w:pos="8743"/>
              <w:tab w:val="right" w:pos="9026" w:leader="dot"/>
            </w:tabs>
            <w:rPr/>
          </w:pPr>
          <w:hyperlink w:anchor="__RefHeading___Toc12184595_2142443653">
            <w:r>
              <w:rPr>
                <w:webHidden/>
                <w:rStyle w:val="IndexLink"/>
                <w:rtl w:val="true"/>
              </w:rPr>
              <w:t>المساجد الأثرية</w:t>
            </w:r>
            <w:r>
              <w:rPr>
                <w:rStyle w:val="IndexLink"/>
                <w:rtl w:val="true"/>
              </w:rPr>
              <w:tab/>
            </w:r>
            <w:r>
              <w:rPr>
                <w:rStyle w:val="IndexLink"/>
              </w:rPr>
              <w:t>329</w:t>
            </w:r>
          </w:hyperlink>
        </w:p>
        <w:p>
          <w:pPr>
            <w:pStyle w:val="Contents2"/>
            <w:tabs>
              <w:tab w:val="clear" w:pos="8743"/>
              <w:tab w:val="right" w:pos="9026" w:leader="dot"/>
            </w:tabs>
            <w:rPr/>
          </w:pPr>
          <w:hyperlink w:anchor="__RefHeading___Toc12184597_2142443653">
            <w:r>
              <w:rPr>
                <w:webHidden/>
                <w:rStyle w:val="IndexLink"/>
                <w:rtl w:val="true"/>
              </w:rPr>
              <w:t>إعادة المراكز الدينية</w:t>
            </w:r>
            <w:r>
              <w:rPr>
                <w:rStyle w:val="IndexLink"/>
                <w:rtl w:val="true"/>
              </w:rPr>
              <w:tab/>
            </w:r>
            <w:r>
              <w:rPr>
                <w:rStyle w:val="IndexLink"/>
              </w:rPr>
              <w:t>329</w:t>
            </w:r>
          </w:hyperlink>
        </w:p>
        <w:p>
          <w:pPr>
            <w:pStyle w:val="Contents2"/>
            <w:tabs>
              <w:tab w:val="clear" w:pos="8743"/>
              <w:tab w:val="right" w:pos="9026" w:leader="dot"/>
            </w:tabs>
            <w:rPr/>
          </w:pPr>
          <w:hyperlink w:anchor="__RefHeading___Toc12184599_2142443653">
            <w:r>
              <w:rPr>
                <w:webHidden/>
                <w:rStyle w:val="IndexLink"/>
                <w:rtl w:val="true"/>
              </w:rPr>
              <w:t>إشاعة الجنس في المدارس والإعلام</w:t>
            </w:r>
            <w:r>
              <w:rPr>
                <w:rStyle w:val="IndexLink"/>
                <w:rtl w:val="true"/>
              </w:rPr>
              <w:tab/>
            </w:r>
            <w:r>
              <w:rPr>
                <w:rStyle w:val="IndexLink"/>
              </w:rPr>
              <w:t>330</w:t>
            </w:r>
          </w:hyperlink>
        </w:p>
        <w:p>
          <w:pPr>
            <w:pStyle w:val="Contents2"/>
            <w:tabs>
              <w:tab w:val="clear" w:pos="8743"/>
              <w:tab w:val="right" w:pos="9026" w:leader="dot"/>
            </w:tabs>
            <w:rPr/>
          </w:pPr>
          <w:hyperlink w:anchor="__RefHeading___Toc12184601_2142443653">
            <w:r>
              <w:rPr>
                <w:webHidden/>
                <w:rStyle w:val="IndexLink"/>
                <w:rtl w:val="true"/>
              </w:rPr>
              <w:t>ركن التعارف بين الجنسين</w:t>
            </w:r>
            <w:r>
              <w:rPr>
                <w:rStyle w:val="IndexLink"/>
                <w:rtl w:val="true"/>
              </w:rPr>
              <w:tab/>
            </w:r>
            <w:r>
              <w:rPr>
                <w:rStyle w:val="IndexLink"/>
              </w:rPr>
              <w:t>330</w:t>
            </w:r>
          </w:hyperlink>
        </w:p>
        <w:p>
          <w:pPr>
            <w:pStyle w:val="Contents2"/>
            <w:tabs>
              <w:tab w:val="clear" w:pos="8743"/>
              <w:tab w:val="right" w:pos="9026" w:leader="dot"/>
            </w:tabs>
            <w:rPr/>
          </w:pPr>
          <w:hyperlink w:anchor="__RefHeading___Toc12184603_2142443653">
            <w:r>
              <w:rPr>
                <w:webHidden/>
                <w:rStyle w:val="IndexLink"/>
                <w:rtl w:val="true"/>
              </w:rPr>
              <w:t>التعذيب القاتل</w:t>
            </w:r>
            <w:r>
              <w:rPr>
                <w:rStyle w:val="IndexLink"/>
                <w:rtl w:val="true"/>
              </w:rPr>
              <w:tab/>
            </w:r>
            <w:r>
              <w:rPr>
                <w:rStyle w:val="IndexLink"/>
              </w:rPr>
              <w:t>331</w:t>
            </w:r>
          </w:hyperlink>
        </w:p>
        <w:p>
          <w:pPr>
            <w:pStyle w:val="Contents2"/>
            <w:tabs>
              <w:tab w:val="clear" w:pos="8743"/>
              <w:tab w:val="right" w:pos="9026" w:leader="dot"/>
            </w:tabs>
            <w:rPr/>
          </w:pPr>
          <w:hyperlink w:anchor="__RefHeading___Toc12184605_2142443653">
            <w:r>
              <w:rPr>
                <w:webHidden/>
                <w:rStyle w:val="IndexLink"/>
                <w:rtl w:val="true"/>
              </w:rPr>
              <w:t>تسلق الجبال والألعاب الرياضية</w:t>
            </w:r>
            <w:r>
              <w:rPr>
                <w:rStyle w:val="IndexLink"/>
                <w:rtl w:val="true"/>
              </w:rPr>
              <w:tab/>
            </w:r>
            <w:r>
              <w:rPr>
                <w:rStyle w:val="IndexLink"/>
              </w:rPr>
              <w:t>331</w:t>
            </w:r>
          </w:hyperlink>
        </w:p>
        <w:p>
          <w:pPr>
            <w:pStyle w:val="Contents2"/>
            <w:tabs>
              <w:tab w:val="clear" w:pos="8743"/>
              <w:tab w:val="right" w:pos="9026" w:leader="dot"/>
            </w:tabs>
            <w:rPr/>
          </w:pPr>
          <w:hyperlink w:anchor="__RefHeading___Toc12184607_2142443653">
            <w:r>
              <w:rPr>
                <w:webHidden/>
                <w:rStyle w:val="IndexLink"/>
                <w:rtl w:val="true"/>
              </w:rPr>
              <w:t>إزالة البكارة بالعملية الجراحية</w:t>
            </w:r>
            <w:r>
              <w:rPr>
                <w:rStyle w:val="IndexLink"/>
                <w:rtl w:val="true"/>
              </w:rPr>
              <w:tab/>
            </w:r>
            <w:r>
              <w:rPr>
                <w:rStyle w:val="IndexLink"/>
              </w:rPr>
              <w:t>331</w:t>
            </w:r>
          </w:hyperlink>
        </w:p>
        <w:p>
          <w:pPr>
            <w:pStyle w:val="Contents2"/>
            <w:tabs>
              <w:tab w:val="clear" w:pos="8743"/>
              <w:tab w:val="right" w:pos="9026" w:leader="dot"/>
            </w:tabs>
            <w:rPr/>
          </w:pPr>
          <w:hyperlink w:anchor="__RefHeading___Toc12184609_2142443653">
            <w:r>
              <w:rPr>
                <w:webHidden/>
                <w:rStyle w:val="IndexLink"/>
                <w:rtl w:val="true"/>
              </w:rPr>
              <w:t>تعقيب الطفل</w:t>
            </w:r>
            <w:r>
              <w:rPr>
                <w:rStyle w:val="IndexLink"/>
                <w:rtl w:val="true"/>
              </w:rPr>
              <w:tab/>
            </w:r>
            <w:r>
              <w:rPr>
                <w:rStyle w:val="IndexLink"/>
              </w:rPr>
              <w:t>332</w:t>
            </w:r>
          </w:hyperlink>
        </w:p>
        <w:p>
          <w:pPr>
            <w:pStyle w:val="Contents2"/>
            <w:tabs>
              <w:tab w:val="clear" w:pos="8743"/>
              <w:tab w:val="right" w:pos="9026" w:leader="dot"/>
            </w:tabs>
            <w:rPr/>
          </w:pPr>
          <w:hyperlink w:anchor="__RefHeading___Toc12184611_2142443653">
            <w:r>
              <w:rPr>
                <w:webHidden/>
                <w:rStyle w:val="IndexLink"/>
                <w:rtl w:val="true"/>
              </w:rPr>
              <w:t>المتلف ضامن</w:t>
            </w:r>
            <w:r>
              <w:rPr>
                <w:rStyle w:val="IndexLink"/>
                <w:rtl w:val="true"/>
              </w:rPr>
              <w:tab/>
            </w:r>
            <w:r>
              <w:rPr>
                <w:rStyle w:val="IndexLink"/>
              </w:rPr>
              <w:t>333</w:t>
            </w:r>
          </w:hyperlink>
        </w:p>
        <w:p>
          <w:pPr>
            <w:pStyle w:val="Contents2"/>
            <w:tabs>
              <w:tab w:val="clear" w:pos="8743"/>
              <w:tab w:val="right" w:pos="9026" w:leader="dot"/>
            </w:tabs>
            <w:rPr/>
          </w:pPr>
          <w:hyperlink w:anchor="__RefHeading___Toc12184613_2142443653">
            <w:r>
              <w:rPr>
                <w:webHidden/>
                <w:rStyle w:val="IndexLink"/>
                <w:rtl w:val="true"/>
              </w:rPr>
              <w:t>من أحكام الطريق</w:t>
            </w:r>
            <w:r>
              <w:rPr>
                <w:rStyle w:val="IndexLink"/>
                <w:rtl w:val="true"/>
              </w:rPr>
              <w:tab/>
            </w:r>
            <w:r>
              <w:rPr>
                <w:rStyle w:val="IndexLink"/>
              </w:rPr>
              <w:t>333</w:t>
            </w:r>
          </w:hyperlink>
        </w:p>
        <w:p>
          <w:pPr>
            <w:pStyle w:val="Contents2"/>
            <w:tabs>
              <w:tab w:val="clear" w:pos="8743"/>
              <w:tab w:val="right" w:pos="9026" w:leader="dot"/>
            </w:tabs>
            <w:rPr/>
          </w:pPr>
          <w:hyperlink w:anchor="__RefHeading___Toc12184615_2142443653">
            <w:r>
              <w:rPr>
                <w:webHidden/>
                <w:rStyle w:val="IndexLink"/>
                <w:rtl w:val="true"/>
              </w:rPr>
              <w:t>التقاط صور الحوادث</w:t>
            </w:r>
            <w:r>
              <w:rPr>
                <w:rStyle w:val="IndexLink"/>
                <w:rtl w:val="true"/>
              </w:rPr>
              <w:tab/>
            </w:r>
            <w:r>
              <w:rPr>
                <w:rStyle w:val="IndexLink"/>
              </w:rPr>
              <w:t>334</w:t>
            </w:r>
          </w:hyperlink>
        </w:p>
        <w:p>
          <w:pPr>
            <w:pStyle w:val="Contents2"/>
            <w:tabs>
              <w:tab w:val="clear" w:pos="8743"/>
              <w:tab w:val="right" w:pos="9026" w:leader="dot"/>
            </w:tabs>
            <w:rPr/>
          </w:pPr>
          <w:hyperlink w:anchor="__RefHeading___Toc12184617_2142443653">
            <w:r>
              <w:rPr>
                <w:webHidden/>
                <w:rStyle w:val="IndexLink"/>
                <w:rtl w:val="true"/>
              </w:rPr>
              <w:t>رش الماء في الطريق</w:t>
            </w:r>
            <w:r>
              <w:rPr>
                <w:rStyle w:val="IndexLink"/>
                <w:rtl w:val="true"/>
              </w:rPr>
              <w:tab/>
            </w:r>
            <w:r>
              <w:rPr>
                <w:rStyle w:val="IndexLink"/>
              </w:rPr>
              <w:t>334</w:t>
            </w:r>
          </w:hyperlink>
        </w:p>
        <w:p>
          <w:pPr>
            <w:pStyle w:val="Contents2"/>
            <w:tabs>
              <w:tab w:val="clear" w:pos="8743"/>
              <w:tab w:val="right" w:pos="9026" w:leader="dot"/>
            </w:tabs>
            <w:rPr/>
          </w:pPr>
          <w:hyperlink w:anchor="__RefHeading___Toc12184619_2142443653">
            <w:r>
              <w:rPr>
                <w:webHidden/>
                <w:rStyle w:val="IndexLink"/>
                <w:rtl w:val="true"/>
              </w:rPr>
              <w:t>من حقوق العامل</w:t>
            </w:r>
            <w:r>
              <w:rPr>
                <w:rStyle w:val="IndexLink"/>
                <w:rtl w:val="true"/>
              </w:rPr>
              <w:tab/>
            </w:r>
            <w:r>
              <w:rPr>
                <w:rStyle w:val="IndexLink"/>
              </w:rPr>
              <w:t>334</w:t>
            </w:r>
          </w:hyperlink>
        </w:p>
        <w:p>
          <w:pPr>
            <w:pStyle w:val="Contents2"/>
            <w:tabs>
              <w:tab w:val="clear" w:pos="8743"/>
              <w:tab w:val="right" w:pos="9026" w:leader="dot"/>
            </w:tabs>
            <w:rPr/>
          </w:pPr>
          <w:hyperlink w:anchor="__RefHeading___Toc12184621_2142443653">
            <w:r>
              <w:rPr>
                <w:webHidden/>
                <w:rStyle w:val="IndexLink"/>
                <w:rtl w:val="true"/>
              </w:rPr>
              <w:t>العمل في مناجم الفحم</w:t>
            </w:r>
            <w:r>
              <w:rPr>
                <w:rStyle w:val="IndexLink"/>
                <w:rtl w:val="true"/>
              </w:rPr>
              <w:tab/>
            </w:r>
            <w:r>
              <w:rPr>
                <w:rStyle w:val="IndexLink"/>
              </w:rPr>
              <w:t>335</w:t>
            </w:r>
          </w:hyperlink>
        </w:p>
        <w:p>
          <w:pPr>
            <w:pStyle w:val="Contents2"/>
            <w:tabs>
              <w:tab w:val="clear" w:pos="8743"/>
              <w:tab w:val="right" w:pos="9026" w:leader="dot"/>
            </w:tabs>
            <w:rPr/>
          </w:pPr>
          <w:hyperlink w:anchor="__RefHeading___Toc12184623_2142443653">
            <w:r>
              <w:rPr>
                <w:webHidden/>
                <w:rStyle w:val="IndexLink"/>
                <w:rtl w:val="true"/>
              </w:rPr>
              <w:t>من حقوق صاحب المنجم</w:t>
            </w:r>
            <w:r>
              <w:rPr>
                <w:rStyle w:val="IndexLink"/>
                <w:rtl w:val="true"/>
              </w:rPr>
              <w:tab/>
            </w:r>
            <w:r>
              <w:rPr>
                <w:rStyle w:val="IndexLink"/>
              </w:rPr>
              <w:t>335</w:t>
            </w:r>
          </w:hyperlink>
        </w:p>
        <w:p>
          <w:pPr>
            <w:pStyle w:val="Contents2"/>
            <w:tabs>
              <w:tab w:val="clear" w:pos="8743"/>
              <w:tab w:val="right" w:pos="9026" w:leader="dot"/>
            </w:tabs>
            <w:rPr/>
          </w:pPr>
          <w:hyperlink w:anchor="__RefHeading___Toc12184625_2142443653">
            <w:r>
              <w:rPr>
                <w:webHidden/>
                <w:rStyle w:val="IndexLink"/>
                <w:rtl w:val="true"/>
              </w:rPr>
              <w:t>المصارعة الحرة وأحكامها</w:t>
            </w:r>
            <w:r>
              <w:rPr>
                <w:rStyle w:val="IndexLink"/>
                <w:rtl w:val="true"/>
              </w:rPr>
              <w:tab/>
            </w:r>
            <w:r>
              <w:rPr>
                <w:rStyle w:val="IndexLink"/>
              </w:rPr>
              <w:t>335</w:t>
            </w:r>
          </w:hyperlink>
        </w:p>
        <w:p>
          <w:pPr>
            <w:pStyle w:val="Contents2"/>
            <w:tabs>
              <w:tab w:val="clear" w:pos="8743"/>
              <w:tab w:val="right" w:pos="9026" w:leader="dot"/>
            </w:tabs>
            <w:rPr/>
          </w:pPr>
          <w:hyperlink w:anchor="__RefHeading___Toc12184627_2142443653">
            <w:r>
              <w:rPr>
                <w:webHidden/>
                <w:rStyle w:val="IndexLink"/>
                <w:rtl w:val="true"/>
              </w:rPr>
              <w:t>الطوابع الباطلة</w:t>
            </w:r>
            <w:r>
              <w:rPr>
                <w:rStyle w:val="IndexLink"/>
                <w:rtl w:val="true"/>
              </w:rPr>
              <w:tab/>
            </w:r>
            <w:r>
              <w:rPr>
                <w:rStyle w:val="IndexLink"/>
              </w:rPr>
              <w:t>335</w:t>
            </w:r>
          </w:hyperlink>
        </w:p>
        <w:p>
          <w:pPr>
            <w:pStyle w:val="Contents2"/>
            <w:tabs>
              <w:tab w:val="clear" w:pos="8743"/>
              <w:tab w:val="right" w:pos="9026" w:leader="dot"/>
            </w:tabs>
            <w:rPr/>
          </w:pPr>
          <w:hyperlink w:anchor="__RefHeading___Toc12184629_2142443653">
            <w:r>
              <w:rPr>
                <w:webHidden/>
                <w:rStyle w:val="IndexLink"/>
                <w:rtl w:val="true"/>
              </w:rPr>
              <w:t>التعامل مع المصارف</w:t>
            </w:r>
            <w:r>
              <w:rPr>
                <w:rStyle w:val="IndexLink"/>
                <w:rtl w:val="true"/>
              </w:rPr>
              <w:tab/>
            </w:r>
            <w:r>
              <w:rPr>
                <w:rStyle w:val="IndexLink"/>
              </w:rPr>
              <w:t>336</w:t>
            </w:r>
          </w:hyperlink>
        </w:p>
        <w:p>
          <w:pPr>
            <w:pStyle w:val="Contents2"/>
            <w:tabs>
              <w:tab w:val="clear" w:pos="8743"/>
              <w:tab w:val="right" w:pos="9026" w:leader="dot"/>
            </w:tabs>
            <w:rPr/>
          </w:pPr>
          <w:hyperlink w:anchor="__RefHeading___Toc12184631_2142443653">
            <w:r>
              <w:rPr>
                <w:webHidden/>
                <w:rStyle w:val="IndexLink"/>
                <w:rtl w:val="true"/>
              </w:rPr>
              <w:t>من أحكام المصارف</w:t>
            </w:r>
            <w:r>
              <w:rPr>
                <w:rStyle w:val="IndexLink"/>
                <w:rtl w:val="true"/>
              </w:rPr>
              <w:tab/>
            </w:r>
            <w:r>
              <w:rPr>
                <w:rStyle w:val="IndexLink"/>
              </w:rPr>
              <w:t>336</w:t>
            </w:r>
          </w:hyperlink>
        </w:p>
        <w:p>
          <w:pPr>
            <w:pStyle w:val="Contents2"/>
            <w:tabs>
              <w:tab w:val="clear" w:pos="8743"/>
              <w:tab w:val="right" w:pos="9026" w:leader="dot"/>
            </w:tabs>
            <w:rPr/>
          </w:pPr>
          <w:hyperlink w:anchor="__RefHeading___Toc12184633_2142443653">
            <w:r>
              <w:rPr>
                <w:webHidden/>
                <w:rStyle w:val="IndexLink"/>
                <w:rtl w:val="true"/>
              </w:rPr>
              <w:t>التأمين على الحيوانات</w:t>
            </w:r>
            <w:r>
              <w:rPr>
                <w:rStyle w:val="IndexLink"/>
                <w:rtl w:val="true"/>
              </w:rPr>
              <w:tab/>
            </w:r>
            <w:r>
              <w:rPr>
                <w:rStyle w:val="IndexLink"/>
              </w:rPr>
              <w:t>336</w:t>
            </w:r>
          </w:hyperlink>
        </w:p>
        <w:p>
          <w:pPr>
            <w:pStyle w:val="Contents2"/>
            <w:tabs>
              <w:tab w:val="clear" w:pos="8743"/>
              <w:tab w:val="right" w:pos="9026" w:leader="dot"/>
            </w:tabs>
            <w:rPr/>
          </w:pPr>
          <w:hyperlink w:anchor="__RefHeading___Toc12184635_2142443653">
            <w:r>
              <w:rPr>
                <w:webHidden/>
                <w:rStyle w:val="IndexLink"/>
                <w:rtl w:val="true"/>
              </w:rPr>
              <w:t>التأمين من الكوارث</w:t>
            </w:r>
            <w:r>
              <w:rPr>
                <w:rStyle w:val="IndexLink"/>
                <w:rtl w:val="true"/>
              </w:rPr>
              <w:tab/>
            </w:r>
            <w:r>
              <w:rPr>
                <w:rStyle w:val="IndexLink"/>
              </w:rPr>
              <w:t>337</w:t>
            </w:r>
          </w:hyperlink>
        </w:p>
        <w:p>
          <w:pPr>
            <w:pStyle w:val="Contents2"/>
            <w:tabs>
              <w:tab w:val="clear" w:pos="8743"/>
              <w:tab w:val="right" w:pos="9026" w:leader="dot"/>
            </w:tabs>
            <w:rPr/>
          </w:pPr>
          <w:hyperlink w:anchor="__RefHeading___Toc12184637_2142443653">
            <w:r>
              <w:rPr>
                <w:webHidden/>
                <w:rStyle w:val="IndexLink"/>
                <w:rtl w:val="true"/>
              </w:rPr>
              <w:t>من أحكام التأمين</w:t>
            </w:r>
            <w:r>
              <w:rPr>
                <w:rStyle w:val="IndexLink"/>
                <w:rtl w:val="true"/>
              </w:rPr>
              <w:tab/>
            </w:r>
            <w:r>
              <w:rPr>
                <w:rStyle w:val="IndexLink"/>
              </w:rPr>
              <w:t>337</w:t>
            </w:r>
          </w:hyperlink>
        </w:p>
        <w:p>
          <w:pPr>
            <w:pStyle w:val="Contents2"/>
            <w:tabs>
              <w:tab w:val="clear" w:pos="8743"/>
              <w:tab w:val="right" w:pos="9026" w:leader="dot"/>
            </w:tabs>
            <w:rPr/>
          </w:pPr>
          <w:hyperlink w:anchor="__RefHeading___Toc12184639_2142443653">
            <w:r>
              <w:rPr>
                <w:webHidden/>
                <w:rStyle w:val="IndexLink"/>
                <w:rtl w:val="true"/>
              </w:rPr>
              <w:t>من واجب العلماء</w:t>
            </w:r>
            <w:r>
              <w:rPr>
                <w:rStyle w:val="IndexLink"/>
                <w:rtl w:val="true"/>
              </w:rPr>
              <w:tab/>
            </w:r>
            <w:r>
              <w:rPr>
                <w:rStyle w:val="IndexLink"/>
              </w:rPr>
              <w:t>338</w:t>
            </w:r>
          </w:hyperlink>
        </w:p>
        <w:p>
          <w:pPr>
            <w:pStyle w:val="Contents2"/>
            <w:tabs>
              <w:tab w:val="clear" w:pos="8743"/>
              <w:tab w:val="right" w:pos="9026" w:leader="dot"/>
            </w:tabs>
            <w:rPr/>
          </w:pPr>
          <w:hyperlink w:anchor="__RefHeading___Toc12184641_2142443653">
            <w:r>
              <w:rPr>
                <w:webHidden/>
                <w:rStyle w:val="IndexLink"/>
                <w:rtl w:val="true"/>
              </w:rPr>
              <w:t>تقوية الأمصال الشعرية</w:t>
            </w:r>
            <w:r>
              <w:rPr>
                <w:rStyle w:val="IndexLink"/>
                <w:rtl w:val="true"/>
              </w:rPr>
              <w:tab/>
            </w:r>
            <w:r>
              <w:rPr>
                <w:rStyle w:val="IndexLink"/>
              </w:rPr>
              <w:t>338</w:t>
            </w:r>
          </w:hyperlink>
        </w:p>
        <w:p>
          <w:pPr>
            <w:pStyle w:val="Contents2"/>
            <w:tabs>
              <w:tab w:val="clear" w:pos="8743"/>
              <w:tab w:val="right" w:pos="9026" w:leader="dot"/>
            </w:tabs>
            <w:rPr/>
          </w:pPr>
          <w:hyperlink w:anchor="__RefHeading___Toc12184643_2142443653">
            <w:r>
              <w:rPr>
                <w:webHidden/>
                <w:rStyle w:val="IndexLink"/>
                <w:rtl w:val="true"/>
              </w:rPr>
              <w:t>إزالة السمنة</w:t>
            </w:r>
            <w:r>
              <w:rPr>
                <w:rStyle w:val="IndexLink"/>
                <w:rtl w:val="true"/>
              </w:rPr>
              <w:tab/>
            </w:r>
            <w:r>
              <w:rPr>
                <w:rStyle w:val="IndexLink"/>
              </w:rPr>
              <w:t>338</w:t>
            </w:r>
          </w:hyperlink>
        </w:p>
        <w:p>
          <w:pPr>
            <w:pStyle w:val="Contents2"/>
            <w:tabs>
              <w:tab w:val="clear" w:pos="8743"/>
              <w:tab w:val="right" w:pos="9026" w:leader="dot"/>
            </w:tabs>
            <w:rPr/>
          </w:pPr>
          <w:hyperlink w:anchor="__RefHeading___Toc12184645_2142443653">
            <w:r>
              <w:rPr>
                <w:webHidden/>
                <w:rStyle w:val="IndexLink"/>
                <w:rtl w:val="true"/>
              </w:rPr>
              <w:t>الجنين لو كان مضراً</w:t>
            </w:r>
            <w:r>
              <w:rPr>
                <w:rStyle w:val="IndexLink"/>
                <w:rtl w:val="true"/>
              </w:rPr>
              <w:tab/>
            </w:r>
            <w:r>
              <w:rPr>
                <w:rStyle w:val="IndexLink"/>
              </w:rPr>
              <w:t>338</w:t>
            </w:r>
          </w:hyperlink>
        </w:p>
        <w:p>
          <w:pPr>
            <w:pStyle w:val="Contents2"/>
            <w:tabs>
              <w:tab w:val="clear" w:pos="8743"/>
              <w:tab w:val="right" w:pos="9026" w:leader="dot"/>
            </w:tabs>
            <w:rPr/>
          </w:pPr>
          <w:hyperlink w:anchor="__RefHeading___Toc12184647_2142443653">
            <w:r>
              <w:rPr>
                <w:webHidden/>
                <w:rStyle w:val="IndexLink"/>
                <w:rtl w:val="true"/>
              </w:rPr>
              <w:t>تحبيل الدابة</w:t>
            </w:r>
            <w:r>
              <w:rPr>
                <w:rStyle w:val="IndexLink"/>
                <w:rtl w:val="true"/>
              </w:rPr>
              <w:tab/>
            </w:r>
            <w:r>
              <w:rPr>
                <w:rStyle w:val="IndexLink"/>
              </w:rPr>
              <w:t>339</w:t>
            </w:r>
          </w:hyperlink>
        </w:p>
        <w:p>
          <w:pPr>
            <w:pStyle w:val="Contents2"/>
            <w:tabs>
              <w:tab w:val="clear" w:pos="8743"/>
              <w:tab w:val="right" w:pos="9026" w:leader="dot"/>
            </w:tabs>
            <w:rPr/>
          </w:pPr>
          <w:hyperlink w:anchor="__RefHeading___Toc12184649_2142443653">
            <w:r>
              <w:rPr>
                <w:webHidden/>
                <w:rStyle w:val="IndexLink"/>
                <w:rtl w:val="true"/>
              </w:rPr>
              <w:t>الكسل الجنسي</w:t>
            </w:r>
            <w:r>
              <w:rPr>
                <w:rStyle w:val="IndexLink"/>
                <w:rtl w:val="true"/>
              </w:rPr>
              <w:tab/>
            </w:r>
            <w:r>
              <w:rPr>
                <w:rStyle w:val="IndexLink"/>
              </w:rPr>
              <w:t>339</w:t>
            </w:r>
          </w:hyperlink>
        </w:p>
        <w:p>
          <w:pPr>
            <w:pStyle w:val="Contents2"/>
            <w:tabs>
              <w:tab w:val="clear" w:pos="8743"/>
              <w:tab w:val="right" w:pos="9026" w:leader="dot"/>
            </w:tabs>
            <w:rPr/>
          </w:pPr>
          <w:hyperlink w:anchor="__RefHeading___Toc12184651_2142443653">
            <w:r>
              <w:rPr>
                <w:webHidden/>
                <w:rStyle w:val="IndexLink"/>
                <w:rtl w:val="true"/>
              </w:rPr>
              <w:t>مكافحة الكسل الجنسي</w:t>
            </w:r>
            <w:r>
              <w:rPr>
                <w:rStyle w:val="IndexLink"/>
                <w:rtl w:val="true"/>
              </w:rPr>
              <w:tab/>
            </w:r>
            <w:r>
              <w:rPr>
                <w:rStyle w:val="IndexLink"/>
              </w:rPr>
              <w:t>339</w:t>
            </w:r>
          </w:hyperlink>
        </w:p>
        <w:p>
          <w:pPr>
            <w:pStyle w:val="Contents2"/>
            <w:tabs>
              <w:tab w:val="clear" w:pos="8743"/>
              <w:tab w:val="right" w:pos="9026" w:leader="dot"/>
            </w:tabs>
            <w:rPr/>
          </w:pPr>
          <w:hyperlink w:anchor="__RefHeading___Toc12184653_2142443653">
            <w:r>
              <w:rPr>
                <w:webHidden/>
                <w:rStyle w:val="IndexLink"/>
                <w:rtl w:val="true"/>
              </w:rPr>
              <w:t>الممارسة الجنسية المؤذية</w:t>
            </w:r>
            <w:r>
              <w:rPr>
                <w:rStyle w:val="IndexLink"/>
                <w:rtl w:val="true"/>
              </w:rPr>
              <w:tab/>
            </w:r>
            <w:r>
              <w:rPr>
                <w:rStyle w:val="IndexLink"/>
              </w:rPr>
              <w:t>339</w:t>
            </w:r>
          </w:hyperlink>
        </w:p>
        <w:p>
          <w:pPr>
            <w:pStyle w:val="Contents2"/>
            <w:tabs>
              <w:tab w:val="clear" w:pos="8743"/>
              <w:tab w:val="right" w:pos="9026" w:leader="dot"/>
            </w:tabs>
            <w:rPr/>
          </w:pPr>
          <w:hyperlink w:anchor="__RefHeading___Toc12184655_2142443653">
            <w:r>
              <w:rPr>
                <w:webHidden/>
                <w:rStyle w:val="IndexLink"/>
                <w:rtl w:val="true"/>
              </w:rPr>
              <w:t>من حقوق الإنسان</w:t>
            </w:r>
            <w:r>
              <w:rPr>
                <w:rStyle w:val="IndexLink"/>
                <w:rtl w:val="true"/>
              </w:rPr>
              <w:tab/>
            </w:r>
            <w:r>
              <w:rPr>
                <w:rStyle w:val="IndexLink"/>
              </w:rPr>
              <w:t>340</w:t>
            </w:r>
          </w:hyperlink>
        </w:p>
        <w:p>
          <w:pPr>
            <w:pStyle w:val="Contents2"/>
            <w:tabs>
              <w:tab w:val="clear" w:pos="8743"/>
              <w:tab w:val="right" w:pos="9026" w:leader="dot"/>
            </w:tabs>
            <w:rPr/>
          </w:pPr>
          <w:hyperlink w:anchor="__RefHeading___Toc12184657_2142443653">
            <w:r>
              <w:rPr>
                <w:webHidden/>
                <w:rStyle w:val="IndexLink"/>
                <w:rtl w:val="true"/>
              </w:rPr>
              <w:t>وطء الحيوان</w:t>
            </w:r>
            <w:r>
              <w:rPr>
                <w:rStyle w:val="IndexLink"/>
                <w:rtl w:val="true"/>
              </w:rPr>
              <w:tab/>
            </w:r>
            <w:r>
              <w:rPr>
                <w:rStyle w:val="IndexLink"/>
              </w:rPr>
              <w:t>341</w:t>
            </w:r>
          </w:hyperlink>
        </w:p>
        <w:p>
          <w:pPr>
            <w:pStyle w:val="Contents2"/>
            <w:tabs>
              <w:tab w:val="clear" w:pos="8743"/>
              <w:tab w:val="right" w:pos="9026" w:leader="dot"/>
            </w:tabs>
            <w:rPr/>
          </w:pPr>
          <w:hyperlink w:anchor="__RefHeading___Toc12184659_2142443653">
            <w:r>
              <w:rPr>
                <w:webHidden/>
                <w:rStyle w:val="IndexLink"/>
                <w:rtl w:val="true"/>
              </w:rPr>
              <w:t>استعمال الآلة المطاطية</w:t>
            </w:r>
            <w:r>
              <w:rPr>
                <w:rStyle w:val="IndexLink"/>
                <w:rtl w:val="true"/>
              </w:rPr>
              <w:tab/>
            </w:r>
            <w:r>
              <w:rPr>
                <w:rStyle w:val="IndexLink"/>
              </w:rPr>
              <w:t>342</w:t>
            </w:r>
          </w:hyperlink>
        </w:p>
        <w:p>
          <w:pPr>
            <w:pStyle w:val="Contents2"/>
            <w:tabs>
              <w:tab w:val="clear" w:pos="8743"/>
              <w:tab w:val="right" w:pos="9026" w:leader="dot"/>
            </w:tabs>
            <w:rPr/>
          </w:pPr>
          <w:hyperlink w:anchor="__RefHeading___Toc12184661_2142443653">
            <w:r>
              <w:rPr>
                <w:webHidden/>
                <w:rStyle w:val="IndexLink"/>
                <w:rtl w:val="true"/>
              </w:rPr>
              <w:t>الألعاب الخطرة</w:t>
            </w:r>
            <w:r>
              <w:rPr>
                <w:rStyle w:val="IndexLink"/>
                <w:rtl w:val="true"/>
              </w:rPr>
              <w:tab/>
            </w:r>
            <w:r>
              <w:rPr>
                <w:rStyle w:val="IndexLink"/>
              </w:rPr>
              <w:t>342</w:t>
            </w:r>
          </w:hyperlink>
        </w:p>
        <w:p>
          <w:pPr>
            <w:pStyle w:val="Contents2"/>
            <w:tabs>
              <w:tab w:val="clear" w:pos="8743"/>
              <w:tab w:val="right" w:pos="9026" w:leader="dot"/>
            </w:tabs>
            <w:rPr/>
          </w:pPr>
          <w:hyperlink w:anchor="__RefHeading___Toc12184663_2142443653">
            <w:r>
              <w:rPr>
                <w:webHidden/>
                <w:rStyle w:val="IndexLink"/>
                <w:rtl w:val="true"/>
              </w:rPr>
              <w:t>الاستمناء بالتخيل</w:t>
            </w:r>
            <w:r>
              <w:rPr>
                <w:rStyle w:val="IndexLink"/>
                <w:rtl w:val="true"/>
              </w:rPr>
              <w:tab/>
            </w:r>
            <w:r>
              <w:rPr>
                <w:rStyle w:val="IndexLink"/>
              </w:rPr>
              <w:t>342</w:t>
            </w:r>
          </w:hyperlink>
        </w:p>
        <w:p>
          <w:pPr>
            <w:pStyle w:val="Contents2"/>
            <w:tabs>
              <w:tab w:val="clear" w:pos="8743"/>
              <w:tab w:val="right" w:pos="9026" w:leader="dot"/>
            </w:tabs>
            <w:rPr/>
          </w:pPr>
          <w:hyperlink w:anchor="__RefHeading___Toc12184665_2142443653">
            <w:r>
              <w:rPr>
                <w:webHidden/>
                <w:rStyle w:val="IndexLink"/>
                <w:rtl w:val="true"/>
              </w:rPr>
              <w:t>خرق الغلاف الجوي للأرض</w:t>
            </w:r>
            <w:r>
              <w:rPr>
                <w:rStyle w:val="IndexLink"/>
                <w:rtl w:val="true"/>
              </w:rPr>
              <w:tab/>
            </w:r>
            <w:r>
              <w:rPr>
                <w:rStyle w:val="IndexLink"/>
              </w:rPr>
              <w:t>343</w:t>
            </w:r>
          </w:hyperlink>
        </w:p>
        <w:p>
          <w:pPr>
            <w:pStyle w:val="Contents2"/>
            <w:tabs>
              <w:tab w:val="clear" w:pos="8743"/>
              <w:tab w:val="right" w:pos="9026" w:leader="dot"/>
            </w:tabs>
            <w:rPr/>
          </w:pPr>
          <w:hyperlink w:anchor="__RefHeading___Toc12184667_2142443653">
            <w:r>
              <w:rPr>
                <w:webHidden/>
                <w:rStyle w:val="IndexLink"/>
                <w:rtl w:val="true"/>
              </w:rPr>
              <w:t>مكافحة الكوارث الطبيعية</w:t>
            </w:r>
            <w:r>
              <w:rPr>
                <w:rStyle w:val="IndexLink"/>
                <w:rtl w:val="true"/>
              </w:rPr>
              <w:tab/>
            </w:r>
            <w:r>
              <w:rPr>
                <w:rStyle w:val="IndexLink"/>
              </w:rPr>
              <w:t>343</w:t>
            </w:r>
          </w:hyperlink>
        </w:p>
        <w:p>
          <w:pPr>
            <w:pStyle w:val="Contents2"/>
            <w:tabs>
              <w:tab w:val="clear" w:pos="8743"/>
              <w:tab w:val="right" w:pos="9026" w:leader="dot"/>
            </w:tabs>
            <w:rPr/>
          </w:pPr>
          <w:hyperlink w:anchor="__RefHeading___Toc12184669_2142443653">
            <w:r>
              <w:rPr>
                <w:webHidden/>
                <w:rStyle w:val="IndexLink"/>
                <w:rtl w:val="true"/>
              </w:rPr>
              <w:t>إبادة الحشرات</w:t>
            </w:r>
            <w:r>
              <w:rPr>
                <w:rStyle w:val="IndexLink"/>
                <w:rtl w:val="true"/>
              </w:rPr>
              <w:tab/>
            </w:r>
            <w:r>
              <w:rPr>
                <w:rStyle w:val="IndexLink"/>
              </w:rPr>
              <w:t>344</w:t>
            </w:r>
          </w:hyperlink>
        </w:p>
        <w:p>
          <w:pPr>
            <w:pStyle w:val="Contents2"/>
            <w:tabs>
              <w:tab w:val="clear" w:pos="8743"/>
              <w:tab w:val="right" w:pos="9026" w:leader="dot"/>
            </w:tabs>
            <w:rPr/>
          </w:pPr>
          <w:hyperlink w:anchor="__RefHeading___Toc12184671_2142443653">
            <w:r>
              <w:rPr>
                <w:webHidden/>
                <w:rStyle w:val="IndexLink"/>
                <w:rtl w:val="true"/>
              </w:rPr>
              <w:t>تخفيف آلام المخاض</w:t>
            </w:r>
            <w:r>
              <w:rPr>
                <w:rStyle w:val="IndexLink"/>
                <w:rtl w:val="true"/>
              </w:rPr>
              <w:tab/>
            </w:r>
            <w:r>
              <w:rPr>
                <w:rStyle w:val="IndexLink"/>
              </w:rPr>
              <w:t>344</w:t>
            </w:r>
          </w:hyperlink>
        </w:p>
        <w:p>
          <w:pPr>
            <w:pStyle w:val="Contents2"/>
            <w:tabs>
              <w:tab w:val="clear" w:pos="8743"/>
              <w:tab w:val="right" w:pos="9026" w:leader="dot"/>
            </w:tabs>
            <w:rPr/>
          </w:pPr>
          <w:hyperlink w:anchor="__RefHeading___Toc12184673_2142443653">
            <w:r>
              <w:rPr>
                <w:webHidden/>
                <w:rStyle w:val="IndexLink"/>
                <w:rtl w:val="true"/>
              </w:rPr>
              <w:t>التسكين والتخدير</w:t>
            </w:r>
            <w:r>
              <w:rPr>
                <w:rStyle w:val="IndexLink"/>
                <w:rtl w:val="true"/>
              </w:rPr>
              <w:tab/>
            </w:r>
            <w:r>
              <w:rPr>
                <w:rStyle w:val="IndexLink"/>
              </w:rPr>
              <w:t>344</w:t>
            </w:r>
          </w:hyperlink>
        </w:p>
        <w:p>
          <w:pPr>
            <w:pStyle w:val="Contents2"/>
            <w:tabs>
              <w:tab w:val="clear" w:pos="8743"/>
              <w:tab w:val="right" w:pos="9026" w:leader="dot"/>
            </w:tabs>
            <w:rPr/>
          </w:pPr>
          <w:hyperlink w:anchor="__RefHeading___Toc12184675_2142443653">
            <w:r>
              <w:rPr>
                <w:webHidden/>
                <w:rStyle w:val="IndexLink"/>
                <w:rtl w:val="true"/>
              </w:rPr>
              <w:t>الحد من سراية الأمراض</w:t>
            </w:r>
            <w:r>
              <w:rPr>
                <w:rStyle w:val="IndexLink"/>
                <w:rtl w:val="true"/>
              </w:rPr>
              <w:tab/>
            </w:r>
            <w:r>
              <w:rPr>
                <w:rStyle w:val="IndexLink"/>
              </w:rPr>
              <w:t>345</w:t>
            </w:r>
          </w:hyperlink>
        </w:p>
        <w:p>
          <w:pPr>
            <w:pStyle w:val="Contents2"/>
            <w:tabs>
              <w:tab w:val="clear" w:pos="8743"/>
              <w:tab w:val="right" w:pos="9026" w:leader="dot"/>
            </w:tabs>
            <w:rPr/>
          </w:pPr>
          <w:hyperlink w:anchor="__RefHeading___Toc12184677_2142443653">
            <w:r>
              <w:rPr>
                <w:webHidden/>
                <w:rStyle w:val="IndexLink"/>
                <w:rtl w:val="true"/>
              </w:rPr>
              <w:t>حرية زيارة المراكز المقدسة</w:t>
            </w:r>
            <w:r>
              <w:rPr>
                <w:rStyle w:val="IndexLink"/>
                <w:rtl w:val="true"/>
              </w:rPr>
              <w:tab/>
            </w:r>
            <w:r>
              <w:rPr>
                <w:rStyle w:val="IndexLink"/>
              </w:rPr>
              <w:t>345</w:t>
            </w:r>
          </w:hyperlink>
        </w:p>
        <w:p>
          <w:pPr>
            <w:pStyle w:val="Contents2"/>
            <w:tabs>
              <w:tab w:val="clear" w:pos="8743"/>
              <w:tab w:val="right" w:pos="9026" w:leader="dot"/>
            </w:tabs>
            <w:rPr/>
          </w:pPr>
          <w:hyperlink w:anchor="__RefHeading___Toc12184679_2142443653">
            <w:r>
              <w:rPr>
                <w:webHidden/>
                <w:rStyle w:val="IndexLink"/>
                <w:rtl w:val="true"/>
              </w:rPr>
              <w:t>تسعير الأجناس</w:t>
            </w:r>
            <w:r>
              <w:rPr>
                <w:rStyle w:val="IndexLink"/>
                <w:rtl w:val="true"/>
              </w:rPr>
              <w:tab/>
            </w:r>
            <w:r>
              <w:rPr>
                <w:rStyle w:val="IndexLink"/>
              </w:rPr>
              <w:t>345</w:t>
            </w:r>
          </w:hyperlink>
        </w:p>
        <w:p>
          <w:pPr>
            <w:pStyle w:val="Contents2"/>
            <w:tabs>
              <w:tab w:val="clear" w:pos="8743"/>
              <w:tab w:val="right" w:pos="9026" w:leader="dot"/>
            </w:tabs>
            <w:rPr/>
          </w:pPr>
          <w:hyperlink w:anchor="__RefHeading___Toc12184681_2142443653">
            <w:r>
              <w:rPr>
                <w:webHidden/>
                <w:rStyle w:val="IndexLink"/>
                <w:rtl w:val="true"/>
              </w:rPr>
              <w:t>لا شفاعة مع ثبوت الجرم</w:t>
            </w:r>
            <w:r>
              <w:rPr>
                <w:rStyle w:val="IndexLink"/>
                <w:rtl w:val="true"/>
              </w:rPr>
              <w:tab/>
            </w:r>
            <w:r>
              <w:rPr>
                <w:rStyle w:val="IndexLink"/>
              </w:rPr>
              <w:t>346</w:t>
            </w:r>
          </w:hyperlink>
        </w:p>
        <w:p>
          <w:pPr>
            <w:pStyle w:val="Contents2"/>
            <w:tabs>
              <w:tab w:val="clear" w:pos="8743"/>
              <w:tab w:val="right" w:pos="9026" w:leader="dot"/>
            </w:tabs>
            <w:rPr/>
          </w:pPr>
          <w:hyperlink w:anchor="__RefHeading___Toc12184683_2142443653">
            <w:r>
              <w:rPr>
                <w:webHidden/>
                <w:rStyle w:val="IndexLink"/>
                <w:rtl w:val="true"/>
              </w:rPr>
              <w:t>لا شفاعة لأهل المنكر</w:t>
            </w:r>
            <w:r>
              <w:rPr>
                <w:rStyle w:val="IndexLink"/>
                <w:rtl w:val="true"/>
              </w:rPr>
              <w:tab/>
            </w:r>
            <w:r>
              <w:rPr>
                <w:rStyle w:val="IndexLink"/>
              </w:rPr>
              <w:t>347</w:t>
            </w:r>
          </w:hyperlink>
        </w:p>
        <w:p>
          <w:pPr>
            <w:pStyle w:val="Contents2"/>
            <w:tabs>
              <w:tab w:val="clear" w:pos="8743"/>
              <w:tab w:val="right" w:pos="9026" w:leader="dot"/>
            </w:tabs>
            <w:rPr/>
          </w:pPr>
          <w:hyperlink w:anchor="__RefHeading___Toc12184685_2142443653">
            <w:r>
              <w:rPr>
                <w:webHidden/>
                <w:rStyle w:val="IndexLink"/>
                <w:rtl w:val="true"/>
              </w:rPr>
              <w:t>مدح الظالم</w:t>
            </w:r>
            <w:r>
              <w:rPr>
                <w:rStyle w:val="IndexLink"/>
                <w:rtl w:val="true"/>
              </w:rPr>
              <w:tab/>
            </w:r>
            <w:r>
              <w:rPr>
                <w:rStyle w:val="IndexLink"/>
              </w:rPr>
              <w:t>347</w:t>
            </w:r>
          </w:hyperlink>
        </w:p>
        <w:p>
          <w:pPr>
            <w:pStyle w:val="Contents2"/>
            <w:tabs>
              <w:tab w:val="clear" w:pos="8743"/>
              <w:tab w:val="right" w:pos="9026" w:leader="dot"/>
            </w:tabs>
            <w:rPr/>
          </w:pPr>
          <w:hyperlink w:anchor="__RefHeading___Toc12184687_2142443653">
            <w:r>
              <w:rPr>
                <w:webHidden/>
                <w:rStyle w:val="IndexLink"/>
                <w:rtl w:val="true"/>
              </w:rPr>
              <w:t>الإعانة على البغاء</w:t>
            </w:r>
            <w:r>
              <w:rPr>
                <w:rStyle w:val="IndexLink"/>
                <w:rtl w:val="true"/>
              </w:rPr>
              <w:tab/>
            </w:r>
            <w:r>
              <w:rPr>
                <w:rStyle w:val="IndexLink"/>
              </w:rPr>
              <w:t>347</w:t>
            </w:r>
          </w:hyperlink>
        </w:p>
        <w:p>
          <w:pPr>
            <w:pStyle w:val="Contents2"/>
            <w:tabs>
              <w:tab w:val="clear" w:pos="8743"/>
              <w:tab w:val="right" w:pos="9026" w:leader="dot"/>
            </w:tabs>
            <w:rPr/>
          </w:pPr>
          <w:hyperlink w:anchor="__RefHeading___Toc12184689_2142443653">
            <w:r>
              <w:rPr>
                <w:webHidden/>
                <w:rStyle w:val="IndexLink"/>
                <w:rtl w:val="true"/>
              </w:rPr>
              <w:t>تثقيل الوزن وتخفيفه</w:t>
            </w:r>
            <w:r>
              <w:rPr>
                <w:rStyle w:val="IndexLink"/>
                <w:rtl w:val="true"/>
              </w:rPr>
              <w:tab/>
            </w:r>
            <w:r>
              <w:rPr>
                <w:rStyle w:val="IndexLink"/>
              </w:rPr>
              <w:t>348</w:t>
            </w:r>
          </w:hyperlink>
        </w:p>
        <w:p>
          <w:pPr>
            <w:pStyle w:val="Contents2"/>
            <w:tabs>
              <w:tab w:val="clear" w:pos="8743"/>
              <w:tab w:val="right" w:pos="9026" w:leader="dot"/>
            </w:tabs>
            <w:rPr/>
          </w:pPr>
          <w:hyperlink w:anchor="__RefHeading___Toc12184691_2142443653">
            <w:r>
              <w:rPr>
                <w:webHidden/>
                <w:rStyle w:val="IndexLink"/>
                <w:rtl w:val="true"/>
              </w:rPr>
              <w:t>الوزن خارج الجاذبية</w:t>
            </w:r>
            <w:r>
              <w:rPr>
                <w:rStyle w:val="IndexLink"/>
                <w:rtl w:val="true"/>
              </w:rPr>
              <w:tab/>
            </w:r>
            <w:r>
              <w:rPr>
                <w:rStyle w:val="IndexLink"/>
              </w:rPr>
              <w:t>348</w:t>
            </w:r>
          </w:hyperlink>
        </w:p>
        <w:p>
          <w:pPr>
            <w:pStyle w:val="Contents2"/>
            <w:tabs>
              <w:tab w:val="clear" w:pos="8743"/>
              <w:tab w:val="right" w:pos="9026" w:leader="dot"/>
            </w:tabs>
            <w:rPr/>
          </w:pPr>
          <w:hyperlink w:anchor="__RefHeading___Toc12184693_2142443653">
            <w:r>
              <w:rPr>
                <w:webHidden/>
                <w:rStyle w:val="IndexLink"/>
                <w:rtl w:val="true"/>
              </w:rPr>
              <w:t>تغيير الدم</w:t>
            </w:r>
            <w:r>
              <w:rPr>
                <w:rStyle w:val="IndexLink"/>
                <w:rtl w:val="true"/>
              </w:rPr>
              <w:tab/>
            </w:r>
            <w:r>
              <w:rPr>
                <w:rStyle w:val="IndexLink"/>
              </w:rPr>
              <w:t>349</w:t>
            </w:r>
          </w:hyperlink>
        </w:p>
        <w:p>
          <w:pPr>
            <w:pStyle w:val="Contents2"/>
            <w:tabs>
              <w:tab w:val="clear" w:pos="8743"/>
              <w:tab w:val="right" w:pos="9026" w:leader="dot"/>
            </w:tabs>
            <w:rPr/>
          </w:pPr>
          <w:hyperlink w:anchor="__RefHeading___Toc12184695_2142443653">
            <w:r>
              <w:rPr>
                <w:webHidden/>
                <w:rStyle w:val="IndexLink"/>
                <w:rtl w:val="true"/>
              </w:rPr>
              <w:t>البول إذا تغير</w:t>
            </w:r>
            <w:r>
              <w:rPr>
                <w:rStyle w:val="IndexLink"/>
                <w:rtl w:val="true"/>
              </w:rPr>
              <w:tab/>
            </w:r>
            <w:r>
              <w:rPr>
                <w:rStyle w:val="IndexLink"/>
              </w:rPr>
              <w:t>349</w:t>
            </w:r>
          </w:hyperlink>
        </w:p>
        <w:p>
          <w:pPr>
            <w:pStyle w:val="Contents2"/>
            <w:tabs>
              <w:tab w:val="clear" w:pos="8743"/>
              <w:tab w:val="right" w:pos="9026" w:leader="dot"/>
            </w:tabs>
            <w:rPr/>
          </w:pPr>
          <w:hyperlink w:anchor="__RefHeading___Toc12184697_2142443653">
            <w:r>
              <w:rPr>
                <w:webHidden/>
                <w:rStyle w:val="IndexLink"/>
                <w:rtl w:val="true"/>
              </w:rPr>
              <w:t>الفضلات المتغيرة</w:t>
            </w:r>
            <w:r>
              <w:rPr>
                <w:rStyle w:val="IndexLink"/>
                <w:rtl w:val="true"/>
              </w:rPr>
              <w:tab/>
            </w:r>
            <w:r>
              <w:rPr>
                <w:rStyle w:val="IndexLink"/>
              </w:rPr>
              <w:t>349</w:t>
            </w:r>
          </w:hyperlink>
        </w:p>
        <w:p>
          <w:pPr>
            <w:pStyle w:val="Contents2"/>
            <w:tabs>
              <w:tab w:val="clear" w:pos="8743"/>
              <w:tab w:val="right" w:pos="9026" w:leader="dot"/>
            </w:tabs>
            <w:rPr/>
          </w:pPr>
          <w:hyperlink w:anchor="__RefHeading___Toc12184699_2142443653">
            <w:r>
              <w:rPr>
                <w:webHidden/>
                <w:rStyle w:val="IndexLink"/>
                <w:rtl w:val="true"/>
              </w:rPr>
              <w:t>العدة في القطبين</w:t>
            </w:r>
            <w:r>
              <w:rPr>
                <w:rStyle w:val="IndexLink"/>
                <w:rtl w:val="true"/>
              </w:rPr>
              <w:tab/>
            </w:r>
            <w:r>
              <w:rPr>
                <w:rStyle w:val="IndexLink"/>
              </w:rPr>
              <w:t>349</w:t>
            </w:r>
          </w:hyperlink>
        </w:p>
        <w:p>
          <w:pPr>
            <w:pStyle w:val="Contents2"/>
            <w:tabs>
              <w:tab w:val="clear" w:pos="8743"/>
              <w:tab w:val="right" w:pos="9026" w:leader="dot"/>
            </w:tabs>
            <w:rPr/>
          </w:pPr>
          <w:hyperlink w:anchor="__RefHeading___Toc12184701_2142443653">
            <w:r>
              <w:rPr>
                <w:webHidden/>
                <w:rStyle w:val="IndexLink"/>
                <w:rtl w:val="true"/>
              </w:rPr>
              <w:t>العدة في القمر</w:t>
            </w:r>
            <w:r>
              <w:rPr>
                <w:rStyle w:val="IndexLink"/>
                <w:rtl w:val="true"/>
              </w:rPr>
              <w:tab/>
            </w:r>
            <w:r>
              <w:rPr>
                <w:rStyle w:val="IndexLink"/>
              </w:rPr>
              <w:t>350</w:t>
            </w:r>
          </w:hyperlink>
        </w:p>
        <w:p>
          <w:pPr>
            <w:pStyle w:val="Contents2"/>
            <w:tabs>
              <w:tab w:val="clear" w:pos="8743"/>
              <w:tab w:val="right" w:pos="9026" w:leader="dot"/>
            </w:tabs>
            <w:rPr/>
          </w:pPr>
          <w:hyperlink w:anchor="__RefHeading___Toc12184703_2142443653">
            <w:r>
              <w:rPr>
                <w:webHidden/>
                <w:rStyle w:val="IndexLink"/>
                <w:rtl w:val="true"/>
              </w:rPr>
              <w:t>التحديدات الشرعية في القطبين</w:t>
            </w:r>
            <w:r>
              <w:rPr>
                <w:rStyle w:val="IndexLink"/>
                <w:rtl w:val="true"/>
              </w:rPr>
              <w:tab/>
            </w:r>
            <w:r>
              <w:rPr>
                <w:rStyle w:val="IndexLink"/>
              </w:rPr>
              <w:t>350</w:t>
            </w:r>
          </w:hyperlink>
        </w:p>
        <w:p>
          <w:pPr>
            <w:pStyle w:val="Contents2"/>
            <w:tabs>
              <w:tab w:val="clear" w:pos="8743"/>
              <w:tab w:val="right" w:pos="9026" w:leader="dot"/>
            </w:tabs>
            <w:rPr/>
          </w:pPr>
          <w:hyperlink w:anchor="__RefHeading___Toc12184705_2142443653">
            <w:r>
              <w:rPr>
                <w:webHidden/>
                <w:rStyle w:val="IndexLink"/>
                <w:rtl w:val="true"/>
              </w:rPr>
              <w:t>الرضاع بالآلة</w:t>
            </w:r>
            <w:r>
              <w:rPr>
                <w:rStyle w:val="IndexLink"/>
                <w:rtl w:val="true"/>
              </w:rPr>
              <w:tab/>
            </w:r>
            <w:r>
              <w:rPr>
                <w:rStyle w:val="IndexLink"/>
              </w:rPr>
              <w:t>350</w:t>
            </w:r>
          </w:hyperlink>
        </w:p>
        <w:p>
          <w:pPr>
            <w:pStyle w:val="Contents2"/>
            <w:tabs>
              <w:tab w:val="clear" w:pos="8743"/>
              <w:tab w:val="right" w:pos="9026" w:leader="dot"/>
            </w:tabs>
            <w:rPr/>
          </w:pPr>
          <w:hyperlink w:anchor="__RefHeading___Toc12184707_2142443653">
            <w:r>
              <w:rPr>
                <w:webHidden/>
                <w:rStyle w:val="IndexLink"/>
                <w:rtl w:val="true"/>
              </w:rPr>
              <w:t>الحيض الآلي</w:t>
            </w:r>
            <w:r>
              <w:rPr>
                <w:rStyle w:val="IndexLink"/>
                <w:rtl w:val="true"/>
              </w:rPr>
              <w:tab/>
            </w:r>
            <w:r>
              <w:rPr>
                <w:rStyle w:val="IndexLink"/>
              </w:rPr>
              <w:t>350</w:t>
            </w:r>
          </w:hyperlink>
        </w:p>
        <w:p>
          <w:pPr>
            <w:pStyle w:val="Contents2"/>
            <w:tabs>
              <w:tab w:val="clear" w:pos="8743"/>
              <w:tab w:val="right" w:pos="9026" w:leader="dot"/>
            </w:tabs>
            <w:rPr/>
          </w:pPr>
          <w:hyperlink w:anchor="__RefHeading___Toc12184709_2142443653">
            <w:r>
              <w:rPr>
                <w:webHidden/>
                <w:rStyle w:val="IndexLink"/>
                <w:rtl w:val="true"/>
              </w:rPr>
              <w:t>من أحكام الرضاع</w:t>
            </w:r>
            <w:r>
              <w:rPr>
                <w:rStyle w:val="IndexLink"/>
                <w:rtl w:val="true"/>
              </w:rPr>
              <w:tab/>
            </w:r>
            <w:r>
              <w:rPr>
                <w:rStyle w:val="IndexLink"/>
              </w:rPr>
              <w:t>351</w:t>
            </w:r>
          </w:hyperlink>
        </w:p>
        <w:p>
          <w:pPr>
            <w:pStyle w:val="Contents2"/>
            <w:tabs>
              <w:tab w:val="clear" w:pos="8743"/>
              <w:tab w:val="right" w:pos="9026" w:leader="dot"/>
            </w:tabs>
            <w:rPr/>
          </w:pPr>
          <w:hyperlink w:anchor="__RefHeading___Toc12184711_2142443653">
            <w:r>
              <w:rPr>
                <w:webHidden/>
                <w:rStyle w:val="IndexLink"/>
                <w:rtl w:val="true"/>
              </w:rPr>
              <w:t>اختلاف العيد</w:t>
            </w:r>
            <w:r>
              <w:rPr>
                <w:rStyle w:val="IndexLink"/>
                <w:rtl w:val="true"/>
              </w:rPr>
              <w:tab/>
            </w:r>
            <w:r>
              <w:rPr>
                <w:rStyle w:val="IndexLink"/>
              </w:rPr>
              <w:t>351</w:t>
            </w:r>
          </w:hyperlink>
        </w:p>
        <w:p>
          <w:pPr>
            <w:pStyle w:val="Contents2"/>
            <w:tabs>
              <w:tab w:val="clear" w:pos="8743"/>
              <w:tab w:val="right" w:pos="9026" w:leader="dot"/>
            </w:tabs>
            <w:rPr/>
          </w:pPr>
          <w:hyperlink w:anchor="__RefHeading___Toc12184713_2142443653">
            <w:r>
              <w:rPr>
                <w:webHidden/>
                <w:rStyle w:val="IndexLink"/>
                <w:rtl w:val="true"/>
              </w:rPr>
              <w:t>الاختلاف في الأضحى</w:t>
            </w:r>
            <w:r>
              <w:rPr>
                <w:rStyle w:val="IndexLink"/>
                <w:rtl w:val="true"/>
              </w:rPr>
              <w:tab/>
            </w:r>
            <w:r>
              <w:rPr>
                <w:rStyle w:val="IndexLink"/>
              </w:rPr>
              <w:t>352</w:t>
            </w:r>
          </w:hyperlink>
        </w:p>
        <w:p>
          <w:pPr>
            <w:pStyle w:val="Contents2"/>
            <w:tabs>
              <w:tab w:val="clear" w:pos="8743"/>
              <w:tab w:val="right" w:pos="9026" w:leader="dot"/>
            </w:tabs>
            <w:rPr/>
          </w:pPr>
          <w:hyperlink w:anchor="__RefHeading___Toc12184715_2142443653">
            <w:r>
              <w:rPr>
                <w:webHidden/>
                <w:rStyle w:val="IndexLink"/>
                <w:rtl w:val="true"/>
              </w:rPr>
              <w:t>الاختلاف في المناسبات المستحبة والمكروهة</w:t>
            </w:r>
            <w:r>
              <w:rPr>
                <w:rStyle w:val="IndexLink"/>
                <w:rtl w:val="true"/>
              </w:rPr>
              <w:tab/>
            </w:r>
            <w:r>
              <w:rPr>
                <w:rStyle w:val="IndexLink"/>
              </w:rPr>
              <w:t>352</w:t>
            </w:r>
          </w:hyperlink>
        </w:p>
        <w:p>
          <w:pPr>
            <w:pStyle w:val="Contents2"/>
            <w:tabs>
              <w:tab w:val="clear" w:pos="8743"/>
              <w:tab w:val="right" w:pos="9026" w:leader="dot"/>
            </w:tabs>
            <w:rPr/>
          </w:pPr>
          <w:hyperlink w:anchor="__RefHeading___Toc12184717_2142443653">
            <w:r>
              <w:rPr>
                <w:webHidden/>
                <w:rStyle w:val="IndexLink"/>
                <w:rtl w:val="true"/>
              </w:rPr>
              <w:t>الصلاة والآفاق المختلفة</w:t>
            </w:r>
            <w:r>
              <w:rPr>
                <w:rStyle w:val="IndexLink"/>
                <w:rtl w:val="true"/>
              </w:rPr>
              <w:tab/>
            </w:r>
            <w:r>
              <w:rPr>
                <w:rStyle w:val="IndexLink"/>
              </w:rPr>
              <w:t>353</w:t>
            </w:r>
          </w:hyperlink>
        </w:p>
        <w:p>
          <w:pPr>
            <w:pStyle w:val="Contents2"/>
            <w:tabs>
              <w:tab w:val="clear" w:pos="8743"/>
              <w:tab w:val="right" w:pos="9026" w:leader="dot"/>
            </w:tabs>
            <w:rPr/>
          </w:pPr>
          <w:hyperlink w:anchor="__RefHeading___Toc12184719_2142443653">
            <w:r>
              <w:rPr>
                <w:webHidden/>
                <w:rStyle w:val="IndexLink"/>
                <w:rtl w:val="true"/>
              </w:rPr>
              <w:t>نذر يوم عرفة</w:t>
            </w:r>
            <w:r>
              <w:rPr>
                <w:rStyle w:val="IndexLink"/>
                <w:rtl w:val="true"/>
              </w:rPr>
              <w:tab/>
            </w:r>
            <w:r>
              <w:rPr>
                <w:rStyle w:val="IndexLink"/>
              </w:rPr>
              <w:t>353</w:t>
            </w:r>
          </w:hyperlink>
        </w:p>
        <w:p>
          <w:pPr>
            <w:pStyle w:val="Contents2"/>
            <w:tabs>
              <w:tab w:val="clear" w:pos="8743"/>
              <w:tab w:val="right" w:pos="9026" w:leader="dot"/>
            </w:tabs>
            <w:rPr/>
          </w:pPr>
          <w:hyperlink w:anchor="__RefHeading___Toc12184721_2142443653">
            <w:r>
              <w:rPr>
                <w:webHidden/>
                <w:rStyle w:val="IndexLink"/>
                <w:rtl w:val="true"/>
              </w:rPr>
              <w:t>الصلاة في الطائرة العمودية</w:t>
            </w:r>
            <w:r>
              <w:rPr>
                <w:rStyle w:val="IndexLink"/>
                <w:rtl w:val="true"/>
              </w:rPr>
              <w:tab/>
            </w:r>
            <w:r>
              <w:rPr>
                <w:rStyle w:val="IndexLink"/>
              </w:rPr>
              <w:t>353</w:t>
            </w:r>
          </w:hyperlink>
        </w:p>
        <w:p>
          <w:pPr>
            <w:pStyle w:val="Contents2"/>
            <w:tabs>
              <w:tab w:val="clear" w:pos="8743"/>
              <w:tab w:val="right" w:pos="9026" w:leader="dot"/>
            </w:tabs>
            <w:rPr/>
          </w:pPr>
          <w:hyperlink w:anchor="__RefHeading___Toc12184723_2142443653">
            <w:r>
              <w:rPr>
                <w:webHidden/>
                <w:rStyle w:val="IndexLink"/>
                <w:rtl w:val="true"/>
              </w:rPr>
              <w:t>الصوم في الآفاق القطبية</w:t>
            </w:r>
            <w:r>
              <w:rPr>
                <w:rStyle w:val="IndexLink"/>
                <w:rtl w:val="true"/>
              </w:rPr>
              <w:tab/>
            </w:r>
            <w:r>
              <w:rPr>
                <w:rStyle w:val="IndexLink"/>
              </w:rPr>
              <w:t>354</w:t>
            </w:r>
          </w:hyperlink>
        </w:p>
        <w:p>
          <w:pPr>
            <w:pStyle w:val="Contents2"/>
            <w:tabs>
              <w:tab w:val="clear" w:pos="8743"/>
              <w:tab w:val="right" w:pos="9026" w:leader="dot"/>
            </w:tabs>
            <w:rPr/>
          </w:pPr>
          <w:hyperlink w:anchor="__RefHeading___Toc12184725_2142443653">
            <w:r>
              <w:rPr>
                <w:webHidden/>
                <w:rStyle w:val="IndexLink"/>
                <w:rtl w:val="true"/>
              </w:rPr>
              <w:t>إذا تسرعت حركة الأرض</w:t>
            </w:r>
            <w:r>
              <w:rPr>
                <w:rStyle w:val="IndexLink"/>
                <w:rtl w:val="true"/>
              </w:rPr>
              <w:tab/>
            </w:r>
            <w:r>
              <w:rPr>
                <w:rStyle w:val="IndexLink"/>
              </w:rPr>
              <w:t>355</w:t>
            </w:r>
          </w:hyperlink>
        </w:p>
        <w:p>
          <w:pPr>
            <w:pStyle w:val="Contents2"/>
            <w:tabs>
              <w:tab w:val="clear" w:pos="8743"/>
              <w:tab w:val="right" w:pos="9026" w:leader="dot"/>
            </w:tabs>
            <w:rPr/>
          </w:pPr>
          <w:hyperlink w:anchor="__RefHeading___Toc12184727_2142443653">
            <w:r>
              <w:rPr>
                <w:webHidden/>
                <w:rStyle w:val="IndexLink"/>
                <w:rtl w:val="true"/>
              </w:rPr>
              <w:t>إذا تثبّطت حركة الأرض</w:t>
            </w:r>
            <w:r>
              <w:rPr>
                <w:rStyle w:val="IndexLink"/>
                <w:rtl w:val="true"/>
              </w:rPr>
              <w:tab/>
            </w:r>
            <w:r>
              <w:rPr>
                <w:rStyle w:val="IndexLink"/>
              </w:rPr>
              <w:t>355</w:t>
            </w:r>
          </w:hyperlink>
        </w:p>
        <w:p>
          <w:pPr>
            <w:pStyle w:val="Contents2"/>
            <w:tabs>
              <w:tab w:val="clear" w:pos="8743"/>
              <w:tab w:val="right" w:pos="9026" w:leader="dot"/>
            </w:tabs>
            <w:rPr/>
          </w:pPr>
          <w:hyperlink w:anchor="__RefHeading___Toc12184729_2142443653">
            <w:r>
              <w:rPr>
                <w:webHidden/>
                <w:rStyle w:val="IndexLink"/>
                <w:rtl w:val="true"/>
              </w:rPr>
              <w:t>الغلات الكيماوية</w:t>
            </w:r>
            <w:r>
              <w:rPr>
                <w:rStyle w:val="IndexLink"/>
                <w:rtl w:val="true"/>
              </w:rPr>
              <w:tab/>
            </w:r>
            <w:r>
              <w:rPr>
                <w:rStyle w:val="IndexLink"/>
              </w:rPr>
              <w:t>356</w:t>
            </w:r>
          </w:hyperlink>
        </w:p>
        <w:p>
          <w:pPr>
            <w:pStyle w:val="Contents2"/>
            <w:tabs>
              <w:tab w:val="clear" w:pos="8743"/>
              <w:tab w:val="right" w:pos="9026" w:leader="dot"/>
            </w:tabs>
            <w:rPr/>
          </w:pPr>
          <w:hyperlink w:anchor="__RefHeading___Toc12184731_2142443653">
            <w:r>
              <w:rPr>
                <w:webHidden/>
                <w:rStyle w:val="IndexLink"/>
                <w:rtl w:val="true"/>
              </w:rPr>
              <w:t>لو تغيّرت الحنطة</w:t>
            </w:r>
            <w:r>
              <w:rPr>
                <w:rStyle w:val="IndexLink"/>
                <w:rtl w:val="true"/>
              </w:rPr>
              <w:tab/>
            </w:r>
            <w:r>
              <w:rPr>
                <w:rStyle w:val="IndexLink"/>
              </w:rPr>
              <w:t>357</w:t>
            </w:r>
          </w:hyperlink>
        </w:p>
        <w:p>
          <w:pPr>
            <w:pStyle w:val="Contents2"/>
            <w:tabs>
              <w:tab w:val="clear" w:pos="8743"/>
              <w:tab w:val="right" w:pos="9026" w:leader="dot"/>
            </w:tabs>
            <w:rPr/>
          </w:pPr>
          <w:hyperlink w:anchor="__RefHeading___Toc12184733_2142443653">
            <w:r>
              <w:rPr>
                <w:webHidden/>
                <w:rStyle w:val="IndexLink"/>
                <w:rtl w:val="true"/>
              </w:rPr>
              <w:t>تغيير الإبل بالتزريق</w:t>
            </w:r>
            <w:r>
              <w:rPr>
                <w:rStyle w:val="IndexLink"/>
                <w:rtl w:val="true"/>
              </w:rPr>
              <w:tab/>
            </w:r>
            <w:r>
              <w:rPr>
                <w:rStyle w:val="IndexLink"/>
              </w:rPr>
              <w:t>357</w:t>
            </w:r>
          </w:hyperlink>
        </w:p>
        <w:p>
          <w:pPr>
            <w:pStyle w:val="Contents2"/>
            <w:tabs>
              <w:tab w:val="clear" w:pos="8743"/>
              <w:tab w:val="right" w:pos="9026" w:leader="dot"/>
            </w:tabs>
            <w:rPr/>
          </w:pPr>
          <w:hyperlink w:anchor="__RefHeading___Toc12184735_2142443653">
            <w:r>
              <w:rPr>
                <w:webHidden/>
                <w:rStyle w:val="IndexLink"/>
                <w:rtl w:val="true"/>
              </w:rPr>
              <w:t>الذهب إذا صار فلزاً آخر</w:t>
            </w:r>
            <w:r>
              <w:rPr>
                <w:rStyle w:val="IndexLink"/>
                <w:rtl w:val="true"/>
              </w:rPr>
              <w:tab/>
            </w:r>
            <w:r>
              <w:rPr>
                <w:rStyle w:val="IndexLink"/>
              </w:rPr>
              <w:t>357</w:t>
            </w:r>
          </w:hyperlink>
        </w:p>
        <w:p>
          <w:pPr>
            <w:pStyle w:val="Contents2"/>
            <w:tabs>
              <w:tab w:val="clear" w:pos="8743"/>
              <w:tab w:val="right" w:pos="9026" w:leader="dot"/>
            </w:tabs>
            <w:rPr/>
          </w:pPr>
          <w:hyperlink w:anchor="__RefHeading___Toc12184737_2142443653">
            <w:r>
              <w:rPr>
                <w:webHidden/>
                <w:rStyle w:val="IndexLink"/>
                <w:rtl w:val="true"/>
              </w:rPr>
              <w:t>الإنسان المتعدد الأيدي والأرجل</w:t>
            </w:r>
            <w:r>
              <w:rPr>
                <w:rStyle w:val="IndexLink"/>
                <w:rtl w:val="true"/>
              </w:rPr>
              <w:tab/>
            </w:r>
            <w:r>
              <w:rPr>
                <w:rStyle w:val="IndexLink"/>
              </w:rPr>
              <w:t>358</w:t>
            </w:r>
          </w:hyperlink>
        </w:p>
        <w:p>
          <w:pPr>
            <w:pStyle w:val="Contents2"/>
            <w:tabs>
              <w:tab w:val="clear" w:pos="8743"/>
              <w:tab w:val="right" w:pos="9026" w:leader="dot"/>
            </w:tabs>
            <w:rPr/>
          </w:pPr>
          <w:hyperlink w:anchor="__RefHeading___Toc12184739_2142443653">
            <w:r>
              <w:rPr>
                <w:webHidden/>
                <w:rStyle w:val="IndexLink"/>
                <w:rtl w:val="true"/>
              </w:rPr>
              <w:t>لو انخسفت الأرض</w:t>
            </w:r>
            <w:r>
              <w:rPr>
                <w:rStyle w:val="IndexLink"/>
                <w:rtl w:val="true"/>
              </w:rPr>
              <w:tab/>
            </w:r>
            <w:r>
              <w:rPr>
                <w:rStyle w:val="IndexLink"/>
              </w:rPr>
              <w:t>359</w:t>
            </w:r>
          </w:hyperlink>
        </w:p>
        <w:p>
          <w:pPr>
            <w:pStyle w:val="Contents2"/>
            <w:tabs>
              <w:tab w:val="clear" w:pos="8743"/>
              <w:tab w:val="right" w:pos="9026" w:leader="dot"/>
            </w:tabs>
            <w:rPr/>
          </w:pPr>
          <w:hyperlink w:anchor="__RefHeading___Toc12184741_2142443653">
            <w:r>
              <w:rPr>
                <w:webHidden/>
                <w:rStyle w:val="IndexLink"/>
                <w:rtl w:val="true"/>
              </w:rPr>
              <w:t>الآيات في الكواكب الأخرى</w:t>
            </w:r>
            <w:r>
              <w:rPr>
                <w:rStyle w:val="IndexLink"/>
                <w:rtl w:val="true"/>
              </w:rPr>
              <w:tab/>
            </w:r>
            <w:r>
              <w:rPr>
                <w:rStyle w:val="IndexLink"/>
              </w:rPr>
              <w:t>359</w:t>
            </w:r>
          </w:hyperlink>
        </w:p>
        <w:p>
          <w:pPr>
            <w:pStyle w:val="Contents2"/>
            <w:tabs>
              <w:tab w:val="clear" w:pos="8743"/>
              <w:tab w:val="right" w:pos="9026" w:leader="dot"/>
            </w:tabs>
            <w:rPr/>
          </w:pPr>
          <w:hyperlink w:anchor="__RefHeading___Toc12184743_2142443653">
            <w:r>
              <w:rPr>
                <w:webHidden/>
                <w:rStyle w:val="IndexLink"/>
                <w:rtl w:val="true"/>
              </w:rPr>
              <w:t>تكرر الآيات السماوية</w:t>
            </w:r>
            <w:r>
              <w:rPr>
                <w:rStyle w:val="IndexLink"/>
                <w:rtl w:val="true"/>
              </w:rPr>
              <w:tab/>
            </w:r>
            <w:r>
              <w:rPr>
                <w:rStyle w:val="IndexLink"/>
              </w:rPr>
              <w:t>359</w:t>
            </w:r>
          </w:hyperlink>
        </w:p>
        <w:p>
          <w:pPr>
            <w:pStyle w:val="Contents2"/>
            <w:tabs>
              <w:tab w:val="clear" w:pos="8743"/>
              <w:tab w:val="right" w:pos="9026" w:leader="dot"/>
            </w:tabs>
            <w:rPr/>
          </w:pPr>
          <w:hyperlink w:anchor="__RefHeading___Toc12184745_2142443653">
            <w:r>
              <w:rPr>
                <w:webHidden/>
                <w:rStyle w:val="IndexLink"/>
                <w:rtl w:val="true"/>
              </w:rPr>
              <w:t>الزلازل المستمرة</w:t>
            </w:r>
            <w:r>
              <w:rPr>
                <w:rStyle w:val="IndexLink"/>
                <w:rtl w:val="true"/>
              </w:rPr>
              <w:tab/>
            </w:r>
            <w:r>
              <w:rPr>
                <w:rStyle w:val="IndexLink"/>
              </w:rPr>
              <w:t>359</w:t>
            </w:r>
          </w:hyperlink>
        </w:p>
        <w:p>
          <w:pPr>
            <w:pStyle w:val="Contents2"/>
            <w:tabs>
              <w:tab w:val="clear" w:pos="8743"/>
              <w:tab w:val="right" w:pos="9026" w:leader="dot"/>
            </w:tabs>
            <w:rPr/>
          </w:pPr>
          <w:hyperlink w:anchor="__RefHeading___Toc12184747_2142443653">
            <w:r>
              <w:rPr>
                <w:webHidden/>
                <w:rStyle w:val="IndexLink"/>
                <w:rtl w:val="true"/>
              </w:rPr>
              <w:t>الزلزلة في البحر</w:t>
            </w:r>
            <w:r>
              <w:rPr>
                <w:rStyle w:val="IndexLink"/>
                <w:rtl w:val="true"/>
              </w:rPr>
              <w:tab/>
            </w:r>
            <w:r>
              <w:rPr>
                <w:rStyle w:val="IndexLink"/>
              </w:rPr>
              <w:t>360</w:t>
            </w:r>
          </w:hyperlink>
        </w:p>
        <w:p>
          <w:pPr>
            <w:pStyle w:val="Contents2"/>
            <w:tabs>
              <w:tab w:val="clear" w:pos="8743"/>
              <w:tab w:val="right" w:pos="9026" w:leader="dot"/>
            </w:tabs>
            <w:rPr/>
          </w:pPr>
          <w:hyperlink w:anchor="__RefHeading___Toc12184749_2142443653">
            <w:r>
              <w:rPr>
                <w:webHidden/>
                <w:rStyle w:val="IndexLink"/>
                <w:rtl w:val="true"/>
              </w:rPr>
              <w:t>الكسوفان بالمجهر</w:t>
            </w:r>
            <w:r>
              <w:rPr>
                <w:rStyle w:val="IndexLink"/>
                <w:rtl w:val="true"/>
              </w:rPr>
              <w:tab/>
            </w:r>
            <w:r>
              <w:rPr>
                <w:rStyle w:val="IndexLink"/>
              </w:rPr>
              <w:t>360</w:t>
            </w:r>
          </w:hyperlink>
        </w:p>
        <w:p>
          <w:pPr>
            <w:pStyle w:val="Contents2"/>
            <w:tabs>
              <w:tab w:val="clear" w:pos="8743"/>
              <w:tab w:val="right" w:pos="9026" w:leader="dot"/>
            </w:tabs>
            <w:rPr/>
          </w:pPr>
          <w:hyperlink w:anchor="__RefHeading___Toc12184751_2142443653">
            <w:r>
              <w:rPr>
                <w:webHidden/>
                <w:rStyle w:val="IndexLink"/>
                <w:rtl w:val="true"/>
              </w:rPr>
              <w:t>الإحياء بعد القتل</w:t>
            </w:r>
            <w:r>
              <w:rPr>
                <w:rStyle w:val="IndexLink"/>
                <w:rtl w:val="true"/>
              </w:rPr>
              <w:tab/>
            </w:r>
            <w:r>
              <w:rPr>
                <w:rStyle w:val="IndexLink"/>
              </w:rPr>
              <w:t>360</w:t>
            </w:r>
          </w:hyperlink>
        </w:p>
        <w:p>
          <w:pPr>
            <w:pStyle w:val="Contents2"/>
            <w:tabs>
              <w:tab w:val="clear" w:pos="8743"/>
              <w:tab w:val="right" w:pos="9026" w:leader="dot"/>
            </w:tabs>
            <w:rPr/>
          </w:pPr>
          <w:hyperlink w:anchor="__RefHeading___Toc12184753_2142443653">
            <w:r>
              <w:rPr>
                <w:webHidden/>
                <w:rStyle w:val="IndexLink"/>
                <w:rtl w:val="true"/>
              </w:rPr>
              <w:t>العودة بعد الموت</w:t>
            </w:r>
            <w:r>
              <w:rPr>
                <w:rStyle w:val="IndexLink"/>
                <w:rtl w:val="true"/>
              </w:rPr>
              <w:tab/>
            </w:r>
            <w:r>
              <w:rPr>
                <w:rStyle w:val="IndexLink"/>
              </w:rPr>
              <w:t>361</w:t>
            </w:r>
          </w:hyperlink>
        </w:p>
        <w:p>
          <w:pPr>
            <w:pStyle w:val="Contents2"/>
            <w:tabs>
              <w:tab w:val="clear" w:pos="8743"/>
              <w:tab w:val="right" w:pos="9026" w:leader="dot"/>
            </w:tabs>
            <w:rPr/>
          </w:pPr>
          <w:hyperlink w:anchor="__RefHeading___Toc12184755_2142443653">
            <w:r>
              <w:rPr>
                <w:webHidden/>
                <w:rStyle w:val="IndexLink"/>
                <w:rtl w:val="true"/>
              </w:rPr>
              <w:t>من أحكام الميت</w:t>
            </w:r>
            <w:r>
              <w:rPr>
                <w:rStyle w:val="IndexLink"/>
                <w:rtl w:val="true"/>
              </w:rPr>
              <w:tab/>
            </w:r>
            <w:r>
              <w:rPr>
                <w:rStyle w:val="IndexLink"/>
              </w:rPr>
              <w:t>363</w:t>
            </w:r>
          </w:hyperlink>
        </w:p>
        <w:p>
          <w:pPr>
            <w:pStyle w:val="Contents2"/>
            <w:tabs>
              <w:tab w:val="clear" w:pos="8743"/>
              <w:tab w:val="right" w:pos="9026" w:leader="dot"/>
            </w:tabs>
            <w:rPr/>
          </w:pPr>
          <w:hyperlink w:anchor="__RefHeading___Toc12184757_2142443653">
            <w:r>
              <w:rPr>
                <w:webHidden/>
                <w:rStyle w:val="IndexLink"/>
                <w:rtl w:val="true"/>
              </w:rPr>
              <w:t>رؤية ما وراء الأجسام</w:t>
            </w:r>
            <w:r>
              <w:rPr>
                <w:rStyle w:val="IndexLink"/>
                <w:rtl w:val="true"/>
              </w:rPr>
              <w:tab/>
            </w:r>
            <w:r>
              <w:rPr>
                <w:rStyle w:val="IndexLink"/>
              </w:rPr>
              <w:t>363</w:t>
            </w:r>
          </w:hyperlink>
        </w:p>
        <w:p>
          <w:pPr>
            <w:pStyle w:val="Contents2"/>
            <w:tabs>
              <w:tab w:val="clear" w:pos="8743"/>
              <w:tab w:val="right" w:pos="9026" w:leader="dot"/>
            </w:tabs>
            <w:rPr/>
          </w:pPr>
          <w:hyperlink w:anchor="__RefHeading___Toc12184759_2142443653">
            <w:r>
              <w:rPr>
                <w:webHidden/>
                <w:rStyle w:val="IndexLink"/>
                <w:rtl w:val="true"/>
              </w:rPr>
              <w:t>لو انقلب الرجل امرأة</w:t>
            </w:r>
            <w:r>
              <w:rPr>
                <w:rStyle w:val="IndexLink"/>
                <w:rtl w:val="true"/>
              </w:rPr>
              <w:tab/>
            </w:r>
            <w:r>
              <w:rPr>
                <w:rStyle w:val="IndexLink"/>
              </w:rPr>
              <w:t>363</w:t>
            </w:r>
          </w:hyperlink>
        </w:p>
        <w:p>
          <w:pPr>
            <w:pStyle w:val="Contents2"/>
            <w:tabs>
              <w:tab w:val="clear" w:pos="8743"/>
              <w:tab w:val="right" w:pos="9026" w:leader="dot"/>
            </w:tabs>
            <w:rPr/>
          </w:pPr>
          <w:hyperlink w:anchor="__RefHeading___Toc12184761_2142443653">
            <w:r>
              <w:rPr>
                <w:webHidden/>
                <w:rStyle w:val="IndexLink"/>
                <w:rtl w:val="true"/>
              </w:rPr>
              <w:t>من أحكام انقلاب الجنس</w:t>
            </w:r>
            <w:r>
              <w:rPr>
                <w:rStyle w:val="IndexLink"/>
                <w:rtl w:val="true"/>
              </w:rPr>
              <w:tab/>
            </w:r>
            <w:r>
              <w:rPr>
                <w:rStyle w:val="IndexLink"/>
              </w:rPr>
              <w:t>364</w:t>
            </w:r>
          </w:hyperlink>
        </w:p>
        <w:p>
          <w:pPr>
            <w:pStyle w:val="Contents2"/>
            <w:tabs>
              <w:tab w:val="clear" w:pos="8743"/>
              <w:tab w:val="right" w:pos="9026" w:leader="dot"/>
            </w:tabs>
            <w:rPr/>
          </w:pPr>
          <w:hyperlink w:anchor="__RefHeading___Toc12184763_2142443653">
            <w:r>
              <w:rPr>
                <w:webHidden/>
                <w:rStyle w:val="IndexLink"/>
                <w:rtl w:val="true"/>
              </w:rPr>
              <w:t>أثمان اليانصيب</w:t>
            </w:r>
            <w:r>
              <w:rPr>
                <w:rStyle w:val="IndexLink"/>
                <w:rtl w:val="true"/>
              </w:rPr>
              <w:tab/>
            </w:r>
            <w:r>
              <w:rPr>
                <w:rStyle w:val="IndexLink"/>
              </w:rPr>
              <w:t>365</w:t>
            </w:r>
          </w:hyperlink>
        </w:p>
        <w:p>
          <w:pPr>
            <w:pStyle w:val="Contents2"/>
            <w:tabs>
              <w:tab w:val="clear" w:pos="8743"/>
              <w:tab w:val="right" w:pos="9026" w:leader="dot"/>
            </w:tabs>
            <w:rPr/>
          </w:pPr>
          <w:hyperlink w:anchor="__RefHeading___Toc12184765_2142443653">
            <w:r>
              <w:rPr>
                <w:webHidden/>
                <w:rStyle w:val="IndexLink"/>
                <w:rtl w:val="true"/>
              </w:rPr>
              <w:t>الأموال المختلطة</w:t>
            </w:r>
            <w:r>
              <w:rPr>
                <w:rStyle w:val="IndexLink"/>
                <w:rtl w:val="true"/>
              </w:rPr>
              <w:tab/>
            </w:r>
            <w:r>
              <w:rPr>
                <w:rStyle w:val="IndexLink"/>
              </w:rPr>
              <w:t>365</w:t>
            </w:r>
          </w:hyperlink>
        </w:p>
        <w:p>
          <w:pPr>
            <w:pStyle w:val="Contents2"/>
            <w:tabs>
              <w:tab w:val="clear" w:pos="8743"/>
              <w:tab w:val="right" w:pos="9026" w:leader="dot"/>
            </w:tabs>
            <w:rPr/>
          </w:pPr>
          <w:hyperlink w:anchor="__RefHeading___Toc12184767_2142443653">
            <w:r>
              <w:rPr>
                <w:webHidden/>
                <w:rStyle w:val="IndexLink"/>
                <w:rtl w:val="true"/>
              </w:rPr>
              <w:t>الجلود المستوردة</w:t>
            </w:r>
            <w:r>
              <w:rPr>
                <w:rStyle w:val="IndexLink"/>
                <w:rtl w:val="true"/>
              </w:rPr>
              <w:tab/>
            </w:r>
            <w:r>
              <w:rPr>
                <w:rStyle w:val="IndexLink"/>
              </w:rPr>
              <w:t>365</w:t>
            </w:r>
          </w:hyperlink>
        </w:p>
        <w:p>
          <w:pPr>
            <w:pStyle w:val="Contents2"/>
            <w:tabs>
              <w:tab w:val="clear" w:pos="8743"/>
              <w:tab w:val="right" w:pos="9026" w:leader="dot"/>
            </w:tabs>
            <w:rPr/>
          </w:pPr>
          <w:hyperlink w:anchor="__RefHeading___Toc12184769_2142443653">
            <w:r>
              <w:rPr>
                <w:webHidden/>
                <w:rStyle w:val="IndexLink"/>
                <w:rtl w:val="true"/>
              </w:rPr>
              <w:t>الجنين إذا تكلم</w:t>
            </w:r>
            <w:r>
              <w:rPr>
                <w:rStyle w:val="IndexLink"/>
                <w:rtl w:val="true"/>
              </w:rPr>
              <w:tab/>
            </w:r>
            <w:r>
              <w:rPr>
                <w:rStyle w:val="IndexLink"/>
              </w:rPr>
              <w:t>366</w:t>
            </w:r>
          </w:hyperlink>
        </w:p>
        <w:p>
          <w:pPr>
            <w:pStyle w:val="Contents2"/>
            <w:tabs>
              <w:tab w:val="clear" w:pos="8743"/>
              <w:tab w:val="right" w:pos="9026" w:leader="dot"/>
            </w:tabs>
            <w:rPr/>
          </w:pPr>
          <w:hyperlink w:anchor="__RefHeading___Toc12184771_2142443653">
            <w:r>
              <w:rPr>
                <w:webHidden/>
                <w:rStyle w:val="IndexLink"/>
                <w:rtl w:val="true"/>
              </w:rPr>
              <w:t>حق الشرف</w:t>
            </w:r>
            <w:r>
              <w:rPr>
                <w:rStyle w:val="IndexLink"/>
                <w:rtl w:val="true"/>
              </w:rPr>
              <w:tab/>
            </w:r>
            <w:r>
              <w:rPr>
                <w:rStyle w:val="IndexLink"/>
              </w:rPr>
              <w:t>366</w:t>
            </w:r>
          </w:hyperlink>
        </w:p>
        <w:p>
          <w:pPr>
            <w:pStyle w:val="Contents2"/>
            <w:tabs>
              <w:tab w:val="clear" w:pos="8743"/>
              <w:tab w:val="right" w:pos="9026" w:leader="dot"/>
            </w:tabs>
            <w:rPr/>
          </w:pPr>
          <w:hyperlink w:anchor="__RefHeading___Toc12184773_2142443653">
            <w:r>
              <w:rPr>
                <w:webHidden/>
                <w:rStyle w:val="IndexLink"/>
                <w:rtl w:val="true"/>
              </w:rPr>
              <w:t>الواجب تجاه الإنسان المختطف</w:t>
            </w:r>
            <w:r>
              <w:rPr>
                <w:rStyle w:val="IndexLink"/>
                <w:rtl w:val="true"/>
              </w:rPr>
              <w:tab/>
            </w:r>
            <w:r>
              <w:rPr>
                <w:rStyle w:val="IndexLink"/>
              </w:rPr>
              <w:t>367</w:t>
            </w:r>
          </w:hyperlink>
        </w:p>
        <w:p>
          <w:pPr>
            <w:pStyle w:val="Contents2"/>
            <w:tabs>
              <w:tab w:val="clear" w:pos="8743"/>
              <w:tab w:val="right" w:pos="9026" w:leader="dot"/>
            </w:tabs>
            <w:rPr/>
          </w:pPr>
          <w:hyperlink w:anchor="__RefHeading___Toc12184775_2142443653">
            <w:r>
              <w:rPr>
                <w:webHidden/>
                <w:rStyle w:val="IndexLink"/>
                <w:rtl w:val="true"/>
              </w:rPr>
              <w:t>لو كان الطلب غير مشروع</w:t>
            </w:r>
            <w:r>
              <w:rPr>
                <w:rStyle w:val="IndexLink"/>
                <w:rtl w:val="true"/>
              </w:rPr>
              <w:tab/>
            </w:r>
            <w:r>
              <w:rPr>
                <w:rStyle w:val="IndexLink"/>
              </w:rPr>
              <w:t>368</w:t>
            </w:r>
          </w:hyperlink>
        </w:p>
        <w:p>
          <w:pPr>
            <w:pStyle w:val="Contents2"/>
            <w:tabs>
              <w:tab w:val="clear" w:pos="8743"/>
              <w:tab w:val="right" w:pos="9026" w:leader="dot"/>
            </w:tabs>
            <w:rPr/>
          </w:pPr>
          <w:hyperlink w:anchor="__RefHeading___Toc12184777_2142443653">
            <w:r>
              <w:rPr>
                <w:webHidden/>
                <w:rStyle w:val="IndexLink"/>
                <w:rtl w:val="true"/>
              </w:rPr>
              <w:t>إذا حكم الجائر بالإعدام</w:t>
            </w:r>
            <w:r>
              <w:rPr>
                <w:rStyle w:val="IndexLink"/>
                <w:rtl w:val="true"/>
              </w:rPr>
              <w:tab/>
            </w:r>
            <w:r>
              <w:rPr>
                <w:rStyle w:val="IndexLink"/>
              </w:rPr>
              <w:t>368</w:t>
            </w:r>
          </w:hyperlink>
        </w:p>
        <w:p>
          <w:pPr>
            <w:pStyle w:val="Contents2"/>
            <w:tabs>
              <w:tab w:val="clear" w:pos="8743"/>
              <w:tab w:val="right" w:pos="9026" w:leader="dot"/>
            </w:tabs>
            <w:rPr/>
          </w:pPr>
          <w:hyperlink w:anchor="__RefHeading___Toc12184779_2142443653">
            <w:r>
              <w:rPr>
                <w:webHidden/>
                <w:rStyle w:val="IndexLink"/>
                <w:rtl w:val="true"/>
              </w:rPr>
              <w:t>الموت خلال التنويم</w:t>
            </w:r>
            <w:r>
              <w:rPr>
                <w:rStyle w:val="IndexLink"/>
                <w:rtl w:val="true"/>
              </w:rPr>
              <w:tab/>
            </w:r>
            <w:r>
              <w:rPr>
                <w:rStyle w:val="IndexLink"/>
              </w:rPr>
              <w:t>369</w:t>
            </w:r>
          </w:hyperlink>
        </w:p>
        <w:p>
          <w:pPr>
            <w:pStyle w:val="Contents2"/>
            <w:tabs>
              <w:tab w:val="clear" w:pos="8743"/>
              <w:tab w:val="right" w:pos="9026" w:leader="dot"/>
            </w:tabs>
            <w:rPr/>
          </w:pPr>
          <w:hyperlink w:anchor="__RefHeading___Toc12184781_2142443653">
            <w:r>
              <w:rPr>
                <w:webHidden/>
                <w:rStyle w:val="IndexLink"/>
                <w:rtl w:val="true"/>
              </w:rPr>
              <w:t>لا دية للمنتحر</w:t>
            </w:r>
            <w:r>
              <w:rPr>
                <w:rStyle w:val="IndexLink"/>
                <w:rtl w:val="true"/>
              </w:rPr>
              <w:tab/>
            </w:r>
            <w:r>
              <w:rPr>
                <w:rStyle w:val="IndexLink"/>
              </w:rPr>
              <w:t>369</w:t>
            </w:r>
          </w:hyperlink>
        </w:p>
        <w:p>
          <w:pPr>
            <w:pStyle w:val="Contents2"/>
            <w:tabs>
              <w:tab w:val="clear" w:pos="8743"/>
              <w:tab w:val="right" w:pos="9026" w:leader="dot"/>
            </w:tabs>
            <w:rPr/>
          </w:pPr>
          <w:hyperlink w:anchor="__RefHeading___Toc12184783_2142443653">
            <w:r>
              <w:rPr>
                <w:webHidden/>
                <w:rStyle w:val="IndexLink"/>
                <w:rtl w:val="true"/>
              </w:rPr>
              <w:t>دم المغتصب هدر</w:t>
            </w:r>
            <w:r>
              <w:rPr>
                <w:rStyle w:val="IndexLink"/>
                <w:rtl w:val="true"/>
              </w:rPr>
              <w:tab/>
            </w:r>
            <w:r>
              <w:rPr>
                <w:rStyle w:val="IndexLink"/>
              </w:rPr>
              <w:t>369</w:t>
            </w:r>
          </w:hyperlink>
        </w:p>
        <w:p>
          <w:pPr>
            <w:pStyle w:val="Contents2"/>
            <w:tabs>
              <w:tab w:val="clear" w:pos="8743"/>
              <w:tab w:val="right" w:pos="9026" w:leader="dot"/>
            </w:tabs>
            <w:rPr/>
          </w:pPr>
          <w:hyperlink w:anchor="__RefHeading___Toc12184785_2142443653">
            <w:r>
              <w:rPr>
                <w:webHidden/>
                <w:rStyle w:val="IndexLink"/>
                <w:rtl w:val="true"/>
              </w:rPr>
              <w:t>دفع القتل بالرشوة</w:t>
            </w:r>
            <w:r>
              <w:rPr>
                <w:rStyle w:val="IndexLink"/>
                <w:rtl w:val="true"/>
              </w:rPr>
              <w:tab/>
            </w:r>
            <w:r>
              <w:rPr>
                <w:rStyle w:val="IndexLink"/>
              </w:rPr>
              <w:t>370</w:t>
            </w:r>
          </w:hyperlink>
        </w:p>
        <w:p>
          <w:pPr>
            <w:pStyle w:val="Contents2"/>
            <w:tabs>
              <w:tab w:val="clear" w:pos="8743"/>
              <w:tab w:val="right" w:pos="9026" w:leader="dot"/>
            </w:tabs>
            <w:rPr/>
          </w:pPr>
          <w:hyperlink w:anchor="__RefHeading___Toc12184787_2142443653">
            <w:r>
              <w:rPr>
                <w:webHidden/>
                <w:rStyle w:val="IndexLink"/>
                <w:rtl w:val="true"/>
              </w:rPr>
              <w:t>التعرض لمني الأجنبي</w:t>
            </w:r>
            <w:r>
              <w:rPr>
                <w:rStyle w:val="IndexLink"/>
                <w:rtl w:val="true"/>
              </w:rPr>
              <w:tab/>
            </w:r>
            <w:r>
              <w:rPr>
                <w:rStyle w:val="IndexLink"/>
              </w:rPr>
              <w:t>370</w:t>
            </w:r>
          </w:hyperlink>
        </w:p>
        <w:p>
          <w:pPr>
            <w:pStyle w:val="Contents2"/>
            <w:tabs>
              <w:tab w:val="clear" w:pos="8743"/>
              <w:tab w:val="right" w:pos="9026" w:leader="dot"/>
            </w:tabs>
            <w:rPr/>
          </w:pPr>
          <w:hyperlink w:anchor="__RefHeading___Toc12184789_2142443653">
            <w:r>
              <w:rPr>
                <w:webHidden/>
                <w:rStyle w:val="IndexLink"/>
                <w:rtl w:val="true"/>
              </w:rPr>
              <w:t>أهمية الحفاظ على الجنين</w:t>
            </w:r>
            <w:r>
              <w:rPr>
                <w:rStyle w:val="IndexLink"/>
                <w:rtl w:val="true"/>
              </w:rPr>
              <w:tab/>
            </w:r>
            <w:r>
              <w:rPr>
                <w:rStyle w:val="IndexLink"/>
              </w:rPr>
              <w:t>371</w:t>
            </w:r>
          </w:hyperlink>
        </w:p>
        <w:p>
          <w:pPr>
            <w:pStyle w:val="Contents2"/>
            <w:tabs>
              <w:tab w:val="clear" w:pos="8743"/>
              <w:tab w:val="right" w:pos="9026" w:leader="dot"/>
            </w:tabs>
            <w:rPr/>
          </w:pPr>
          <w:hyperlink w:anchor="__RefHeading___Toc12184791_2142443653">
            <w:r>
              <w:rPr>
                <w:webHidden/>
                <w:rStyle w:val="IndexLink"/>
                <w:rtl w:val="true"/>
              </w:rPr>
              <w:t>المواجهة الصحيحة</w:t>
            </w:r>
            <w:r>
              <w:rPr>
                <w:rStyle w:val="IndexLink"/>
                <w:rtl w:val="true"/>
              </w:rPr>
              <w:tab/>
            </w:r>
            <w:r>
              <w:rPr>
                <w:rStyle w:val="IndexLink"/>
              </w:rPr>
              <w:t>371</w:t>
            </w:r>
          </w:hyperlink>
        </w:p>
        <w:p>
          <w:pPr>
            <w:pStyle w:val="Contents2"/>
            <w:tabs>
              <w:tab w:val="clear" w:pos="8743"/>
              <w:tab w:val="right" w:pos="9026" w:leader="dot"/>
            </w:tabs>
            <w:rPr/>
          </w:pPr>
          <w:hyperlink w:anchor="__RefHeading___Toc12184793_2142443653">
            <w:r>
              <w:rPr>
                <w:webHidden/>
                <w:rStyle w:val="IndexLink"/>
                <w:rtl w:val="true"/>
              </w:rPr>
              <w:t>التكشف لفحوصات الطبيب</w:t>
            </w:r>
            <w:r>
              <w:rPr>
                <w:rStyle w:val="IndexLink"/>
                <w:rtl w:val="true"/>
              </w:rPr>
              <w:tab/>
            </w:r>
            <w:r>
              <w:rPr>
                <w:rStyle w:val="IndexLink"/>
              </w:rPr>
              <w:t>371</w:t>
            </w:r>
          </w:hyperlink>
        </w:p>
        <w:p>
          <w:pPr>
            <w:pStyle w:val="Contents2"/>
            <w:tabs>
              <w:tab w:val="clear" w:pos="8743"/>
              <w:tab w:val="right" w:pos="9026" w:leader="dot"/>
            </w:tabs>
            <w:rPr/>
          </w:pPr>
          <w:hyperlink w:anchor="__RefHeading___Toc12184795_2142443653">
            <w:r>
              <w:rPr>
                <w:webHidden/>
                <w:rStyle w:val="IndexLink"/>
                <w:rtl w:val="true"/>
              </w:rPr>
              <w:t>مراجعة المولِّد</w:t>
            </w:r>
            <w:r>
              <w:rPr>
                <w:rStyle w:val="IndexLink"/>
                <w:rtl w:val="true"/>
              </w:rPr>
              <w:tab/>
            </w:r>
            <w:r>
              <w:rPr>
                <w:rStyle w:val="IndexLink"/>
              </w:rPr>
              <w:t>372</w:t>
            </w:r>
          </w:hyperlink>
        </w:p>
        <w:p>
          <w:pPr>
            <w:pStyle w:val="Contents2"/>
            <w:tabs>
              <w:tab w:val="clear" w:pos="8743"/>
              <w:tab w:val="right" w:pos="9026" w:leader="dot"/>
            </w:tabs>
            <w:rPr/>
          </w:pPr>
          <w:hyperlink w:anchor="__RefHeading___Toc12184797_2142443653">
            <w:r>
              <w:rPr>
                <w:webHidden/>
                <w:rStyle w:val="IndexLink"/>
                <w:rtl w:val="true"/>
              </w:rPr>
              <w:t>الولد للفراش</w:t>
            </w:r>
            <w:r>
              <w:rPr>
                <w:rStyle w:val="IndexLink"/>
                <w:rtl w:val="true"/>
              </w:rPr>
              <w:tab/>
            </w:r>
            <w:r>
              <w:rPr>
                <w:rStyle w:val="IndexLink"/>
              </w:rPr>
              <w:t>372</w:t>
            </w:r>
          </w:hyperlink>
        </w:p>
        <w:p>
          <w:pPr>
            <w:pStyle w:val="Contents2"/>
            <w:tabs>
              <w:tab w:val="clear" w:pos="8743"/>
              <w:tab w:val="right" w:pos="9026" w:leader="dot"/>
            </w:tabs>
            <w:rPr/>
          </w:pPr>
          <w:hyperlink w:anchor="__RefHeading___Toc12184799_2142443653">
            <w:r>
              <w:rPr>
                <w:webHidden/>
                <w:rStyle w:val="IndexLink"/>
                <w:rtl w:val="true"/>
              </w:rPr>
              <w:t>فهرست المحتويات</w:t>
            </w:r>
            <w:r>
              <w:rPr>
                <w:rStyle w:val="IndexLink"/>
                <w:rtl w:val="true"/>
              </w:rPr>
              <w:tab/>
            </w:r>
            <w:r>
              <w:rPr>
                <w:rStyle w:val="IndexLink"/>
              </w:rPr>
              <w:t>374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10_226729"/>
      <w:bookmarkStart w:id="1" w:name="pg15710_226729"/>
      <w:bookmarkEnd w:id="1"/>
    </w:p>
    <w:p>
      <w:pPr>
        <w:pStyle w:val="Heading2"/>
        <w:numPr>
          <w:ilvl w:val="1"/>
          <w:numId w:val="1"/>
        </w:numPr>
        <w:rPr/>
      </w:pPr>
      <w:bookmarkStart w:id="2" w:name="pg15710_226729"/>
      <w:bookmarkStart w:id="3" w:name="__RefHeading___Toc12183641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تعليقة علی المسائل المتجددة</w:t>
      </w:r>
    </w:p>
    <w:p>
      <w:pPr>
        <w:pStyle w:val="BookText"/>
        <w:rPr/>
      </w:pPr>
      <w:r>
        <w:rPr>
          <w:rFonts w:ascii="Amiri" w:hAnsi="Amiri" w:eastAsia="Amiri" w:cs="Amiri"/>
          <w:color w:val="111111"/>
          <w:sz w:val="28"/>
          <w:sz w:val="28"/>
          <w:szCs w:val="28"/>
          <w:rtl w:val="true"/>
          <w:lang w:bidi="ar-SA"/>
        </w:rPr>
        <w:t>لأستاذ الفقهاء والمجتهدين</w:t>
      </w:r>
    </w:p>
    <w:p>
      <w:pPr>
        <w:pStyle w:val="BookText"/>
        <w:rPr/>
      </w:pPr>
      <w:r>
        <w:rPr>
          <w:rFonts w:ascii="IRNazanin" w:hAnsi="IRNazanin" w:eastAsia="IRNazanin"/>
          <w:color w:val="111111"/>
          <w:sz w:val="28"/>
          <w:sz w:val="28"/>
          <w:szCs w:val="28"/>
          <w:rtl w:val="true"/>
          <w:lang w:bidi="fa-IR"/>
        </w:rPr>
        <w:t>آية اللّه العظمی السيد محمد الحسيني الشيرازي قدس سره</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آية اللّه السيد محمد رضا الحسيني الشيرازي رحمه اللّه</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8364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شجرة الطيبة</w:t>
      </w:r>
    </w:p>
    <w:p>
      <w:p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10_226733"/>
      <w:bookmarkStart w:id="8" w:name="pg15710_226733"/>
      <w:bookmarkEnd w:id="8"/>
    </w:p>
    <w:p>
      <w:pPr>
        <w:pStyle w:val="Heading2"/>
        <w:numPr>
          <w:ilvl w:val="1"/>
          <w:numId w:val="1"/>
        </w:numPr>
        <w:rPr/>
      </w:pPr>
      <w:bookmarkStart w:id="9" w:name="pg15710_226733"/>
      <w:bookmarkStart w:id="10" w:name="__RefHeading___Toc12183645_2142443653"/>
      <w:bookmarkStart w:id="11" w:name="_Toc3"/>
      <w:bookmarkEnd w:id="9"/>
      <w:bookmarkEnd w:id="10"/>
      <w:r>
        <w:rPr>
          <w:rtl w:val="true"/>
        </w:rPr>
        <w:t>وكالة العهر</w:t>
      </w:r>
      <w:bookmarkEnd w:id="1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w:t>
      </w:r>
      <w:r>
        <w:rPr>
          <w:rStyle w:val="FootnoteAnchor"/>
          <w:rtl w:val="true"/>
        </w:rPr>
        <w:footnoteReference w:id="2"/>
      </w:r>
      <w:r>
        <w:rPr>
          <w:rFonts w:ascii="Amiri" w:hAnsi="Amiri" w:eastAsia="Amiri" w:cs="Amiri"/>
          <w:color w:val="111111"/>
          <w:sz w:val="28"/>
          <w:sz w:val="28"/>
          <w:szCs w:val="28"/>
          <w:rtl w:val="true"/>
          <w:lang w:bidi="ar-SA"/>
        </w:rPr>
        <w:t xml:space="preserve"> وكالة العهر</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كما يعتاد في بعض البلاد الغربية، وكل عمل في ذلك السبيل محرم، ولو كان العامل كاتباً أو ما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بأن تؤسس مؤسسة لتشغيل العاهرات واستدراج غير العاهرات إلى العهر، فالرجل المنحرف يعطي مالاً للوكالة لتأتي إليه بمن يريد من العاهرات أو الفتيات النجيبات عبر خداعهن أو إلجائهن</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12183647_2142443653"/>
      <w:bookmarkStart w:id="13" w:name="_Toc4"/>
      <w:bookmarkEnd w:id="12"/>
      <w:r>
        <w:rPr>
          <w:rtl w:val="true"/>
        </w:rPr>
        <w:t>وكالة الفساد والشذوذ الجنسي</w:t>
      </w:r>
      <w:bookmarkEnd w:id="1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وكالة الفساد والشذوذ الجنسي على ما تقدم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كما في المسألة السابقة بالنسبة إلى الأولاد، ومن المعلوم أنّ كلا الأمرين من أشد المحرمات؛ لاشتمالهما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على جملة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بين الكفار المحلّل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المبغوضية في أذهان المتشرعة،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منكر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علم من الشرع مبغوضية وقوعه في الخارج، ولأنه إعانة على الإثم، ولاختلاطه بالمحرمات عادةً، ولأنه نوع 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ما سبق</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4" w:name="pg15710_226734"/>
    </w:p>
    <w:p>
      <w:pPr>
        <w:pStyle w:val="Heading2"/>
        <w:numPr>
          <w:ilvl w:val="1"/>
          <w:numId w:val="1"/>
        </w:numPr>
        <w:rPr/>
      </w:pPr>
      <w:bookmarkStart w:id="15" w:name="__RefHeading___Toc12183649_2142443653"/>
      <w:bookmarkStart w:id="16" w:name="_Toc5"/>
      <w:bookmarkEnd w:id="14"/>
      <w:bookmarkEnd w:id="15"/>
      <w:r>
        <w:rPr>
          <w:rtl w:val="true"/>
        </w:rPr>
        <w:t>المقاهي والمطاعم في شهر رمضان</w:t>
      </w:r>
      <w:bookmarkEnd w:id="1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المقهى الذي يوجب انتهاك</w:t>
      </w:r>
      <w:r>
        <w:rPr>
          <w:rStyle w:val="FootnoteAnchor"/>
          <w:rtl w:val="true"/>
        </w:rPr>
        <w:footnoteReference w:id="6"/>
      </w:r>
      <w:r>
        <w:rPr>
          <w:rFonts w:ascii="Amiri" w:hAnsi="Amiri" w:eastAsia="Amiri" w:cs="Amiri"/>
          <w:color w:val="111111"/>
          <w:sz w:val="28"/>
          <w:sz w:val="28"/>
          <w:szCs w:val="28"/>
          <w:rtl w:val="true"/>
          <w:lang w:bidi="ar-SA"/>
        </w:rPr>
        <w:t xml:space="preserve"> شهر رمضان حرام، وكذلك فتح المطعم وما أشبه، والمال الذي يعطيه صاحب المطعم والمقهى للبلدية حرام إعطاءهُ، وحرام أخذه</w:t>
      </w:r>
      <w:r>
        <w:rPr>
          <w:rStyle w:val="FootnoteAnchor"/>
          <w:rtl w:val="true"/>
        </w:rPr>
        <w:footnoteReference w:id="7"/>
      </w:r>
      <w:r>
        <w:rPr>
          <w:rFonts w:ascii="Amiri" w:hAnsi="Amiri" w:eastAsia="Amiri" w:cs="Amiri"/>
          <w:color w:val="111111"/>
          <w:sz w:val="28"/>
          <w:sz w:val="28"/>
          <w:szCs w:val="28"/>
          <w:rtl w:val="true"/>
          <w:lang w:bidi="ar-SA"/>
        </w:rPr>
        <w:t>، وحرام إجازة البلدية لفتحهما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من الانتهاك لشهر رمضان إلى غيره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من المحرمات، نعم إذا كان اضطراراً من جهة المسافرين</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 وهي أنه هتك وانتهاك، فالظاهر أنها مسلّم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الهتك لا يصدق لو أكل رجل معذور في بيته ولو أمام عدة قليلة، أمّا في الملأ العام فيصدق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فللمركوز في أذهان المتشرعة،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 هتك المحترمات في الواجبات والمحرمات</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والعروة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هتك القرآن والتربة بوضع النجاسة أو ما أشبه أو دخول النجاسة للمساجد و</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إذا حرم شيئاً حرم ثمنه، ولأنه أكل للمال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كتجرئة الناس على ارتكاب المنكرات</w:t>
      </w:r>
      <w:r>
        <w:rPr>
          <w:rFonts w:eastAsia="Amiri" w:cs="Amiri" w:ascii="Amiri" w:hAnsi="Amiri"/>
          <w:color w:val="111111"/>
          <w:sz w:val="28"/>
          <w:szCs w:val="28"/>
          <w:rtl w:val="true"/>
          <w:lang w:bidi="ar-SA"/>
        </w:rPr>
        <w:t xml:space="preserve">. </w:t>
      </w:r>
      <w:bookmarkStart w:id="17" w:name="pg15710_226735"/>
    </w:p>
    <w:p>
      <w:pPr>
        <w:pStyle w:val="BookText"/>
        <w:rPr/>
      </w:pPr>
      <w:bookmarkEnd w:id="17"/>
      <w:r>
        <w:rPr>
          <w:rFonts w:ascii="IRNazanin" w:hAnsi="IRNazanin" w:eastAsia="IRNazanin"/>
          <w:color w:val="111111"/>
          <w:sz w:val="28"/>
          <w:sz w:val="28"/>
          <w:szCs w:val="28"/>
          <w:rtl w:val="true"/>
          <w:lang w:bidi="fa-IR"/>
        </w:rPr>
        <w:t>وأجازه</w:t>
      </w:r>
      <w:r>
        <w:rPr>
          <w:rStyle w:val="FootnoteAnchor"/>
          <w:rtl w:val="true"/>
        </w:rPr>
        <w:footnoteReference w:id="12"/>
      </w:r>
      <w:r>
        <w:rPr>
          <w:rFonts w:ascii="Amiri" w:hAnsi="Amiri" w:eastAsia="Amiri" w:cs="Amiri"/>
          <w:color w:val="111111"/>
          <w:sz w:val="28"/>
          <w:sz w:val="28"/>
          <w:szCs w:val="28"/>
          <w:rtl w:val="true"/>
          <w:lang w:bidi="ar-SA"/>
        </w:rPr>
        <w:t xml:space="preserve"> الحاكم الشرعي حلّ بقدره مع رعاية الستر ورعاية أن لا يذهب إليه من يفطر حراماً ، بل المسافر ومن يجوز له الإفطار من المرضى ونحوهم</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12183651_2142443653"/>
      <w:bookmarkStart w:id="19" w:name="_Toc6"/>
      <w:bookmarkEnd w:id="18"/>
      <w:r>
        <w:rPr>
          <w:rtl w:val="true"/>
        </w:rPr>
        <w:t>السلام في الإسلام</w:t>
      </w:r>
      <w:bookmarkEnd w:id="1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يدعو إلى السلم، كما قال تعالى</w:t>
      </w:r>
      <w:r>
        <w:rPr>
          <w:rStyle w:val="FootnoteAnchor"/>
          <w:rtl w:val="true"/>
        </w:rPr>
        <w:footnoteReference w:id="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كَآفَّةً</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ولكن ليس معنى ذلك أنّ الإسلام يؤيد ما أسموه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بل معناه أنّ الأصل</w:t>
      </w:r>
      <w:r>
        <w:rPr>
          <w:rStyle w:val="FootnoteAnchor"/>
          <w:rtl w:val="true"/>
        </w:rPr>
        <w:footnoteReference w:id="15"/>
      </w:r>
      <w:r>
        <w:rPr>
          <w:rFonts w:ascii="Amiri" w:hAnsi="Amiri" w:eastAsia="Amiri" w:cs="Amiri"/>
          <w:color w:val="111111"/>
          <w:sz w:val="28"/>
          <w:sz w:val="28"/>
          <w:szCs w:val="28"/>
          <w:rtl w:val="true"/>
          <w:lang w:bidi="ar-SA"/>
        </w:rPr>
        <w:t xml:space="preserve"> في الإسلام السلام، إلا ما أخرج بالدليل مما ذكر في كتاب الجهاد</w:t>
      </w:r>
      <w:r>
        <w:rPr>
          <w:rFonts w:eastAsia="Amiri" w:cs="Amiri" w:ascii="Amiri" w:hAnsi="Amiri"/>
          <w:color w:val="111111"/>
          <w:sz w:val="28"/>
          <w:szCs w:val="28"/>
          <w:rtl w:val="true"/>
          <w:lang w:bidi="ar-SA"/>
        </w:rPr>
        <w:t>.</w:t>
      </w:r>
    </w:p>
    <w:p>
      <w:pPr>
        <w:pStyle w:val="BookText"/>
        <w:rPr/>
      </w:pP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دليل على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ذكره بعض</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الآية الكريمة مجملة،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بل هنالك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والحرب،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الْمُشْرِكِينَ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الجهاد كلّ عام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والمسألة </w:t>
      </w:r>
      <w:bookmarkStart w:id="20" w:name="pg15710_226736"/>
    </w:p>
    <w:p>
      <w:pPr>
        <w:pStyle w:val="BookText"/>
        <w:rPr/>
      </w:pPr>
      <w:bookmarkEnd w:id="2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أنّ الأصل السلم الأدلة الكثيرة، وقد ذكرناها في بعض كتبنا، وأما أنصار السلام ونحوها، فهي مؤسسات شيوعية لخداع الفتيان والفتيات وإدخالهم في الشيوعية بهذا الاسم المغري الجذاب، وهكذا كل مؤسسة من هذا القبيل لتحريف في العقيدة أو في العمل، أو إدخال في خدمة الكفار وأعداء الإسلام، وكون ذلك من المحرمات من أوضح الواضحات</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12183653_2142443653"/>
      <w:bookmarkStart w:id="22" w:name="_Toc7"/>
      <w:bookmarkEnd w:id="21"/>
      <w:r>
        <w:rPr>
          <w:rtl w:val="true"/>
        </w:rPr>
        <w:t>الإسلام و الأسلحة الاستراتيجية</w:t>
      </w:r>
      <w:bookmarkEnd w:id="2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يوجب الحد</w:t>
      </w:r>
      <w:r>
        <w:rPr>
          <w:rStyle w:val="FootnoteAnchor"/>
          <w:rtl w:val="true"/>
        </w:rPr>
        <w:footnoteReference w:id="23"/>
      </w:r>
      <w:r>
        <w:rPr>
          <w:rFonts w:ascii="Amiri" w:hAnsi="Amiri" w:eastAsia="Amiri" w:cs="Amiri"/>
          <w:color w:val="111111"/>
          <w:sz w:val="28"/>
          <w:sz w:val="28"/>
          <w:szCs w:val="28"/>
          <w:rtl w:val="true"/>
          <w:lang w:bidi="ar-SA"/>
        </w:rPr>
        <w:t xml:space="preserve"> من الأسلحة بمختلف أقسامها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الجرثومية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الهيدروجينية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ولكن ليس معنى ذلك أنّ الإسلام ينزع عن بلاده السلاح حتى يتغلب عليه الأعداء، بل شعار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بحاجة للتتبع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نوع تشويه وتمثيل، والمسألة منهي عنها،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مستلزم لمحرمات مثل هدر الأموال وسباق التسلح وغيره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موجب لتشويه سمعة الإسلام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الكل تأمل؛ إذ وزانها وزان بقية الأسلحة، فهي نوع قوة،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أجنبية عن روح الإسلام، وما علم منه من الرحمة والأمن، فتأمل</w:t>
      </w:r>
      <w:r>
        <w:rPr>
          <w:rFonts w:eastAsia="Amiri" w:cs="Amiri" w:ascii="Amiri" w:hAnsi="Amiri"/>
          <w:color w:val="111111"/>
          <w:sz w:val="28"/>
          <w:szCs w:val="28"/>
          <w:rtl w:val="true"/>
          <w:lang w:bidi="ar-SA"/>
        </w:rPr>
        <w:t xml:space="preserve">. </w:t>
      </w:r>
      <w:bookmarkStart w:id="23" w:name="pg15710_226737"/>
    </w:p>
    <w:p>
      <w:pPr>
        <w:pStyle w:val="BookText"/>
        <w:rPr/>
      </w:pPr>
      <w:bookmarkEnd w:id="23"/>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ترحيب الإسلام بالسلام ومخالفته للعنف والحرب والدمار وتضييع حقوق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 مقدّر بقدر أن لا يسبب تجري الظالمين على المظلومين أو الانهزام أمام الكافر، فالميزان أن لا يكون منافياً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سَبِيلِ اللّهِ وَالْمُسْتَضْعَفِينَ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 w:name="__RefHeading___Toc12183655_2142443653"/>
      <w:bookmarkStart w:id="25" w:name="_Toc8"/>
      <w:bookmarkEnd w:id="24"/>
      <w:r>
        <w:rPr>
          <w:rtl w:val="true"/>
        </w:rPr>
        <w:t>حق تقرير المصير</w:t>
      </w:r>
      <w:bookmarkEnd w:id="2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w:t>
      </w:r>
      <w:r>
        <w:rPr>
          <w:rStyle w:val="FootnoteAnchor"/>
          <w:rtl w:val="true"/>
        </w:rPr>
        <w:footnoteReference w:id="27"/>
      </w:r>
      <w:r>
        <w:rPr>
          <w:rFonts w:ascii="Amiri" w:hAnsi="Amiri" w:eastAsia="Amiri" w:cs="Amiri"/>
          <w:color w:val="111111"/>
          <w:sz w:val="28"/>
          <w:sz w:val="28"/>
          <w:szCs w:val="28"/>
          <w:rtl w:val="true"/>
          <w:lang w:bidi="ar-SA"/>
        </w:rPr>
        <w:t xml:space="preserve"> للشعوب تقرير مصيرها، وهو حق محترم بنظر الإسلام، ولكن في الإطار الإسلامي المذكور في كتاب الفقه، والإطار الإسلامي أفضل من الإطار الموجود في الأُمم المتحدة لهذا الحق، عقلاً ومنطقاً وتجربة، هذا مع الغض عن أنه سواد على بياض ولا يعمل به، إلا إذا كان للشعب الذي يريد تقرير مصيره القوة الكافية للدفاع عن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وحق الشعب في تقرير مصيره مما دلّ عليه الأدلة الكثيرة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والإطار الإسلامي هو وحدة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بلد الإسلام بدون الحدود الجغرافية، ولا تفرقات لونية وعرقية ولغوية وما أشبه، فإنّ المسلمين إخوة، والأمة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الشعب الاستقلال عن الاستعمار حق له ذلك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له الانفصال عن البلد الإسلامي؛ لأدلة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بالفيدرالية إذا لم تسبب الانفصال، فيكون لكل ولاية ولي وقانون ونظام، وإن اشترك الجميع في الجيش والمال مثلاً</w:t>
      </w:r>
      <w:r>
        <w:rPr>
          <w:rFonts w:eastAsia="Amiri" w:cs="Amiri" w:ascii="Amiri" w:hAnsi="Amiri"/>
          <w:color w:val="111111"/>
          <w:sz w:val="28"/>
          <w:szCs w:val="28"/>
          <w:rtl w:val="true"/>
          <w:lang w:bidi="ar-SA"/>
        </w:rPr>
        <w:t xml:space="preserve">. </w:t>
      </w:r>
      <w:bookmarkStart w:id="26" w:name="pg15710_226738"/>
    </w:p>
    <w:p>
      <w:pPr>
        <w:pStyle w:val="Heading2"/>
        <w:numPr>
          <w:ilvl w:val="1"/>
          <w:numId w:val="1"/>
        </w:numPr>
        <w:rPr/>
      </w:pPr>
      <w:bookmarkStart w:id="27" w:name="__RefHeading___Toc12183657_2142443653"/>
      <w:bookmarkStart w:id="28" w:name="_Toc9"/>
      <w:bookmarkEnd w:id="26"/>
      <w:bookmarkEnd w:id="27"/>
      <w:r>
        <w:rPr>
          <w:rtl w:val="true"/>
        </w:rPr>
        <w:t>مجلس الأمم والانتماء إليه</w:t>
      </w:r>
      <w:bookmarkEnd w:id="2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29"/>
      </w:r>
      <w:r>
        <w:rPr>
          <w:rFonts w:ascii="Amiri" w:hAnsi="Amiri" w:eastAsia="Amiri" w:cs="Amiri"/>
          <w:color w:val="111111"/>
          <w:sz w:val="28"/>
          <w:sz w:val="28"/>
          <w:szCs w:val="28"/>
          <w:rtl w:val="true"/>
          <w:lang w:bidi="ar-SA"/>
        </w:rPr>
        <w:t xml:space="preserve"> بانتماء المسلمين في الأمم المتحدة للدفاع عن حقوق المسلمين وعن حقوق المستضعفين الذين يهضم حقهم المستغلون، لكن بشرط أن لا يساعد المنتمي على قانون غير 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لإطلاق الأدلة بشرط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اضطر، وبقدر الاضطرار دقة، وإنما إذا اضطر جاز؛ لأنه من قانون الأهم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والمهم بين أن لا يدخل أو يدخل ويمضي ما لا يجوز في الإسلام بالقانون الأولي، 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مما حرم اللّه إلا وقد أحله لمن اضطر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 w:name="__RefHeading___Toc12183659_2142443653"/>
      <w:bookmarkStart w:id="30" w:name="_Toc10"/>
      <w:bookmarkEnd w:id="29"/>
      <w:r>
        <w:rPr>
          <w:rtl w:val="true"/>
        </w:rPr>
        <w:t>جامعة الدول العربية</w:t>
      </w:r>
      <w:bookmarkEnd w:id="3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بتشكيل المسلمين جوامع، كجامعة الدول العربية</w:t>
      </w:r>
      <w:r>
        <w:rPr>
          <w:rStyle w:val="FootnoteAnchor"/>
          <w:rtl w:val="true"/>
        </w:rPr>
        <w:footnoteReference w:id="30"/>
      </w:r>
      <w:r>
        <w:rPr>
          <w:rFonts w:ascii="Amiri" w:hAnsi="Amiri" w:eastAsia="Amiri" w:cs="Amiri"/>
          <w:color w:val="111111"/>
          <w:sz w:val="28"/>
          <w:sz w:val="28"/>
          <w:szCs w:val="28"/>
          <w:rtl w:val="true"/>
          <w:lang w:bidi="ar-SA"/>
        </w:rPr>
        <w:t xml:space="preserve"> وما أشبه لأجل الدفاع عن حقوق المسلمين، ولكن بشرط أن لا يقرر هناك قانون خلاف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ما ذكرناه في المسألة السابقة، ولا يخفى أنّ الجواز في المسألتين السابقتين وكذا اللاحقتين بالمعنى الأعم</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12183661_2142443653"/>
      <w:bookmarkStart w:id="32" w:name="_Toc11"/>
      <w:bookmarkEnd w:id="31"/>
      <w:r>
        <w:rPr>
          <w:rtl w:val="true"/>
        </w:rPr>
        <w:t>الروابط الإسلامية</w:t>
      </w:r>
      <w:bookmarkEnd w:id="3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أنه قد يكون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كدخول النواب في المجالس النيابية مع أنه يستلزم بعض المحرمات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bookmarkStart w:id="33" w:name="pg15710_226739"/>
    </w:p>
    <w:p>
      <w:pPr>
        <w:pStyle w:val="BookText"/>
        <w:rPr/>
      </w:pPr>
      <w:bookmarkEnd w:id="33"/>
      <w:r>
        <w:rPr>
          <w:rFonts w:ascii="Amiri" w:hAnsi="Amiri" w:eastAsia="Amiri" w:cs="Amiri"/>
          <w:color w:val="111111"/>
          <w:sz w:val="28"/>
          <w:sz w:val="28"/>
          <w:szCs w:val="28"/>
          <w:rtl w:val="true"/>
          <w:lang w:bidi="ar-SA"/>
        </w:rPr>
        <w:t>لا بأس بتشكيل المسلمين روابط</w:t>
      </w:r>
      <w:r>
        <w:rPr>
          <w:rStyle w:val="FootnoteAnchor"/>
          <w:rtl w:val="true"/>
        </w:rPr>
        <w:footnoteReference w:id="34"/>
      </w:r>
      <w:r>
        <w:rPr>
          <w:rFonts w:ascii="Amiri" w:hAnsi="Amiri" w:eastAsia="Amiri" w:cs="Amiri"/>
          <w:color w:val="111111"/>
          <w:sz w:val="28"/>
          <w:sz w:val="28"/>
          <w:szCs w:val="28"/>
          <w:rtl w:val="true"/>
          <w:lang w:bidi="ar-SA"/>
        </w:rPr>
        <w:t xml:space="preserve">، لكن بالشرط المتقدم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كرابطة العالم الإسلامي بين الدول الإسلامية، رؤساء أو وزراء أو ما أشبه ذلك</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2183663_2142443653"/>
      <w:bookmarkStart w:id="35" w:name="_Toc12"/>
      <w:bookmarkEnd w:id="34"/>
      <w:r>
        <w:rPr>
          <w:rtl w:val="true"/>
        </w:rPr>
        <w:t>المعاهدات والأحلاف</w:t>
      </w:r>
      <w:bookmarkEnd w:id="3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بتحالف</w:t>
      </w:r>
      <w:r>
        <w:rPr>
          <w:rStyle w:val="FootnoteAnchor"/>
          <w:rtl w:val="true"/>
        </w:rPr>
        <w:footnoteReference w:id="35"/>
      </w:r>
      <w:r>
        <w:rPr>
          <w:rFonts w:ascii="Amiri" w:hAnsi="Amiri" w:eastAsia="Amiri" w:cs="Amiri"/>
          <w:color w:val="111111"/>
          <w:sz w:val="28"/>
          <w:sz w:val="28"/>
          <w:szCs w:val="28"/>
          <w:rtl w:val="true"/>
          <w:lang w:bidi="ar-SA"/>
        </w:rPr>
        <w:t xml:space="preserve"> دول الإسلام بعضها مع بعض، أو مع الدول غير الإسلامية، لكن بالشرط المتقدم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التحالف غير تشكيل الجوامع والروابط المتقدمة، وقد تحالف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اليهود والمشركين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مما يدل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على جوازه، ولو استلزم</w:t>
      </w:r>
    </w:p>
    <w:p>
      <w:pPr>
        <w:pStyle w:val="BookText"/>
        <w:rPr/>
      </w:pP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ووظيفتها المطالبة بحقوق العرب، لكن بلا نفي لحقوق الآخرين، فإن الإثبات لا بأس به، إنما الإشكال في النفي،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العرب منهم أو الأعم،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الرابطة أضعف رابطة من الجامعة،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فوظيفتها الإرسال والبعث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 الاعتداء،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على أحد البلدين، أو لعدم اعتداء أحدهما على الآخر، وإن لم تكن بينهما رابطة أو جماعة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تكفي أصالة الجواز، فتأمل</w:t>
      </w:r>
      <w:r>
        <w:rPr>
          <w:rFonts w:eastAsia="Amiri" w:cs="Amiri" w:ascii="Amiri" w:hAnsi="Amiri"/>
          <w:color w:val="111111"/>
          <w:sz w:val="28"/>
          <w:szCs w:val="28"/>
          <w:rtl w:val="true"/>
          <w:lang w:bidi="ar-SA"/>
        </w:rPr>
        <w:t xml:space="preserve">. </w:t>
      </w:r>
      <w:bookmarkStart w:id="36" w:name="pg15710_226740"/>
    </w:p>
    <w:p>
      <w:pPr>
        <w:pStyle w:val="BookText"/>
        <w:rPr/>
      </w:pPr>
      <w:bookmarkEnd w:id="36"/>
      <w:r>
        <w:rPr>
          <w:rFonts w:ascii="Amiri" w:hAnsi="Amiri" w:eastAsia="Amiri" w:cs="Amiri"/>
          <w:color w:val="111111"/>
          <w:sz w:val="28"/>
          <w:sz w:val="28"/>
          <w:szCs w:val="28"/>
          <w:rtl w:val="true"/>
          <w:lang w:bidi="ar-SA"/>
        </w:rPr>
        <w:t>التحالف مع الكافر المحرم</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جوازه من باب قانون الأهم والمهم إذا أمضاه</w:t>
      </w: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الفقهاء المراجع</w:t>
      </w:r>
      <w:r>
        <w:rPr>
          <w:rFonts w:eastAsia="IRNazanin" w:cs="IRNazanin"/>
          <w:color w:val="111111"/>
          <w:sz w:val="28"/>
          <w:szCs w:val="28"/>
          <w:rtl w:val="true"/>
          <w:lang w:bidi="fa-IR"/>
        </w:rPr>
        <w:t>.</w:t>
      </w:r>
    </w:p>
    <w:p>
      <w:pPr>
        <w:pStyle w:val="Heading2"/>
        <w:numPr>
          <w:ilvl w:val="1"/>
          <w:numId w:val="1"/>
        </w:numPr>
        <w:rPr/>
      </w:pPr>
      <w:bookmarkStart w:id="37" w:name="__RefHeading___Toc12183665_2142443653"/>
      <w:bookmarkStart w:id="38" w:name="_Toc13"/>
      <w:bookmarkEnd w:id="37"/>
      <w:r>
        <w:rPr>
          <w:rtl w:val="true"/>
        </w:rPr>
        <w:t>مصلحة الإسلام والمسلمين</w:t>
      </w:r>
      <w:bookmarkEnd w:id="3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المسائل السابقة وما بعدها يكون واجباً إذا توقفت مصلحة</w:t>
      </w:r>
      <w:r>
        <w:rPr>
          <w:rStyle w:val="FootnoteAnchor"/>
          <w:rtl w:val="true"/>
        </w:rPr>
        <w:footnoteReference w:id="39"/>
      </w:r>
      <w:r>
        <w:rPr>
          <w:rFonts w:ascii="Amiri" w:hAnsi="Amiri" w:eastAsia="Amiri" w:cs="Amiri"/>
          <w:color w:val="111111"/>
          <w:sz w:val="28"/>
          <w:sz w:val="28"/>
          <w:szCs w:val="28"/>
          <w:rtl w:val="true"/>
          <w:lang w:bidi="ar-SA"/>
        </w:rPr>
        <w:t xml:space="preserve"> الإسلام والمسلمين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حسب نظر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الفقهاء المراجع، ومستحب إذا لم يكن بحد المنع من النقيض</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12183667_2142443653"/>
      <w:bookmarkStart w:id="40" w:name="_Toc14"/>
      <w:bookmarkEnd w:id="39"/>
      <w:r>
        <w:rPr>
          <w:rtl w:val="true"/>
        </w:rPr>
        <w:t>الوكالات المحرمة</w:t>
      </w:r>
      <w:bookmarkEnd w:id="4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w:t>
      </w:r>
      <w:r>
        <w:rPr>
          <w:rStyle w:val="FootnoteAnchor"/>
          <w:rtl w:val="true"/>
        </w:rPr>
        <w:footnoteReference w:id="40"/>
      </w:r>
      <w:r>
        <w:rPr>
          <w:rFonts w:ascii="Amiri" w:hAnsi="Amiri" w:eastAsia="Amiri" w:cs="Amiri"/>
          <w:color w:val="111111"/>
          <w:sz w:val="28"/>
          <w:sz w:val="28"/>
          <w:szCs w:val="28"/>
          <w:rtl w:val="true"/>
          <w:lang w:bidi="ar-SA"/>
        </w:rPr>
        <w:t xml:space="preserve"> وكالة إثارة الجنس التي تفتح السينماءات</w:t>
      </w:r>
    </w:p>
    <w:p>
      <w:pPr>
        <w:pStyle w:val="BookText"/>
        <w:rPr/>
      </w:pP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استلزم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الحاكم الأعلى على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إليه مع القطع بكون المصلحة الملزمة في ذلك،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موضوعي،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الملزمة، كما سيأتي في الشرح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وجهه في السطر </w:t>
      </w:r>
      <w:r>
        <w:rPr>
          <w:rFonts w:eastAsia="Amiri" w:cs="Amiri" w:ascii="Amiri" w:hAnsi="Amiri"/>
          <w:color w:val="111111"/>
          <w:sz w:val="28"/>
          <w:szCs w:val="28"/>
          <w:lang w:bidi="ar-SA"/>
        </w:rPr>
        <w:t>1</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في أذهان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علم من الشارع مبغوضية وجوده في الخارج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وتعاون على الإثم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ومقدمة حرام، لو قلنا بحرمتها شرعاً، وإلا كانت الحرمة عقلية فقط</w:t>
      </w:r>
      <w:r>
        <w:rPr>
          <w:rFonts w:eastAsia="Amiri" w:cs="Amiri" w:ascii="Amiri" w:hAnsi="Amiri"/>
          <w:color w:val="111111"/>
          <w:sz w:val="28"/>
          <w:szCs w:val="28"/>
          <w:rtl w:val="true"/>
          <w:lang w:bidi="ar-SA"/>
        </w:rPr>
        <w:t xml:space="preserve">. </w:t>
      </w:r>
      <w:bookmarkStart w:id="41" w:name="pg15710_226741"/>
    </w:p>
    <w:p>
      <w:pPr>
        <w:pStyle w:val="BookText"/>
        <w:rPr/>
      </w:pPr>
      <w:bookmarkEnd w:id="41"/>
      <w:r>
        <w:rPr>
          <w:rFonts w:ascii="Amiri" w:hAnsi="Amiri" w:eastAsia="Amiri" w:cs="Amiri"/>
          <w:color w:val="111111"/>
          <w:sz w:val="28"/>
          <w:sz w:val="28"/>
          <w:szCs w:val="28"/>
          <w:rtl w:val="true"/>
          <w:lang w:bidi="ar-SA"/>
        </w:rPr>
        <w:t>والنوادي والأندية والأحواض وتصنع الملابس</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والمساحيق وتخرج الأفلام وغيرها، لأجل تشجيع الفساد والاختلاط والشذوذ الجنسي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بين حرام ذاتي، وبين حرام غيري؛ لأنه مقدمة الحرام، والأدلة واضحة</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12183669_2142443653"/>
      <w:bookmarkStart w:id="43" w:name="_Toc15"/>
      <w:bookmarkEnd w:id="42"/>
      <w:r>
        <w:rPr>
          <w:rtl w:val="true"/>
        </w:rPr>
        <w:t>انتخاب ملكات الجمال</w:t>
      </w:r>
      <w:bookmarkEnd w:id="4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ملكة الجمال التي تنتخب بالأساليب المحرمة ويوجب الفساد وما أشبه لا يجوز</w:t>
      </w:r>
      <w:r>
        <w:rPr>
          <w:rStyle w:val="FootnoteAnchor"/>
          <w:rtl w:val="true"/>
        </w:rPr>
        <w:footnoteReference w:id="44"/>
      </w:r>
      <w:r>
        <w:rPr>
          <w:rFonts w:ascii="Amiri" w:hAnsi="Amiri" w:eastAsia="Amiri" w:cs="Amiri"/>
          <w:color w:val="111111"/>
          <w:sz w:val="28"/>
          <w:sz w:val="28"/>
          <w:szCs w:val="28"/>
          <w:rtl w:val="true"/>
          <w:lang w:bidi="ar-SA"/>
        </w:rPr>
        <w:t>، كما لا يجوز كلّ ما يتعلق بذلك من الأمور المحرمة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انتخبت بين النساء بدون استلزام محرم فليس بمحرم، وكذلك في الجمال المعنوي والكمال الروحي</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والحجاب وما أشبه ذلك، والحكم في الصورتين حسب الأدلة</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12183671_2142443653"/>
      <w:bookmarkStart w:id="45" w:name="_Toc16"/>
      <w:bookmarkEnd w:id="44"/>
      <w:r>
        <w:rPr>
          <w:rtl w:val="true"/>
        </w:rPr>
        <w:t>الحفلات الراقصة والسهرات الحمراء</w:t>
      </w:r>
      <w:bookmarkEnd w:id="4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الحفلات الراقصة والسهرات الحمراء والأفلام الخليعة</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حرمتها نظر وكذا صناعتها؛ لأنها أدوات مشتركة، فهي كالسكين الذي قد يستخدم للقتل أو للمطبخ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وردود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فتح الكوافير للمتبرجات أو احتياطه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الأدلة في المسألة المتقدمة، وبعض ما فيه حرام ذاتي كالنظر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جديرة بالتنفيذ</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bookmarkStart w:id="46" w:name="pg15710_226742"/>
    </w:p>
    <w:p>
      <w:pPr>
        <w:pStyle w:val="BookText"/>
        <w:rPr/>
      </w:pPr>
      <w:bookmarkEnd w:id="46"/>
      <w:r>
        <w:rPr>
          <w:rFonts w:ascii="Amiri" w:hAnsi="Amiri" w:eastAsia="Amiri" w:cs="Amiri"/>
          <w:color w:val="111111"/>
          <w:sz w:val="28"/>
          <w:sz w:val="28"/>
          <w:szCs w:val="28"/>
          <w:rtl w:val="true"/>
          <w:lang w:bidi="ar-SA"/>
        </w:rPr>
        <w:t>والأندية المختلطة وما أشبه ذلك مما يختلط فيها الجنسان ويكون محلاً للفساد والموبقات لا تجوز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هي من أشد المحرمات؛ لاشتمالها على عدة محرمات، وما يدفع من الأموال لتهيئة البرامج وللحضور والمشاهدة غير جائز</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 w:name="__RefHeading___Toc12183673_2142443653"/>
      <w:bookmarkStart w:id="48" w:name="_Toc17"/>
      <w:bookmarkEnd w:id="47"/>
      <w:r>
        <w:rPr>
          <w:rtl w:val="true"/>
        </w:rPr>
        <w:t>الاستمناء بالإيحاء والتنويم</w:t>
      </w:r>
      <w:bookmarkEnd w:id="4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الاستمناء ولو بتنويم</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تنويماً مغناطيسياً، والإيحاء إلى نفسه لمجامعة زوجته، فإن ذلك ليس من النوم حقيقة، وإنما هو نوم اصطناعي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مشمول لدليل الاستمناء عرفاً، وليس هذا من الاحتلام في النوم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نعم من علم أنه إذا نام النوم الطبيعي أجنب جاز عليه النوم؛ لأنه من الاحتلام</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2183675_2142443653"/>
      <w:bookmarkStart w:id="50" w:name="_Toc18"/>
      <w:bookmarkEnd w:id="49"/>
      <w:r>
        <w:rPr>
          <w:rtl w:val="true"/>
        </w:rPr>
        <w:t>التنويم الموهم للزنا واللواط</w:t>
      </w:r>
      <w:bookmarkEnd w:id="5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التنويم الموهم للزنا واللواط أو السحق مشكل، نعم إذا</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أكل للمال بالباطل، وإذا حرم شيئاً حرم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الجواز وضعي وهل يمكن كونه تكليفياً؟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معرفة حقيقته أولاً، لكن الظاهر أنه استمناء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بأن الاستمناء محرم مطلقاً، ولو بإيجاد مقدمة تؤدي إليه، خرج منه النوم وما أشبه، ولو علم تفصيلاً أو إجمالاً بذلك، بالإجماع والضرورة والسيرة، وبقي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وجهه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bookmarkStart w:id="51" w:name="pg15710_226743"/>
    </w:p>
    <w:p>
      <w:pPr>
        <w:pStyle w:val="BookText"/>
        <w:rPr/>
      </w:pPr>
      <w:bookmarkEnd w:id="51"/>
      <w:r>
        <w:rPr>
          <w:rFonts w:ascii="Amiri" w:hAnsi="Amiri" w:eastAsia="Amiri" w:cs="Amiri"/>
          <w:color w:val="111111"/>
          <w:sz w:val="28"/>
          <w:sz w:val="28"/>
          <w:szCs w:val="28"/>
          <w:rtl w:val="true"/>
          <w:lang w:bidi="ar-SA"/>
        </w:rPr>
        <w:t>أمنى وقد فعل ذلك عمداً كان حراماً من جهة الاستمناء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الإثارة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والتلذذ والريبة، وبناؤهم على حرمتها إلا ما قطع بجوازه، مثل فكر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الإنسان في عمل الجنس أو لعبه بنفسه بغير الاستمناء، فتأمل</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12183677_2142443653"/>
      <w:bookmarkStart w:id="53" w:name="_Toc19"/>
      <w:bookmarkEnd w:id="52"/>
      <w:r>
        <w:rPr>
          <w:rtl w:val="true"/>
        </w:rPr>
        <w:t>وجوب الغسل في الحالتين</w:t>
      </w:r>
      <w:bookmarkEnd w:id="5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الغسل في المسألتين السابقتين إذا أمنى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خروج المني يوجب الغسل مطلقاً، سواء من الرجل أم من المرأة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حلالاً أو حراماً ، كما ذكر في الفقه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12183679_2142443653"/>
      <w:bookmarkStart w:id="55" w:name="_Toc20"/>
      <w:bookmarkEnd w:id="54"/>
      <w:r>
        <w:rPr>
          <w:rtl w:val="true"/>
        </w:rPr>
        <w:t>السدر والكافور الاصطناعيان</w:t>
      </w:r>
      <w:bookmarkEnd w:id="5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السدر والكافور الاصطناعي في باب غسل الأموات،</w:t>
      </w:r>
    </w:p>
    <w:p>
      <w:pPr>
        <w:pStyle w:val="BookText"/>
        <w:rPr/>
      </w:pP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بحرام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ومجامعة امرأته بشهوة أجنبية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منكر في أذهان المتشرعة،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مكاسب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منياً، ولو قيل بالعدم كان منياً تعبداً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الفقه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bookmarkStart w:id="56" w:name="pg15710_226744"/>
    </w:p>
    <w:p>
      <w:pPr>
        <w:pStyle w:val="BookText"/>
        <w:rPr/>
      </w:pPr>
      <w:bookmarkEnd w:id="56"/>
      <w:r>
        <w:rPr>
          <w:rFonts w:ascii="Amiri" w:hAnsi="Amiri" w:eastAsia="Amiri" w:cs="Amiri"/>
          <w:color w:val="111111"/>
          <w:sz w:val="28"/>
          <w:sz w:val="28"/>
          <w:szCs w:val="28"/>
          <w:rtl w:val="true"/>
          <w:lang w:bidi="ar-SA"/>
        </w:rPr>
        <w:t>وإن كان في مظهر ومخبر</w:t>
      </w:r>
      <w:r>
        <w:rPr>
          <w:rStyle w:val="FootnoteAnchor"/>
          <w:rtl w:val="true"/>
        </w:rPr>
        <w:footnoteReference w:id="53"/>
      </w:r>
      <w:r>
        <w:rPr>
          <w:rFonts w:ascii="Amiri" w:hAnsi="Amiri" w:eastAsia="Amiri" w:cs="Amiri"/>
          <w:color w:val="111111"/>
          <w:sz w:val="28"/>
          <w:sz w:val="28"/>
          <w:szCs w:val="28"/>
          <w:rtl w:val="true"/>
          <w:lang w:bidi="ar-SA"/>
        </w:rPr>
        <w:t xml:space="preserve"> السدر والكافور، إذ الدليل أنما دل على وجوبهما، لا على ما يقال عرفاً بأنه سدر أو كافور جهلاً عن حقيقتهما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حالها حال سائر الموضوعات التي يلزم أن يكون حقيقياً لا مظهرياً ، إذ الألفاظ موضوعة لمعانيها الواقعية لا غيرها، وإن كان شبيهاً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لها أو أطلق مسامحة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12183681_2142443653"/>
      <w:bookmarkStart w:id="58" w:name="_Toc21"/>
      <w:bookmarkEnd w:id="57"/>
      <w:r>
        <w:rPr>
          <w:rtl w:val="true"/>
        </w:rPr>
        <w:t>المساجد بالأبنية الجاهزة</w:t>
      </w:r>
      <w:bookmarkEnd w:id="5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في صدق المسجد البناء المعتاد</w:t>
      </w:r>
      <w:r>
        <w:rPr>
          <w:rStyle w:val="FootnoteAnchor"/>
          <w:rtl w:val="true"/>
        </w:rPr>
        <w:footnoteReference w:id="54"/>
      </w:r>
      <w:r>
        <w:rPr>
          <w:rFonts w:ascii="Amiri" w:hAnsi="Amiri" w:eastAsia="Amiri" w:cs="Amiri"/>
          <w:color w:val="111111"/>
          <w:sz w:val="28"/>
          <w:sz w:val="28"/>
          <w:szCs w:val="28"/>
          <w:rtl w:val="true"/>
          <w:lang w:bidi="ar-SA"/>
        </w:rPr>
        <w:t>، بل لو جعل البناء المصنوع في مكان كما لو شد الحيطان والسقوف المجهزة، ثم وقف ذلك مسجداً كان له حكم المسجد، وكذلك بالنسبة إلى سائر الأوقاف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لإطلاق أدلة الوقف،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الوقوف على حسب ما يقفها</w:t>
      </w:r>
    </w:p>
    <w:p>
      <w:pPr>
        <w:pStyle w:val="BookText"/>
        <w:rPr/>
      </w:pP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مخبره خرج عن كونه اصطناعياً، فهو كمثل صنع السدر بدعاء ولي، أو بإعجاز نبي، أو بخلق إلهي دفعي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وينافي ما ذكر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مظهرياً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w:t>
      </w:r>
      <w:r>
        <w:rPr>
          <w:rFonts w:eastAsia="Amiri" w:cs="Amiri" w:ascii="Amiri" w:hAnsi="Amiri"/>
          <w:color w:val="111111"/>
          <w:sz w:val="28"/>
          <w:szCs w:val="28"/>
          <w:rtl w:val="true"/>
          <w:lang w:bidi="ar-SA"/>
        </w:rPr>
        <w:t>.</w:t>
      </w:r>
    </w:p>
    <w:p>
      <w:pPr>
        <w:pStyle w:val="BookText"/>
        <w:rPr/>
      </w:pP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الصناعي والبلاتين في حكم الأواني</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التسامحات 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أوائل الكتاب</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مسامحة يرفع العرف يده عنها عند الدقة، فالملاك هي المسامحة التي يراها العرف مشمولة للدليل، فهي حجة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القضيّة حقيقية لا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الأصل </w:t>
      </w:r>
      <w:r>
        <w:rPr>
          <w:rFonts w:eastAsia="Amiri" w:cs="Amiri" w:ascii="Amiri" w:hAnsi="Amiri"/>
          <w:color w:val="111111"/>
          <w:sz w:val="28"/>
          <w:szCs w:val="28"/>
          <w:rtl w:val="true"/>
          <w:lang w:bidi="ar-SA"/>
        </w:rPr>
        <w:t xml:space="preserve">- . </w:t>
      </w:r>
      <w:bookmarkStart w:id="59" w:name="pg15710_226745"/>
    </w:p>
    <w:p>
      <w:pPr>
        <w:pStyle w:val="BookText"/>
        <w:rPr/>
      </w:pPr>
      <w:bookmarkEnd w:id="59"/>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 ولا دليل على الاشتراط إلا الانصراف، وهو بدوي، فحال المسجد حال البيوت</w:t>
      </w:r>
      <w:r>
        <w:rPr>
          <w:rStyle w:val="FootnoteAnchor"/>
          <w:rtl w:val="true"/>
        </w:rPr>
        <w:footnoteReference w:id="61"/>
      </w:r>
      <w:r>
        <w:rPr>
          <w:rFonts w:ascii="Amiri" w:hAnsi="Amiri" w:eastAsia="Amiri" w:cs="Amiri"/>
          <w:color w:val="111111"/>
          <w:sz w:val="28"/>
          <w:sz w:val="28"/>
          <w:szCs w:val="28"/>
          <w:rtl w:val="true"/>
          <w:lang w:bidi="ar-SA"/>
        </w:rPr>
        <w:t xml:space="preserve"> الجاهزة، نعم المرأة ترث من البيوت الجاهزة؛ لأنها غير الأرض</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وإنما الأرض هي التي لا ترث منها</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12183683_2142443653"/>
      <w:bookmarkStart w:id="61" w:name="_Toc22"/>
      <w:bookmarkEnd w:id="60"/>
      <w:r>
        <w:rPr>
          <w:rtl w:val="true"/>
        </w:rPr>
        <w:t>القصص الرومانسية</w:t>
      </w:r>
      <w:bookmarkEnd w:id="6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الرومانسية</w:t>
      </w:r>
      <w:r>
        <w:rPr>
          <w:rStyle w:val="FootnoteAnchor"/>
          <w:rtl w:val="true"/>
        </w:rPr>
        <w:footnoteReference w:id="62"/>
      </w:r>
      <w:r>
        <w:rPr>
          <w:rFonts w:ascii="Amiri" w:hAnsi="Amiri" w:eastAsia="Amiri" w:cs="Amiri"/>
          <w:color w:val="111111"/>
          <w:sz w:val="28"/>
          <w:sz w:val="28"/>
          <w:szCs w:val="28"/>
          <w:rtl w:val="true"/>
          <w:lang w:bidi="ar-SA"/>
        </w:rPr>
        <w:t xml:space="preserve"> جائزة، فإن الكذب منصرف</w:t>
      </w:r>
      <w:r>
        <w:rPr>
          <w:rStyle w:val="FootnoteAnchor"/>
          <w:rtl w:val="true"/>
        </w:rPr>
        <w:footnoteReference w:id="63"/>
      </w:r>
      <w:r>
        <w:rPr>
          <w:rFonts w:ascii="Amiri" w:hAnsi="Amiri" w:eastAsia="Amiri" w:cs="Amiri"/>
          <w:color w:val="111111"/>
          <w:sz w:val="28"/>
          <w:sz w:val="28"/>
          <w:szCs w:val="28"/>
          <w:rtl w:val="true"/>
          <w:lang w:bidi="ar-SA"/>
        </w:rPr>
        <w:t xml:space="preserve"> عن مثلها، نعم إذا أوجبت المفسدة لم تجز</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كما لو كانت قصصاً غرامية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عليها السيرة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أيضاً، ولذا نرى أنّ علماءنا صنعوا ذلك كالعلامة الأجل الشيخ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وكذا غيره من العلماء الأجلاء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12183685_2142443653"/>
      <w:bookmarkStart w:id="63" w:name="_Toc23"/>
      <w:bookmarkEnd w:id="62"/>
      <w:r>
        <w:rPr>
          <w:rtl w:val="true"/>
        </w:rPr>
        <w:t>القصص الغرامية</w:t>
      </w:r>
      <w:bookmarkEnd w:id="6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قيمتها لا من عينها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وإن كان لها 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يفصل بين ما علم من الخارج أنه مصنوع، مثل كليلة ودمنة، وبيان ما أوهم أنه حقيقي، فإنه كذب</w:t>
      </w:r>
      <w:r>
        <w:rPr>
          <w:rFonts w:eastAsia="Amiri" w:cs="Amiri" w:ascii="Amiri" w:hAnsi="Amiri"/>
          <w:color w:val="111111"/>
          <w:sz w:val="28"/>
          <w:szCs w:val="28"/>
          <w:rtl w:val="true"/>
          <w:lang w:bidi="ar-SA"/>
        </w:rPr>
        <w:t>.</w:t>
      </w:r>
    </w:p>
    <w:p>
      <w:pPr>
        <w:pStyle w:val="BookText"/>
        <w:rPr/>
      </w:pP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غير معلوم،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تعاون على الإثم، أو منكر في الأذهان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 يؤخذ منها بالقدر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اتصالها بزمان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فيه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bookmarkStart w:id="64" w:name="pg15710_226746"/>
    </w:p>
    <w:p>
      <w:pPr>
        <w:pStyle w:val="BookText"/>
        <w:rPr/>
      </w:pPr>
      <w:bookmarkEnd w:id="64"/>
      <w:r>
        <w:rPr>
          <w:rFonts w:ascii="Amiri" w:hAnsi="Amiri" w:eastAsia="Amiri" w:cs="Amiri"/>
          <w:color w:val="111111"/>
          <w:sz w:val="28"/>
          <w:sz w:val="28"/>
          <w:szCs w:val="28"/>
          <w:rtl w:val="true"/>
          <w:lang w:bidi="ar-SA"/>
        </w:rPr>
        <w:t>القصص الموجبة للمفسدة لا تجوز</w:t>
      </w:r>
      <w:r>
        <w:rPr>
          <w:rStyle w:val="FootnoteAnchor"/>
          <w:rtl w:val="true"/>
        </w:rPr>
        <w:footnoteReference w:id="67"/>
      </w:r>
      <w:r>
        <w:rPr>
          <w:rFonts w:ascii="Amiri" w:hAnsi="Amiri" w:eastAsia="Amiri" w:cs="Amiri"/>
          <w:color w:val="111111"/>
          <w:sz w:val="28"/>
          <w:sz w:val="28"/>
          <w:szCs w:val="28"/>
          <w:rtl w:val="true"/>
          <w:lang w:bidi="ar-SA"/>
        </w:rPr>
        <w:t>، وإن كانت حقيقية، كما لو نقل قصة غرامية حقيقية، لكنها كانت فتنة ومثاراً للحرام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الشعر المثير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فإنّ المستلزم للحرام والمفسدة والريبة وما أشبه حرام، وفي هذه القصص كل ذلك،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عَلَى الإِثْمِ وَالْعُدْوَانِ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12183687_2142443653"/>
      <w:bookmarkStart w:id="66" w:name="_Toc24"/>
      <w:bookmarkEnd w:id="65"/>
      <w:r>
        <w:rPr>
          <w:rtl w:val="true"/>
        </w:rPr>
        <w:t>التصاوير الجنسية</w:t>
      </w:r>
      <w:bookmarkEnd w:id="6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التصاوير الجنسية الموجبة للفتنة وإثارة الحرام لا</w:t>
      </w:r>
    </w:p>
    <w:p>
      <w:pPr>
        <w:pStyle w:val="BookText"/>
        <w:rPr/>
      </w:pP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لأن المستفاد حرمة المفسدة، وحرمة إيقاع الآخرين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التنقيح، بحث حرمة إدخال الآخرين المجنبين في المسجد، وإيكال الحرام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وللإعانة كما سيأتي</w:t>
      </w:r>
      <w:r>
        <w:rPr>
          <w:rFonts w:eastAsia="Amiri" w:cs="Amiri" w:ascii="Amiri" w:hAnsi="Amiri"/>
          <w:color w:val="111111"/>
          <w:sz w:val="28"/>
          <w:szCs w:val="28"/>
          <w:rtl w:val="true"/>
          <w:lang w:bidi="ar-SA"/>
        </w:rPr>
        <w:t>.</w:t>
      </w:r>
    </w:p>
    <w:p>
      <w:pPr>
        <w:pStyle w:val="BookText"/>
        <w:rPr/>
      </w:pP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الأشعار القديمة فيها تغزل ولا تخلو من إثارة، 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المحرمات في تهييج الشهوة</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وبحث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التشبيب</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والإعانة ترد بأنها بواسطة الفاعل المختار،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موضوع ارتكاز المتشرعة وما علم أن الشارع لا يريد وقوعه في الخارج</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bookmarkStart w:id="67" w:name="pg15710_226747"/>
    </w:p>
    <w:p>
      <w:pPr>
        <w:pStyle w:val="BookText"/>
        <w:rPr/>
      </w:pPr>
      <w:bookmarkEnd w:id="67"/>
      <w:r>
        <w:rPr>
          <w:rFonts w:ascii="IRNazanin" w:hAnsi="IRNazanin" w:eastAsia="IRNazanin"/>
          <w:color w:val="111111"/>
          <w:sz w:val="28"/>
          <w:sz w:val="28"/>
          <w:szCs w:val="28"/>
          <w:rtl w:val="true"/>
          <w:lang w:bidi="fa-IR"/>
        </w:rPr>
        <w:t>تجوز</w:t>
      </w:r>
      <w:r>
        <w:rPr>
          <w:rStyle w:val="FootnoteAnchor"/>
          <w:rtl w:val="true"/>
        </w:rPr>
        <w:footnoteReference w:id="73"/>
      </w:r>
      <w:r>
        <w:rPr>
          <w:rFonts w:ascii="Amiri" w:hAnsi="Amiri" w:eastAsia="Amiri" w:cs="Amiri"/>
          <w:color w:val="111111"/>
          <w:sz w:val="28"/>
          <w:sz w:val="28"/>
          <w:szCs w:val="28"/>
          <w:rtl w:val="true"/>
          <w:lang w:bidi="ar-SA"/>
        </w:rPr>
        <w:t>، وإن لم تكن تصاوير واقعية، بل كانت خيالية، أما الواقعية منها فلها جهة حرمة ثانية أيضاً لحرمة النظر</w:t>
      </w:r>
      <w:r>
        <w:rPr>
          <w:rStyle w:val="FootnoteAnchor"/>
          <w:rtl w:val="true"/>
        </w:rPr>
        <w:footnoteReference w:id="74"/>
      </w:r>
      <w:r>
        <w:rPr>
          <w:rFonts w:ascii="IRNazanin" w:hAnsi="IRNazanin" w:eastAsia="IRNazanin"/>
          <w:color w:val="111111"/>
          <w:sz w:val="28"/>
          <w:sz w:val="28"/>
          <w:szCs w:val="28"/>
          <w:rtl w:val="true"/>
          <w:lang w:bidi="fa-IR"/>
        </w:rPr>
        <w:t xml:space="preserve"> إلى النساء وعورات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في كلا الأمرين واضح، من غير فرق بين التصوير الفوتوغرافي، أو التلفزيون أو الفيديو أو غيرها</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12183689_2142443653"/>
      <w:bookmarkStart w:id="69" w:name="_Toc25"/>
      <w:bookmarkEnd w:id="68"/>
      <w:r>
        <w:rPr>
          <w:rtl w:val="true"/>
        </w:rPr>
        <w:t>الأسنان الصناعية</w:t>
      </w:r>
      <w:bookmarkEnd w:id="6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بالأسنان الصناعية المتخذة من البلاستك أو من الحيوان إذا وضعت في فم الإنسان، وإن كان الحيوان حرام اللحم كالهرة</w:t>
      </w:r>
      <w:r>
        <w:rPr>
          <w:rStyle w:val="FootnoteAnchor"/>
          <w:rtl w:val="true"/>
        </w:rPr>
        <w:footnoteReference w:id="75"/>
      </w:r>
      <w:r>
        <w:rPr>
          <w:rFonts w:ascii="Amiri" w:hAnsi="Amiri" w:eastAsia="Amiri" w:cs="Amiri"/>
          <w:color w:val="111111"/>
          <w:sz w:val="28"/>
          <w:sz w:val="28"/>
          <w:szCs w:val="28"/>
          <w:rtl w:val="true"/>
          <w:lang w:bidi="ar-SA"/>
        </w:rPr>
        <w:t>، أما سن الحيوان النجس العين</w:t>
      </w:r>
      <w:r>
        <w:rPr>
          <w:rStyle w:val="FootnoteAnchor"/>
          <w:rtl w:val="true"/>
        </w:rPr>
        <w:footnoteReference w:id="76"/>
      </w:r>
      <w:r>
        <w:rPr>
          <w:rFonts w:ascii="Amiri" w:hAnsi="Amiri" w:eastAsia="Amiri" w:cs="Amiri"/>
          <w:color w:val="111111"/>
          <w:sz w:val="28"/>
          <w:sz w:val="28"/>
          <w:szCs w:val="28"/>
          <w:rtl w:val="true"/>
          <w:lang w:bidi="ar-SA"/>
        </w:rPr>
        <w:t xml:space="preserve"> فهل يجوز</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في الفم أم لا؟ احتمالان، وكذلك إذا كانت من الإنسان الميت، حيث يجب</w:t>
      </w:r>
    </w:p>
    <w:p>
      <w:pPr>
        <w:pStyle w:val="BookText"/>
        <w:rPr/>
      </w:pP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Fonts w:eastAsia="Amiri" w:cs="Amiri" w:ascii="Amiri" w:hAnsi="Amiri"/>
          <w:color w:val="111111"/>
          <w:sz w:val="28"/>
          <w:szCs w:val="28"/>
          <w:rtl w:val="true"/>
          <w:lang w:bidi="ar-SA"/>
        </w:rPr>
        <w:t>.</w:t>
      </w:r>
    </w:p>
    <w:p>
      <w:pPr>
        <w:pStyle w:val="BookText"/>
        <w:rPr/>
      </w:pP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بحث موكول 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التصوير</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والملاك غير معلوم،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وهي مدفوعة بكونه لا تحله الحياة من محرم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بحث المانعية حين الصلاة، والظاهر أنها تشمله؛ إذ لا فرق بين كونه في الداخل أو الخارج،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العروة وشروحها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بإخراجه حال الصلاة ونحوها ترتفع المانعية</w:t>
      </w:r>
      <w:r>
        <w:rPr>
          <w:rFonts w:eastAsia="Amiri" w:cs="Amiri" w:ascii="Amiri" w:hAnsi="Amiri"/>
          <w:color w:val="111111"/>
          <w:sz w:val="28"/>
          <w:szCs w:val="28"/>
          <w:rtl w:val="true"/>
          <w:lang w:bidi="ar-SA"/>
        </w:rPr>
        <w:t>.</w:t>
      </w:r>
    </w:p>
    <w:p>
      <w:pPr>
        <w:pStyle w:val="BookText"/>
        <w:rPr/>
      </w:pP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بلفظه أو بملاكه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 النجس</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لوازمه وهو بلع الريق، وإلا ففي حدّ ذاته لا إشكال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دفنها</w:t>
      </w:r>
      <w:r>
        <w:rPr>
          <w:rStyle w:val="FootnoteAnchor"/>
          <w:rtl w:val="true"/>
        </w:rPr>
        <w:footnoteReference w:id="83"/>
      </w:r>
      <w:r>
        <w:rPr>
          <w:rFonts w:ascii="Amiri" w:hAnsi="Amiri" w:eastAsia="Amiri" w:cs="Amiri"/>
          <w:color w:val="111111"/>
          <w:sz w:val="28"/>
          <w:sz w:val="28"/>
          <w:szCs w:val="28"/>
          <w:rtl w:val="true"/>
          <w:lang w:bidi="ar-SA"/>
        </w:rPr>
        <w:t xml:space="preserve"> وقد تقدم في بعض المسائل حال تبديل عضو بعضو إنسان 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الجواز في غير نجس العين للعمومات والإطلاقات،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لك 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نجس العين فاحتمالان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الحرمة لأنه نجس، فيكون كل ما يلاقيه نجساً وحراماً بلعه، إلا إذا فرض أنه صار جزء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الموضوع يتبدل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والحلية لأنه في الباطن وقد قال جمع بأن الباطن لا يتنجس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مقتضى الاحتياط الأول</w:t>
      </w:r>
      <w:r>
        <w:rPr>
          <w:rFonts w:eastAsia="Amiri" w:cs="Amiri" w:ascii="Amiri" w:hAnsi="Amiri"/>
          <w:color w:val="111111"/>
          <w:sz w:val="28"/>
          <w:szCs w:val="28"/>
          <w:rtl w:val="true"/>
          <w:lang w:bidi="ar-SA"/>
        </w:rPr>
        <w:t>.</w:t>
      </w:r>
    </w:p>
    <w:p>
      <w:pPr>
        <w:pStyle w:val="BookText"/>
        <w:rPr/>
      </w:pP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أنه لا فرق بين الكل والأبعاض، فيجب دفنها</w:t>
      </w:r>
      <w:r>
        <w:rPr>
          <w:rStyle w:val="FootnoteAnchor"/>
          <w:rtl w:val="true"/>
        </w:rPr>
        <w:footnoteReference w:id="85"/>
      </w:r>
      <w:r>
        <w:rPr>
          <w:rFonts w:ascii="Amiri" w:hAnsi="Amiri" w:eastAsia="Amiri" w:cs="Amiri"/>
          <w:color w:val="111111"/>
          <w:sz w:val="28"/>
          <w:sz w:val="28"/>
          <w:szCs w:val="28"/>
          <w:rtl w:val="true"/>
          <w:lang w:bidi="ar-SA"/>
        </w:rPr>
        <w:t xml:space="preserve">، لكن قد تقدّم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وجوب دفن الأجزاء فراجع</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 من تغيير خلق اللّه تعالى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والجزئية ملاكها في نظر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التفاعل كما سيأتي</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العروة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النجاسات</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فإن الباطني على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تنجس الباطن بالنجاسة الباطنية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تنجس الباطن بالنجاسة الخارجية التي دخلت للباطن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 منهما قد يفرض الملاقي في الداخل وقد يفرض خروجه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تنجس الخارج إذا دخل بالنجاسة الباطنية، كالإبرة بالدم الداخلي</w:t>
      </w:r>
      <w:r>
        <w:rPr>
          <w:rFonts w:eastAsia="Amiri" w:cs="Amiri" w:ascii="Amiri" w:hAnsi="Amiri"/>
          <w:color w:val="111111"/>
          <w:sz w:val="28"/>
          <w:szCs w:val="28"/>
          <w:rtl w:val="true"/>
          <w:lang w:bidi="ar-SA"/>
        </w:rPr>
        <w:t xml:space="preserve">. </w:t>
      </w:r>
      <w:bookmarkStart w:id="70" w:name="pg15710_226749"/>
    </w:p>
    <w:p>
      <w:pPr>
        <w:pStyle w:val="Heading2"/>
        <w:numPr>
          <w:ilvl w:val="1"/>
          <w:numId w:val="1"/>
        </w:numPr>
        <w:rPr/>
      </w:pPr>
      <w:bookmarkStart w:id="71" w:name="__RefHeading___Toc12183691_2142443653"/>
      <w:bookmarkStart w:id="72" w:name="_Toc26"/>
      <w:bookmarkEnd w:id="70"/>
      <w:bookmarkEnd w:id="71"/>
      <w:r>
        <w:rPr>
          <w:rtl w:val="true"/>
        </w:rPr>
        <w:t>العيون الصناعية</w:t>
      </w:r>
      <w:bookmarkEnd w:id="7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89"/>
      </w:r>
      <w:r>
        <w:rPr>
          <w:rFonts w:ascii="Amiri" w:hAnsi="Amiri" w:eastAsia="Amiri" w:cs="Amiri"/>
          <w:color w:val="111111"/>
          <w:sz w:val="28"/>
          <w:sz w:val="28"/>
          <w:szCs w:val="28"/>
          <w:rtl w:val="true"/>
          <w:lang w:bidi="ar-SA"/>
        </w:rPr>
        <w:t xml:space="preserve"> بالعيون الصناعية، ولا يجب غسلها حال الوضوء والغسل؛ لأنها من الباطن</w:t>
      </w:r>
      <w:r>
        <w:rPr>
          <w:rStyle w:val="FootnoteAnchor"/>
          <w:rtl w:val="true"/>
        </w:rPr>
        <w:footnoteReference w:id="90"/>
      </w:r>
      <w:r>
        <w:rPr>
          <w:rFonts w:ascii="IRNazanin" w:hAnsi="IRNazanin" w:eastAsia="IRNazanin"/>
          <w:color w:val="111111"/>
          <w:sz w:val="28"/>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كما في العيون الحقيقية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كل شيء صناعي في الباطن في محل الغسل أو الوضوء أو التيمم</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12183693_2142443653"/>
      <w:bookmarkStart w:id="74" w:name="_Toc27"/>
      <w:bookmarkEnd w:id="73"/>
      <w:r>
        <w:rPr>
          <w:rtl w:val="true"/>
        </w:rPr>
        <w:t>الأعضاء الصناعية</w:t>
      </w:r>
      <w:bookmarkEnd w:id="7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الأعضاء الصناعية كالأنف والأذن والإصبع والكف وما أشبه مما يعتاد وضعه على جسم مشوهي الحروب لا يجب غسلها</w:t>
      </w:r>
      <w:r>
        <w:rPr>
          <w:rStyle w:val="FootnoteAnchor"/>
          <w:rtl w:val="true"/>
        </w:rPr>
        <w:footnoteReference w:id="92"/>
      </w:r>
      <w:r>
        <w:rPr>
          <w:rFonts w:ascii="Amiri" w:hAnsi="Amiri" w:eastAsia="Amiri" w:cs="Amiri"/>
          <w:color w:val="111111"/>
          <w:sz w:val="28"/>
          <w:sz w:val="28"/>
          <w:szCs w:val="28"/>
          <w:rtl w:val="true"/>
          <w:lang w:bidi="ar-SA"/>
        </w:rPr>
        <w:t xml:space="preserve"> عند الوضوء والغسل، ولا يجري عليها أحكام الأعضاء الحقيقية، كوجوب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تنجس الخارج إذا دخل بالنجاسة الخارجية إذا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أنه ليس من التغيير، وتشمله الإطلاقات،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والملاك فيه ما لا يظهر بعد إغماض الأجفان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العروة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الاستدلال بأنه ليس جزءاً من البدن؛ ولذا لا يجب غسله ولو كان ظاهراً كاليد الاصطناعية،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يجري على العضو المستور بها حكم الجبيرة، فلا بدّ من الغسل بمقداره، كما سيأتي في المسألة القادمة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75" w:name="pg15710_226750"/>
    </w:p>
    <w:p>
      <w:pPr>
        <w:pStyle w:val="BookText"/>
        <w:rPr/>
      </w:pPr>
      <w:bookmarkEnd w:id="75"/>
      <w:r>
        <w:rPr>
          <w:rFonts w:ascii="Amiri" w:hAnsi="Amiri" w:eastAsia="Amiri" w:cs="Amiri"/>
          <w:color w:val="111111"/>
          <w:sz w:val="28"/>
          <w:sz w:val="28"/>
          <w:szCs w:val="28"/>
          <w:rtl w:val="true"/>
          <w:lang w:bidi="ar-SA"/>
        </w:rPr>
        <w:t>وضع الكف والإصبع والركبة على الأرض عند السجدة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لعدم شمول الأدلة لها، إذ الألفاظ موضوعة للمعاني الحقيقية، ولا يعد وضعها من الميسور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إلا إذا كان منه كما إذا خاط كفه بالبلاستيك فإنه كالجبيرة حينئذ، حيث تقوم مقام الوضع</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12183695_2142443653"/>
      <w:bookmarkStart w:id="77" w:name="_Toc28"/>
      <w:bookmarkEnd w:id="76"/>
      <w:r>
        <w:rPr>
          <w:rtl w:val="true"/>
        </w:rPr>
        <w:t>الجبيرة في العضو الصناعي</w:t>
      </w:r>
      <w:bookmarkEnd w:id="7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Style w:val="FootnoteAnchor"/>
          <w:rtl w:val="true"/>
        </w:rPr>
        <w:footnoteReference w:id="100"/>
      </w:r>
      <w:r>
        <w:rPr>
          <w:rFonts w:ascii="Amiri" w:hAnsi="Amiri" w:eastAsia="Amiri" w:cs="Amiri"/>
          <w:color w:val="111111"/>
          <w:sz w:val="28"/>
          <w:sz w:val="28"/>
          <w:szCs w:val="28"/>
          <w:rtl w:val="true"/>
          <w:lang w:bidi="ar-SA"/>
        </w:rPr>
        <w:t xml:space="preserve"> غسل العضو الصناعي بمقدار</w:t>
      </w:r>
      <w:r>
        <w:rPr>
          <w:rStyle w:val="FootnoteAnchor"/>
          <w:rtl w:val="true"/>
        </w:rPr>
        <w:footnoteReference w:id="101"/>
      </w:r>
      <w:r>
        <w:rPr>
          <w:rFonts w:ascii="Amiri" w:hAnsi="Amiri" w:eastAsia="Amiri" w:cs="Amiri"/>
          <w:color w:val="111111"/>
          <w:sz w:val="28"/>
          <w:sz w:val="28"/>
          <w:szCs w:val="28"/>
          <w:rtl w:val="true"/>
          <w:lang w:bidi="ar-SA"/>
        </w:rPr>
        <w:t xml:space="preserve"> الجبيرة، فيما إذا كان موضعاً للجبيرة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أدلة الجبيرة الشاملة له كما أشرنا إليه</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12183697_2142443653"/>
      <w:bookmarkStart w:id="79" w:name="_Toc29"/>
      <w:bookmarkEnd w:id="78"/>
      <w:r>
        <w:rPr>
          <w:rtl w:val="true"/>
        </w:rPr>
        <w:t>الشعر الصناعي وأحكامه</w:t>
      </w:r>
      <w:bookmarkEnd w:id="79"/>
    </w:p>
    <w:p>
      <w:pPr>
        <w:pStyle w:val="BookText"/>
        <w:rPr/>
      </w:pPr>
      <w:r>
        <w:rPr>
          <w:rFonts w:ascii="Amiri" w:hAnsi="Amiri" w:eastAsia="Amiri" w:cs="Amiri"/>
          <w:color w:val="111111"/>
          <w:sz w:val="28"/>
          <w:sz w:val="28"/>
          <w:szCs w:val="28"/>
          <w:rtl w:val="true"/>
          <w:lang w:bidi="ar-SA"/>
        </w:rPr>
        <w:t>المسألة</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الصناعي لا يحكم بحكم الشعر الواقعي</w:t>
      </w:r>
      <w:r>
        <w:rPr>
          <w:rStyle w:val="FootnoteAnchor"/>
          <w:rtl w:val="true"/>
        </w:rPr>
        <w:footnoteReference w:id="102"/>
      </w:r>
      <w:r>
        <w:rPr>
          <w:rFonts w:ascii="IRNazanin" w:hAnsi="IRNazanin" w:eastAsia="IRNazanin"/>
          <w:color w:val="111111"/>
          <w:sz w:val="28"/>
          <w:sz w:val="28"/>
          <w:szCs w:val="28"/>
          <w:rtl w:val="true"/>
          <w:lang w:bidi="fa-IR"/>
        </w:rPr>
        <w:t>، فلا بأس</w:t>
      </w:r>
    </w:p>
    <w:p>
      <w:pPr>
        <w:pStyle w:val="BookText"/>
        <w:rPr/>
      </w:pP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ثبوت القاعدة كما هو المشهور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وضع حقيقةً؛ إذ لا تشترط مباشرة الأرض، فهو كوضع الإصبع في النعل على النعل الملاصقة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يضع إصبعه مباشرة على الأرض، وقد يضعها على البلاستيك الموضوعة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الشأن في تحديد هذا المقدار، والظاهر أنه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 الألفاظ موضوعة للواقعية،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80" w:name="pg15710_226751"/>
    </w:p>
    <w:p>
      <w:pPr>
        <w:pStyle w:val="BookText"/>
        <w:rPr/>
      </w:pPr>
      <w:bookmarkEnd w:id="80"/>
      <w:r>
        <w:rPr>
          <w:rFonts w:ascii="Amiri" w:hAnsi="Amiri" w:eastAsia="Amiri" w:cs="Amiri"/>
          <w:color w:val="111111"/>
          <w:sz w:val="28"/>
          <w:sz w:val="28"/>
          <w:szCs w:val="28"/>
          <w:rtl w:val="true"/>
          <w:lang w:bidi="ar-SA"/>
        </w:rPr>
        <w:t>بأن يراه الرجل فيما وضع على رأس المرأة مثلاً، إلا إذا كان زينة للمرأة</w:t>
      </w:r>
      <w:r>
        <w:rPr>
          <w:rStyle w:val="FootnoteAnchor"/>
          <w:rtl w:val="true"/>
        </w:rPr>
        <w:footnoteReference w:id="109"/>
      </w:r>
      <w:r>
        <w:rPr>
          <w:rFonts w:ascii="Amiri" w:hAnsi="Amiri" w:eastAsia="Amiri" w:cs="Amiri"/>
          <w:color w:val="111111"/>
          <w:sz w:val="28"/>
          <w:sz w:val="28"/>
          <w:szCs w:val="28"/>
          <w:rtl w:val="true"/>
          <w:lang w:bidi="ar-SA"/>
        </w:rPr>
        <w:t>، كما لا يصح المسح عليه في الوضوء، إلاّ إذا تفاعل</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بأن صار شعراً حقيقياً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الجواز في النظر لعدم شمول الأدلة لها، والحرمة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والتفاعل يكون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بزرع الشعر حتى صارت له بصيلات، وحينئذ يجوز المسح عليه للصدق العرفي</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12183699_2142443653"/>
      <w:bookmarkStart w:id="82" w:name="_Toc30"/>
      <w:bookmarkEnd w:id="81"/>
      <w:r>
        <w:rPr>
          <w:rtl w:val="true"/>
        </w:rPr>
        <w:t>أنواع الشعر الصناعي</w:t>
      </w:r>
      <w:bookmarkEnd w:id="8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الشعر الصناعي بين أن يكون شعر إنسان أو شعر حيوان أو لم يكن شعراً أصلاً، بل شيئاً شبيهاً بالشعر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للإطلاق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في المستثنى منه والمستثنى</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12183701_2142443653"/>
      <w:bookmarkStart w:id="84" w:name="_Toc31"/>
      <w:bookmarkEnd w:id="83"/>
      <w:r>
        <w:rPr>
          <w:rtl w:val="true"/>
        </w:rPr>
        <w:t>الجلد الصناعي</w:t>
      </w:r>
      <w:bookmarkEnd w:id="84"/>
    </w:p>
    <w:p>
      <w:pPr>
        <w:pStyle w:val="BookText"/>
        <w:rPr/>
      </w:pPr>
      <w:r>
        <w:rPr>
          <w:rFonts w:ascii="Amiri" w:hAnsi="Amiri" w:eastAsia="Amiri" w:cs="Amiri"/>
          <w:color w:val="111111"/>
          <w:sz w:val="28"/>
          <w:sz w:val="28"/>
          <w:szCs w:val="28"/>
          <w:rtl w:val="true"/>
          <w:lang w:bidi="ar-SA"/>
        </w:rPr>
        <w:t>المسألة</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الجلد صناعياً ، بأن خيط جلد مكان جلد الإنسان،</w:t>
      </w:r>
    </w:p>
    <w:p>
      <w:pPr>
        <w:pStyle w:val="BookText"/>
        <w:rPr/>
      </w:pP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مثيراً أو فيه خوف الفتنة أو 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هو الصدق العرفي، والظاهر أنه مع التفاعل يصدق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زينة بالصدق العرفي، راجع حاشية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العموم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bookmarkStart w:id="85" w:name="pg15710_226752"/>
    </w:p>
    <w:p>
      <w:pPr>
        <w:pStyle w:val="BookText"/>
        <w:rPr/>
      </w:pPr>
      <w:bookmarkEnd w:id="85"/>
      <w:r>
        <w:rPr>
          <w:rFonts w:ascii="IRNazanin" w:hAnsi="IRNazanin" w:eastAsia="IRNazanin"/>
          <w:color w:val="111111"/>
          <w:sz w:val="28"/>
          <w:sz w:val="28"/>
          <w:szCs w:val="28"/>
          <w:rtl w:val="true"/>
          <w:lang w:bidi="fa-IR"/>
        </w:rPr>
        <w:t>فإن تفاعل</w:t>
      </w:r>
      <w:r>
        <w:rPr>
          <w:rStyle w:val="FootnoteAnchor"/>
          <w:rtl w:val="true"/>
        </w:rPr>
        <w:footnoteReference w:id="113"/>
      </w:r>
      <w:r>
        <w:rPr>
          <w:rFonts w:ascii="Amiri" w:hAnsi="Amiri" w:eastAsia="Amiri" w:cs="Amiri"/>
          <w:color w:val="111111"/>
          <w:sz w:val="28"/>
          <w:sz w:val="28"/>
          <w:szCs w:val="28"/>
          <w:rtl w:val="true"/>
          <w:lang w:bidi="ar-SA"/>
        </w:rPr>
        <w:t xml:space="preserve"> معه وصار جلداً له حقيقة، فهو محكوم بحكم الجلد الأصلي للإنسان في جميع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صار جزءاً منه وجلداً له عرفاً ، وكذا بالنسبة إلى اللحم والعصب والعرق، فإنّ الأحكام تابعة للموضوعات</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12183703_2142443653"/>
      <w:bookmarkStart w:id="87" w:name="_Toc32"/>
      <w:bookmarkEnd w:id="86"/>
      <w:r>
        <w:rPr>
          <w:rtl w:val="true"/>
        </w:rPr>
        <w:t>من أحكام الجلد الصناعي</w:t>
      </w:r>
      <w:bookmarkEnd w:id="8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يتفاعل الجلد مع الإنسان في المسألة السابقة كان حاله حال الجبيرة</w:t>
      </w:r>
      <w:r>
        <w:rPr>
          <w:rStyle w:val="FootnoteAnchor"/>
          <w:rtl w:val="true"/>
        </w:rPr>
        <w:footnoteReference w:id="114"/>
      </w:r>
      <w:r>
        <w:rPr>
          <w:rFonts w:ascii="Amiri" w:hAnsi="Amiri" w:eastAsia="Amiri" w:cs="Amiri"/>
          <w:color w:val="111111"/>
          <w:sz w:val="28"/>
          <w:sz w:val="28"/>
          <w:szCs w:val="28"/>
          <w:rtl w:val="true"/>
          <w:lang w:bidi="ar-SA"/>
        </w:rPr>
        <w:t xml:space="preserve"> في الأحكام، ويحل أن يراه الأجنبي؛ لأنه ليس بجسم الإنسان، كما يحل لمسه</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لكن بدون إثارة الشهوة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أيضاً أن لا يكون زينة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وإلا يشمله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نزعه بلا ضرر وجب 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كلمس الثوب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القيود السابقة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مثلاً بلون الجلد الطبيعي فهل يصدق أنه زينة؟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أنها تتزين به؟ وكذا في لون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ينبغي أن لا يكون منكراً في أذهان المتشرعة، فتأمل</w:t>
      </w:r>
      <w:r>
        <w:rPr>
          <w:rFonts w:eastAsia="Amiri" w:cs="Amiri" w:ascii="Amiri" w:hAnsi="Amiri"/>
          <w:color w:val="111111"/>
          <w:sz w:val="28"/>
          <w:szCs w:val="28"/>
          <w:rtl w:val="true"/>
          <w:lang w:bidi="ar-SA"/>
        </w:rPr>
        <w:t xml:space="preserve">. </w:t>
      </w:r>
      <w:bookmarkStart w:id="88" w:name="pg15710_226753"/>
    </w:p>
    <w:p>
      <w:pPr>
        <w:pStyle w:val="Heading2"/>
        <w:numPr>
          <w:ilvl w:val="1"/>
          <w:numId w:val="1"/>
        </w:numPr>
        <w:rPr/>
      </w:pPr>
      <w:bookmarkStart w:id="89" w:name="__RefHeading___Toc12183705_2142443653"/>
      <w:bookmarkStart w:id="90" w:name="_Toc33"/>
      <w:bookmarkEnd w:id="88"/>
      <w:bookmarkEnd w:id="89"/>
      <w:r>
        <w:rPr>
          <w:rtl w:val="true"/>
        </w:rPr>
        <w:t>ردم المستنقعات</w:t>
      </w:r>
      <w:bookmarkEnd w:id="9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المستنقعات الموجبة للأمراض</w:t>
      </w:r>
      <w:r>
        <w:rPr>
          <w:rStyle w:val="FootnoteAnchor"/>
          <w:rtl w:val="true"/>
        </w:rPr>
        <w:footnoteReference w:id="117"/>
      </w:r>
      <w:r>
        <w:rPr>
          <w:rFonts w:ascii="Amiri" w:hAnsi="Amiri" w:eastAsia="Amiri" w:cs="Amiri"/>
          <w:color w:val="111111"/>
          <w:sz w:val="28"/>
          <w:sz w:val="28"/>
          <w:szCs w:val="28"/>
          <w:rtl w:val="true"/>
          <w:lang w:bidi="ar-SA"/>
        </w:rPr>
        <w:t xml:space="preserve"> والأوبئة، لا يجوز تركها على حالها، بل يجب حفظ الناس من شرها، إمّا بردمها وإمّا بإلقاء الأدوية الفتاكة للجراثيم فيها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إبقاءها إضرار</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واللازم دفع الضرر لمن تمكن على سبيل الكفاية، ونفقتها على بيت المال</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2"/>
        <w:numPr>
          <w:ilvl w:val="1"/>
          <w:numId w:val="1"/>
        </w:numPr>
        <w:rPr/>
      </w:pPr>
      <w:bookmarkStart w:id="91" w:name="__RefHeading___Toc12183707_2142443653"/>
      <w:bookmarkStart w:id="92" w:name="_Toc34"/>
      <w:bookmarkEnd w:id="91"/>
      <w:r>
        <w:rPr>
          <w:rtl w:val="true"/>
        </w:rPr>
        <w:t>بناء الدور المكشوفة</w:t>
      </w:r>
      <w:bookmarkEnd w:id="92"/>
    </w:p>
    <w:p>
      <w:pPr>
        <w:pStyle w:val="BookText"/>
        <w:rPr/>
      </w:pPr>
      <w:r>
        <w:rPr>
          <w:rFonts w:ascii="Amiri" w:hAnsi="Amiri" w:eastAsia="Amiri" w:cs="Amiri"/>
          <w:color w:val="111111"/>
          <w:sz w:val="28"/>
          <w:sz w:val="28"/>
          <w:szCs w:val="28"/>
          <w:rtl w:val="true"/>
          <w:lang w:bidi="ar-SA"/>
        </w:rPr>
        <w:t>المسألة</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الدور غير المستورة التي توجب الفتنة والإثارة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الخطيرة</w:t>
      </w:r>
      <w:r>
        <w:rPr>
          <w:rFonts w:eastAsia="Amiri" w:cs="Amiri" w:ascii="Amiri" w:hAnsi="Amiri"/>
          <w:color w:val="111111"/>
          <w:sz w:val="28"/>
          <w:szCs w:val="28"/>
          <w:rtl w:val="true"/>
          <w:lang w:bidi="ar-SA"/>
        </w:rPr>
        <w:t>.</w:t>
      </w:r>
    </w:p>
    <w:p>
      <w:pPr>
        <w:pStyle w:val="BookText"/>
        <w:rPr/>
      </w:pP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 ذلك، كسحبها إلى مكان بعيد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ليس إضراراً، لكن علم أن الشارع لا يريد وقوع ذلك في الخارج،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فعلى نفس الأفراد،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بيت المال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والاقتصاد</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بحث لو وقع محترم في البالوعة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bookmarkStart w:id="93" w:name="pg15710_226754"/>
    </w:p>
    <w:p>
      <w:pPr>
        <w:pStyle w:val="BookText"/>
        <w:rPr/>
      </w:pPr>
      <w:bookmarkEnd w:id="9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صنعها من مقدمة الحرام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مثل بيع العنب لمن يعمله خمراً ، فالباني ليس فاعلاً للحرام، كما أنّ البائع ليس فاعلاً للحرام، إلا أنّ الأول أقرب إلى الاحتياط</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12183709_2142443653"/>
      <w:bookmarkStart w:id="95" w:name="_Toc35"/>
      <w:bookmarkEnd w:id="94"/>
      <w:r>
        <w:rPr>
          <w:rtl w:val="true"/>
        </w:rPr>
        <w:t>النشرات والإذاعات السرية</w:t>
      </w:r>
      <w:bookmarkEnd w:id="9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النشرات السرية والراديوات السرية التي تهاجم سلطة أو فئة أو ما أشبه</w:t>
      </w:r>
      <w:r>
        <w:rPr>
          <w:rStyle w:val="FootnoteAnchor"/>
          <w:rtl w:val="true"/>
        </w:rPr>
        <w:footnoteReference w:id="123"/>
      </w:r>
      <w:r>
        <w:rPr>
          <w:rFonts w:ascii="Amiri" w:hAnsi="Amiri" w:eastAsia="Amiri" w:cs="Amiri"/>
          <w:color w:val="111111"/>
          <w:sz w:val="28"/>
          <w:sz w:val="28"/>
          <w:szCs w:val="28"/>
          <w:rtl w:val="true"/>
          <w:lang w:bidi="ar-SA"/>
        </w:rPr>
        <w:t xml:space="preserve"> إن كانت ينطبق عليها الأمر بالمعروف والنهي عن المنكر أو ما أشبه، ولم تكن هناك جهة حرمة خارجية</w:t>
      </w:r>
      <w:r>
        <w:rPr>
          <w:rStyle w:val="FootnoteAnchor"/>
          <w:rtl w:val="true"/>
        </w:rPr>
        <w:footnoteReference w:id="124"/>
      </w:r>
      <w:r>
        <w:rPr>
          <w:rFonts w:ascii="Amiri" w:hAnsi="Amiri" w:eastAsia="Amiri" w:cs="Amiri"/>
          <w:color w:val="111111"/>
          <w:sz w:val="28"/>
          <w:sz w:val="28"/>
          <w:szCs w:val="28"/>
          <w:rtl w:val="true"/>
          <w:lang w:bidi="ar-SA"/>
        </w:rPr>
        <w:t xml:space="preserve"> منطبقة عليها</w:t>
      </w:r>
    </w:p>
    <w:p>
      <w:pPr>
        <w:pStyle w:val="BookText"/>
        <w:rPr/>
      </w:pP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حرمتها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إعانة على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منكر في أذهان المتشرعة، أو أنه سبب لما علم أن الشارع لا يرضى بوقوعه في الخارج</w:t>
      </w:r>
      <w:r>
        <w:rPr>
          <w:rFonts w:eastAsia="Amiri" w:cs="Amiri" w:ascii="Amiri" w:hAnsi="Amiri"/>
          <w:color w:val="111111"/>
          <w:sz w:val="28"/>
          <w:szCs w:val="28"/>
          <w:rtl w:val="true"/>
          <w:lang w:bidi="ar-SA"/>
        </w:rPr>
        <w:t>.</w:t>
      </w:r>
    </w:p>
    <w:p>
      <w:pPr>
        <w:pStyle w:val="BookText"/>
        <w:rPr/>
      </w:pPr>
      <w:r>
        <w:rPr>
          <w:rStyle w:val="FootnoteAnchor"/>
          <w:rtl w:val="true"/>
        </w:rPr>
        <w:footnoteReference w:id="1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وبيع العنب</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ورد في مورد خاص، فلا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معلل بما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الجواز فيما كان أدون من بيع العنب أو مساوياً له؛ لشمول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بيع العنب في المكاسب</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كالتظلم وردع المنكر وإرشاد الجاهل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كتشويه سمعة المسلمين</w:t>
      </w:r>
      <w:r>
        <w:rPr>
          <w:rFonts w:eastAsia="Amiri" w:cs="Amiri" w:ascii="Amiri" w:hAnsi="Amiri"/>
          <w:color w:val="111111"/>
          <w:sz w:val="28"/>
          <w:szCs w:val="28"/>
          <w:rtl w:val="true"/>
          <w:lang w:bidi="ar-SA"/>
        </w:rPr>
        <w:t xml:space="preserve">. </w:t>
      </w:r>
      <w:bookmarkStart w:id="96" w:name="pg15710_226755"/>
    </w:p>
    <w:p>
      <w:pPr>
        <w:pStyle w:val="BookText"/>
        <w:rPr/>
      </w:pPr>
      <w:bookmarkEnd w:id="96"/>
      <w:r>
        <w:rPr>
          <w:rFonts w:ascii="Amiri" w:hAnsi="Amiri" w:eastAsia="Amiri" w:cs="Amiri"/>
          <w:color w:val="111111"/>
          <w:sz w:val="28"/>
          <w:sz w:val="28"/>
          <w:szCs w:val="28"/>
          <w:rtl w:val="true"/>
          <w:lang w:bidi="ar-SA"/>
        </w:rPr>
        <w:t>كانت محكومة بحكم الأمر والنهي، وإن انطبقت عليها جهة حرمة لوحظ الأهم والمهم من جهتي الوجوب والتحريم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فرق في الإرشاد إلى الخير والأمر والنهي بين مختلف الوسائل، فالأدلة المطلقة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تشمل كل ذلك، كما أنه إن انطبق عليه شيء محرم كان من تعارض الواجب والحرام، فإن تقدم أحدهما على نحو المنع من النقيض أخذ به، وإن تساويا تخير، كما أنه إن كان أحدهما أقوى ملاكاً لا إلى حد المنع من النقيض كان مستحباً أو مكروهاً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12183711_2142443653"/>
      <w:bookmarkStart w:id="98" w:name="_Toc36"/>
      <w:bookmarkEnd w:id="97"/>
      <w:r>
        <w:rPr>
          <w:rtl w:val="true"/>
        </w:rPr>
        <w:t>التزوير في التوقيع</w:t>
      </w:r>
      <w:bookmarkEnd w:id="9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التزوير في توقيع الناس، إلا إذا كانت مصلحة</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الوسائل إنما هي مقدمات وجودية للواجب يحكم بها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عبرها وهو مشمول للمطلقات، وتهيئتها وهي مقدمات وجودية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بحاجة لدليل، وصرف الملاك لا يكفي لثبوته، فلو فرضنا أن الغيبة محرمة، لكن كانت مزاحمة بواجب وكان ملاك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وملاك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مكروهة؟ لو فرضنا أن الواحد لا يكفي لإثبات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الأحكام تابعة للملاكات، إلاّ أنه في الملاك التام، ولعل هنالك مانعاً من إنشاء الكراهة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بحث القطع في الأحكام الشرعية في علم الأصول</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الشارع يكتفي هنا بالردع والبعث العقليين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واجبة تفوق</w:t>
      </w:r>
      <w:r>
        <w:rPr>
          <w:rStyle w:val="FootnoteAnchor"/>
          <w:rtl w:val="true"/>
        </w:rPr>
        <w:footnoteReference w:id="132"/>
      </w:r>
      <w:r>
        <w:rPr>
          <w:rFonts w:ascii="Amiri" w:hAnsi="Amiri" w:eastAsia="Amiri" w:cs="Amiri"/>
          <w:color w:val="111111"/>
          <w:sz w:val="28"/>
          <w:sz w:val="28"/>
          <w:szCs w:val="28"/>
          <w:rtl w:val="true"/>
          <w:lang w:bidi="ar-SA"/>
        </w:rPr>
        <w:t xml:space="preserve"> التحريم</w:t>
      </w:r>
      <w:r>
        <w:rPr>
          <w:rStyle w:val="FootnoteAnchor"/>
          <w:rtl w:val="true"/>
        </w:rPr>
        <w:footnoteReference w:id="133"/>
      </w:r>
      <w:r>
        <w:rPr>
          <w:rFonts w:ascii="Amiri" w:hAnsi="Amiri" w:eastAsia="Amiri" w:cs="Amiri"/>
          <w:color w:val="111111"/>
          <w:sz w:val="28"/>
          <w:sz w:val="28"/>
          <w:szCs w:val="28"/>
          <w:rtl w:val="true"/>
          <w:lang w:bidi="ar-SA"/>
        </w:rPr>
        <w:t>، لكن تشخيص ذلك بيد الخبير الفاهم</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فذلك من قبيل الأحكام الاستثنائية التي لا تجوز إلا بالمبرر القطعي، كما إذا زور إمضاء أعداء الإسلام مما نتيجته كف اتباعهم عن الحرب أو ما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لا يجوز التزوير؛ لأنه كذب عملي</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وإيذاء وإهانة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المحرمات العامة</w:t>
      </w:r>
      <w:r>
        <w:rPr>
          <w:rFonts w:eastAsia="Amiri" w:cs="Amiri" w:ascii="Amiri" w:hAnsi="Amiri"/>
          <w:color w:val="111111"/>
          <w:sz w:val="28"/>
          <w:szCs w:val="28"/>
          <w:rtl w:val="true"/>
          <w:lang w:bidi="ar-SA"/>
        </w:rPr>
        <w:t>.</w:t>
      </w:r>
    </w:p>
    <w:p>
      <w:pPr>
        <w:pStyle w:val="BookText"/>
        <w:rPr/>
      </w:pP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تساوي على ما تقدّم في المسألة السابقة</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واجباً أو مستحباً أو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مقصراً في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احتمالات، وقد اختلف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كون الكذب العملي محرماً، كغني يلبس ملابس الفقراء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يفصل بين مثل ذلك فهو حلال، والإشارة بالرأس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اللبس فهو يدلّ على لازم، واللازم مخالف للواقع، إلاّ أن اللابس لم يقل ذلك ولم يفعله،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الإيكال للعرف، ولعل التزوير المزبور كذب عرفاً،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 عرفاً، وهذا نوع من توي حقه، فتأمل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بالإضافة إلى ما يترتب عادة على أمثال ذلك من المحرمات، مثل أكل أموال الناس بالباطل</w:t>
      </w:r>
      <w:r>
        <w:rPr>
          <w:rFonts w:eastAsia="Amiri" w:cs="Amiri" w:ascii="Amiri" w:hAnsi="Amiri"/>
          <w:color w:val="111111"/>
          <w:sz w:val="28"/>
          <w:szCs w:val="28"/>
          <w:rtl w:val="true"/>
          <w:lang w:bidi="ar-SA"/>
        </w:rPr>
        <w:t xml:space="preserve">. </w:t>
      </w:r>
      <w:bookmarkStart w:id="99" w:name="pg15710_226757"/>
    </w:p>
    <w:p>
      <w:pPr>
        <w:pStyle w:val="Heading2"/>
        <w:numPr>
          <w:ilvl w:val="1"/>
          <w:numId w:val="1"/>
        </w:numPr>
        <w:rPr/>
      </w:pPr>
      <w:bookmarkStart w:id="100" w:name="__RefHeading___Toc12183713_2142443653"/>
      <w:bookmarkStart w:id="101" w:name="_Toc37"/>
      <w:bookmarkEnd w:id="99"/>
      <w:bookmarkEnd w:id="100"/>
      <w:r>
        <w:rPr>
          <w:rtl w:val="true"/>
        </w:rPr>
        <w:t>الألعاب النارية</w:t>
      </w:r>
      <w:bookmarkEnd w:id="10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الألعاب النارية التي تستعمل في الأفراح وغيرها لا بأس بها</w:t>
      </w:r>
      <w:r>
        <w:rPr>
          <w:rStyle w:val="FootnoteAnchor"/>
          <w:rtl w:val="true"/>
        </w:rPr>
        <w:footnoteReference w:id="138"/>
      </w:r>
      <w:r>
        <w:rPr>
          <w:rFonts w:ascii="Amiri" w:hAnsi="Amiri" w:eastAsia="Amiri" w:cs="Amiri"/>
          <w:color w:val="111111"/>
          <w:sz w:val="28"/>
          <w:sz w:val="28"/>
          <w:szCs w:val="28"/>
          <w:rtl w:val="true"/>
          <w:lang w:bidi="ar-SA"/>
        </w:rPr>
        <w:t xml:space="preserve"> إذا لم تكن هناك جهة 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جهة السقوط على الناس أو الأثاث الموجب لتلف الأموال والأنفس وما أشبه ذلك</w:t>
      </w:r>
      <w:r>
        <w:rPr>
          <w:rStyle w:val="FootnoteAnchor"/>
          <w:rtl w:val="true"/>
        </w:rPr>
        <w:footnoteReference w:id="139"/>
      </w:r>
      <w:r>
        <w:rPr>
          <w:rFonts w:ascii="Amiri" w:hAnsi="Amiri" w:eastAsia="Amiri" w:cs="Amiri"/>
          <w:color w:val="111111"/>
          <w:sz w:val="28"/>
          <w:sz w:val="28"/>
          <w:szCs w:val="28"/>
          <w:rtl w:val="true"/>
          <w:lang w:bidi="ar-SA"/>
        </w:rPr>
        <w:t>، فالجواز للأدلة العامة والمنع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12183715_2142443653"/>
      <w:bookmarkStart w:id="103" w:name="_Toc38"/>
      <w:bookmarkEnd w:id="102"/>
      <w:r>
        <w:rPr>
          <w:rtl w:val="true"/>
        </w:rPr>
        <w:t>تبديل الإمضاء والخط</w:t>
      </w:r>
      <w:bookmarkEnd w:id="10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الإنسان لإمضائه أو لخطه ليس محرماً بنفسه</w:t>
      </w:r>
      <w:r>
        <w:rPr>
          <w:rStyle w:val="FootnoteAnchor"/>
          <w:rtl w:val="true"/>
        </w:rPr>
        <w:footnoteReference w:id="140"/>
      </w:r>
      <w:r>
        <w:rPr>
          <w:rFonts w:ascii="Amiri" w:hAnsi="Amiri" w:eastAsia="Amiri" w:cs="Amiri"/>
          <w:color w:val="111111"/>
          <w:sz w:val="28"/>
          <w:sz w:val="28"/>
          <w:szCs w:val="28"/>
          <w:rtl w:val="true"/>
          <w:lang w:bidi="ar-SA"/>
        </w:rPr>
        <w:t>، إلا إذا كانت هناك جهة محرمة، كالفضيحة وما أشبه مما لا يحق للإنسان أن يلقي نفسه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لا يجوز للإنسان إهانة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نفسه، كما دل عليه الأدلة الأربعة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تكون راجحة إذا كان فيها تعظيم للشعائر، أو حفظ الشباب عن الانزلاق في المحرمات أو غير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كالإسراف والتبذير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كذب 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مسألة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المحرمات</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الكريم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bookmarkStart w:id="104" w:name="pg15710_226758"/>
    </w:p>
    <w:p>
      <w:pPr>
        <w:pStyle w:val="BookText"/>
        <w:rPr/>
      </w:pPr>
      <w:bookmarkEnd w:id="104"/>
      <w:r>
        <w:rPr>
          <w:rFonts w:ascii="Amiri" w:hAnsi="Amiri" w:eastAsia="Amiri" w:cs="Amiri"/>
          <w:color w:val="111111"/>
          <w:sz w:val="28"/>
          <w:sz w:val="28"/>
          <w:szCs w:val="28"/>
          <w:rtl w:val="true"/>
          <w:lang w:bidi="ar-SA"/>
        </w:rPr>
        <w:t>لكن هذا الحكم أولي، وإذا كان هناك حكم ثانوي أهم قدم عليه</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12183717_2142443653"/>
      <w:bookmarkStart w:id="106" w:name="_Toc39"/>
      <w:bookmarkEnd w:id="105"/>
      <w:r>
        <w:rPr>
          <w:rtl w:val="true"/>
        </w:rPr>
        <w:t>تزوير الشيب أو الشباب</w:t>
      </w:r>
      <w:bookmarkEnd w:id="10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49"/>
      </w:r>
      <w:r>
        <w:rPr>
          <w:rFonts w:ascii="Amiri" w:hAnsi="Amiri" w:eastAsia="Amiri" w:cs="Amiri"/>
          <w:color w:val="111111"/>
          <w:sz w:val="28"/>
          <w:sz w:val="28"/>
          <w:szCs w:val="28"/>
          <w:rtl w:val="true"/>
          <w:lang w:bidi="ar-SA"/>
        </w:rPr>
        <w:t xml:space="preserve"> بإرائة الشيخ نفسه شاباً بتلوين الشعر وعملية تسوية التجعيدات وملء الفراغات بالمساحيق، كما لا بأس بأن يُري الشاب نفسه شيخاً ، إلا إذا كانت هناك جهة محرمة خارجية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w:t>
      </w:r>
      <w:r>
        <w:rPr>
          <w:rStyle w:val="FootnoteAnchor"/>
          <w:rtl w:val="true"/>
        </w:rPr>
        <w:footnoteReference w:id="150"/>
      </w:r>
      <w:r>
        <w:rPr>
          <w:rFonts w:ascii="IRNazanin" w:hAnsi="IRNazanin" w:eastAsia="IRNazanin"/>
          <w:color w:val="111111"/>
          <w:sz w:val="28"/>
          <w:sz w:val="28"/>
          <w:szCs w:val="28"/>
          <w:rtl w:val="true"/>
          <w:lang w:bidi="fa-IR"/>
        </w:rPr>
        <w:t xml:space="preserve"> للإطلاقات</w:t>
      </w:r>
      <w:r>
        <w:rPr>
          <w:rStyle w:val="FootnoteAnchor"/>
          <w:rtl w:val="true"/>
        </w:rPr>
        <w:footnoteReference w:id="151"/>
      </w:r>
      <w:r>
        <w:rPr>
          <w:rFonts w:ascii="Amiri" w:hAnsi="Amiri" w:eastAsia="Amiri" w:cs="Amiri"/>
          <w:color w:val="111111"/>
          <w:sz w:val="28"/>
          <w:sz w:val="28"/>
          <w:szCs w:val="28"/>
          <w:rtl w:val="true"/>
          <w:lang w:bidi="ar-SA"/>
        </w:rPr>
        <w:t>، ولا يشمله</w:t>
      </w:r>
      <w:r>
        <w:rPr>
          <w:rStyle w:val="FootnoteAnchor"/>
          <w:rtl w:val="true"/>
        </w:rPr>
        <w:footnoteReference w:id="152"/>
      </w:r>
      <w:r>
        <w:rPr>
          <w:rFonts w:ascii="Amiri" w:hAnsi="Amiri" w:eastAsia="Amiri" w:cs="Amiri"/>
          <w:color w:val="111111"/>
          <w:sz w:val="28"/>
          <w:sz w:val="28"/>
          <w:szCs w:val="28"/>
          <w:rtl w:val="true"/>
          <w:lang w:bidi="ar-SA"/>
        </w:rPr>
        <w:t xml:space="preserve"> تغيير خلق اللّه المحرم، والجهة المحرمة كالتدليس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ورد في الخضاب</w:t>
      </w:r>
      <w:r>
        <w:rPr>
          <w:rStyle w:val="FootnoteAnchor"/>
          <w:rtl w:val="true"/>
        </w:rPr>
        <w:footnoteReference w:id="154"/>
      </w:r>
      <w:r>
        <w:rPr>
          <w:rFonts w:ascii="Amiri" w:hAnsi="Amiri" w:eastAsia="Amiri" w:cs="Amiri"/>
          <w:color w:val="111111"/>
          <w:sz w:val="28"/>
          <w:sz w:val="28"/>
          <w:szCs w:val="28"/>
          <w:rtl w:val="true"/>
          <w:lang w:bidi="ar-SA"/>
        </w:rPr>
        <w:t>ونحوه، مضافاً لأصالة البراءة وأدلة التجمل</w:t>
      </w:r>
      <w:r>
        <w:rPr>
          <w:rFonts w:eastAsia="Amiri" w:cs="Amiri" w:ascii="Amiri" w:hAnsi="Amiri"/>
          <w:color w:val="111111"/>
          <w:sz w:val="28"/>
          <w:szCs w:val="28"/>
          <w:rtl w:val="true"/>
          <w:lang w:bidi="ar-SA"/>
        </w:rPr>
        <w:t>.</w:t>
      </w:r>
    </w:p>
    <w:p>
      <w:pPr>
        <w:pStyle w:val="BookText"/>
        <w:rPr/>
      </w:pP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سبق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 العملي،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وراجع الحاشية</w:t>
      </w:r>
      <w:r>
        <w:rPr>
          <w:rStyle w:val="FootnoteAnchor"/>
          <w:rtl w:val="true"/>
        </w:rPr>
        <w:footnoteReference w:id="157"/>
      </w:r>
      <w:r>
        <w:rPr>
          <w:rFonts w:ascii="Amiri" w:hAnsi="Amiri" w:eastAsia="Amiri" w:cs="Amiri"/>
          <w:color w:val="111111"/>
          <w:sz w:val="28"/>
          <w:sz w:val="28"/>
          <w:szCs w:val="28"/>
          <w:rtl w:val="true"/>
          <w:lang w:bidi="ar-SA"/>
        </w:rPr>
        <w:t>والمكاسب المحرمة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 كما سبق</w:t>
      </w:r>
      <w:r>
        <w:rPr>
          <w:rFonts w:eastAsia="Amiri" w:cs="Amiri" w:ascii="Amiri" w:hAnsi="Amiri"/>
          <w:color w:val="111111"/>
          <w:sz w:val="28"/>
          <w:szCs w:val="28"/>
          <w:rtl w:val="true"/>
          <w:lang w:bidi="ar-SA"/>
        </w:rPr>
        <w:t>.</w:t>
      </w:r>
    </w:p>
    <w:p>
      <w:pPr>
        <w:pStyle w:val="BookText"/>
        <w:rPr/>
      </w:pP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مبنى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وأما على مبنى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تغيير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خارج بالدليل، فتأمل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تدليس الماشطة</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التدليس في المحرمات</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07" w:name="pg15710_226759"/>
    </w:p>
    <w:p>
      <w:pPr>
        <w:pStyle w:val="BookText"/>
        <w:rPr/>
      </w:pPr>
      <w:bookmarkEnd w:id="10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يريد الزواج رجلاً أو امرأة وما أشبه ذلك</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12183719_2142443653"/>
      <w:bookmarkStart w:id="109" w:name="_Toc40"/>
      <w:bookmarkEnd w:id="108"/>
      <w:r>
        <w:rPr>
          <w:rtl w:val="true"/>
        </w:rPr>
        <w:t>التدليس في التزوير المذكور</w:t>
      </w:r>
      <w:bookmarkEnd w:id="10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المسألة السابقة أنما جاز فيما إذا لم يدلس الإنسان بسبب التزوير، أما إذا دلس فله حكم خاص في كل باب، مثلاً إذا دلس الشاب نفسه فرؤي شيخاً حتى يكون موضع الثقة ليوصى إليه، فإذا أوصى إليه إنسان باعتباره شيخاً فإن كان من باب التقييد</w:t>
      </w:r>
      <w:r>
        <w:rPr>
          <w:rStyle w:val="FootnoteAnchor"/>
          <w:rtl w:val="true"/>
        </w:rPr>
        <w:footnoteReference w:id="163"/>
      </w:r>
      <w:r>
        <w:rPr>
          <w:rFonts w:ascii="Amiri" w:hAnsi="Amiri" w:eastAsia="Amiri" w:cs="Amiri"/>
          <w:color w:val="111111"/>
          <w:sz w:val="28"/>
          <w:sz w:val="28"/>
          <w:szCs w:val="28"/>
          <w:rtl w:val="true"/>
          <w:lang w:bidi="ar-SA"/>
        </w:rPr>
        <w:t xml:space="preserve"> كانت الوصية باطلة، وإن كان من باب الداعي كانت الوصية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إذا كان من باب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ثالث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فالشارط له شرطه إن شاء بقي وإن شاء أخذ بشرطه فيما كان البقاء لولا الشرط لازماً، أما الوصية فلا لزوم لها بالنسبة إلى الموصي وإن لم يشترط</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12183721_2142443653"/>
      <w:bookmarkStart w:id="111" w:name="_Toc41"/>
      <w:bookmarkEnd w:id="110"/>
      <w:r>
        <w:rPr>
          <w:rtl w:val="true"/>
        </w:rPr>
        <w:t>الكذب في تسجيل الأعمار</w:t>
      </w:r>
      <w:bookmarkEnd w:id="11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تسجيل العمر أكبر أو أقل قسم من الكذب</w:t>
      </w:r>
      <w:r>
        <w:rPr>
          <w:rStyle w:val="FootnoteAnchor"/>
          <w:rtl w:val="true"/>
        </w:rPr>
        <w:footnoteReference w:id="16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الرضا والشرط الضمني، ولو في الجملة، مضافاً للأدلة الخاصة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Style w:val="FootnoteAnchor"/>
          <w:rtl w:val="true"/>
        </w:rPr>
        <w:footnoteReference w:id="16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وحدة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في التطبيق، كشراء الخبز لإطعام الضيوف المتوهم وجودهم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في 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ما ذكرناه في المسألة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12" w:name="pg15710_226760"/>
    </w:p>
    <w:p>
      <w:pPr>
        <w:pStyle w:val="BookText"/>
        <w:rPr/>
      </w:pPr>
      <w:bookmarkEnd w:id="112"/>
      <w:r>
        <w:rPr>
          <w:rStyle w:val="FootnoteAnchor"/>
          <w:rtl w:val="true"/>
        </w:rPr>
        <w:footnoteReference w:id="168"/>
      </w:r>
      <w:r>
        <w:rPr>
          <w:rFonts w:ascii="Amiri" w:hAnsi="Amiri" w:eastAsia="Amiri" w:cs="Amiri"/>
          <w:color w:val="111111"/>
          <w:sz w:val="28"/>
          <w:sz w:val="28"/>
          <w:szCs w:val="28"/>
          <w:rtl w:val="true"/>
          <w:lang w:bidi="ar-SA"/>
        </w:rPr>
        <w:t xml:space="preserve">، فلا يجوز إلا إذا كانت هناك مصلحة أهم،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الظالم يأخذ من عمره عشرون فما فوق سخرة جاز</w:t>
      </w:r>
      <w:r>
        <w:rPr>
          <w:rStyle w:val="FootnoteAnchor"/>
          <w:rtl w:val="true"/>
        </w:rPr>
        <w:footnoteReference w:id="169"/>
      </w:r>
      <w:r>
        <w:rPr>
          <w:rFonts w:ascii="Amiri" w:hAnsi="Amiri" w:eastAsia="Amiri" w:cs="Amiri"/>
          <w:color w:val="111111"/>
          <w:sz w:val="28"/>
          <w:sz w:val="28"/>
          <w:szCs w:val="28"/>
          <w:rtl w:val="true"/>
          <w:lang w:bidi="ar-SA"/>
        </w:rPr>
        <w:t xml:space="preserve"> أن يصغر عمره للخلاص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الكذب محرم سواء كان في القول أم الكتابة أم العمل</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كالإشارة بأن أشار بنعم مكان لا، وبلا مكان نعم، وهكذا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 w:name="__RefHeading___Toc12183723_2142443653"/>
      <w:bookmarkStart w:id="114" w:name="_Toc42"/>
      <w:bookmarkEnd w:id="113"/>
      <w:r>
        <w:rPr>
          <w:rtl w:val="true"/>
        </w:rPr>
        <w:t>من حقوق الدولة الإسلامية</w:t>
      </w:r>
      <w:bookmarkEnd w:id="11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يجوز للدولة</w:t>
      </w:r>
      <w:r>
        <w:rPr>
          <w:rStyle w:val="FootnoteAnchor"/>
          <w:rtl w:val="true"/>
        </w:rPr>
        <w:footnoteReference w:id="170"/>
      </w:r>
      <w:r>
        <w:rPr>
          <w:rFonts w:ascii="Amiri" w:hAnsi="Amiri" w:eastAsia="Amiri" w:cs="Amiri"/>
          <w:color w:val="111111"/>
          <w:sz w:val="28"/>
          <w:sz w:val="28"/>
          <w:szCs w:val="28"/>
          <w:rtl w:val="true"/>
          <w:lang w:bidi="ar-SA"/>
        </w:rPr>
        <w:t xml:space="preserve"> الإسلامية</w:t>
      </w:r>
      <w:r>
        <w:rPr>
          <w:rStyle w:val="FootnoteAnchor"/>
          <w:rtl w:val="true"/>
        </w:rPr>
        <w:footnoteReference w:id="171"/>
      </w:r>
      <w:r>
        <w:rPr>
          <w:rFonts w:ascii="Amiri" w:hAnsi="Amiri" w:eastAsia="Amiri" w:cs="Amiri"/>
          <w:color w:val="111111"/>
          <w:sz w:val="28"/>
          <w:sz w:val="28"/>
          <w:szCs w:val="28"/>
          <w:rtl w:val="true"/>
          <w:lang w:bidi="ar-SA"/>
        </w:rPr>
        <w:t xml:space="preserve"> أن تبيع ما تملكها</w:t>
      </w:r>
      <w:r>
        <w:rPr>
          <w:rStyle w:val="FootnoteAnchor"/>
          <w:rtl w:val="true"/>
        </w:rPr>
        <w:footnoteReference w:id="172"/>
      </w:r>
      <w:r>
        <w:rPr>
          <w:rFonts w:ascii="Amiri" w:hAnsi="Amiri" w:eastAsia="Amiri" w:cs="Amiri"/>
          <w:color w:val="111111"/>
          <w:sz w:val="28"/>
          <w:sz w:val="28"/>
          <w:szCs w:val="28"/>
          <w:rtl w:val="true"/>
          <w:lang w:bidi="ar-SA"/>
        </w:rPr>
        <w:t xml:space="preserve"> من الأراضي أو نحو ذلك لشركة أو لفرد في مقابل شيء تقدمه الشركة أو الفرد للبلاد، مما يكون في ذلك صلاح</w:t>
      </w:r>
      <w:r>
        <w:rPr>
          <w:rStyle w:val="FootnoteAnchor"/>
          <w:rtl w:val="true"/>
        </w:rPr>
        <w:footnoteReference w:id="173"/>
      </w:r>
      <w:r>
        <w:rPr>
          <w:rFonts w:ascii="Amiri" w:hAnsi="Amiri" w:eastAsia="Amiri" w:cs="Amiri"/>
          <w:color w:val="111111"/>
          <w:sz w:val="28"/>
          <w:sz w:val="28"/>
          <w:szCs w:val="28"/>
          <w:rtl w:val="true"/>
          <w:lang w:bidi="ar-SA"/>
        </w:rPr>
        <w:t xml:space="preserve"> الإسلام والمسلمين،</w:t>
      </w:r>
    </w:p>
    <w:p>
      <w:pPr>
        <w:pStyle w:val="BookText"/>
        <w:rPr/>
      </w:pP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إلى محله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للعشّار حتى لا يؤخذ العشر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وراجع بحث مستثنيات الكذب</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ولأنه ضرر، ولا ضرر</w:t>
      </w:r>
      <w:r>
        <w:rPr>
          <w:rFonts w:eastAsia="IRNazanin" w:cs="IRNazanin"/>
          <w:color w:val="111111"/>
          <w:sz w:val="28"/>
          <w:szCs w:val="28"/>
          <w:rtl w:val="true"/>
          <w:lang w:bidi="fa-IR"/>
        </w:rPr>
        <w:t>.</w:t>
      </w:r>
    </w:p>
    <w:p>
      <w:pPr>
        <w:pStyle w:val="BookText"/>
        <w:rPr/>
      </w:pP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تملك</w:t>
      </w:r>
      <w:r>
        <w:rPr>
          <w:rFonts w:eastAsia="Amiri" w:cs="Amiri" w:ascii="Amiri" w:hAnsi="Amiri"/>
          <w:color w:val="111111"/>
          <w:sz w:val="28"/>
          <w:szCs w:val="28"/>
          <w:rtl w:val="true"/>
          <w:lang w:bidi="ar-SA"/>
        </w:rPr>
        <w:t>.</w:t>
      </w:r>
    </w:p>
    <w:p>
      <w:pPr>
        <w:pStyle w:val="BookText"/>
        <w:rPr/>
      </w:pP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غيرها فهو مبني على كون الدولة تملك أو لا</w:t>
      </w:r>
      <w:r>
        <w:rPr>
          <w:rFonts w:eastAsia="Amiri" w:cs="Amiri" w:ascii="Amiri" w:hAnsi="Amiri"/>
          <w:color w:val="111111"/>
          <w:sz w:val="28"/>
          <w:szCs w:val="28"/>
          <w:rtl w:val="true"/>
          <w:lang w:bidi="ar-SA"/>
        </w:rPr>
        <w:t>.</w:t>
      </w:r>
    </w:p>
    <w:p>
      <w:pPr>
        <w:pStyle w:val="BookText"/>
        <w:rPr/>
      </w:pP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الإحياء، وإلا فليست الأراضي البائرة ملكاً لأحدٍ من الأمة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كفاية عدم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التصرّف في أموال الصغير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15" w:name="pg15710_226761"/>
    </w:p>
    <w:p>
      <w:pPr>
        <w:pStyle w:val="BookText"/>
        <w:rPr/>
      </w:pPr>
      <w:bookmarkEnd w:id="115"/>
      <w:r>
        <w:rPr>
          <w:rFonts w:ascii="Amiri" w:hAnsi="Amiri" w:eastAsia="Amiri" w:cs="Amiri"/>
          <w:color w:val="111111"/>
          <w:sz w:val="28"/>
          <w:sz w:val="28"/>
          <w:szCs w:val="28"/>
          <w:rtl w:val="true"/>
          <w:lang w:bidi="ar-SA"/>
        </w:rPr>
        <w:t>لكن يشترط في ذلك أن لا يسبب البيع محذوراً مستقبلاً أو حالاً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لإطلاق أدلة البيع والرهن والمضاربة ونحوها، ولإطلاق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الدولة وحق الفرد في ممارسة هذه المعاملات، لكن في الفرد له الحق حتى فيما إذا كان عمله خلاف مصلحة نفسه إذا لم يكن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 الدولة فلا يجوز إلا المصلحة؛ لأنها موضوعة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 المصالح ودرء المفاسد، كما يستفاد من الأدلة الأربعة</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12183725_2142443653"/>
      <w:bookmarkStart w:id="117" w:name="_Toc43"/>
      <w:bookmarkEnd w:id="116"/>
      <w:r>
        <w:rPr>
          <w:rtl w:val="true"/>
        </w:rPr>
        <w:t>المقاولات والمناقصات</w:t>
      </w:r>
      <w:bookmarkEnd w:id="11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صالحت الدولة الإسلامية شركة لتعمير الأراضي في مقابل أن تستفيد الشركة منها مدة معينة جاز إذا كان ذلك في مصلحة</w:t>
      </w:r>
      <w:r>
        <w:rPr>
          <w:rStyle w:val="FootnoteAnchor"/>
          <w:rtl w:val="true"/>
        </w:rPr>
        <w:footnoteReference w:id="184"/>
      </w:r>
      <w:r>
        <w:rPr>
          <w:rFonts w:ascii="Amiri" w:hAnsi="Amiri" w:eastAsia="Amiri" w:cs="Amiri"/>
          <w:color w:val="111111"/>
          <w:sz w:val="28"/>
          <w:sz w:val="28"/>
          <w:szCs w:val="28"/>
          <w:rtl w:val="true"/>
          <w:lang w:bidi="ar-SA"/>
        </w:rPr>
        <w:t xml:space="preserve"> الإسلام والمسلمين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لما تقدم من الدليل، ولا فرق في الحكم بين الشركة الإسلامية</w:t>
      </w:r>
    </w:p>
    <w:p>
      <w:pPr>
        <w:pStyle w:val="BookText"/>
        <w:rPr/>
      </w:pPr>
      <w:r>
        <w:rPr>
          <w:rFonts w:ascii="Amiri" w:hAnsi="Amiri" w:eastAsia="Amiri" w:cs="Amiri"/>
          <w:color w:val="111111"/>
          <w:sz w:val="28"/>
          <w:sz w:val="28"/>
          <w:szCs w:val="28"/>
          <w:rtl w:val="true"/>
          <w:lang w:bidi="ar-SA"/>
        </w:rPr>
        <w:t xml:space="preserve">وستأتي الإشارة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بعد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الحريات</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لتأمل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وراجع السياسة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تملكها بالحيازة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مسألة </w:t>
      </w:r>
      <w:r>
        <w:rPr>
          <w:rFonts w:eastAsia="Amiri" w:cs="Amiri" w:ascii="Amiri" w:hAnsi="Amiri"/>
          <w:color w:val="111111"/>
          <w:sz w:val="28"/>
          <w:szCs w:val="28"/>
          <w:lang w:bidi="ar-SA"/>
        </w:rPr>
        <w:t>463</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أن لا تمنع الدولة من ذلك</w:t>
      </w:r>
      <w:r>
        <w:rPr>
          <w:rFonts w:eastAsia="Amiri" w:cs="Amiri" w:ascii="Amiri" w:hAnsi="Amiri"/>
          <w:color w:val="111111"/>
          <w:sz w:val="28"/>
          <w:szCs w:val="28"/>
          <w:rtl w:val="true"/>
          <w:lang w:bidi="ar-SA"/>
        </w:rPr>
        <w:t xml:space="preserve">. </w:t>
      </w:r>
      <w:bookmarkStart w:id="118" w:name="pg15710_226762"/>
    </w:p>
    <w:p>
      <w:pPr>
        <w:pStyle w:val="BookText"/>
        <w:rPr/>
      </w:pPr>
      <w:bookmarkEnd w:id="118"/>
      <w:r>
        <w:rPr>
          <w:rFonts w:ascii="Amiri" w:hAnsi="Amiri" w:eastAsia="Amiri" w:cs="Amiri"/>
          <w:color w:val="111111"/>
          <w:sz w:val="28"/>
          <w:sz w:val="28"/>
          <w:szCs w:val="28"/>
          <w:rtl w:val="true"/>
          <w:lang w:bidi="ar-SA"/>
        </w:rPr>
        <w:t>وغيرها، أما إذا استلزم ذلك الاستعمار وسيطرة الأعداء على بلاد الإسلام أو الضرر</w:t>
      </w:r>
      <w:r>
        <w:rPr>
          <w:rStyle w:val="FootnoteAnchor"/>
          <w:rtl w:val="true"/>
        </w:rPr>
        <w:footnoteReference w:id="190"/>
      </w:r>
      <w:r>
        <w:rPr>
          <w:rFonts w:ascii="Amiri" w:hAnsi="Amiri" w:eastAsia="Amiri" w:cs="Amiri"/>
          <w:color w:val="111111"/>
          <w:sz w:val="28"/>
          <w:sz w:val="28"/>
          <w:szCs w:val="28"/>
          <w:rtl w:val="true"/>
          <w:lang w:bidi="ar-SA"/>
        </w:rPr>
        <w:t xml:space="preserve"> أو ما أشبه لم يجز</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12183727_2142443653"/>
      <w:bookmarkStart w:id="120" w:name="_Toc44"/>
      <w:bookmarkEnd w:id="119"/>
      <w:r>
        <w:rPr>
          <w:rtl w:val="true"/>
        </w:rPr>
        <w:t>المساومات والامتيازات</w:t>
      </w:r>
      <w:bookmarkEnd w:id="12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للدولة الإسلامية أن تساوم شركة على شيء تقدّمه الشركة للدولة في مقابل أن تعطي الدولة لها حق الامتياز في شيء، كأن تبلط الشركة كل شوارع</w:t>
      </w:r>
      <w:r>
        <w:rPr>
          <w:rStyle w:val="FootnoteAnchor"/>
          <w:rtl w:val="true"/>
        </w:rPr>
        <w:footnoteReference w:id="191"/>
      </w:r>
      <w:r>
        <w:rPr>
          <w:rFonts w:ascii="Amiri" w:hAnsi="Amiri" w:eastAsia="Amiri" w:cs="Amiri"/>
          <w:color w:val="111111"/>
          <w:sz w:val="28"/>
          <w:sz w:val="28"/>
          <w:szCs w:val="28"/>
          <w:rtl w:val="true"/>
          <w:lang w:bidi="ar-SA"/>
        </w:rPr>
        <w:t xml:space="preserve"> البلاد وطرقها في مقابل أن لا تعطي الدولة إجازة لاستيراد أية سيارة إلا من تلك الشركة أم لا يصح ذلك؟ احتمالان، وعدم الصحة أقرب، إذ في ذلك كبت لحريات</w:t>
      </w:r>
      <w:r>
        <w:rPr>
          <w:rStyle w:val="FootnoteAnchor"/>
          <w:rtl w:val="true"/>
        </w:rPr>
        <w:footnoteReference w:id="192"/>
      </w:r>
      <w:r>
        <w:rPr>
          <w:rFonts w:ascii="Amiri" w:hAnsi="Amiri" w:eastAsia="Amiri" w:cs="Amiri"/>
          <w:color w:val="111111"/>
          <w:sz w:val="28"/>
          <w:sz w:val="28"/>
          <w:szCs w:val="28"/>
          <w:rtl w:val="true"/>
          <w:lang w:bidi="ar-SA"/>
        </w:rPr>
        <w:t xml:space="preserve"> الذين يريدون استيراد السيارات، إلا إذا كانت هناك أهمية كبرى</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يصح شرعاً كبت الحريات في مقابل تلك الأهمية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في هذه المسألة هو الحكم في المسألتين السابقتين إضافة إلى اشتراط إمضاء</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شورى الفقهاء المراجع في الثلاثة</w:t>
      </w:r>
      <w:r>
        <w:rPr>
          <w:rFonts w:eastAsia="Amiri" w:cs="Amiri" w:ascii="Amiri" w:hAnsi="Amiri"/>
          <w:color w:val="111111"/>
          <w:sz w:val="28"/>
          <w:szCs w:val="28"/>
          <w:rtl w:val="true"/>
          <w:lang w:bidi="ar-SA"/>
        </w:rPr>
        <w:t>.</w:t>
      </w:r>
    </w:p>
    <w:p>
      <w:pPr>
        <w:pStyle w:val="BookText"/>
        <w:rPr/>
      </w:pP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مزاحم أهم أو مساوٍ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إشكال أنها لا تملك، والجواب كما سبق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أنه بمعنى رفع اليد وعدم المنع</w:t>
      </w:r>
      <w:r>
        <w:rPr>
          <w:rFonts w:eastAsia="Amiri" w:cs="Amiri" w:ascii="Amiri" w:hAnsi="Amiri"/>
          <w:color w:val="111111"/>
          <w:sz w:val="28"/>
          <w:szCs w:val="28"/>
          <w:rtl w:val="true"/>
          <w:lang w:bidi="ar-SA"/>
        </w:rPr>
        <w:t>.</w:t>
      </w:r>
    </w:p>
    <w:p>
      <w:pPr>
        <w:pStyle w:val="BookText"/>
        <w:rPr/>
      </w:pP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قانون السلطنة، كما أنه 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يكفي الأهم أو المساوي لرفع المنع؟</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الحاكم على مبنى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bookmarkStart w:id="121" w:name="pg15710_226763"/>
    </w:p>
    <w:p>
      <w:pPr>
        <w:pStyle w:val="Heading2"/>
        <w:numPr>
          <w:ilvl w:val="1"/>
          <w:numId w:val="1"/>
        </w:numPr>
        <w:rPr/>
      </w:pPr>
      <w:bookmarkStart w:id="122" w:name="__RefHeading___Toc12183729_2142443653"/>
      <w:bookmarkStart w:id="123" w:name="_Toc45"/>
      <w:bookmarkEnd w:id="121"/>
      <w:bookmarkEnd w:id="122"/>
      <w:r>
        <w:rPr>
          <w:rtl w:val="true"/>
        </w:rPr>
        <w:t>فتح الأسواق في البلاد</w:t>
      </w:r>
      <w:bookmarkEnd w:id="12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للدولة الإسلامية أن تعطي الحق لفرد أو شركة في فتح السوق أو ما أشبه ذلك في البلاد، لكن يشترط في ذلك أن لا يكون فتح السوق سبباً لكبت</w:t>
      </w:r>
      <w:r>
        <w:rPr>
          <w:rStyle w:val="FootnoteAnchor"/>
          <w:rtl w:val="true"/>
        </w:rPr>
        <w:footnoteReference w:id="198"/>
      </w:r>
      <w:r>
        <w:rPr>
          <w:rFonts w:ascii="Amiri" w:hAnsi="Amiri" w:eastAsia="Amiri" w:cs="Amiri"/>
          <w:color w:val="111111"/>
          <w:sz w:val="28"/>
          <w:sz w:val="28"/>
          <w:szCs w:val="28"/>
          <w:rtl w:val="true"/>
          <w:lang w:bidi="ar-SA"/>
        </w:rPr>
        <w:t xml:space="preserve"> حريات الآخرين، أو مضراً بالمسلمين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الضرر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غير البالغ، إذ لا يحق للإنسان أن يضر الآخرين ولو بأضرار غير بالغة، نعم للإنسان أن يضر نفسه ضرراً غير بالغ، ففرق بين ضرر النفس وضرر الغير</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 w:name="__RefHeading___Toc12183731_2142443653"/>
      <w:bookmarkStart w:id="125" w:name="_Toc46"/>
      <w:bookmarkEnd w:id="124"/>
      <w:r>
        <w:rPr>
          <w:rtl w:val="true"/>
        </w:rPr>
        <w:t>حرية العمران</w:t>
      </w:r>
      <w:bookmarkEnd w:id="12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للدولة أن تحدد قدر البناء مساحة وارتفاعاً</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السوق ليس كبتاً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منع الآخرين كبت، راجع المسألة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الدولة موضوعة لرعاية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الفرق بين الدولة وغيرها؛ إذ الإنسان له حقّ أن يعمل عملاً إيجابياً وإن أضر الآخرين، كفتح دكان يضر الآخرين، أو خطيب يأتي فيقل الطلب على الخطباء الآخرين، بخلاف الدولة على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 قاعدة لا ضرر</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أن إضرار الغير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فالمضر تارة الدولة وتارة غيرها، والإضرار قد يكون سلبياً وقد يكون إيجابياً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bookmarkStart w:id="126" w:name="pg15710_226764"/>
    </w:p>
    <w:p>
      <w:pPr>
        <w:pStyle w:val="BookText"/>
        <w:rPr/>
      </w:pPr>
      <w:bookmarkEnd w:id="126"/>
      <w:r>
        <w:rPr>
          <w:rFonts w:ascii="Amiri" w:hAnsi="Amiri" w:eastAsia="Amiri" w:cs="Amiri"/>
          <w:color w:val="111111"/>
          <w:sz w:val="28"/>
          <w:sz w:val="28"/>
          <w:szCs w:val="28"/>
          <w:rtl w:val="true"/>
          <w:lang w:bidi="ar-SA"/>
        </w:rPr>
        <w:t>وعمقاً وما أشبه، إلا إذا كانت مصلحة شرعية أهم</w:t>
      </w:r>
      <w:r>
        <w:rPr>
          <w:rStyle w:val="FootnoteAnchor"/>
          <w:rtl w:val="true"/>
        </w:rPr>
        <w:footnoteReference w:id="205"/>
      </w:r>
      <w:r>
        <w:rPr>
          <w:rFonts w:ascii="IRNazanin" w:hAnsi="IRNazanin" w:eastAsia="IRNazanin"/>
          <w:color w:val="111111"/>
          <w:sz w:val="28"/>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من مصلحة الحريات التي منحها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الإسلام منح الحريات للناس بالأدلة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ما ينافي حريات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المعاصي حيث لا حرية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لدولة أو فرد المنع منها</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12183733_2142443653"/>
      <w:bookmarkStart w:id="128" w:name="_Toc47"/>
      <w:bookmarkEnd w:id="127"/>
      <w:r>
        <w:rPr>
          <w:rtl w:val="true"/>
        </w:rPr>
        <w:t>الأحياء والجمعيات السكنية</w:t>
      </w:r>
      <w:bookmarkEnd w:id="12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في ذلك إضرار بالآخرين، راجع قاعدة لا ضرر</w:t>
      </w:r>
      <w:r>
        <w:rPr>
          <w:rStyle w:val="FootnoteAnchor"/>
          <w:rtl w:val="true"/>
        </w:rPr>
        <w:footnoteReference w:id="210"/>
      </w:r>
      <w:r>
        <w:rPr>
          <w:rFonts w:ascii="Amiri" w:hAnsi="Amiri" w:eastAsia="Amiri" w:cs="Amiri"/>
          <w:color w:val="111111"/>
          <w:sz w:val="28"/>
          <w:sz w:val="28"/>
          <w:szCs w:val="28"/>
          <w:rtl w:val="true"/>
          <w:lang w:bidi="ar-SA"/>
        </w:rPr>
        <w:t>، وراجع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هنالك عنوان ثانوي، مثل هتك حرمة المشاهد المشرفة</w:t>
      </w:r>
      <w:r>
        <w:rPr>
          <w:rFonts w:eastAsia="Amiri" w:cs="Amiri" w:ascii="Amiri" w:hAnsi="Amiri"/>
          <w:color w:val="111111"/>
          <w:sz w:val="28"/>
          <w:szCs w:val="28"/>
          <w:rtl w:val="true"/>
          <w:lang w:bidi="ar-SA"/>
        </w:rPr>
        <w:t>.</w:t>
      </w:r>
    </w:p>
    <w:p>
      <w:pPr>
        <w:pStyle w:val="BookText"/>
        <w:rPr/>
      </w:pP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القبة الشريفة من وسائل هداية الناس، فإن الهداية وتذكر الدين إنما يكون بهذا وأقسامه، ويظهر ذلك بمقارنته بظهور كنيسة للأنظار دائماً، فإنها تعتبر وسيلة دعائية دائمة للمسيحية، فإذا فرض ذلك ولم يكن بديل كان من الأهم،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في ذلك إضرار بالنفس، مثل أن الطائرات تصدم مثل هذه البناية، أو يستهدفونها من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 عَنْهُمْ إِصْرَهُمْ</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bookmarkStart w:id="129" w:name="pg15710_226765"/>
    </w:p>
    <w:p>
      <w:pPr>
        <w:pStyle w:val="BookText"/>
        <w:rPr/>
      </w:pPr>
      <w:bookmarkEnd w:id="129"/>
      <w:r>
        <w:rPr>
          <w:rFonts w:ascii="Amiri" w:hAnsi="Amiri" w:eastAsia="Amiri" w:cs="Amiri"/>
          <w:color w:val="111111"/>
          <w:sz w:val="28"/>
          <w:sz w:val="28"/>
          <w:szCs w:val="28"/>
          <w:rtl w:val="true"/>
          <w:lang w:bidi="ar-SA"/>
        </w:rPr>
        <w:t>يصح للإنسان فرداً أو شركة</w:t>
      </w:r>
      <w:r>
        <w:rPr>
          <w:rStyle w:val="FootnoteAnchor"/>
          <w:rtl w:val="true"/>
        </w:rPr>
        <w:footnoteReference w:id="217"/>
      </w:r>
      <w:r>
        <w:rPr>
          <w:rFonts w:ascii="Amiri" w:hAnsi="Amiri" w:eastAsia="Amiri" w:cs="Amiri"/>
          <w:color w:val="111111"/>
          <w:sz w:val="28"/>
          <w:sz w:val="28"/>
          <w:szCs w:val="28"/>
          <w:rtl w:val="true"/>
          <w:lang w:bidi="ar-SA"/>
        </w:rPr>
        <w:t xml:space="preserve"> أن يبني دوراً سكنية ثم يبيعها بأكثر من ذلك الثمن نقداً أو بالأقساط</w:t>
      </w:r>
      <w:r>
        <w:rPr>
          <w:rStyle w:val="FootnoteAnchor"/>
          <w:rtl w:val="true"/>
        </w:rPr>
        <w:footnoteReference w:id="218"/>
      </w:r>
      <w:r>
        <w:rPr>
          <w:rFonts w:ascii="Amiri" w:hAnsi="Amiri" w:eastAsia="Amiri" w:cs="Amiri"/>
          <w:color w:val="111111"/>
          <w:sz w:val="28"/>
          <w:sz w:val="28"/>
          <w:szCs w:val="28"/>
          <w:rtl w:val="true"/>
          <w:lang w:bidi="ar-SA"/>
        </w:rPr>
        <w:t xml:space="preserve">، كأن يبني ألف دار بمليون دينار ثم يبيعها بمليون وربع مثلاً ، ويجعل أقساطها في خمس سنوات، كل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لإطلاق</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أدلة التجارة والبيع، لكن بشرط أن لا يجحف؛ لأنّ الإجحاف ممنوع منه في النص</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والفتوى، وإلا أوقفه الحاكم الشرعي إلى حيث لا إجحاف</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12183735_2142443653"/>
      <w:bookmarkStart w:id="131" w:name="_Toc48"/>
      <w:bookmarkEnd w:id="130"/>
      <w:r>
        <w:rPr>
          <w:rtl w:val="true"/>
        </w:rPr>
        <w:t>الشروط النافذة في العمران</w:t>
      </w:r>
      <w:bookmarkEnd w:id="13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لإنسان فباعها لأن تبنى فيها الدور وشرط</w:t>
      </w:r>
      <w:r>
        <w:rPr>
          <w:rStyle w:val="FootnoteAnchor"/>
          <w:rtl w:val="true"/>
        </w:rPr>
        <w:footnoteReference w:id="219"/>
      </w:r>
      <w:r>
        <w:rPr>
          <w:rFonts w:ascii="Amiri" w:hAnsi="Amiri" w:eastAsia="Amiri" w:cs="Amiri"/>
          <w:color w:val="111111"/>
          <w:sz w:val="28"/>
          <w:sz w:val="28"/>
          <w:szCs w:val="28"/>
          <w:rtl w:val="true"/>
          <w:lang w:bidi="ar-SA"/>
        </w:rPr>
        <w:t xml:space="preserve"> حد البناء ارتفاعاً ومساحة وما أشبه صح، فإنّ الشرط جائز من</w:t>
      </w:r>
    </w:p>
    <w:p>
      <w:pPr>
        <w:pStyle w:val="BookText"/>
        <w:rPr/>
      </w:pP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دولة</w:t>
      </w:r>
      <w:r>
        <w:rPr>
          <w:rFonts w:eastAsia="Amiri" w:cs="Amiri" w:ascii="Amiri" w:hAnsi="Amiri"/>
          <w:color w:val="111111"/>
          <w:sz w:val="28"/>
          <w:szCs w:val="28"/>
          <w:rtl w:val="true"/>
          <w:lang w:bidi="ar-SA"/>
        </w:rPr>
        <w:t>.</w:t>
      </w:r>
    </w:p>
    <w:p>
      <w:pPr>
        <w:pStyle w:val="BookText"/>
        <w:rPr/>
      </w:pP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الترديد حال البيع، بل يوقع البيع على أحد الطرفين</w:t>
      </w:r>
      <w:r>
        <w:rPr>
          <w:rFonts w:eastAsia="Amiri" w:cs="Amiri" w:ascii="Amiri" w:hAnsi="Amiri"/>
          <w:color w:val="111111"/>
          <w:sz w:val="28"/>
          <w:szCs w:val="28"/>
          <w:rtl w:val="true"/>
          <w:lang w:bidi="ar-SA"/>
        </w:rPr>
        <w:t>.</w:t>
      </w:r>
    </w:p>
    <w:p>
      <w:pPr>
        <w:pStyle w:val="BookText"/>
        <w:rPr/>
      </w:pP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مسلطون</w:t>
      </w:r>
      <w:r>
        <w:rPr>
          <w:rStyle w:val="FootnoteAnchor"/>
          <w:rtl w:val="true"/>
        </w:rPr>
        <w:footnoteReference w:id="223"/>
      </w:r>
      <w:r>
        <w:rPr>
          <w:rFonts w:ascii="Amiri" w:hAnsi="Amiri" w:eastAsia="Amiri" w:cs="Amiri"/>
          <w:color w:val="111111"/>
          <w:sz w:val="28"/>
          <w:sz w:val="28"/>
          <w:szCs w:val="28"/>
          <w:rtl w:val="true"/>
          <w:lang w:bidi="ar-SA"/>
        </w:rPr>
        <w:t>، وللأصول العملية لو وصلت النوبة إليها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الأشتر</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لبحث أصل مسألة الإجحاف، فإن مقتضى السلطنة أن يستطيع الإنسان البيع بأي ثمن أراد، إلاّ في الارتكاز،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الإجحاف ممنوع منه كان تخصيصاً في دليل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طريقة لتخلص الدولة من مشكلة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فهي تحجر أراضي </w:t>
      </w:r>
      <w:bookmarkStart w:id="132" w:name="pg15710_226766"/>
    </w:p>
    <w:p>
      <w:pPr>
        <w:pStyle w:val="BookText"/>
        <w:rPr/>
      </w:pPr>
      <w:bookmarkEnd w:id="132"/>
      <w:r>
        <w:rPr>
          <w:rFonts w:ascii="Amiri" w:hAnsi="Amiri" w:eastAsia="Amiri" w:cs="Amiri"/>
          <w:color w:val="111111"/>
          <w:sz w:val="28"/>
          <w:sz w:val="28"/>
          <w:szCs w:val="28"/>
          <w:rtl w:val="true"/>
          <w:lang w:bidi="ar-SA"/>
        </w:rPr>
        <w:t>طرف المتعاقدين والوفاء به واجب</w:t>
      </w:r>
      <w:r>
        <w:rPr>
          <w:rStyle w:val="FootnoteAnchor"/>
          <w:rtl w:val="true"/>
        </w:rPr>
        <w:footnoteReference w:id="230"/>
      </w:r>
      <w:r>
        <w:rPr>
          <w:rFonts w:ascii="Amiri" w:hAnsi="Amiri" w:eastAsia="Amiri" w:cs="Amiri"/>
          <w:color w:val="111111"/>
          <w:sz w:val="28"/>
          <w:sz w:val="28"/>
          <w:szCs w:val="28"/>
          <w:rtl w:val="true"/>
          <w:lang w:bidi="ar-SA"/>
        </w:rPr>
        <w:t xml:space="preserve"> على المشروط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خالف المشروط عليه الشرط حق للشارط الفسخ أو الإبقاء أو التصالح عن شرطه بما يراه مناسباً مما يقبله المشروط عليه</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12183737_2142443653"/>
      <w:bookmarkStart w:id="134" w:name="_Toc49"/>
      <w:bookmarkEnd w:id="133"/>
      <w:r>
        <w:rPr>
          <w:rtl w:val="true"/>
        </w:rPr>
        <w:t>تحديد البنايات العالية</w:t>
      </w:r>
      <w:bookmarkEnd w:id="13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ترفيع البناء أو ما أشبه ضرر على الناس لا بأس بمنع الدولة، فإنه لا يحق للإنسان أن يضر الآخرين، بل يجب إذا كان دفعاً للحرام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يحق لإنسان أن يضر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الآخرين وإن كان ما يستلزم الضرر تصرفاً في ملكه، على تفصيل ذكر في كتاب إحياء الموات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ملكيتها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فتبيعها بهذا الشرط</w:t>
      </w:r>
      <w:r>
        <w:rPr>
          <w:rFonts w:eastAsia="Amiri" w:cs="Amiri" w:ascii="Amiri" w:hAnsi="Amiri"/>
          <w:color w:val="111111"/>
          <w:sz w:val="28"/>
          <w:szCs w:val="28"/>
          <w:rtl w:val="true"/>
          <w:lang w:bidi="ar-SA"/>
        </w:rPr>
        <w:t>.</w:t>
      </w:r>
    </w:p>
    <w:p>
      <w:pPr>
        <w:pStyle w:val="BookText"/>
        <w:rPr/>
      </w:pP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الوجوب تكليفي، وأما الوضعي فراجع بحثه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الإضرار نوعان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إضرار بالحرام، كأن يصفعه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وإضرار بالحلال، كأن يفتح دكاناً مقابل دكانه، وما نحن فيه من قبيل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قاعدة لا ضرر</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إضرار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يصدق الضرر والإضرار عرفاً فلا بأس لانتفاء الموضوع، وكذا لو جرت السيرة على أمثاله، كمثال فتح </w:t>
      </w:r>
      <w:bookmarkStart w:id="135" w:name="pg15710_226767"/>
    </w:p>
    <w:p>
      <w:pPr>
        <w:pStyle w:val="Heading2"/>
        <w:numPr>
          <w:ilvl w:val="1"/>
          <w:numId w:val="1"/>
        </w:numPr>
        <w:rPr/>
      </w:pPr>
      <w:bookmarkStart w:id="136" w:name="__RefHeading___Toc12183739_2142443653"/>
      <w:bookmarkStart w:id="137" w:name="_Toc50"/>
      <w:bookmarkEnd w:id="135"/>
      <w:bookmarkEnd w:id="136"/>
      <w:r>
        <w:rPr>
          <w:rtl w:val="true"/>
        </w:rPr>
        <w:t>ترفيع سعر النقد</w:t>
      </w:r>
      <w:bookmarkEnd w:id="13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للفئة المشرفة على النقود ترفيع</w:t>
      </w:r>
      <w:r>
        <w:rPr>
          <w:rStyle w:val="FootnoteAnchor"/>
          <w:rtl w:val="true"/>
        </w:rPr>
        <w:footnoteReference w:id="234"/>
      </w:r>
      <w:r>
        <w:rPr>
          <w:rFonts w:ascii="Amiri" w:hAnsi="Amiri" w:eastAsia="Amiri" w:cs="Amiri"/>
          <w:color w:val="111111"/>
          <w:sz w:val="28"/>
          <w:sz w:val="28"/>
          <w:szCs w:val="28"/>
          <w:rtl w:val="true"/>
          <w:lang w:bidi="ar-SA"/>
        </w:rPr>
        <w:t xml:space="preserve"> أسعارها أو تخفيض أسعارها؟ الظاهر الجواز إلا إذا كان هناك محذور شرعي خارجي يمنع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إذا كان في الترفيع أو التخفيض ضرر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على الناس، إلا أن يتداركه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الضار،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سبب الترفيع التنزل الضار وجب عليه تداركه بما يتساوى مع قبل الترفيع</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12183741_2142443653"/>
      <w:bookmarkStart w:id="139" w:name="_Toc51"/>
      <w:bookmarkEnd w:id="138"/>
      <w:r>
        <w:rPr>
          <w:rtl w:val="true"/>
        </w:rPr>
        <w:t>الماء للجميع</w:t>
      </w:r>
      <w:bookmarkEnd w:id="13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الأنهر التي تمر في دول متعددة،</w:t>
      </w:r>
    </w:p>
    <w:p>
      <w:pPr>
        <w:pStyle w:val="BookText"/>
        <w:rPr/>
      </w:pPr>
      <w:r>
        <w:rPr>
          <w:rFonts w:ascii="Amiri" w:hAnsi="Amiri" w:eastAsia="Amiri" w:cs="Amiri"/>
          <w:color w:val="111111"/>
          <w:sz w:val="28"/>
          <w:sz w:val="28"/>
          <w:szCs w:val="28"/>
          <w:rtl w:val="true"/>
          <w:lang w:bidi="ar-SA"/>
        </w:rPr>
        <w:t xml:space="preserve">الدكان،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المسائل اللاحقة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تشتري كلّ الذهب الموجود في السوق فيرتفع سعره، أو تطرح كميات هائلة منه فيه فينخفض، كما يتلاعب اليهود الآن بالأسواق بأمثال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مسألة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البحث فيه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يسمى ضرراً، أما الإضرار ثم التدارك فهو حرام، مثل أن يصفعه ثم يعطيه مالاً، فتأمل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bookmarkStart w:id="140" w:name="pg15710_226768"/>
    </w:p>
    <w:p>
      <w:pPr>
        <w:pStyle w:val="BookText"/>
        <w:rPr/>
      </w:pPr>
      <w:bookmarkEnd w:id="140"/>
      <w:r>
        <w:rPr>
          <w:rFonts w:ascii="Amiri" w:hAnsi="Amiri" w:eastAsia="Amiri" w:cs="Amiri"/>
          <w:color w:val="111111"/>
          <w:sz w:val="28"/>
          <w:sz w:val="28"/>
          <w:szCs w:val="28"/>
          <w:rtl w:val="true"/>
          <w:lang w:bidi="ar-SA"/>
        </w:rPr>
        <w:t>ليس</w:t>
      </w:r>
      <w:r>
        <w:rPr>
          <w:rStyle w:val="FootnoteAnchor"/>
          <w:rtl w:val="true"/>
        </w:rPr>
        <w:footnoteReference w:id="241"/>
      </w:r>
      <w:r>
        <w:rPr>
          <w:rFonts w:ascii="Amiri" w:hAnsi="Amiri" w:eastAsia="Amiri" w:cs="Amiri"/>
          <w:color w:val="111111"/>
          <w:sz w:val="28"/>
          <w:sz w:val="28"/>
          <w:szCs w:val="28"/>
          <w:rtl w:val="true"/>
          <w:lang w:bidi="ar-SA"/>
        </w:rPr>
        <w:t xml:space="preserve"> لأية من تلك الدول أن تمنع جريان النهر؛ لأنه لا يعلم</w:t>
      </w:r>
      <w:r>
        <w:rPr>
          <w:rStyle w:val="FootnoteAnchor"/>
          <w:rtl w:val="true"/>
        </w:rPr>
        <w:footnoteReference w:id="242"/>
      </w:r>
      <w:r>
        <w:rPr>
          <w:rFonts w:ascii="Amiri" w:hAnsi="Amiri" w:eastAsia="Amiri" w:cs="Amiri"/>
          <w:color w:val="111111"/>
          <w:sz w:val="28"/>
          <w:sz w:val="28"/>
          <w:szCs w:val="28"/>
          <w:rtl w:val="true"/>
          <w:lang w:bidi="ar-SA"/>
        </w:rPr>
        <w:t xml:space="preserve"> كون النهر ملكاً</w:t>
      </w:r>
      <w:r>
        <w:rPr>
          <w:rStyle w:val="FootnoteAnchor"/>
          <w:rtl w:val="true"/>
        </w:rPr>
        <w:footnoteReference w:id="243"/>
      </w:r>
      <w:r>
        <w:rPr>
          <w:rFonts w:ascii="Amiri" w:hAnsi="Amiri" w:eastAsia="Amiri" w:cs="Amiri"/>
          <w:color w:val="111111"/>
          <w:sz w:val="28"/>
          <w:sz w:val="28"/>
          <w:szCs w:val="28"/>
          <w:rtl w:val="true"/>
          <w:lang w:bidi="ar-SA"/>
        </w:rPr>
        <w:t xml:space="preserve"> لها، نعم إذا كانت الدولة هي المفجرة للنهر بحفر عيونها وتسوية الجبل المنبعث منه النهر كان لها المنع</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الاستثناء لأنه 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فمن سبق إلى شيء فهو له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كما ذكرناه في الكتب الاقتصادية، ومنه يعلم الحكم فيما لو أرادت الدولة السابقة أن تستفيد من ماء النهر بمقدار تضرر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 اللاحقة</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12183743_2142443653"/>
      <w:bookmarkStart w:id="142" w:name="_Toc52"/>
      <w:bookmarkEnd w:id="141"/>
      <w:r>
        <w:rPr>
          <w:rtl w:val="true"/>
        </w:rPr>
        <w:t>لا منع مع التلف</w:t>
      </w:r>
      <w:bookmarkEnd w:id="14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يعلم بالعدم لو قلنا بدلالة الآية الكريمة على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فإنه بالحيازة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يقوم دليل خاص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يمنع فضل ماء ليمنع به فضل كلاء</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إذا قلنا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موضوع للجميع فكيف يستبد به البعض؟</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التفجير وغيره، بل الملاك هو الإحياء والحيازة أو نحوهما، فإن قلنا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يحق لها مطلقاً، وإن لم نقل حقّ لها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التنظر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تضررت من عدم الاستفادة كان من تعارض الضررين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bookmarkStart w:id="143" w:name="pg15710_226769"/>
    </w:p>
    <w:p>
      <w:pPr>
        <w:pStyle w:val="BookText"/>
        <w:rPr/>
      </w:pPr>
      <w:bookmarkEnd w:id="143"/>
      <w:r>
        <w:rPr>
          <w:rFonts w:ascii="Amiri" w:hAnsi="Amiri" w:eastAsia="Amiri" w:cs="Amiri"/>
          <w:color w:val="111111"/>
          <w:sz w:val="28"/>
          <w:sz w:val="28"/>
          <w:szCs w:val="28"/>
          <w:rtl w:val="true"/>
          <w:lang w:bidi="ar-SA"/>
        </w:rPr>
        <w:t>إنما يحق للدولة منع جريان النهر في المسألة السابقة فيما إذا لم يوجب تلف</w:t>
      </w:r>
      <w:r>
        <w:rPr>
          <w:rStyle w:val="FootnoteAnchor"/>
          <w:rtl w:val="true"/>
        </w:rPr>
        <w:footnoteReference w:id="249"/>
      </w:r>
      <w:r>
        <w:rPr>
          <w:rFonts w:ascii="Amiri" w:hAnsi="Amiri" w:eastAsia="Amiri" w:cs="Amiri"/>
          <w:color w:val="111111"/>
          <w:sz w:val="28"/>
          <w:sz w:val="28"/>
          <w:szCs w:val="28"/>
          <w:rtl w:val="true"/>
          <w:lang w:bidi="ar-SA"/>
        </w:rPr>
        <w:t xml:space="preserve"> أحد، وإلا لم يجز، نعم لها</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أخذ العوض، فإن حالها حينئذ حال صاحب الطعام في سنة المجاعة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لأنه لا منافاة بين الحكم الوضعي والتكليفي كما قرر في محله من الفقه</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12183745_2142443653"/>
      <w:bookmarkStart w:id="145" w:name="_Toc53"/>
      <w:bookmarkEnd w:id="144"/>
      <w:r>
        <w:rPr>
          <w:rtl w:val="true"/>
        </w:rPr>
        <w:t>المجاعة الاصطناعية</w:t>
      </w:r>
      <w:bookmarkEnd w:id="14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w:t>
      </w:r>
      <w:r>
        <w:rPr>
          <w:rStyle w:val="FootnoteAnchor"/>
          <w:rtl w:val="true"/>
        </w:rPr>
        <w:footnoteReference w:id="250"/>
      </w:r>
      <w:r>
        <w:rPr>
          <w:rFonts w:ascii="Amiri" w:hAnsi="Amiri" w:eastAsia="Amiri" w:cs="Amiri"/>
          <w:color w:val="111111"/>
          <w:sz w:val="28"/>
          <w:sz w:val="28"/>
          <w:szCs w:val="28"/>
          <w:rtl w:val="true"/>
          <w:lang w:bidi="ar-SA"/>
        </w:rPr>
        <w:t xml:space="preserve"> للدولة أو فرد أو جماعة افتعال المجاعة</w:t>
      </w:r>
    </w:p>
    <w:p>
      <w:pPr>
        <w:pStyle w:val="BookText"/>
        <w:rPr/>
      </w:pP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تضرره ضرراً علم أن الشارع لا يريد وقوعه في الخارج، أو سقوط اقتصاد دولة إسلامية مسبب لهيمنة الكفار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52"/>
      </w:r>
      <w:r>
        <w:rPr>
          <w:rFonts w:ascii="Amiri" w:hAnsi="Amiri" w:eastAsia="Amiri" w:cs="Amiri"/>
          <w:color w:val="111111"/>
          <w:sz w:val="28"/>
          <w:sz w:val="28"/>
          <w:szCs w:val="28"/>
          <w:rtl w:val="true"/>
          <w:lang w:bidi="ar-SA"/>
        </w:rPr>
        <w:t>أن الإذن دليل عدم الضمان، كما لو استلزم النهي كسر أواني الخمر، فالأولى تقرر الدليل بأنه هنالك ملازمة بين الحكم التكليفي والوضعي، إلاّ في الأمور المالية من قبيل أكل المخمصة،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لدليل الضرر، وأدلة القتل والإتلاف، وأنه علم أن الشارع لا يرضى وقوعه في الخارج</w:t>
      </w:r>
      <w:r>
        <w:rPr>
          <w:rFonts w:eastAsia="Amiri" w:cs="Amiri" w:ascii="Amiri" w:hAnsi="Amiri"/>
          <w:color w:val="111111"/>
          <w:sz w:val="28"/>
          <w:szCs w:val="28"/>
          <w:rtl w:val="true"/>
          <w:lang w:bidi="ar-SA"/>
        </w:rPr>
        <w:t xml:space="preserve">. </w:t>
      </w:r>
      <w:bookmarkStart w:id="146" w:name="pg15710_226770"/>
    </w:p>
    <w:p>
      <w:pPr>
        <w:pStyle w:val="BookText"/>
        <w:rPr/>
      </w:pPr>
      <w:bookmarkEnd w:id="146"/>
      <w:r>
        <w:rPr>
          <w:rFonts w:ascii="Amiri" w:hAnsi="Amiri" w:eastAsia="Amiri" w:cs="Amiri"/>
          <w:color w:val="111111"/>
          <w:sz w:val="28"/>
          <w:sz w:val="28"/>
          <w:szCs w:val="28"/>
          <w:rtl w:val="true"/>
          <w:lang w:bidi="ar-SA"/>
        </w:rPr>
        <w:t>وإشاعتها، وإذا فعل ذلك وتلف لسببه الناس كانت ديتهم</w:t>
      </w:r>
      <w:r>
        <w:rPr>
          <w:rStyle w:val="FootnoteAnchor"/>
          <w:rtl w:val="true"/>
        </w:rPr>
        <w:footnoteReference w:id="254"/>
      </w:r>
      <w:r>
        <w:rPr>
          <w:rFonts w:ascii="Amiri" w:hAnsi="Amiri" w:eastAsia="Amiri" w:cs="Amiri"/>
          <w:color w:val="111111"/>
          <w:sz w:val="28"/>
          <w:sz w:val="28"/>
          <w:szCs w:val="28"/>
          <w:rtl w:val="true"/>
          <w:lang w:bidi="ar-SA"/>
        </w:rPr>
        <w:t xml:space="preserve">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للصدق</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العرفي، وكذلك إذا سبب تلف الزرع والضرع أو ما أشبه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كما أنّ من سبب تلف الإنسان كان ضامناً بالإضافة إلى الحكم التكليفي</w:t>
      </w:r>
      <w:r>
        <w:rPr>
          <w:rFonts w:eastAsia="Amiri" w:cs="Amiri" w:ascii="Amiri" w:hAnsi="Amiri"/>
          <w:color w:val="111111"/>
          <w:sz w:val="28"/>
          <w:szCs w:val="28"/>
          <w:rtl w:val="true"/>
          <w:lang w:bidi="ar-SA"/>
        </w:rPr>
        <w:t>.</w:t>
      </w:r>
    </w:p>
    <w:p>
      <w:pPr>
        <w:pStyle w:val="Heading2"/>
        <w:numPr>
          <w:ilvl w:val="1"/>
          <w:numId w:val="1"/>
        </w:numPr>
        <w:rPr/>
      </w:pPr>
      <w:bookmarkStart w:id="147" w:name="__RefHeading___Toc12183747_2142443653"/>
      <w:bookmarkStart w:id="148" w:name="_Toc54"/>
      <w:bookmarkEnd w:id="147"/>
      <w:r>
        <w:rPr>
          <w:rtl w:val="true"/>
        </w:rPr>
        <w:t>تقليد الكفار في المناسبات</w:t>
      </w:r>
      <w:bookmarkEnd w:id="14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w:t>
      </w:r>
      <w:r>
        <w:rPr>
          <w:rStyle w:val="FootnoteAnchor"/>
          <w:rtl w:val="true"/>
        </w:rPr>
        <w:footnoteReference w:id="255"/>
      </w:r>
      <w:r>
        <w:rPr>
          <w:rFonts w:ascii="Amiri" w:hAnsi="Amiri" w:eastAsia="Amiri" w:cs="Amiri"/>
          <w:color w:val="111111"/>
          <w:sz w:val="28"/>
          <w:sz w:val="28"/>
          <w:szCs w:val="28"/>
          <w:rtl w:val="true"/>
          <w:lang w:bidi="ar-SA"/>
        </w:rPr>
        <w:t xml:space="preserve"> في السنة الميلادية والأشهر الرومية والشعارات المستوردة والأسامي غير الإسلامية وما أشبه</w:t>
      </w:r>
      <w:r>
        <w:rPr>
          <w:rStyle w:val="FootnoteAnchor"/>
          <w:rtl w:val="true"/>
        </w:rPr>
        <w:footnoteReference w:id="256"/>
      </w:r>
      <w:r>
        <w:rPr>
          <w:rFonts w:ascii="Amiri" w:hAnsi="Amiri" w:eastAsia="Amiri" w:cs="Amiri"/>
          <w:color w:val="111111"/>
          <w:sz w:val="28"/>
          <w:sz w:val="28"/>
          <w:szCs w:val="28"/>
          <w:rtl w:val="true"/>
          <w:lang w:bidi="ar-SA"/>
        </w:rPr>
        <w:t xml:space="preserve"> هذه الأمور إذا سببت ضياع</w:t>
      </w:r>
    </w:p>
    <w:p>
      <w:pPr>
        <w:pStyle w:val="BookText"/>
        <w:rPr/>
      </w:pP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أنه يعد قتل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 القتل،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صدق الإتلاف الواقع موضوعاً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الأشياء تنسلخ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بمرور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كونها مسالك العدو، أو ملابس العدو، مثل لبس البنطلون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بما هو عدو، لا بما هو إنسان، فلو اخترعوا لباساً بما هم بشر لا بما هم أعداء لم يكن مشمولاً للدليل،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بحث لباس المصلي من العروة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كاستخدام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السلام 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التحية</w:t>
      </w:r>
      <w:r>
        <w:rPr>
          <w:rFonts w:eastAsia="Amiri" w:cs="Amiri" w:ascii="Amiri" w:hAnsi="Amiri"/>
          <w:color w:val="111111"/>
          <w:sz w:val="28"/>
          <w:szCs w:val="28"/>
          <w:rtl w:val="true"/>
          <w:lang w:bidi="ar-SA"/>
        </w:rPr>
        <w:t xml:space="preserve">. </w:t>
      </w:r>
      <w:bookmarkStart w:id="149" w:name="pg15710_226771"/>
    </w:p>
    <w:p>
      <w:pPr>
        <w:pStyle w:val="BookText"/>
        <w:rPr/>
      </w:pPr>
      <w:bookmarkEnd w:id="149"/>
      <w:r>
        <w:rPr>
          <w:rFonts w:ascii="Amiri" w:hAnsi="Amiri" w:eastAsia="Amiri" w:cs="Amiri"/>
          <w:color w:val="111111"/>
          <w:sz w:val="28"/>
          <w:sz w:val="28"/>
          <w:szCs w:val="28"/>
          <w:rtl w:val="true"/>
          <w:lang w:bidi="ar-SA"/>
        </w:rPr>
        <w:t>معالم الإسلام وإضلال المسلمين لم يجز</w:t>
      </w:r>
      <w:r>
        <w:rPr>
          <w:rStyle w:val="FootnoteAnchor"/>
          <w:rtl w:val="true"/>
        </w:rPr>
        <w:footnoteReference w:id="261"/>
      </w:r>
      <w:r>
        <w:rPr>
          <w:rFonts w:ascii="Amiri" w:hAnsi="Amiri" w:eastAsia="Amiri" w:cs="Amiri"/>
          <w:color w:val="111111"/>
          <w:sz w:val="28"/>
          <w:sz w:val="28"/>
          <w:szCs w:val="28"/>
          <w:rtl w:val="true"/>
          <w:lang w:bidi="ar-SA"/>
        </w:rPr>
        <w:t>، وإن لم يسبب ذلك فلا إشكال في مرجوحيتها</w:t>
      </w:r>
      <w:r>
        <w:rPr>
          <w:rStyle w:val="FootnoteAnchor"/>
          <w:rtl w:val="true"/>
        </w:rPr>
        <w:footnoteReference w:id="262"/>
      </w:r>
      <w:r>
        <w:rPr>
          <w:rFonts w:ascii="Amiri" w:hAnsi="Amiri" w:eastAsia="Amiri" w:cs="Amiri"/>
          <w:color w:val="111111"/>
          <w:sz w:val="28"/>
          <w:sz w:val="28"/>
          <w:szCs w:val="28"/>
          <w:rtl w:val="true"/>
          <w:lang w:bidi="ar-SA"/>
        </w:rPr>
        <w:t xml:space="preserve"> لما ورد من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تسلكوا مسالك أعدائي</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 في المستثنى منه والمستثنى واضح،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فردان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ومكروه</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12183749_2142443653"/>
      <w:bookmarkStart w:id="151" w:name="_Toc55"/>
      <w:bookmarkEnd w:id="150"/>
      <w:r>
        <w:rPr>
          <w:rtl w:val="true"/>
        </w:rPr>
        <w:t>التلاعب بالأسواق التجارية</w:t>
      </w:r>
      <w:bookmarkEnd w:id="15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Style w:val="FootnoteAnchor"/>
          <w:rtl w:val="true"/>
        </w:rPr>
        <w:footnoteReference w:id="264"/>
      </w:r>
      <w:r>
        <w:rPr>
          <w:rFonts w:ascii="Amiri" w:hAnsi="Amiri" w:eastAsia="Amiri" w:cs="Amiri"/>
          <w:color w:val="111111"/>
          <w:sz w:val="28"/>
          <w:sz w:val="28"/>
          <w:szCs w:val="28"/>
          <w:rtl w:val="true"/>
          <w:lang w:bidi="ar-SA"/>
        </w:rPr>
        <w:t xml:space="preserve"> يجوز التلاعب بالسوق، كما لو اشترى التاجر أغلب السكر الموجود ليرتفع سعر السكر، أو يبيع رخيصاً كمية كبيرة من السكر</w:t>
      </w:r>
    </w:p>
    <w:p>
      <w:pPr>
        <w:pStyle w:val="BookText"/>
        <w:rPr/>
      </w:pP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 مقدمة للحرام وهي حرام عقلاً، وإما لأنه إضلال، أو لشمول أدلة التشبه بالكفار له</w:t>
      </w:r>
      <w:r>
        <w:rPr>
          <w:rFonts w:eastAsia="Amiri" w:cs="Amiri" w:ascii="Amiri" w:hAnsi="Amiri"/>
          <w:color w:val="111111"/>
          <w:sz w:val="28"/>
          <w:szCs w:val="28"/>
          <w:rtl w:val="true"/>
          <w:lang w:bidi="ar-SA"/>
        </w:rPr>
        <w:t>.</w:t>
      </w:r>
    </w:p>
    <w:p>
      <w:pPr>
        <w:pStyle w:val="BookText"/>
        <w:rPr/>
      </w:pP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ذلك الحديث</w:t>
      </w:r>
      <w:r>
        <w:rPr>
          <w:rStyle w:val="FootnoteAnchor"/>
          <w:rtl w:val="true"/>
        </w:rPr>
        <w:footnoteReference w:id="267"/>
      </w:r>
      <w:r>
        <w:rPr>
          <w:rFonts w:ascii="Amiri" w:hAnsi="Amiri" w:eastAsia="Amiri" w:cs="Amiri"/>
          <w:color w:val="111111"/>
          <w:sz w:val="28"/>
          <w:sz w:val="28"/>
          <w:szCs w:val="28"/>
          <w:rtl w:val="true"/>
          <w:lang w:bidi="ar-SA"/>
        </w:rPr>
        <w:t xml:space="preserve">، وإن فرض كونه ضعيفاً للتسامح، وعلى فرض عدم القول بقاعدة التسامح فلا شكّ في المرجوحية عقلاً؛ 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أنها لا تفيد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بحث في أن أدلة التسامح هل تشمل روايات المكروهات أيضاً أم لا؟</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بانطباق عنوان محرم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152" w:name="pg15710_226772"/>
    </w:p>
    <w:p>
      <w:pPr>
        <w:pStyle w:val="BookText"/>
        <w:rPr/>
      </w:pPr>
      <w:bookmarkEnd w:id="152"/>
      <w:r>
        <w:rPr>
          <w:rFonts w:ascii="Amiri" w:hAnsi="Amiri" w:eastAsia="Amiri" w:cs="Amiri"/>
          <w:color w:val="111111"/>
          <w:sz w:val="28"/>
          <w:sz w:val="28"/>
          <w:szCs w:val="28"/>
          <w:rtl w:val="true"/>
          <w:lang w:bidi="ar-SA"/>
        </w:rPr>
        <w:t>لينزل سعر السكر أم لا؟ احتمالان، أما لو كان محذور خارجي</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في ذلك لم يجز، وتتمكن الدولة من إيقاف التلاعب بالوسائل المحللة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 لأنه تصرف في ماله فحلال، ولأنه إضرار بالغير فحرام، ولا يبعد الحرمة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إلا إذا لم يكن ضرر، ولا جهة محرمة خارجية، والإيقاف بالوسائل المحللة مثل مقابلة المتلاعب بالضد أنما هو فيما إذا لم يكن التلاعب حراماً ، وإلا لا يحتاج الإيقاف إلى شيء</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بل الدولة تمنع المتلاعب بالوسائل الوقائية، مثل توفير البضاعة وكثرة العرض وما أشبه ذلك</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12183751_2142443653"/>
      <w:bookmarkStart w:id="154" w:name="_Toc56"/>
      <w:bookmarkEnd w:id="153"/>
      <w:r>
        <w:rPr>
          <w:rtl w:val="true"/>
        </w:rPr>
        <w:t>تحجيم الزرع والضرر</w:t>
      </w:r>
      <w:bookmarkEnd w:id="15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للزارعين عدم الزراعة وعدم تربية المواشي حتى يرتفع السعر</w:t>
      </w:r>
      <w:r>
        <w:rPr>
          <w:rStyle w:val="FootnoteAnchor"/>
          <w:rtl w:val="true"/>
        </w:rPr>
        <w:footnoteReference w:id="271"/>
      </w:r>
      <w:r>
        <w:rPr>
          <w:rFonts w:ascii="Amiri" w:hAnsi="Amiri" w:eastAsia="Amiri" w:cs="Amiri"/>
          <w:color w:val="111111"/>
          <w:sz w:val="28"/>
          <w:sz w:val="28"/>
          <w:szCs w:val="28"/>
          <w:rtl w:val="true"/>
          <w:lang w:bidi="ar-SA"/>
        </w:rPr>
        <w:t xml:space="preserve"> أم لا يجوز؟ احتمالان</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والمسألة هنا كالمسألة السابقة في أنه إذا لزم محذور خارجي لم يجز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الزراعة في الفرعين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الصناعة وإنتاج اللحوم والدسوم والألبان</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كتحطيم اقتصاد بلاد الإسلام ما يسبب هيمنة الكفار على اقتصادهم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ما سبق في مسألة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تجبره على الإيقاف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البضاعة، وهو نظير ما تفعل الدول من إتلاف القمح مثلاً ليظل سعره ثابتاً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مسلط على نفسه، فكيف يجبر على الإنتاج؟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واجبات كفائية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المكاسب</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الإنتاج أو الإضرار</w:t>
      </w:r>
      <w:r>
        <w:rPr>
          <w:rFonts w:eastAsia="Amiri" w:cs="Amiri" w:ascii="Amiri" w:hAnsi="Amiri"/>
          <w:color w:val="111111"/>
          <w:sz w:val="28"/>
          <w:szCs w:val="28"/>
          <w:rtl w:val="true"/>
          <w:lang w:bidi="ar-SA"/>
        </w:rPr>
        <w:t xml:space="preserve">. </w:t>
      </w:r>
      <w:bookmarkStart w:id="155" w:name="pg15710_226773"/>
    </w:p>
    <w:p>
      <w:pPr>
        <w:pStyle w:val="BookText"/>
        <w:rPr/>
      </w:pPr>
      <w:bookmarkEnd w:id="155"/>
      <w:r>
        <w:rPr>
          <w:rFonts w:ascii="Amiri" w:hAnsi="Amiri" w:eastAsia="Amiri" w:cs="Amiri"/>
          <w:color w:val="111111"/>
          <w:sz w:val="28"/>
          <w:sz w:val="28"/>
          <w:szCs w:val="28"/>
          <w:rtl w:val="true"/>
          <w:lang w:bidi="ar-SA"/>
        </w:rPr>
        <w:t>والبيض ونحوها، لوحدة الدليل في الجميع</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12183753_2142443653"/>
      <w:bookmarkStart w:id="157" w:name="_Toc57"/>
      <w:bookmarkEnd w:id="156"/>
      <w:r>
        <w:rPr>
          <w:rtl w:val="true"/>
        </w:rPr>
        <w:t>التعاون مع الظالم</w:t>
      </w:r>
      <w:bookmarkEnd w:id="15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إعانة الظالم، إلا إذا كانت هناك مصلحة أهم</w:t>
      </w:r>
      <w:r>
        <w:rPr>
          <w:rStyle w:val="FootnoteAnchor"/>
          <w:rtl w:val="true"/>
        </w:rPr>
        <w:footnoteReference w:id="274"/>
      </w:r>
      <w:r>
        <w:rPr>
          <w:rFonts w:ascii="Amiri" w:hAnsi="Amiri" w:eastAsia="Amiri" w:cs="Amiri"/>
          <w:color w:val="111111"/>
          <w:sz w:val="28"/>
          <w:sz w:val="28"/>
          <w:szCs w:val="28"/>
          <w:rtl w:val="true"/>
          <w:lang w:bidi="ar-SA"/>
        </w:rPr>
        <w:t>، 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أبواب السلطان من أنار اللّه به البرهان</w:t>
      </w:r>
      <w:r>
        <w:rPr>
          <w:rFonts w:eastAsia="Amiri" w:cs="Amiri" w:ascii="Amiri" w:hAnsi="Amiri"/>
          <w:color w:val="111111"/>
          <w:sz w:val="28"/>
          <w:szCs w:val="28"/>
          <w:rtl w:val="true"/>
          <w:lang w:bidi="ar-SA"/>
        </w:rPr>
        <w:t>»</w:t>
      </w:r>
      <w:r>
        <w:rPr>
          <w:rStyle w:val="FootnoteAnchor"/>
          <w:rtl w:val="true"/>
        </w:rPr>
        <w:footnoteReference w:id="275"/>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علي بن يقطين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الخروج عمل السلطان،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أرى لك الخروج من عمل السلطان، فإن لله عز وجل بأبواب الجبابرة من يدفع بهم عن أوليائه، وهم عتقاؤه من النار، فاتق اللّه في 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بحار الأنوار</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إسماعيل بن بزيع 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لله تعالى بأبواب الظالمين من نوره اللّه وأخذ له البرهان ومكن له في البلاد، ليدفع بهم عن أوليائه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الحرمة للأدلة الأربعة، والتفصيل مذكور في الفقه في مبحث الولاية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8" w:name="__RefHeading___Toc12183755_2142443653"/>
      <w:bookmarkStart w:id="159" w:name="_Toc58"/>
      <w:bookmarkEnd w:id="158"/>
      <w:r>
        <w:rPr>
          <w:rtl w:val="true"/>
        </w:rPr>
        <w:t>منع التجول</w:t>
      </w:r>
      <w:bookmarkEnd w:id="15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للدولة أن تمنع التجول؛ لأنه مناف لحرية</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كفاية توفر هذه البضاعة بسعر لا يتضرر منه الناس، فكل ما كان خلاف ذلك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الحريات التي تمنحها الدولة أو تدخل الدولة بنفسها أحياناً كفيلان بمنع ذلك، أو بتقليصه بلا لجوء إلى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المساوية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نظيره فيما تقدّم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bookmarkStart w:id="160" w:name="pg15710_226774"/>
    </w:p>
    <w:p>
      <w:pPr>
        <w:pStyle w:val="BookText"/>
        <w:rPr/>
      </w:pPr>
      <w:bookmarkEnd w:id="160"/>
      <w:r>
        <w:rPr>
          <w:rFonts w:ascii="Amiri" w:hAnsi="Amiri" w:eastAsia="Amiri" w:cs="Amiri"/>
          <w:color w:val="111111"/>
          <w:sz w:val="28"/>
          <w:sz w:val="28"/>
          <w:szCs w:val="28"/>
          <w:rtl w:val="true"/>
          <w:lang w:bidi="ar-SA"/>
        </w:rPr>
        <w:t>الإنسان التي منحها</w:t>
      </w:r>
      <w:r>
        <w:rPr>
          <w:rStyle w:val="FootnoteAnchor"/>
          <w:rtl w:val="true"/>
        </w:rPr>
        <w:footnoteReference w:id="280"/>
      </w:r>
      <w:r>
        <w:rPr>
          <w:rFonts w:ascii="Amiri" w:hAnsi="Amiri" w:eastAsia="Amiri" w:cs="Amiri"/>
          <w:color w:val="111111"/>
          <w:sz w:val="28"/>
          <w:sz w:val="28"/>
          <w:szCs w:val="28"/>
          <w:rtl w:val="true"/>
          <w:lang w:bidi="ar-SA"/>
        </w:rPr>
        <w:t xml:space="preserve"> اللّه سبحانه له، إلا إذا كان هناك مصلحة في المنع أهم</w:t>
      </w:r>
      <w:r>
        <w:rPr>
          <w:rStyle w:val="FootnoteAnchor"/>
          <w:rtl w:val="true"/>
        </w:rPr>
        <w:footnoteReference w:id="281"/>
      </w:r>
      <w:r>
        <w:rPr>
          <w:rFonts w:ascii="Amiri" w:hAnsi="Amiri" w:eastAsia="Amiri" w:cs="Amiri"/>
          <w:color w:val="111111"/>
          <w:sz w:val="28"/>
          <w:sz w:val="28"/>
          <w:szCs w:val="28"/>
          <w:rtl w:val="true"/>
          <w:lang w:bidi="ar-SA"/>
        </w:rPr>
        <w:t xml:space="preserve"> شرعاً من مصلحة الحرية فيجوز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الحرية في غير المحرم منحة اللّه سبحانه لعباده، فمن أراد كبتها لا يحق له ذلك إلا بأمر أهم، حيث تكون القاعدة تقديم الأهم على المهم، ويشترط أن تكون الدولة شرعية، والمنع من قبل شورى</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الفقهاء المراجع أو تحت إشرافهم، وإذا منعت دولة غير عادلة عن بعض الحريات جاز للناس التمتع</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بها من غير اعتناء بقول الدولة</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12183757_2142443653"/>
      <w:bookmarkStart w:id="162" w:name="_Toc59"/>
      <w:bookmarkEnd w:id="161"/>
      <w:r>
        <w:rPr>
          <w:rtl w:val="true"/>
        </w:rPr>
        <w:t>حرية الاجتماعات</w:t>
      </w:r>
      <w:bookmarkEnd w:id="16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للدولة أن تمنع الاجتماع مطلقاً أو تمنع اجتماع أكثر من خمسة أو ثلاثة مثلاً ، لما تقدم في المسألة السابقة، إلا إذا كان في المنع مصلحة أهم</w:t>
      </w:r>
      <w:r>
        <w:rPr>
          <w:rStyle w:val="FootnoteAnchor"/>
          <w:rtl w:val="true"/>
        </w:rPr>
        <w:footnoteReference w:id="282"/>
      </w:r>
      <w:r>
        <w:rPr>
          <w:rFonts w:ascii="IRNazanin" w:hAnsi="IRNazanin" w:eastAsia="IRNazanin"/>
          <w:color w:val="111111"/>
          <w:sz w:val="28"/>
          <w:sz w:val="28"/>
          <w:szCs w:val="28"/>
          <w:rtl w:val="true"/>
          <w:lang w:bidi="fa-IR"/>
        </w:rPr>
        <w:t xml:space="preserve"> على نحو ما تقدم</w:t>
      </w:r>
      <w:r>
        <w:rPr>
          <w:rFonts w:eastAsia="IRNazanin" w:cs="IRNazanin"/>
          <w:color w:val="111111"/>
          <w:sz w:val="28"/>
          <w:szCs w:val="28"/>
          <w:rtl w:val="true"/>
          <w:lang w:bidi="fa-IR"/>
        </w:rPr>
        <w:t>.</w:t>
      </w:r>
    </w:p>
    <w:p>
      <w:pPr>
        <w:pStyle w:val="BookText"/>
        <w:rPr/>
      </w:pP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w:t>
      </w:r>
      <w:r>
        <w:rPr>
          <w:rStyle w:val="FootnoteAnchor"/>
          <w:rtl w:val="true"/>
        </w:rPr>
        <w:footnoteReference w:id="286"/>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خطر التفجيرات قائماً</w:t>
      </w:r>
      <w:r>
        <w:rPr>
          <w:rFonts w:eastAsia="Amiri" w:cs="Amiri" w:ascii="Amiri" w:hAnsi="Amiri"/>
          <w:color w:val="111111"/>
          <w:sz w:val="28"/>
          <w:szCs w:val="28"/>
          <w:rtl w:val="true"/>
          <w:lang w:bidi="ar-SA"/>
        </w:rPr>
        <w:t>.</w:t>
      </w:r>
    </w:p>
    <w:p>
      <w:pPr>
        <w:pStyle w:val="BookText"/>
        <w:rPr/>
      </w:pP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الحاكم الشرعي على مبنى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توجه ضرر عظيم إليه حرم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المساوي ما تقدّم</w:t>
      </w:r>
      <w:r>
        <w:rPr>
          <w:rFonts w:eastAsia="Amiri" w:cs="Amiri" w:ascii="Amiri" w:hAnsi="Amiri"/>
          <w:color w:val="111111"/>
          <w:sz w:val="28"/>
          <w:szCs w:val="28"/>
          <w:rtl w:val="true"/>
          <w:lang w:bidi="ar-SA"/>
        </w:rPr>
        <w:t xml:space="preserve">. </w:t>
      </w:r>
      <w:bookmarkStart w:id="163" w:name="pg15710_226775"/>
    </w:p>
    <w:p>
      <w:pPr>
        <w:pStyle w:val="BookText"/>
        <w:rPr/>
      </w:pPr>
      <w:bookmarkEnd w:id="16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في المقام هو الدليل في البحث السابق في كل من المستثنى منه والمستثنى</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12183759_2142443653"/>
      <w:bookmarkStart w:id="165" w:name="_Toc60"/>
      <w:bookmarkEnd w:id="164"/>
      <w:r>
        <w:rPr>
          <w:rtl w:val="true"/>
        </w:rPr>
        <w:t>غلق العتبات المقدسة والمساجد</w:t>
      </w:r>
      <w:bookmarkEnd w:id="16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للدولة أن تغلق</w:t>
      </w:r>
      <w:r>
        <w:rPr>
          <w:rStyle w:val="FootnoteAnchor"/>
          <w:rtl w:val="true"/>
        </w:rPr>
        <w:footnoteReference w:id="290"/>
      </w:r>
      <w:r>
        <w:rPr>
          <w:rFonts w:ascii="Amiri" w:hAnsi="Amiri" w:eastAsia="Amiri" w:cs="Amiri"/>
          <w:color w:val="111111"/>
          <w:sz w:val="28"/>
          <w:sz w:val="28"/>
          <w:szCs w:val="28"/>
          <w:rtl w:val="true"/>
          <w:lang w:bidi="ar-SA"/>
        </w:rPr>
        <w:t xml:space="preserve"> أبواب المشاعر، كالعتبات المقدسة والمساجد والحسينيات وما أشبه، إلا إذا اقتضت الضرورة الشرعية الإسلامية ذلك، والضرورات تقدر بقدرها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وكيفاً، أي زماناً وخصوصية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فإن فوق ذلك ليس بضرورة، والدليل في الصورتين ما سبق</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12183761_2142443653"/>
      <w:bookmarkStart w:id="167" w:name="_Toc61"/>
      <w:bookmarkEnd w:id="166"/>
      <w:r>
        <w:rPr>
          <w:rtl w:val="true"/>
        </w:rPr>
        <w:t>قطع المواصلات</w:t>
      </w:r>
      <w:bookmarkEnd w:id="16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للدولة أن تغلق</w:t>
      </w:r>
      <w:r>
        <w:rPr>
          <w:rStyle w:val="FootnoteAnchor"/>
          <w:rtl w:val="true"/>
        </w:rPr>
        <w:footnoteReference w:id="291"/>
      </w:r>
      <w:r>
        <w:rPr>
          <w:rFonts w:ascii="Amiri" w:hAnsi="Amiri" w:eastAsia="Amiri" w:cs="Amiri"/>
          <w:color w:val="111111"/>
          <w:sz w:val="28"/>
          <w:sz w:val="28"/>
          <w:szCs w:val="28"/>
          <w:rtl w:val="true"/>
          <w:lang w:bidi="ar-SA"/>
        </w:rPr>
        <w:t xml:space="preserve"> المطارات وتمنع المواصلات، إلا إذا اقتضت الضرورة الشرعية ذلك، وحينئذ يقدر المنع بقدر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النهائي أو المستمر، أما الإغلاق ليلاً فلا مانع منه؛ وذلك لأن للمتولي الحقّ في العمل بالوقف وفق ما يراه صلاحاً، أو يكفي عدم المفسدة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بحث حدود ولاية الفقيه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تمنع الغرباء عن البلد من الدخول أو المجهولين أو المشبوهين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ملكاً لها فما المانع؟ إلاّ إذا كان ذلك ضرراً على الناس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بالمباح حرام،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وضعت لمصالح الناس، وهذا خلاف </w:t>
      </w:r>
      <w:bookmarkStart w:id="168" w:name="pg15710_226776"/>
    </w:p>
    <w:p>
      <w:pPr>
        <w:pStyle w:val="BookText"/>
        <w:rPr/>
      </w:pPr>
      <w:bookmarkEnd w:id="16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المطارات والمواصلات سائر المرافق العامة، لوحدة الدليل مستثنى منه ومستثنى في الجميع</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12183763_2142443653"/>
      <w:bookmarkStart w:id="170" w:name="_Toc62"/>
      <w:bookmarkEnd w:id="169"/>
      <w:r>
        <w:rPr>
          <w:rtl w:val="true"/>
        </w:rPr>
        <w:t>التقاص بالثأر</w:t>
      </w:r>
      <w:bookmarkEnd w:id="17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الأخذ بالثأر مما يعتاد في بعض القبائل، بمعنى أنه إذا قتل أحد أفراد هذه القبيلة فرداً</w:t>
      </w:r>
      <w:r>
        <w:rPr>
          <w:rStyle w:val="FootnoteAnchor"/>
          <w:rtl w:val="true"/>
        </w:rPr>
        <w:footnoteReference w:id="295"/>
      </w:r>
      <w:r>
        <w:rPr>
          <w:rFonts w:ascii="Amiri" w:hAnsi="Amiri" w:eastAsia="Amiri" w:cs="Amiri"/>
          <w:color w:val="111111"/>
          <w:sz w:val="28"/>
          <w:sz w:val="28"/>
          <w:szCs w:val="28"/>
          <w:rtl w:val="true"/>
          <w:lang w:bidi="ar-SA"/>
        </w:rPr>
        <w:t xml:space="preserve"> من قبيلة أخرى</w:t>
      </w:r>
      <w:r>
        <w:rPr>
          <w:rStyle w:val="FootnoteAnchor"/>
          <w:rtl w:val="true"/>
        </w:rPr>
        <w:footnoteReference w:id="296"/>
      </w:r>
      <w:r>
        <w:rPr>
          <w:rFonts w:ascii="Amiri" w:hAnsi="Amiri" w:eastAsia="Amiri" w:cs="Amiri"/>
          <w:color w:val="111111"/>
          <w:sz w:val="28"/>
          <w:sz w:val="28"/>
          <w:szCs w:val="28"/>
          <w:rtl w:val="true"/>
          <w:lang w:bidi="ar-SA"/>
        </w:rPr>
        <w:t xml:space="preserve"> تأخذ قبيلة المقتول بالثأر فيقتل أحد أفرادها فرداً من قبيلة القاتل،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 في المسألة للأدلة الأربعة، فإن كل ما لم يكن حكم اللّه فهو حكم الجاهلية وهو يضر الدين والدنيا</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12183765_2142443653"/>
      <w:bookmarkStart w:id="172" w:name="_Toc63"/>
      <w:bookmarkEnd w:id="171"/>
      <w:r>
        <w:rPr>
          <w:rtl w:val="true"/>
        </w:rPr>
        <w:t>العادات الباطلة</w:t>
      </w:r>
      <w:bookmarkEnd w:id="17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المعتادتان عند بعض العشائر غير جائزتين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مصلحتهم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ما سبق</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القاتل، كما هو واضح</w:t>
      </w:r>
      <w:r>
        <w:rPr>
          <w:rFonts w:eastAsia="Amiri" w:cs="Amiri" w:ascii="Amiri" w:hAnsi="Amiri"/>
          <w:color w:val="111111"/>
          <w:sz w:val="28"/>
          <w:szCs w:val="28"/>
          <w:rtl w:val="true"/>
          <w:lang w:bidi="ar-SA"/>
        </w:rPr>
        <w:t>.</w:t>
      </w:r>
    </w:p>
    <w:p>
      <w:pPr>
        <w:pStyle w:val="BookText"/>
        <w:rPr/>
      </w:pP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تقتلن بي إلا قاتلي</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bookmarkStart w:id="173" w:name="pg15710_226777"/>
    </w:p>
    <w:p>
      <w:pPr>
        <w:pStyle w:val="BookText"/>
        <w:rPr/>
      </w:pPr>
      <w:bookmarkEnd w:id="1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شيء ليرضى أهل البنت بتزويجها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بعض أقرباء البنت تزويج البنت ممّن يريد زواجها، فإنّ كل الأحكام العشائرية المختلفة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في بلاد الإسلام وكذا كل القوانين الوضعية المستوردة التي تخالف الإسلام يجب أن تبدل إلى أحكام الإسلام المستنبطة من الأدلة الأربعة مما قررها الفقهاء المراجع في كتبهم</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12183767_2142443653"/>
      <w:bookmarkStart w:id="175" w:name="_Toc64"/>
      <w:bookmarkEnd w:id="174"/>
      <w:r>
        <w:rPr>
          <w:rtl w:val="true"/>
        </w:rPr>
        <w:t>الأعراف والتقاليد</w:t>
      </w:r>
      <w:bookmarkEnd w:id="17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يعتاده بعض العشائر بتقديم ديك أمام العقيقة ونحوها لا أصل له في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والزيادة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في الدين كالنقيصة فيه كلاهما غير جائز</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مع إكراه البنت على ذلك، وإلا فصرف الإعطاء لا منع فيه</w:t>
      </w:r>
      <w:r>
        <w:rPr>
          <w:rFonts w:eastAsia="Amiri" w:cs="Amiri" w:ascii="Amiri" w:hAnsi="Amiri"/>
          <w:color w:val="111111"/>
          <w:sz w:val="28"/>
          <w:szCs w:val="28"/>
          <w:rtl w:val="true"/>
          <w:lang w:bidi="ar-SA"/>
        </w:rPr>
        <w:t>.</w:t>
      </w:r>
    </w:p>
    <w:p>
      <w:pPr>
        <w:pStyle w:val="BookText"/>
        <w:rPr/>
      </w:pP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الإكراهي، وهل يشمل ذلك الإكراه الأجوائي</w:t>
      </w:r>
      <w:r>
        <w:rPr>
          <w:rStyle w:val="FootnoteAnchor"/>
          <w:rtl w:val="true"/>
        </w:rPr>
        <w:footnoteReference w:id="304"/>
      </w:r>
      <w:r>
        <w:rPr>
          <w:rFonts w:ascii="Amiri" w:hAnsi="Amiri" w:eastAsia="Amiri" w:cs="Amiri"/>
          <w:color w:val="111111"/>
          <w:sz w:val="28"/>
          <w:sz w:val="28"/>
          <w:szCs w:val="28"/>
          <w:rtl w:val="true"/>
          <w:lang w:bidi="ar-SA"/>
        </w:rPr>
        <w:t xml:space="preserve">أيضاً؟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والسياسة</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أنها من الدين، وإلا ففي حدّ ذاته لا مانع منه إن لم يكن محرماً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والتشريع في كتب الأصول والواجبات والمحرمات</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176" w:name="pg15710_226778"/>
    </w:p>
    <w:p>
      <w:pPr>
        <w:pStyle w:val="Heading2"/>
        <w:numPr>
          <w:ilvl w:val="1"/>
          <w:numId w:val="1"/>
        </w:numPr>
        <w:rPr/>
      </w:pPr>
      <w:bookmarkStart w:id="177" w:name="__RefHeading___Toc12183769_2142443653"/>
      <w:bookmarkStart w:id="178" w:name="_Toc65"/>
      <w:bookmarkEnd w:id="176"/>
      <w:bookmarkEnd w:id="177"/>
      <w:r>
        <w:rPr>
          <w:rtl w:val="true"/>
        </w:rPr>
        <w:t>الكفارة الباطلة</w:t>
      </w:r>
      <w:bookmarkEnd w:id="17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جز الصوف التي يعتقد بها بعض العشائر لا أصل لها في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كفارة إعطاء</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الفتاة غير المزوجة شيئاً لأجل تنظيف نفسها من الشعر، فأخذ هذه الكفارة تشريع وأكل للمال بالباطل</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12183771_2142443653"/>
      <w:bookmarkStart w:id="180" w:name="_Toc66"/>
      <w:bookmarkEnd w:id="179"/>
      <w:r>
        <w:rPr>
          <w:rtl w:val="true"/>
        </w:rPr>
        <w:t>الحداد المزيف</w:t>
      </w:r>
      <w:bookmarkEnd w:id="18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 الذي يزعمه بعض الناس بأن لا تتكلم المرأة المتوفى زوجها حتى مع ولدها، ولا تخرج من غرفتها حتى إلى صحن الدار، وتتحجب حتى من الإبريق، لا أصل له في الشريعة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فاللازم إلغاؤها وتحكيم الحداد الإسلامي</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المذكور في الفقه مكانها</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12183773_2142443653"/>
      <w:bookmarkStart w:id="182" w:name="_Toc67"/>
      <w:bookmarkEnd w:id="181"/>
      <w:r>
        <w:rPr>
          <w:rtl w:val="true"/>
        </w:rPr>
        <w:t>الغاية لا تبرر الوسيلة</w:t>
      </w:r>
      <w:bookmarkEnd w:id="18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الإسلام،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أنه من الدين أو كرهاً، وإلا فلا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والمستحب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مساوية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تبررها كلها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الأهمية هي الأهمية الشرعية، لا الأهم غير الشرعي، كأن يقتل ألف إنسان ليصل هو إلى الرئاسة الباطلة</w:t>
      </w:r>
      <w:r>
        <w:rPr>
          <w:rFonts w:eastAsia="Amiri" w:cs="Amiri" w:ascii="Amiri" w:hAnsi="Amiri"/>
          <w:color w:val="111111"/>
          <w:sz w:val="28"/>
          <w:szCs w:val="28"/>
          <w:rtl w:val="true"/>
          <w:lang w:bidi="ar-SA"/>
        </w:rPr>
        <w:t xml:space="preserve">. </w:t>
      </w:r>
      <w:bookmarkStart w:id="183" w:name="pg15710_226779"/>
    </w:p>
    <w:p>
      <w:pPr>
        <w:pStyle w:val="BookText"/>
        <w:rPr/>
      </w:pPr>
      <w:bookmarkEnd w:id="183"/>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إسلامية، والفرق بينهما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توازن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والوسيلة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فأيتهما كانت أهم</w:t>
      </w:r>
      <w:r>
        <w:rPr>
          <w:rStyle w:val="FootnoteAnchor"/>
          <w:rtl w:val="true"/>
        </w:rPr>
        <w:footnoteReference w:id="310"/>
      </w:r>
      <w:r>
        <w:rPr>
          <w:rFonts w:ascii="Amiri" w:hAnsi="Amiri" w:eastAsia="Amiri" w:cs="Amiri"/>
          <w:color w:val="111111"/>
          <w:sz w:val="28"/>
          <w:sz w:val="28"/>
          <w:szCs w:val="28"/>
          <w:rtl w:val="true"/>
          <w:lang w:bidi="ar-SA"/>
        </w:rPr>
        <w:t xml:space="preserve"> قدمت على الأُخرى، وهي قاعدة عقلائية يستعملها العقلاء في كافة أمورهم، فإنه كلما دار الأمر بين ضررين قدموا الضرر الأخف على الضرر الأكثر، وذلك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تقدم الغاية مهما كلف الأمر، وهذه أشبه بالانتهازية والمصلحية والنفعية، وهي لا مجال لها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وقاعدة الأهم والمهم قد دل عليه الأدلة الكثيرة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وقد فصلناه في بعض كتبنا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وكذلك يجب أن تقاس كل الأمثال والقواعد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مع الناس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بالموازين الإسلامية، فكل زائد عليها أو ناقص يجب أن يلغى</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12183775_2142443653"/>
      <w:bookmarkStart w:id="185" w:name="_Toc68"/>
      <w:bookmarkEnd w:id="184"/>
      <w:r>
        <w:rPr>
          <w:rtl w:val="true"/>
        </w:rPr>
        <w:t>الإسلام وتطور الحياة</w:t>
      </w:r>
      <w:bookmarkEnd w:id="18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المساوي بحث تقدّم</w:t>
      </w:r>
      <w:r>
        <w:rPr>
          <w:rFonts w:eastAsia="Amiri" w:cs="Amiri" w:ascii="Amiri" w:hAnsi="Amiri"/>
          <w:color w:val="111111"/>
          <w:sz w:val="28"/>
          <w:szCs w:val="28"/>
          <w:rtl w:val="true"/>
          <w:lang w:bidi="ar-SA"/>
        </w:rPr>
        <w:t>.</w:t>
      </w:r>
    </w:p>
    <w:p>
      <w:pPr>
        <w:pStyle w:val="BookText"/>
        <w:rPr/>
      </w:pP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لِّينَةٍ</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تترس الكفار بالمسلمين</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وحكم العقل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الإسلام دين متطور</w:t>
      </w:r>
      <w:r>
        <w:rPr>
          <w:rStyle w:val="FootnoteAnchor"/>
          <w:rtl w:val="true"/>
        </w:rPr>
        <w:footnoteReference w:id="315"/>
      </w:r>
      <w:r>
        <w:rPr>
          <w:rFonts w:ascii="Amiri" w:hAnsi="Amiri" w:eastAsia="Amiri" w:cs="Amiri"/>
          <w:color w:val="111111"/>
          <w:sz w:val="28"/>
          <w:sz w:val="28"/>
          <w:szCs w:val="28"/>
          <w:rtl w:val="true"/>
          <w:lang w:bidi="ar-SA"/>
        </w:rPr>
        <w:t xml:space="preserve"> مع الحياة، وليس معنى التطور، التطور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متعلق العقيدة حقائق أزلية لا تقبل التطور، وليس معنى التطور، التطور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الفضيلة فضيلة مهما تبدلت الظروف، وليس معنى التطور، التطور في الحرام والحلال، فإنهما وضعا حسب النفع والضرر، فالخمر ضارة والبرتقال نافع مهما تبدلت الظروف، إلا في حالات مرضية أو ما أشبه وليس التطور في المعاملات، إذ المعاملات أسست على أساس إنساني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قل بالنسبة إلى العبادة والى الأحوال الشخصية وإلى الأمور الجنائية وإلى الأمور القضائية، وإنما التطور إنما هو بالنسبة إلى التطور في المصاديق للقواعد العامة التي بينها الإسلام، فإذا تبدل مصداق بمصداق</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أو دخل في الوجود مصداق</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سابقاً شملته قاعدة عامة</w:t>
      </w: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 xml:space="preserve">،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في زمن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فالحرية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المبينة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القنبلة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فلما تطور السلاح إليها شملته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يستوعب تطور الحياة،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كإنارة المسجد بالمصابيح الكهربائية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البنوك وحق التأمين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بحث وهو أن الفتاوى قد تتطور، فإنها استنباطات، والاستنباط قابل للتغير بالعثور على أدلة جديدة مثلاً</w:t>
      </w:r>
      <w:r>
        <w:rPr>
          <w:rFonts w:eastAsia="Amiri" w:cs="Amiri" w:ascii="Amiri" w:hAnsi="Amiri"/>
          <w:color w:val="111111"/>
          <w:sz w:val="28"/>
          <w:szCs w:val="28"/>
          <w:rtl w:val="true"/>
          <w:lang w:bidi="ar-SA"/>
        </w:rPr>
        <w:t xml:space="preserve">. </w:t>
      </w:r>
      <w:bookmarkStart w:id="186" w:name="pg15710_226781"/>
    </w:p>
    <w:p>
      <w:pPr>
        <w:pStyle w:val="BookText"/>
        <w:rPr/>
      </w:pPr>
      <w:bookmarkEnd w:id="1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كلما تبدل الموضوع لحقه حكم الموضوع الجديد لا الموضوع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بالنسبة إذا تجدد موضوع كالبطاطا حلال، وعقد التأمين صحيح وهكذا، فما من شيء إلا وقد بين حكمه الإسلام ولو بصورة عامة</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12183777_2142443653"/>
      <w:bookmarkStart w:id="188" w:name="_Toc69"/>
      <w:bookmarkEnd w:id="187"/>
      <w:r>
        <w:rPr>
          <w:rtl w:val="true"/>
        </w:rPr>
        <w:t>مشكلة التضخم النسائي</w:t>
      </w:r>
      <w:bookmarkEnd w:id="18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تقع حروب تبيد الرجال فلا يبقى إلا رجال قلة ونساء كثيرات لا يشملهن الزواج الدائم، فعالج</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ذلك بتشريع الزواج المنقطع</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xml:space="preserve">، فلكل رجل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رغبته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يشبع الغريزة الجنسية لنساء كثيرات في إطار نظيف مذكور في فقه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وبحث الزواج المنقطع مفصل ومذكور في كتاب النكاح، هذا بالإضافة إلى جواز أن يتخذ كل رجل أربع زوجات دائمات، أما قانون خليلات</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الغرب أو الأخلاء فذلك في منتهى الفساد والإفساد، لا شرعاً فقط، بل عقلاً أيضاً</w:t>
      </w:r>
      <w:r>
        <w:rPr>
          <w:rFonts w:eastAsia="Amiri" w:cs="Amiri" w:ascii="Amiri" w:hAnsi="Amiri"/>
          <w:color w:val="111111"/>
          <w:sz w:val="28"/>
          <w:szCs w:val="28"/>
          <w:rtl w:val="true"/>
          <w:lang w:bidi="ar-SA"/>
        </w:rPr>
        <w:t>.</w:t>
      </w:r>
    </w:p>
    <w:p>
      <w:pPr>
        <w:pStyle w:val="Heading2"/>
        <w:numPr>
          <w:ilvl w:val="1"/>
          <w:numId w:val="1"/>
        </w:numPr>
        <w:rPr/>
      </w:pPr>
      <w:bookmarkStart w:id="189" w:name="__RefHeading___Toc12183779_2142443653"/>
      <w:bookmarkStart w:id="190" w:name="_Toc70"/>
      <w:bookmarkEnd w:id="189"/>
      <w:r>
        <w:rPr>
          <w:rtl w:val="true"/>
        </w:rPr>
        <w:t>مشكلة التضخم الرجالي</w:t>
      </w:r>
      <w:bookmarkEnd w:id="19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تجرف الكوارث بكثير من النساء فلا يبقى إلا نساء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الأحكام تابعة للعناوين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والمحذورات المترتبة على ذلك أخف من المحذورات المترتبة على عدم الزواج مطلقاً، كما في أصل الزواج الدائم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مسألة الإماء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مجرد صداقة بلا التزام بخلاف العقد، مضافاً إلى أنها لا تراعى فيها الشروط الشرعية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bookmarkStart w:id="191" w:name="pg15710_226782"/>
    </w:p>
    <w:p>
      <w:pPr>
        <w:pStyle w:val="BookText"/>
        <w:rPr/>
      </w:pPr>
      <w:bookmarkEnd w:id="191"/>
      <w:r>
        <w:rPr>
          <w:rFonts w:ascii="Amiri" w:hAnsi="Amiri" w:eastAsia="Amiri" w:cs="Amiri"/>
          <w:color w:val="111111"/>
          <w:sz w:val="28"/>
          <w:sz w:val="28"/>
          <w:szCs w:val="28"/>
          <w:rtl w:val="true"/>
          <w:lang w:bidi="ar-SA"/>
        </w:rPr>
        <w:t xml:space="preserve">قليلات فعالج الإسلام ذلك بجواز التمتع، فللمرأة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أن تفي بحاجة الرجل ثم لما تنتهي مدتها المقررة شرعاً وعدتها جاز لها أن تنكح زوجاً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التمتع بدون الدخول لم يكن للمرأة عدة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كما أنه كذلك إذا كانت يائسة ولو مع الدخول</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12183781_2142443653"/>
      <w:bookmarkStart w:id="193" w:name="_Toc71"/>
      <w:bookmarkEnd w:id="192"/>
      <w:r>
        <w:rPr>
          <w:rtl w:val="true"/>
        </w:rPr>
        <w:t>قانون الأسر والرقية</w:t>
      </w:r>
      <w:bookmarkEnd w:id="19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أسرى الحرب يعالجها قانون العالم بأحد أمور ثلاثة</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وهذا منافٍ لرحمة الإسلام بالإنسان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 وهذا منافٍ لاهتمام الإسلام بالإنسان، حيث أعطاه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السراح وهذا منافٍ لحكمة الإسلام، حيث يريد الإسلام أن لا يتجمع الموتورون ويعيدوها حرباً ثانية ويعيثوا في الأرض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فقرر الإسلام حلا آخر، ليس وراءه حل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والاسترقاق حرية</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محدودة</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سلطة سيد، وقد ندب الإسلام إلى العتق وأوجبه في</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الإسلام ليس ضد اللذة، وهذا نوع 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الرحمة، والثالث ضد الحكمة، والثاني ضد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الضرورة أو المصلحة أجاز الإسلام ذلك كما سيأتي، لكن وضع لها بدائل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 من غسيل الدماغ وتطهير المجرمين بتذويبهم ضمن تجمعات صغيرة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انفصال المجرمين بعضهم عن بعض، لا كالسجن، حيث توجد </w:t>
      </w:r>
    </w:p>
    <w:p>
      <w:pPr>
        <w:pStyle w:val="BookText"/>
        <w:rPr/>
      </w:pPr>
      <w:r>
        <w:rPr>
          <w:rFonts w:ascii="IRNazanin" w:hAnsi="IRNazanin" w:eastAsia="IRNazanin"/>
          <w:color w:val="111111"/>
          <w:sz w:val="28"/>
          <w:sz w:val="28"/>
          <w:szCs w:val="28"/>
          <w:rtl w:val="true"/>
          <w:lang w:bidi="fa-IR"/>
        </w:rPr>
        <w:t>بعض الموارد قال تعالى</w:t>
      </w:r>
      <w:r>
        <w:rPr>
          <w:rStyle w:val="FootnoteAnchor"/>
          <w:rtl w:val="true"/>
        </w:rPr>
        <w:footnoteReference w:id="3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تشريع الإسلام غير الرق الذي كان سائداً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والغي في الغرب، ولعله لوحظ في قانون الرق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الحديثة، فإن الأسياد يغسلون دماغ العبيد من المنكر والقبيح، فالرق مدرسة تنظيف المجتمع في إطار إنساني، والإسلام يضع ذلك حسب رأي الحاكم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مَنّاً بَعْدُ وَإِمَّا فِدَاء</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وإما سجناً، وإما قتلاً، وإما رقاً حسب المصلحة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للحاكم الشرعي تبعيد الأسير، وقد ذكرنا تفصيل الرق في كتاب العتق من الفقه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 أما من سموا أنفسهم بالخلفاء أو الأمراء كالأمويين والعباسيين والعثمانيين ومن أشبه فكان رقهم كبقية أعمالهم كلها على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الموازين الإسلامية، فلا يمكن أن يؤخذ الإسلام بتلك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محذورات ترابط</w:t>
      </w:r>
      <w:r>
        <w:rPr>
          <w:rStyle w:val="FootnoteAnchor"/>
          <w:rtl w:val="true"/>
        </w:rPr>
        <w:footnoteReference w:id="321"/>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w:t>
      </w:r>
    </w:p>
    <w:p>
      <w:pPr>
        <w:pStyle w:val="BookText"/>
        <w:rPr/>
      </w:pP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كالكفارات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يستولون على الأحرار بالسرقة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حكمهم كان غير شرعي، ونياتهم في الحروب كانت غير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محورها الذات لا اللّه سبحانه</w:t>
      </w:r>
      <w:r>
        <w:rPr>
          <w:rFonts w:eastAsia="Amiri" w:cs="Amiri" w:ascii="Amiri" w:hAnsi="Amiri"/>
          <w:color w:val="111111"/>
          <w:sz w:val="28"/>
          <w:szCs w:val="28"/>
          <w:rtl w:val="true"/>
          <w:lang w:bidi="ar-SA"/>
        </w:rPr>
        <w:t xml:space="preserve">. </w:t>
      </w:r>
      <w:bookmarkStart w:id="194" w:name="pg15710_226784"/>
    </w:p>
    <w:p>
      <w:pPr>
        <w:pStyle w:val="Heading2"/>
        <w:numPr>
          <w:ilvl w:val="1"/>
          <w:numId w:val="1"/>
        </w:numPr>
        <w:rPr/>
      </w:pPr>
      <w:bookmarkStart w:id="195" w:name="__RefHeading___Toc12183783_2142443653"/>
      <w:bookmarkStart w:id="196" w:name="_Toc72"/>
      <w:bookmarkEnd w:id="194"/>
      <w:bookmarkEnd w:id="195"/>
      <w:r>
        <w:rPr>
          <w:rtl w:val="true"/>
        </w:rPr>
        <w:t>الزوج المفقود</w:t>
      </w:r>
      <w:bookmarkEnd w:id="19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فقد زوجها في كارثة أو حرب أو ما أشبه، راجعت الحاكم الإسلامي للفحص عن زوجها فإن لم يظفر به طلقها بشرائط مذكورة في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حال المرأة التي سجن زوجها مدة طويلة أو ما أشبه ذلك، 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المرأة إذا كانت في عسر وحرج</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جاز للحاكم الشرعي طلاقها، وبعد العدة تختار لنفسها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 w:name="__RefHeading___Toc12183785_2142443653"/>
      <w:bookmarkStart w:id="198" w:name="_Toc73"/>
      <w:bookmarkEnd w:id="197"/>
      <w:r>
        <w:rPr>
          <w:rtl w:val="true"/>
        </w:rPr>
        <w:t>الجمال والتجميل</w:t>
      </w:r>
      <w:bookmarkEnd w:id="19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تجميل الدار ومشتملاته، والشارع وأرصفته، وهكذا المدرسة والثكنة والمعمل وكل البلد بصورة عامة وسائر الشؤون الحيوية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جميل</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ضرر</w:t>
      </w:r>
      <w:r>
        <w:rPr>
          <w:rFonts w:eastAsia="IRNazanin" w:cs="IRNazanin"/>
          <w:color w:val="111111"/>
          <w:sz w:val="28"/>
          <w:szCs w:val="28"/>
          <w:rtl w:val="true"/>
          <w:lang w:bidi="fa-IR"/>
        </w:rPr>
        <w:t>.</w:t>
      </w:r>
    </w:p>
    <w:p>
      <w:pPr>
        <w:pStyle w:val="BookText"/>
        <w:rPr/>
      </w:pP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المشهور لم يقولوا بذلك، بل جعلوا الطلاق في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في أعماله، وتحميل تعميم</w:t>
      </w:r>
      <w:r>
        <w:rPr>
          <w:rStyle w:val="FootnoteAnchor"/>
          <w:rtl w:val="true"/>
        </w:rPr>
        <w:footnoteReference w:id="327"/>
      </w:r>
      <w:r>
        <w:rPr>
          <w:rFonts w:ascii="Amiri" w:hAnsi="Amiri" w:eastAsia="Amiri" w:cs="Amiri"/>
          <w:color w:val="111111"/>
          <w:sz w:val="28"/>
          <w:sz w:val="28"/>
          <w:szCs w:val="28"/>
          <w:rtl w:val="true"/>
          <w:lang w:bidi="ar-SA"/>
        </w:rPr>
        <w:t>الجمال للكمال فيكون في ذاته</w:t>
      </w:r>
      <w:r>
        <w:rPr>
          <w:rFonts w:eastAsia="Amiri" w:cs="Amiri" w:ascii="Amiri" w:hAnsi="Amiri"/>
          <w:color w:val="111111"/>
          <w:sz w:val="28"/>
          <w:szCs w:val="28"/>
          <w:rtl w:val="true"/>
          <w:lang w:bidi="ar-SA"/>
        </w:rPr>
        <w:t xml:space="preserve">. </w:t>
      </w:r>
      <w:bookmarkStart w:id="199" w:name="pg15710_226785"/>
    </w:p>
    <w:p>
      <w:pPr>
        <w:pStyle w:val="BookText"/>
        <w:rPr/>
      </w:pPr>
      <w:bookmarkEnd w:id="199"/>
      <w:r>
        <w:rPr>
          <w:rFonts w:ascii="Amiri" w:hAnsi="Amiri" w:eastAsia="Amiri" w:cs="Amiri"/>
          <w:color w:val="111111"/>
          <w:sz w:val="28"/>
          <w:sz w:val="28"/>
          <w:szCs w:val="28"/>
          <w:rtl w:val="true"/>
          <w:lang w:bidi="ar-SA"/>
        </w:rPr>
        <w:t>يحب الجمال</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يلزم أن لايصل الجمال إلى حد الترف وإلا فهو بين مكروه ومحرم</w:t>
      </w:r>
      <w:r>
        <w:rPr>
          <w:rFonts w:eastAsia="Amiri" w:cs="Amiri" w:ascii="Amiri" w:hAnsi="Amiri"/>
          <w:color w:val="111111"/>
          <w:sz w:val="28"/>
          <w:szCs w:val="28"/>
          <w:rtl w:val="true"/>
          <w:lang w:bidi="ar-SA"/>
        </w:rPr>
        <w:t>.</w:t>
      </w:r>
    </w:p>
    <w:p>
      <w:pPr>
        <w:pStyle w:val="Heading2"/>
        <w:numPr>
          <w:ilvl w:val="1"/>
          <w:numId w:val="1"/>
        </w:numPr>
        <w:rPr/>
      </w:pPr>
      <w:bookmarkStart w:id="200" w:name="__RefHeading___Toc12183787_2142443653"/>
      <w:bookmarkStart w:id="201" w:name="_Toc74"/>
      <w:bookmarkEnd w:id="200"/>
      <w:r>
        <w:rPr>
          <w:rtl w:val="true"/>
        </w:rPr>
        <w:t>النظافة في كل شيء</w:t>
      </w:r>
      <w:bookmarkEnd w:id="20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النظافة في كل شيء، وبعض أقسام النظافة واجبة، كالنظافة</w:t>
      </w:r>
      <w:r>
        <w:rPr>
          <w:rStyle w:val="FootnoteAnchor"/>
          <w:rtl w:val="true"/>
        </w:rPr>
        <w:footnoteReference w:id="330"/>
      </w:r>
      <w:r>
        <w:rPr>
          <w:rFonts w:ascii="Amiri" w:hAnsi="Amiri" w:eastAsia="Amiri" w:cs="Amiri"/>
          <w:color w:val="111111"/>
          <w:sz w:val="28"/>
          <w:sz w:val="28"/>
          <w:szCs w:val="28"/>
          <w:rtl w:val="true"/>
          <w:lang w:bidi="ar-SA"/>
        </w:rPr>
        <w:t xml:space="preserve"> التي تحصل بواسطة الوضوء أو الغسل أو التطهير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النظافة</w:t>
      </w:r>
      <w:r>
        <w:rPr>
          <w:rStyle w:val="FootnoteAnchor"/>
          <w:rtl w:val="true"/>
        </w:rPr>
        <w:footnoteReference w:id="331"/>
      </w:r>
      <w:r>
        <w:rPr>
          <w:rFonts w:ascii="Amiri" w:hAnsi="Amiri" w:eastAsia="Amiri" w:cs="Amiri"/>
          <w:color w:val="111111"/>
          <w:sz w:val="28"/>
          <w:sz w:val="28"/>
          <w:szCs w:val="28"/>
          <w:rtl w:val="true"/>
          <w:lang w:bidi="ar-SA"/>
        </w:rPr>
        <w:t xml:space="preserve"> من الإيمان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والنظافة بالمعنى الأعم تأتي في الأعمال والأخلاق وسائر شؤون الإنسان أيضاً</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12183789_2142443653"/>
      <w:bookmarkStart w:id="203" w:name="_Toc75"/>
      <w:bookmarkEnd w:id="202"/>
      <w:r>
        <w:rPr>
          <w:rtl w:val="true"/>
        </w:rPr>
        <w:t>حدود العمل والثقافة للمرأة</w:t>
      </w:r>
      <w:bookmarkEnd w:id="20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سند الحديث</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بعد قاعدة التسامح، على التفصيل الذي مرّ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تحصل غالباً منها، وإن أمكن التخلف نادراً، كما لو توضأ بماءٍ قذر</w:t>
      </w:r>
      <w:r>
        <w:rPr>
          <w:rFonts w:eastAsia="Amiri" w:cs="Amiri" w:ascii="Amiri" w:hAnsi="Amiri"/>
          <w:color w:val="111111"/>
          <w:sz w:val="28"/>
          <w:szCs w:val="28"/>
          <w:rtl w:val="true"/>
          <w:lang w:bidi="ar-SA"/>
        </w:rPr>
        <w:t>.</w:t>
      </w:r>
    </w:p>
    <w:p>
      <w:pPr>
        <w:pStyle w:val="BookText"/>
        <w:rPr/>
      </w:pP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سند الحديث</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البحث فيه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يمنع</w:t>
      </w:r>
      <w:r>
        <w:rPr>
          <w:rStyle w:val="FootnoteAnchor"/>
          <w:rtl w:val="true"/>
        </w:rPr>
        <w:footnoteReference w:id="340"/>
      </w:r>
      <w:r>
        <w:rPr>
          <w:rFonts w:ascii="Amiri" w:hAnsi="Amiri" w:eastAsia="Amiri" w:cs="Amiri"/>
          <w:color w:val="111111"/>
          <w:sz w:val="28"/>
          <w:sz w:val="28"/>
          <w:szCs w:val="28"/>
          <w:rtl w:val="true"/>
          <w:lang w:bidi="ar-SA"/>
        </w:rPr>
        <w:t xml:space="preserve"> الإسلام عن ثقافة المرأة وعملها، وإنما يمنع الإسلام عن الرذيلة والتهتك والاستهتار والظلم بالنسبة إليها، فإذا تعلمت بدون اختلاط</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وإذا عملت بدون تبرج، وإذا أدارت شؤون الحياة بدون استهتار، كل ذلك في الإطار الإسلامي المبين في الفقه فبها ونعمت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الممنوع في المرأة أشياء خاصة لمصلحتها ومصلحة الاجتماع، وإلا فالأصل</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في كل شيء الاشتراك بين الرجل والمرأة، إلا ما خرج بالدليل، لكن كثيراً من الناس أهملوا المرأة إلى حد النبذ</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عن الاجتماع، وكثيرٌ من الغربيين والشرقيين أوردوا المرأة في موارد التجارة والفساد، وبذلك ضاعت المرأة بين الاثنين، فاللازم إرجاعها إلى المحل الذي جعله اللّه لها مما بُيّن في الكتاب والسنة</w:t>
      </w:r>
      <w:r>
        <w:rPr>
          <w:rFonts w:eastAsia="Amiri" w:cs="Amiri" w:ascii="Amiri" w:hAnsi="Amiri"/>
          <w:color w:val="111111"/>
          <w:sz w:val="28"/>
          <w:szCs w:val="28"/>
          <w:rtl w:val="true"/>
          <w:lang w:bidi="ar-SA"/>
        </w:rPr>
        <w:t>.</w:t>
      </w:r>
    </w:p>
    <w:p>
      <w:pPr>
        <w:pStyle w:val="BookText"/>
        <w:rPr/>
      </w:pP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يجب تحصيل العلم، كما في بعض الاعتقاديات والأحكام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منه، وإنما أطلق لأن الاختلاط عادة يلازم الفساد، أو يكون مقدمة له، وأما مطلق الاختلاط فهو حاصل في صلاة الجماعة والحج والزيارات والأسواق ونحوها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الإلزامية، وأما غيرها فالظاهر أن الشارع جعل المرأة لإدارة البيت، والرجل لإدارة خارج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342"/>
      </w:r>
      <w:r>
        <w:rPr>
          <w:rFonts w:ascii="IRNazanin" w:hAnsi="IRNazanin" w:eastAsia="IRNazanin"/>
          <w:color w:val="111111"/>
          <w:sz w:val="28"/>
          <w:sz w:val="28"/>
          <w:szCs w:val="28"/>
          <w:rtl w:val="true"/>
          <w:lang w:bidi="fa-IR"/>
        </w:rPr>
        <w:t>وتأمل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وجودها واجب من باب الأمر والنهي والإرشاد والتعلم و</w:t>
      </w:r>
      <w:r>
        <w:rPr>
          <w:rFonts w:eastAsia="Amiri" w:cs="Amiri" w:ascii="Amiri" w:hAnsi="Amiri"/>
          <w:color w:val="111111"/>
          <w:sz w:val="28"/>
          <w:szCs w:val="28"/>
          <w:rtl w:val="true"/>
          <w:lang w:bidi="ar-SA"/>
        </w:rPr>
        <w:t xml:space="preserve">... </w:t>
      </w:r>
      <w:bookmarkStart w:id="204" w:name="pg15710_226787"/>
    </w:p>
    <w:p>
      <w:pPr>
        <w:pStyle w:val="Heading2"/>
        <w:numPr>
          <w:ilvl w:val="1"/>
          <w:numId w:val="1"/>
        </w:numPr>
        <w:rPr/>
      </w:pPr>
      <w:bookmarkStart w:id="205" w:name="__RefHeading___Toc12183791_2142443653"/>
      <w:bookmarkStart w:id="206" w:name="_Toc76"/>
      <w:bookmarkEnd w:id="204"/>
      <w:bookmarkEnd w:id="205"/>
      <w:r>
        <w:rPr>
          <w:rtl w:val="true"/>
        </w:rPr>
        <w:t>التفاوت المصرفي للنقود</w:t>
      </w:r>
      <w:bookmarkEnd w:id="20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بفرق الحوالة المستند إلى تفاوت قيمة العملة، مثلاً يكون الدينار في العراق ألف فلس، وفي لبنان تسعمائة فلس، فإذا أعطى تسعمائة فلس في لبنان وقبض ديناراً</w:t>
      </w:r>
      <w:r>
        <w:rPr>
          <w:rStyle w:val="FootnoteAnchor"/>
          <w:rtl w:val="true"/>
        </w:rPr>
        <w:footnoteReference w:id="343"/>
      </w:r>
      <w:r>
        <w:rPr>
          <w:rFonts w:ascii="Amiri" w:hAnsi="Amiri" w:eastAsia="Amiri" w:cs="Amiri"/>
          <w:color w:val="111111"/>
          <w:sz w:val="28"/>
          <w:sz w:val="28"/>
          <w:szCs w:val="28"/>
          <w:rtl w:val="true"/>
          <w:lang w:bidi="ar-SA"/>
        </w:rPr>
        <w:t xml:space="preserve"> ثم أعطى الدينار وقبض ألف فلس في العراق لم يكن ذلك 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الربا هو أخذ ما لا يستحق، وقد سماه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فساد الأموال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مثل ذلك، بل ذكرنا في بعض كتبنا الاقتصادية أن أخذ التفاوت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في بابي التضخم والتورم ليس من الربا أيضاً؛ لأنه ليس</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وجهه، بل الظاهر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ديناراً قيمته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 في لبنان، وقبض ألف فلس في العراق،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يكون المراد أنه أعطى لشخص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ديناراً، وأعطى الدينار للصرّاف، ثم قبض منه في العراق ألف فلس، فالإعطاء للدينار والقبض منه لشخص واحد، أما الإعطاء الأوّل فهو لشخص آخر، وإنما يفعل ذلك للاسترباح؛ إذ ربح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المتن فهما معاملتان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طرق الاحتيال على الربا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أقرضه ألفاً قيمتها الشرائية سيارة، ثم قبض ألفين قيمتهما الشرائية سيارة أيضاً</w:t>
      </w:r>
      <w:r>
        <w:rPr>
          <w:rFonts w:eastAsia="Amiri" w:cs="Amiri" w:ascii="Amiri" w:hAnsi="Amiri"/>
          <w:color w:val="111111"/>
          <w:sz w:val="28"/>
          <w:szCs w:val="28"/>
          <w:rtl w:val="true"/>
          <w:lang w:bidi="ar-SA"/>
        </w:rPr>
        <w:t xml:space="preserve">. </w:t>
      </w:r>
      <w:bookmarkStart w:id="207" w:name="pg15710_226788"/>
    </w:p>
    <w:p>
      <w:pPr>
        <w:pStyle w:val="BookText"/>
        <w:rPr/>
      </w:pPr>
      <w:bookmarkEnd w:id="207"/>
      <w:r>
        <w:rPr>
          <w:rFonts w:ascii="Amiri" w:hAnsi="Amiri" w:eastAsia="Amiri" w:cs="Amiri"/>
          <w:color w:val="111111"/>
          <w:sz w:val="28"/>
          <w:sz w:val="28"/>
          <w:szCs w:val="28"/>
          <w:rtl w:val="true"/>
          <w:lang w:bidi="ar-SA"/>
        </w:rPr>
        <w:t>من الزيادة، إذ المال ليس أكثر من واسطة وإنما العبرة بالقوة الشرائية</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 w:name="__RefHeading___Toc12183793_2142443653"/>
      <w:bookmarkStart w:id="209" w:name="_Toc77"/>
      <w:bookmarkEnd w:id="208"/>
      <w:r>
        <w:rPr>
          <w:rtl w:val="true"/>
        </w:rPr>
        <w:t>أجور الحوالات</w:t>
      </w:r>
      <w:bookmarkEnd w:id="20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يأخذ المحيل شيئاً بعنوان الأجرة، فإذا أعطاه في تركيا ألف ليرة ليسلمها إليه في إيران جاز أن يأخذ المحيل ليرة واحدة أو أقل أو أكثر لأجل إيصال المال من تركيا إلى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من حق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الزحمة والأجرة وليس من الربا في شيء، فإن كانت هناك أجرة معينة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كانت له أجرة المثل</w:t>
      </w:r>
      <w:r>
        <w:rPr>
          <w:rFonts w:eastAsia="Amiri" w:cs="Amiri" w:ascii="Amiri" w:hAnsi="Amiri"/>
          <w:color w:val="111111"/>
          <w:sz w:val="28"/>
          <w:szCs w:val="28"/>
          <w:rtl w:val="true"/>
          <w:lang w:bidi="ar-SA"/>
        </w:rPr>
        <w:t>.</w:t>
      </w:r>
    </w:p>
    <w:p>
      <w:pPr>
        <w:pStyle w:val="Heading2"/>
        <w:numPr>
          <w:ilvl w:val="1"/>
          <w:numId w:val="1"/>
        </w:numPr>
        <w:rPr/>
      </w:pPr>
      <w:bookmarkStart w:id="210" w:name="__RefHeading___Toc12183795_2142443653"/>
      <w:bookmarkStart w:id="211" w:name="_Toc78"/>
      <w:bookmarkEnd w:id="210"/>
      <w:r>
        <w:rPr>
          <w:rtl w:val="true"/>
        </w:rPr>
        <w:t>اللغة العربية</w:t>
      </w:r>
      <w:bookmarkEnd w:id="21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Style w:val="FootnoteAnchor"/>
          <w:rtl w:val="true"/>
        </w:rPr>
        <w:footnoteReference w:id="345"/>
      </w:r>
      <w:r>
        <w:rPr>
          <w:rFonts w:ascii="Amiri" w:hAnsi="Amiri" w:eastAsia="Amiri" w:cs="Amiri"/>
          <w:color w:val="111111"/>
          <w:sz w:val="28"/>
          <w:sz w:val="28"/>
          <w:szCs w:val="28"/>
          <w:rtl w:val="true"/>
          <w:lang w:bidi="ar-SA"/>
        </w:rPr>
        <w:t xml:space="preserve"> التحفظ على اللغة العربية لأجل بقاء القرآن والشريعة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 وأمّا في الفتوى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يحتاط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عمل محترم، ولا بأس أن يقابل بالمال، ولو كان عمله مثل التلفون أو كتابة الورقة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الوجوب هو باعتبار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استنباط الأحكام استنباطاً اجتهادياً متوقف على التحفظ على اللغة العربية، والاعتماد على الترجمة كأنها نوع تقليد، فإن للألفاظ ظلالاً</w:t>
      </w:r>
      <w:r>
        <w:rPr>
          <w:rStyle w:val="FootnoteAnchor"/>
          <w:rtl w:val="true"/>
        </w:rPr>
        <w:footnoteReference w:id="348"/>
      </w:r>
      <w:r>
        <w:rPr>
          <w:rFonts w:ascii="Amiri" w:hAnsi="Amiri" w:eastAsia="Amiri" w:cs="Amiri"/>
          <w:color w:val="111111"/>
          <w:sz w:val="28"/>
          <w:sz w:val="28"/>
          <w:szCs w:val="28"/>
          <w:rtl w:val="true"/>
          <w:lang w:bidi="ar-SA"/>
        </w:rPr>
        <w:t>خاصة، وبتغير اللفظ يتغير المعنى</w:t>
      </w:r>
      <w:r>
        <w:rPr>
          <w:rFonts w:eastAsia="Amiri" w:cs="Amiri" w:ascii="Amiri" w:hAnsi="Amiri"/>
          <w:color w:val="111111"/>
          <w:sz w:val="28"/>
          <w:szCs w:val="28"/>
          <w:rtl w:val="true"/>
          <w:lang w:bidi="ar-SA"/>
        </w:rPr>
        <w:t xml:space="preserve">. </w:t>
      </w:r>
      <w:bookmarkStart w:id="212" w:name="pg15710_226789"/>
    </w:p>
    <w:p>
      <w:pPr>
        <w:pStyle w:val="BookText"/>
        <w:rPr/>
      </w:pPr>
      <w:bookmarkEnd w:id="21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يلزم جعلها اللسان العالمي لنشر ثقافة القرآن وتعاليم الشريعة المنقذة في كل العالم، والدليل على ذلك واضح، وعلى هذا فكل تشجيع لسائر اللغات على حساب اللغة العربية محرم، أما العكس فبين واجب ومستحب</w:t>
      </w:r>
      <w:r>
        <w:rPr>
          <w:rFonts w:eastAsia="Amiri" w:cs="Amiri" w:ascii="Amiri" w:hAnsi="Amiri"/>
          <w:color w:val="111111"/>
          <w:sz w:val="28"/>
          <w:szCs w:val="28"/>
          <w:rtl w:val="true"/>
          <w:lang w:bidi="ar-SA"/>
        </w:rPr>
        <w:t>.</w:t>
      </w:r>
    </w:p>
    <w:p>
      <w:pPr>
        <w:pStyle w:val="Heading2"/>
        <w:numPr>
          <w:ilvl w:val="1"/>
          <w:numId w:val="1"/>
        </w:numPr>
        <w:rPr/>
      </w:pPr>
      <w:bookmarkStart w:id="213" w:name="__RefHeading___Toc12183797_2142443653"/>
      <w:bookmarkStart w:id="214" w:name="_Toc79"/>
      <w:bookmarkEnd w:id="213"/>
      <w:r>
        <w:rPr>
          <w:rtl w:val="true"/>
        </w:rPr>
        <w:t>ترجمة الأحكام الإسلامية</w:t>
      </w:r>
      <w:bookmarkEnd w:id="21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Style w:val="FootnoteAnchor"/>
          <w:rtl w:val="true"/>
        </w:rPr>
        <w:footnoteReference w:id="349"/>
      </w:r>
      <w:r>
        <w:rPr>
          <w:rFonts w:ascii="Amiri" w:hAnsi="Amiri" w:eastAsia="Amiri" w:cs="Amiri"/>
          <w:color w:val="111111"/>
          <w:sz w:val="28"/>
          <w:sz w:val="28"/>
          <w:szCs w:val="28"/>
          <w:rtl w:val="true"/>
          <w:lang w:bidi="ar-SA"/>
        </w:rPr>
        <w:t xml:space="preserve"> ترجمة الأحكام الإسلامية من اللغة العربية إلى سائر اللغات ليتمكن أصحاب تلك اللغات من العمل بالإسلام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من تبليغ الإسلام الواجب بالأدلة الأربعة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نقل الأحاديث بالمعنى، ولا فرق بين المقامين،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التأثر والهداية يتوقفان على التحفظ المزبور، فللقرآن الكريم بألفاظه من التأثير العميق في النفوس ما 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لترجمته، فيكون مقدمة وجودية 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المشاهدات الخارجية تؤيد ذلك، وإن أمكنت فيه المناقشة الدقية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من المرتكزات في أذهان المتشرعة، ومن الأمور المتلقاة والمفهومة من قوانين الشرع، فالصلاة باللغة العربية، والأذان والتلبيات، بل حتى صيغة النكاح يجب أن تكون بالعربية،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استخدام وسائل النشر المختلفة، كالكتاب والراديو والفضائيات ونحوها لذلك أيضاً، لنفس الملاك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العقل، لما ذكر في قاعدة اللطف، فراجع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بالمعروف</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الشعر الفارسي</w:t>
      </w:r>
      <w:r>
        <w:rPr>
          <w:rFonts w:eastAsia="Amiri" w:cs="Amiri" w:ascii="Amiri" w:hAnsi="Amiri"/>
          <w:color w:val="111111"/>
          <w:sz w:val="28"/>
          <w:szCs w:val="28"/>
          <w:rtl w:val="true"/>
          <w:lang w:bidi="ar-SA"/>
        </w:rPr>
        <w:t xml:space="preserve">: </w:t>
      </w:r>
      <w:bookmarkStart w:id="215" w:name="pg15710_226790"/>
    </w:p>
    <w:p>
      <w:pPr>
        <w:pStyle w:val="Heading2"/>
        <w:numPr>
          <w:ilvl w:val="1"/>
          <w:numId w:val="1"/>
        </w:numPr>
        <w:rPr/>
      </w:pPr>
      <w:bookmarkStart w:id="216" w:name="__RefHeading___Toc12183799_2142443653"/>
      <w:bookmarkStart w:id="217" w:name="_Toc80"/>
      <w:bookmarkEnd w:id="215"/>
      <w:bookmarkEnd w:id="216"/>
      <w:r>
        <w:rPr>
          <w:rtl w:val="true"/>
        </w:rPr>
        <w:t>إثبات حقانية الإسلام</w:t>
      </w:r>
      <w:bookmarkEnd w:id="21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نقل الأدلة الدالة على أن الإسلام هو الدين الحق إلى لغات الكفار</w:t>
      </w:r>
      <w:r>
        <w:rPr>
          <w:rStyle w:val="FootnoteAnchor"/>
          <w:rtl w:val="true"/>
        </w:rPr>
        <w:footnoteReference w:id="352"/>
      </w:r>
      <w:r>
        <w:rPr>
          <w:rFonts w:ascii="Amiri" w:hAnsi="Amiri" w:eastAsia="Amiri" w:cs="Amiri"/>
          <w:color w:val="111111"/>
          <w:sz w:val="28"/>
          <w:sz w:val="28"/>
          <w:szCs w:val="28"/>
          <w:rtl w:val="true"/>
          <w:lang w:bidi="ar-SA"/>
        </w:rPr>
        <w:t xml:space="preserve"> ليتسنى لهم النظر فيها والانضواء تحت لواء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لما تقدم في المسألة السابقة</w:t>
      </w:r>
      <w:r>
        <w:rPr>
          <w:rFonts w:eastAsia="Amiri" w:cs="Amiri" w:ascii="Amiri" w:hAnsi="Amiri"/>
          <w:color w:val="111111"/>
          <w:sz w:val="28"/>
          <w:szCs w:val="28"/>
          <w:rtl w:val="true"/>
          <w:lang w:bidi="ar-SA"/>
        </w:rPr>
        <w:t>.</w:t>
      </w:r>
    </w:p>
    <w:p>
      <w:pPr>
        <w:pStyle w:val="Heading2"/>
        <w:numPr>
          <w:ilvl w:val="1"/>
          <w:numId w:val="1"/>
        </w:numPr>
        <w:rPr/>
      </w:pPr>
      <w:bookmarkStart w:id="218" w:name="__RefHeading___Toc12183801_2142443653"/>
      <w:bookmarkStart w:id="219" w:name="_Toc81"/>
      <w:bookmarkEnd w:id="218"/>
      <w:r>
        <w:rPr>
          <w:rtl w:val="true"/>
        </w:rPr>
        <w:t>التكليف بقدر المستطاع</w:t>
      </w:r>
      <w:bookmarkEnd w:id="21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حسب اختلاف الظروف والأحوال، فتارة يكون واجبا عينيا ، وتارة يكون واجباً كفائياً، كما أن غير القادر يسقط عنه التكليف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حسب الموازين المذكورة في الواجب العيني والكفائي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ولو</w:t>
      </w:r>
    </w:p>
    <w:p>
      <w:pPr>
        <w:pStyle w:val="BookText"/>
        <w:rPr/>
      </w:pPr>
      <w:r>
        <w:rPr>
          <w:rFonts w:ascii="IRNazanin" w:hAnsi="IRNazanin" w:eastAsia="IRNazanin"/>
          <w:color w:val="111111"/>
          <w:sz w:val="28"/>
          <w:sz w:val="28"/>
          <w:szCs w:val="28"/>
          <w:rtl w:val="true"/>
          <w:lang w:bidi="fa-IR"/>
        </w:rPr>
        <w:t xml:space="preserve">اگر بينی كه نابينا و 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خاموش بنشينی گناه است</w:t>
      </w:r>
    </w:p>
    <w:p>
      <w:pPr>
        <w:pStyle w:val="BookText"/>
        <w:rPr/>
      </w:pPr>
      <w:r>
        <w:rPr>
          <w:rFonts w:ascii="Amiri" w:hAnsi="Amiri" w:eastAsia="Amiri" w:cs="Amiri"/>
          <w:color w:val="111111"/>
          <w:sz w:val="28"/>
          <w:sz w:val="28"/>
          <w:szCs w:val="28"/>
          <w:rtl w:val="true"/>
          <w:lang w:bidi="ar-SA"/>
        </w:rPr>
        <w:t>ومنها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الدِّينَ</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احتواؤها على المنطق المقنع لهم، لا الاكتفاء بنقل الأدلة الموجودة في الكتب القديمة، فإن لكل عصرٍ لغةً، ولكل قوم لغة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شك في أنه عليه عينياً</w:t>
      </w:r>
      <w:r>
        <w:rPr>
          <w:rStyle w:val="FootnoteAnchor"/>
          <w:rtl w:val="true"/>
        </w:rPr>
        <w:footnoteReference w:id="357"/>
      </w:r>
      <w:r>
        <w:rPr>
          <w:rFonts w:ascii="Amiri" w:hAnsi="Amiri" w:eastAsia="Amiri" w:cs="Amiri"/>
          <w:color w:val="111111"/>
          <w:sz w:val="28"/>
          <w:sz w:val="28"/>
          <w:szCs w:val="28"/>
          <w:rtl w:val="true"/>
          <w:lang w:bidi="ar-SA"/>
        </w:rPr>
        <w:t xml:space="preserve"> أو كفائياً وقام به الغير فالأصل</w:t>
      </w:r>
      <w:r>
        <w:rPr>
          <w:rStyle w:val="FootnoteAnchor"/>
          <w:rtl w:val="true"/>
        </w:rPr>
        <w:footnoteReference w:id="358"/>
      </w:r>
      <w:r>
        <w:rPr>
          <w:rFonts w:ascii="Amiri" w:hAnsi="Amiri" w:eastAsia="Amiri" w:cs="Amiri"/>
          <w:color w:val="111111"/>
          <w:sz w:val="28"/>
          <w:sz w:val="28"/>
          <w:szCs w:val="28"/>
          <w:rtl w:val="true"/>
          <w:lang w:bidi="ar-SA"/>
        </w:rPr>
        <w:t xml:space="preserve"> عدم الوجوب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الكفائي يبقى كفائياً ولا يتحول عينياً؛ إذ المطلوب هو الطبيعة، وهذا المطلب باقٍ، سواء تكفل بعضهم به أم لا، فالخطاب لا ينقلب إلى خطاب لآحاد المكلفين جميعاً حتى يكون عينياً،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 حقيقة الواجب العيني والكفائي في الأصول</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الوجوبات المشروطة بعدم قيام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إن لم يقم به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تحقق الشروط صار الوجوب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بحث الترتب</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المشروط لا ينقلب مطلقاً</w:t>
      </w:r>
      <w:r>
        <w:rPr>
          <w:rFonts w:eastAsia="Amiri" w:cs="Amiri" w:ascii="Amiri" w:hAnsi="Amiri"/>
          <w:color w:val="111111"/>
          <w:sz w:val="28"/>
          <w:szCs w:val="28"/>
          <w:rtl w:val="true"/>
          <w:lang w:bidi="ar-SA"/>
        </w:rPr>
        <w:t>.</w:t>
      </w:r>
    </w:p>
    <w:p>
      <w:pPr>
        <w:pStyle w:val="BookText"/>
        <w:rPr/>
      </w:pP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كلّ واجب أن يكون عينياً نفسياً تعينياً؛ إذ الكفائية تقييد والأصل عدم التقييد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الوجوب مسلّم، لكن جعل الوجوب بعد قيام الغير </w:t>
      </w:r>
      <w:bookmarkStart w:id="220" w:name="pg15710_226792"/>
    </w:p>
    <w:p>
      <w:pPr>
        <w:pStyle w:val="Heading2"/>
        <w:numPr>
          <w:ilvl w:val="1"/>
          <w:numId w:val="1"/>
        </w:numPr>
        <w:rPr/>
      </w:pPr>
      <w:bookmarkStart w:id="221" w:name="__RefHeading___Toc12183803_2142443653"/>
      <w:bookmarkStart w:id="222" w:name="_Toc82"/>
      <w:bookmarkEnd w:id="220"/>
      <w:bookmarkEnd w:id="221"/>
      <w:r>
        <w:rPr>
          <w:rtl w:val="true"/>
        </w:rPr>
        <w:t>أحكام الجاهل بالإسلام</w:t>
      </w:r>
      <w:bookmarkEnd w:id="22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الذين يجهلون الإسلام ينقسمون إلى أقسام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قاصر،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مقصر غير معاند،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وجاهل مقصر معاند، فالجاهل القاصر لا عقاب عليه، والمقصر غير المعاند مرجئ</w:t>
      </w:r>
      <w:r>
        <w:rPr>
          <w:rStyle w:val="FootnoteAnchor"/>
          <w:rtl w:val="true"/>
        </w:rPr>
        <w:footnoteReference w:id="364"/>
      </w:r>
      <w:r>
        <w:rPr>
          <w:rFonts w:ascii="Amiri" w:hAnsi="Amiri" w:eastAsia="Amiri" w:cs="Amiri"/>
          <w:color w:val="111111"/>
          <w:sz w:val="28"/>
          <w:sz w:val="28"/>
          <w:szCs w:val="28"/>
          <w:rtl w:val="true"/>
          <w:lang w:bidi="ar-SA"/>
        </w:rPr>
        <w:t xml:space="preserve"> إلى أمر اللّه سبحانه، وإنما العقاب على المقصر المعاند وهم قليلون،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يذهب أكثر أهل العالم في النار، ويدخل قليل منهم الجنة؟ وقد ذكر العلماء</w:t>
      </w:r>
      <w:r>
        <w:rPr>
          <w:rStyle w:val="FootnoteAnchor"/>
          <w:rtl w:val="true"/>
        </w:rPr>
        <w:footnoteReference w:id="365"/>
      </w:r>
      <w:r>
        <w:rPr>
          <w:rFonts w:ascii="Amiri" w:hAnsi="Amiri" w:eastAsia="Amiri" w:cs="Amiri"/>
          <w:color w:val="111111"/>
          <w:sz w:val="28"/>
          <w:sz w:val="28"/>
          <w:szCs w:val="28"/>
          <w:rtl w:val="true"/>
          <w:lang w:bidi="ar-SA"/>
        </w:rPr>
        <w:t xml:space="preserve"> أن جماعة من الناس يمتحنون يوم القيامة فإن أطاعوا دخلوا الجنة وإن عصوا دخلوا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للمؤمنين والمؤمنات والمسلمين والمسلمات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والمراد بالمسلمين والمسلمات إما من سائر الأُمم، وإما من هذه الأمة القاصر منهم، أو حتى المقصر غير المعاند، كما أن الخلود</w:t>
      </w:r>
    </w:p>
    <w:p>
      <w:pPr>
        <w:pStyle w:val="BookText"/>
        <w:rPr/>
      </w:pPr>
      <w:r>
        <w:rPr>
          <w:rFonts w:ascii="Amiri" w:hAnsi="Amiri" w:eastAsia="Amiri" w:cs="Amiri"/>
          <w:color w:val="111111"/>
          <w:sz w:val="28"/>
          <w:sz w:val="28"/>
          <w:szCs w:val="28"/>
          <w:rtl w:val="true"/>
          <w:lang w:bidi="ar-SA"/>
        </w:rPr>
        <w:t>مشكوك، واستصحاب الوجوب معارض بعدم الجعل الزائد، أو منحل إلى أقل متيقن وأكثر مشكوك،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في حكم الجاهل المقصر المعاند، فإن الامتناع بالاختيار لا ينافيه، وعليه فيستحق العقاب، أما فعلية العقاب فهي أمر آخر، ومنه يظهر النظر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العقاب على المقصر المعاند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مذكور في الروايات الشريفة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النار خاص بالمعاند، ففي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أقسمت أن تخلد فيها المعاندين</w:t>
      </w:r>
      <w:r>
        <w:rPr>
          <w:rFonts w:eastAsia="Amiri" w:cs="Amiri" w:ascii="Amiri" w:hAnsi="Amiri"/>
          <w:color w:val="111111"/>
          <w:sz w:val="28"/>
          <w:szCs w:val="28"/>
          <w:rtl w:val="true"/>
          <w:lang w:bidi="ar-SA"/>
        </w:rPr>
        <w:t>»</w:t>
      </w:r>
      <w:r>
        <w:rPr>
          <w:rStyle w:val="FootnoteAnchor"/>
          <w:rtl w:val="true"/>
        </w:rPr>
        <w:footnoteReference w:id="369"/>
      </w:r>
      <w:r>
        <w:rPr>
          <w:rStyle w:val="FootnoteAnchor"/>
          <w:rtl w:val="true"/>
        </w:rPr>
        <w:footnoteReference w:id="370"/>
      </w:r>
      <w:r>
        <w:rPr>
          <w:rFonts w:ascii="Amiri" w:hAnsi="Amiri" w:eastAsia="Amiri" w:cs="Amiri"/>
          <w:color w:val="111111"/>
          <w:sz w:val="28"/>
          <w:sz w:val="28"/>
          <w:szCs w:val="28"/>
          <w:rtl w:val="true"/>
          <w:lang w:bidi="ar-SA"/>
        </w:rPr>
        <w:t>أما أنّ النار بأية كيفية؟ فلا يعلمها إلا اللّه سبحانه وأولياؤه؛ لأنها من عالم آخر، وإنما هي مؤطرة</w:t>
      </w:r>
      <w:r>
        <w:rPr>
          <w:rStyle w:val="FootnoteAnchor"/>
          <w:rtl w:val="true"/>
        </w:rPr>
        <w:footnoteReference w:id="371"/>
      </w:r>
      <w:r>
        <w:rPr>
          <w:rFonts w:ascii="Amiri" w:hAnsi="Amiri" w:eastAsia="Amiri" w:cs="Amiri"/>
          <w:color w:val="111111"/>
          <w:sz w:val="28"/>
          <w:sz w:val="28"/>
          <w:szCs w:val="28"/>
          <w:rtl w:val="true"/>
          <w:lang w:bidi="ar-SA"/>
        </w:rPr>
        <w:t xml:space="preserve"> بما ورد في الكتاب والسنة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وغير ذلك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يُجْزَى إِلاّ مِثْلَهَا</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الاستحقاق وهو خلاف العدل، كما لا يحتاج إلى ما ذكره بعض الحكماء من دفع العذاب أخيراً مما لم يدل عليه دليل، بل قام الدليل على خلافه</w:t>
      </w:r>
      <w:r>
        <w:rPr>
          <w:rFonts w:eastAsia="Amiri" w:cs="Amiri" w:ascii="Amiri" w:hAnsi="Amiri"/>
          <w:color w:val="111111"/>
          <w:sz w:val="28"/>
          <w:szCs w:val="28"/>
          <w:rtl w:val="true"/>
          <w:lang w:bidi="ar-SA"/>
        </w:rPr>
        <w:t>.</w:t>
      </w:r>
    </w:p>
    <w:p>
      <w:pPr>
        <w:pStyle w:val="BookText"/>
        <w:rPr/>
      </w:pP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الشيء لا ينفي ما عداه، فقد يخلد المقصرون كلاً وإن لم يكونوا 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في أن المراد المعاند في الدنيا أو حتى في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الأصول</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المثلية تختلف، ففقأ العين في اللحظة جزاؤه العادل أن يعمى طيلة عمره، وإلقاء النفس من شاهق أثره تهشم العظام ثمانين عاماً مثلاً، وإطلاق رصاصة في ثانية على بريء جزاؤه السجن مدى الحياة، وهذا مثل،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الجزاء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وراجع التفاسير والعقائد في قضية الخلود</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العقائد</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223" w:name="pg15710_226794"/>
    </w:p>
    <w:p>
      <w:pPr>
        <w:pStyle w:val="Heading2"/>
        <w:numPr>
          <w:ilvl w:val="1"/>
          <w:numId w:val="1"/>
        </w:numPr>
        <w:rPr/>
      </w:pPr>
      <w:bookmarkStart w:id="224" w:name="__RefHeading___Toc12183805_2142443653"/>
      <w:bookmarkStart w:id="225" w:name="_Toc83"/>
      <w:bookmarkEnd w:id="223"/>
      <w:bookmarkEnd w:id="224"/>
      <w:r>
        <w:rPr>
          <w:rtl w:val="true"/>
        </w:rPr>
        <w:t>قيمة الإنسان الواقعية ليس بالموازين المعتادة</w:t>
      </w:r>
      <w:bookmarkEnd w:id="22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379"/>
      </w:r>
      <w:r>
        <w:rPr>
          <w:rFonts w:ascii="Amiri" w:hAnsi="Amiri" w:eastAsia="Amiri" w:cs="Amiri"/>
          <w:color w:val="111111"/>
          <w:sz w:val="28"/>
          <w:sz w:val="28"/>
          <w:szCs w:val="28"/>
          <w:rtl w:val="true"/>
          <w:lang w:bidi="ar-SA"/>
        </w:rPr>
        <w:t xml:space="preserve"> للإنسان أن يزن نفسه بالموازين المعتادة في هذه الأزمنة، ويجوز إعطاء الأُجرة لأجل ذلك، لكن 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فإنما هي القيمة الحقيقية، أما القيمة التي تزداد بالوزن فهي مرتبطة بالفواكه واللحوم وما أشبه لا بالإنسان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ذلك في سبيل العلاج أو الوقاية لا بأس به، والجواز للأدلة العامة، وكذلك أخذ الأجرة عليه، لما ذكر في الفقه من أن المعاملات الجديدة صحيحة شرعاً إلا ما خرج</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12183807_2142443653"/>
      <w:bookmarkStart w:id="227" w:name="_Toc84"/>
      <w:bookmarkEnd w:id="226"/>
      <w:r>
        <w:rPr>
          <w:rtl w:val="true"/>
        </w:rPr>
        <w:t>بيع الأوراق التجارية</w:t>
      </w:r>
      <w:bookmarkEnd w:id="22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383"/>
      </w:r>
      <w:r>
        <w:rPr>
          <w:rFonts w:ascii="Amiri" w:hAnsi="Amiri" w:eastAsia="Amiri" w:cs="Amiri"/>
          <w:color w:val="111111"/>
          <w:sz w:val="28"/>
          <w:sz w:val="28"/>
          <w:szCs w:val="28"/>
          <w:rtl w:val="true"/>
          <w:lang w:bidi="ar-SA"/>
        </w:rPr>
        <w:t xml:space="preserve"> بيع إجازة الاستيراد ونحوها من الأوراق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نحو إجارة للعين، فهو كإجارة الدار للانتفاع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المعاملات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أنها ليست جديدة، وإن كان المصداق متجدداً، والجديدة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التأمين بناءً على عدم اندراجه في عقد من العقود المعهودة،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المغارسة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الدولة شرعية وحظرت ذلك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بعض الاستثناءات </w:t>
      </w:r>
      <w:bookmarkStart w:id="228" w:name="pg15710_226795"/>
    </w:p>
    <w:p>
      <w:pPr>
        <w:pStyle w:val="BookText"/>
        <w:rPr/>
      </w:pPr>
      <w:bookmarkEnd w:id="2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إلغاء كل ما يقيد حرية التجارة، ومنها إجازة الاستيراد</w:t>
      </w:r>
      <w:r>
        <w:rPr>
          <w:rFonts w:eastAsia="Amiri" w:cs="Amiri" w:ascii="Amiri" w:hAnsi="Amiri"/>
          <w:color w:val="111111"/>
          <w:sz w:val="28"/>
          <w:szCs w:val="28"/>
          <w:rtl w:val="true"/>
          <w:lang w:bidi="ar-SA"/>
        </w:rPr>
        <w:t>.</w:t>
      </w:r>
    </w:p>
    <w:p>
      <w:pPr>
        <w:pStyle w:val="Heading2"/>
        <w:numPr>
          <w:ilvl w:val="1"/>
          <w:numId w:val="1"/>
        </w:numPr>
        <w:rPr/>
      </w:pPr>
      <w:bookmarkStart w:id="229" w:name="__RefHeading___Toc12183809_2142443653"/>
      <w:bookmarkStart w:id="230" w:name="_Toc85"/>
      <w:bookmarkEnd w:id="229"/>
      <w:r>
        <w:rPr>
          <w:rtl w:val="true"/>
        </w:rPr>
        <w:t>التجنس بجنسيتين</w:t>
      </w:r>
      <w:bookmarkEnd w:id="23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للإنسان أن يتجنس بجنسيتين أو أكثر من بلدين أو 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لإطلاق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حرية الإنسان، وقد ذكرنا في بعض الكتب أن مطلق الجنسية كبت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لحرية الإنسان؛ ولذا فاللازم أن يأتي يوم يلغى فيه كل هذه القيود؛ وذلك يكون إذا أخذ الإسلام بالزمام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الإشارة لهذا الاستثناء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وهنالك رأي في أنَّ القوانين الوضعية محترمة،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هنا الاستثناء السابق، إذا منعت الدولة الشرعية للأهم والمهم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هنا أن الدولة الشرعية لا يحق لها المنع إلاّ بالعنوان الثانوي في هذه المسألة ، بينما يحق لها المنع في الأوّل مطلقاً،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إجازة الاستيراد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لعنوان ثانوي في أصل وجودها، فكيف بتفاصيلها وقيودها؟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عدمها يسبب الفوضى وتسرب المخربين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ذلك في مناطق البلد الواحد فليمنع السفر إلاّ بجواز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بأُوربا الحديثة حيث ألغت كثيراً من هذه الأُمور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ضرر الحرية أقل من ضرر اللاحرية عادةً، لكن الجهات والأزمان </w:t>
      </w:r>
      <w:bookmarkStart w:id="231" w:name="pg15710_226796"/>
    </w:p>
    <w:p>
      <w:pPr>
        <w:pStyle w:val="Heading2"/>
        <w:numPr>
          <w:ilvl w:val="1"/>
          <w:numId w:val="1"/>
        </w:numPr>
        <w:rPr/>
      </w:pPr>
      <w:bookmarkStart w:id="232" w:name="__RefHeading___Toc12183811_2142443653"/>
      <w:bookmarkStart w:id="233" w:name="_Toc86"/>
      <w:bookmarkEnd w:id="231"/>
      <w:bookmarkEnd w:id="232"/>
      <w:r>
        <w:rPr>
          <w:rtl w:val="true"/>
        </w:rPr>
        <w:t>بيع الجنسية أو الهوية</w:t>
      </w:r>
      <w:bookmarkEnd w:id="23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الجنسية وما أشبه من الأوراق المرتبطة بالإنسان كالهوية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لإطلاق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حرية الإنسان إلا إذا كانت مرتبطة بفرد أو جماعة أو حكومة شرعية</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12183813_2142443653"/>
      <w:bookmarkStart w:id="235" w:name="_Toc87"/>
      <w:bookmarkEnd w:id="234"/>
      <w:r>
        <w:rPr>
          <w:rtl w:val="true"/>
        </w:rPr>
        <w:t>المسلم والقوانين الوضعية</w:t>
      </w:r>
      <w:bookmarkEnd w:id="23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لم يتوجه إلى الإنسان</w:t>
      </w:r>
      <w:r>
        <w:rPr>
          <w:rStyle w:val="FootnoteAnchor"/>
          <w:rtl w:val="true"/>
        </w:rPr>
        <w:footnoteReference w:id="389"/>
      </w:r>
      <w:r>
        <w:rPr>
          <w:rFonts w:ascii="Amiri" w:hAnsi="Amiri" w:eastAsia="Amiri" w:cs="Amiri"/>
          <w:color w:val="111111"/>
          <w:sz w:val="28"/>
          <w:sz w:val="28"/>
          <w:szCs w:val="28"/>
          <w:rtl w:val="true"/>
          <w:lang w:bidi="ar-SA"/>
        </w:rPr>
        <w:t xml:space="preserve"> ضرر من ناحية السلطات التي تنص قوانينها على معاقبة مرتكبي هذه الأُمور، وإلا لم يجز من باب الضرر، لا من باب نفس العمل؛ إذ كل عمل لم ينص الشارع على تحريمه فهو مباح، خصوصاً وإن كل شيء كابت للحريات الإسلامية ليس له وزن في نظر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والشرائط قد تختلف، فلابدّ من ملاحظة الأهم والمهم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هامش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وستأتي بعض الاستثناءات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شخص آخر بسبب ذلك العمل، إذا كان الضرر مما علم أن الشارع لا يريد وقوعه، كقتل عائلته مثلاً، أما غير ذلك فالظاهر أن الحرام بواسطة الفاعل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عمل الشخص، فتأمل</w:t>
      </w:r>
      <w:r>
        <w:rPr>
          <w:rFonts w:eastAsia="Amiri" w:cs="Amiri" w:ascii="Amiri" w:hAnsi="Amiri"/>
          <w:color w:val="111111"/>
          <w:sz w:val="28"/>
          <w:szCs w:val="28"/>
          <w:rtl w:val="true"/>
          <w:lang w:bidi="ar-SA"/>
        </w:rPr>
        <w:t xml:space="preserve">. </w:t>
      </w:r>
      <w:bookmarkStart w:id="236" w:name="pg15710_226797"/>
    </w:p>
    <w:p>
      <w:pPr>
        <w:pStyle w:val="BookText"/>
        <w:rPr/>
      </w:pPr>
      <w:bookmarkEnd w:id="2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والضرر الممنوع هو الضرر المتزايد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وإلا فالضرر القليل لا بأس به، كما تقدم شبه ذلك في بعض المسائل السابقة</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12183815_2142443653"/>
      <w:bookmarkStart w:id="238" w:name="_Toc88"/>
      <w:bookmarkEnd w:id="237"/>
      <w:r>
        <w:rPr>
          <w:rtl w:val="true"/>
        </w:rPr>
        <w:t>أوراق القروض النقدية</w:t>
      </w:r>
      <w:bookmarkEnd w:id="23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 القروض النقدية التي تطبعها الدولة وتبيعها بأقل، وبعد مدة مخصوصة تقبلها بأكثر، مثل أن تبيعها الدولة بتسعين، ثم تشتريها بمائة، إن كان بعنوان</w:t>
      </w:r>
      <w:r>
        <w:rPr>
          <w:rStyle w:val="FootnoteAnchor"/>
          <w:rtl w:val="true"/>
        </w:rPr>
        <w:footnoteReference w:id="393"/>
      </w:r>
      <w:r>
        <w:rPr>
          <w:rFonts w:ascii="Amiri" w:hAnsi="Amiri" w:eastAsia="Amiri" w:cs="Amiri"/>
          <w:color w:val="111111"/>
          <w:sz w:val="28"/>
          <w:sz w:val="28"/>
          <w:szCs w:val="28"/>
          <w:rtl w:val="true"/>
          <w:lang w:bidi="ar-SA"/>
        </w:rPr>
        <w:t xml:space="preserve"> القرض لم يجز؛ لأنه من أقسام الربا، وإن كان بعنوان المنحة والجائزة</w:t>
      </w:r>
      <w:r>
        <w:rPr>
          <w:rStyle w:val="FootnoteAnchor"/>
          <w:rtl w:val="true"/>
        </w:rPr>
        <w:footnoteReference w:id="394"/>
      </w:r>
      <w:r>
        <w:rPr>
          <w:rFonts w:ascii="Amiri" w:hAnsi="Amiri" w:eastAsia="Amiri" w:cs="Amiri"/>
          <w:color w:val="111111"/>
          <w:sz w:val="28"/>
          <w:sz w:val="28"/>
          <w:szCs w:val="28"/>
          <w:rtl w:val="true"/>
          <w:lang w:bidi="ar-SA"/>
        </w:rPr>
        <w:t xml:space="preserve"> كان حلالاً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أقسام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الأقل وأخذ الأكثر</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قرضاً أو معاملة، وفي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بعنوان بيعين أو ما أشبه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علم من الشارع أنه لا يريد وقوعه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الأحكام تابعة للعناوين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الاحتيال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المراد غير المشترطتين، فتأمل وراجع</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ليس ضابطاً تاماً؛ إذ قد يأخذ متساوياً لكن مع جر نفعٍ، كاشتراط </w:t>
      </w:r>
      <w:bookmarkStart w:id="239" w:name="pg15710_226798"/>
    </w:p>
    <w:p>
      <w:pPr>
        <w:pStyle w:val="Heading2"/>
        <w:numPr>
          <w:ilvl w:val="1"/>
          <w:numId w:val="1"/>
        </w:numPr>
        <w:rPr/>
      </w:pPr>
      <w:bookmarkStart w:id="240" w:name="__RefHeading___Toc12183817_2142443653"/>
      <w:bookmarkStart w:id="241" w:name="_Toc89"/>
      <w:bookmarkEnd w:id="239"/>
      <w:bookmarkEnd w:id="240"/>
      <w:r>
        <w:rPr>
          <w:rtl w:val="true"/>
        </w:rPr>
        <w:t>مصارعة الحيوانات</w:t>
      </w:r>
      <w:bookmarkEnd w:id="24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مصارعة</w:t>
      </w:r>
      <w:r>
        <w:rPr>
          <w:rStyle w:val="FootnoteAnchor"/>
          <w:rtl w:val="true"/>
        </w:rPr>
        <w:footnoteReference w:id="400"/>
      </w:r>
      <w:r>
        <w:rPr>
          <w:rFonts w:ascii="Amiri" w:hAnsi="Amiri" w:eastAsia="Amiri" w:cs="Amiri"/>
          <w:color w:val="111111"/>
          <w:sz w:val="28"/>
          <w:sz w:val="28"/>
          <w:szCs w:val="28"/>
          <w:rtl w:val="true"/>
          <w:lang w:bidi="ar-SA"/>
        </w:rPr>
        <w:t xml:space="preserve"> الثيران أو الديوك أو الغزلان أو الشياه أو ما أشبه ذلك إن سببت موت أحدهما، أو ضرراً بالغاً موجباً لنقص القيمة لم تجز؛ لأنه من الإسراف، وإن لم تسبب الموت ولم تسبب ضرراً أصلاً جاز، وإن سببت ضرراً وأذية لأحدهما بدون نقص القيمة فالظاهر أنه جائز، لكنه خلاف الإنصاف، فإنَّ أذية الحيوان غير مستحسنة في الشريعة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الحكم في الصور المذكورة حسب الأدلة، وأما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تكن أذية كبيرة، وإلا لم يجز لما يستفاد من الأدلة من حقوق الحيوان،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فليستعد غدا للخصومة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إنكم مسؤولون حتى عن البهائم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وقول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خوف القصاص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ذكرنا جملة من الأدلة في كتاب النكاح باب النفقات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الخياطة، إلاّ أن يعم الأكثر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الملاك هو الإسراف، أو الإيذاء، فإن إيذاء الحيوان نوع ظلم، والظلم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بحث الإيذاء من المحرمات</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242" w:name="pg15710_226799"/>
    </w:p>
    <w:p>
      <w:pPr>
        <w:pStyle w:val="Heading2"/>
        <w:numPr>
          <w:ilvl w:val="1"/>
          <w:numId w:val="1"/>
        </w:numPr>
        <w:rPr/>
      </w:pPr>
      <w:bookmarkStart w:id="243" w:name="__RefHeading___Toc12183819_2142443653"/>
      <w:bookmarkStart w:id="244" w:name="_Toc90"/>
      <w:bookmarkEnd w:id="242"/>
      <w:bookmarkEnd w:id="243"/>
      <w:r>
        <w:rPr>
          <w:rtl w:val="true"/>
        </w:rPr>
        <w:t>كبس الماء</w:t>
      </w:r>
      <w:bookmarkEnd w:id="24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كبس الماء حتى صار الماء الذي حجمه سبعة وعشرون شبراً حجمه عشرون شبراً، فهل يبقى على كريته أم لا؟ احتمالان ولا يبعد العدم</w:t>
      </w:r>
      <w:r>
        <w:rPr>
          <w:rStyle w:val="FootnoteAnchor"/>
          <w:rtl w:val="true"/>
        </w:rPr>
        <w:footnoteReference w:id="403"/>
      </w:r>
      <w:r>
        <w:rPr>
          <w:rFonts w:ascii="Amiri" w:hAnsi="Amiri" w:eastAsia="Amiri" w:cs="Amiri"/>
          <w:color w:val="111111"/>
          <w:sz w:val="28"/>
          <w:sz w:val="28"/>
          <w:szCs w:val="28"/>
          <w:rtl w:val="true"/>
          <w:lang w:bidi="ar-SA"/>
        </w:rPr>
        <w:t>؛ لأن المعيار الحجم ولا اعتبار بالأصل</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ولذا نقول بأنه لا فرق في وجوب سبعة وعشرين شبراً بين الماء الثقيل والماء الخفيف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وضوح أن الثقيل أقل</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حجماً من الخفيف، ولا مجال للاستصحاب بعد تغير الموضوع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الملاك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البالغ الموجب لنقص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الإيذاء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الثلاثة فقد حكم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الأدلة المذكورة هنا مطلقة تشمل الأذى الصغير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انعدام الوزن المقرر أيضاً، كألف ومائتي رطل بالعراقي؛ إذ أحدهما كافٍ في الكريّة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الحجم أخذ طريقاً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التقدير في باب التغير التقديري</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الألفاظ الموضوعية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تخلخل الأجزاء، فتأمل</w:t>
      </w:r>
      <w:r>
        <w:rPr>
          <w:rFonts w:eastAsia="IRNazanin" w:cs="IRNazanin"/>
          <w:color w:val="111111"/>
          <w:sz w:val="28"/>
          <w:szCs w:val="28"/>
          <w:rtl w:val="true"/>
          <w:lang w:bidi="fa-IR"/>
        </w:rPr>
        <w:t xml:space="preserve">. </w:t>
      </w:r>
      <w:bookmarkStart w:id="245" w:name="pg15710_226800"/>
    </w:p>
    <w:p>
      <w:pPr>
        <w:pStyle w:val="Heading2"/>
        <w:numPr>
          <w:ilvl w:val="1"/>
          <w:numId w:val="1"/>
        </w:numPr>
        <w:rPr/>
      </w:pPr>
      <w:bookmarkStart w:id="246" w:name="__RefHeading___Toc12183821_2142443653"/>
      <w:bookmarkStart w:id="247" w:name="_Toc91"/>
      <w:bookmarkEnd w:id="245"/>
      <w:bookmarkEnd w:id="246"/>
      <w:r>
        <w:rPr>
          <w:rtl w:val="true"/>
        </w:rPr>
        <w:t>تخلخل الماء</w:t>
      </w:r>
      <w:bookmarkEnd w:id="24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تخلخل الماء حتى صار ما حجمه قبل التخلخل عشرون شبراً سبعة وعشرين شبراً، فالظاهر صيرورته كراً، لما تقدم في المسألة السابقة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بشرط أن يكون الجميع ماءً خفيفاً، لا أن يكون بينها الهواء عرفاً حتى يكون المجموع مركباً من الماء والهواء؛ وذلك للصدق العرفي</w:t>
      </w:r>
      <w:r>
        <w:rPr>
          <w:rFonts w:eastAsia="Amiri" w:cs="Amiri" w:ascii="Amiri" w:hAnsi="Amiri"/>
          <w:color w:val="111111"/>
          <w:sz w:val="28"/>
          <w:szCs w:val="28"/>
          <w:rtl w:val="true"/>
          <w:lang w:bidi="ar-SA"/>
        </w:rPr>
        <w:t>.</w:t>
      </w:r>
    </w:p>
    <w:p>
      <w:pPr>
        <w:pStyle w:val="Heading2"/>
        <w:numPr>
          <w:ilvl w:val="1"/>
          <w:numId w:val="1"/>
        </w:numPr>
        <w:rPr/>
      </w:pPr>
      <w:bookmarkStart w:id="248" w:name="__RefHeading___Toc12183823_2142443653"/>
      <w:bookmarkStart w:id="249" w:name="_Toc92"/>
      <w:bookmarkEnd w:id="248"/>
      <w:r>
        <w:rPr>
          <w:rtl w:val="true"/>
        </w:rPr>
        <w:t>إضافة جسم غريب على الماء</w:t>
      </w:r>
      <w:bookmarkEnd w:id="24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أضفنا على الماء الذي وزنه ألف ومائة رطل، مائة رطل من جسم غريب</w:t>
      </w:r>
      <w:r>
        <w:rPr>
          <w:rStyle w:val="FootnoteAnchor"/>
          <w:rtl w:val="true"/>
        </w:rPr>
        <w:footnoteReference w:id="407"/>
      </w:r>
      <w:r>
        <w:rPr>
          <w:rFonts w:ascii="Amiri" w:hAnsi="Amiri" w:eastAsia="Amiri" w:cs="Amiri"/>
          <w:color w:val="111111"/>
          <w:sz w:val="28"/>
          <w:sz w:val="28"/>
          <w:szCs w:val="28"/>
          <w:rtl w:val="true"/>
          <w:lang w:bidi="ar-SA"/>
        </w:rPr>
        <w:t>، بحيث صار عرفاً جزءاً</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فالظاهر أنه يصبح كراً؛ لأن المعيار صدق الماء بالمقدار المذكور وقد حصل؛ ولذا نقول بأنه لا فرق بين الماء الخفيف والثقيل في هذا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فرق بين الماء المالح والعذب، مع وضوح أن المالح مخلوط به الملح، وكذلك ماء المعادن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الذي فيه شيء من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والطريقية خلاف ظاهر الدليل، كما سبق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بولاً إذا طهر المجموع بعد ذلك بوصله بالكر مثلاً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يصدق عليه الماء المطلق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بحث المياه الزاجية </w:t>
      </w:r>
      <w:bookmarkStart w:id="250" w:name="pg15710_226801"/>
    </w:p>
    <w:p>
      <w:pPr>
        <w:pStyle w:val="Heading2"/>
        <w:numPr>
          <w:ilvl w:val="1"/>
          <w:numId w:val="1"/>
        </w:numPr>
        <w:rPr/>
      </w:pPr>
      <w:bookmarkStart w:id="251" w:name="__RefHeading___Toc12183825_2142443653"/>
      <w:bookmarkStart w:id="252" w:name="_Toc93"/>
      <w:bookmarkEnd w:id="250"/>
      <w:bookmarkEnd w:id="251"/>
      <w:r>
        <w:rPr>
          <w:rtl w:val="true"/>
        </w:rPr>
        <w:t>تقليل وزن الماء</w:t>
      </w:r>
      <w:bookmarkEnd w:id="25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أخذنا من الماء الذي وزنه ألف ومائتي رطل مقدار مائة رطل من الجرم الخليط به، الذي ليس بماء حقيقة سقط</w:t>
      </w:r>
      <w:r>
        <w:rPr>
          <w:rStyle w:val="FootnoteAnchor"/>
          <w:rtl w:val="true"/>
        </w:rPr>
        <w:footnoteReference w:id="411"/>
      </w:r>
      <w:r>
        <w:rPr>
          <w:rFonts w:ascii="Amiri" w:hAnsi="Amiri" w:eastAsia="Amiri" w:cs="Amiri"/>
          <w:color w:val="111111"/>
          <w:sz w:val="28"/>
          <w:sz w:val="28"/>
          <w:szCs w:val="28"/>
          <w:rtl w:val="true"/>
          <w:lang w:bidi="ar-SA"/>
        </w:rPr>
        <w:t xml:space="preserve"> عن الكرية، لما تقدم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ليس بذلك الوزن المطلوب شرعاً</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12183827_2142443653"/>
      <w:bookmarkStart w:id="254" w:name="_Toc94"/>
      <w:bookmarkEnd w:id="253"/>
      <w:r>
        <w:rPr>
          <w:rtl w:val="true"/>
        </w:rPr>
        <w:t>هجرة المكتبات الضخمة</w:t>
      </w:r>
      <w:bookmarkEnd w:id="25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للدولة منع إخراج المكتبات الضخام التي تعد من ثروة البلاد أم لا يجوز؟ احتمالان، والظاهر أنه لا يحق لها ذلك؛ لقاعدة</w:t>
      </w:r>
      <w:r>
        <w:rPr>
          <w:rStyle w:val="FootnoteAnchor"/>
          <w:rtl w:val="true"/>
        </w:rPr>
        <w:footnoteReference w:id="412"/>
      </w:r>
      <w:r>
        <w:rPr>
          <w:rFonts w:ascii="Amiri" w:hAnsi="Amiri" w:eastAsia="Amiri" w:cs="Amiri"/>
          <w:color w:val="111111"/>
          <w:sz w:val="28"/>
          <w:sz w:val="28"/>
          <w:szCs w:val="28"/>
          <w:rtl w:val="true"/>
          <w:lang w:bidi="ar-SA"/>
        </w:rPr>
        <w:t xml:space="preserve"> تسلط الناس على أموالهم، إلا إذا كانت هناك جهة توجب المنع أهم</w:t>
      </w:r>
      <w:r>
        <w:rPr>
          <w:rStyle w:val="FootnoteAnchor"/>
          <w:rtl w:val="true"/>
        </w:rPr>
        <w:footnoteReference w:id="413"/>
      </w:r>
      <w:r>
        <w:rPr>
          <w:rFonts w:ascii="Amiri" w:hAnsi="Amiri" w:eastAsia="Amiri" w:cs="Amiri"/>
          <w:color w:val="111111"/>
          <w:sz w:val="28"/>
          <w:sz w:val="28"/>
          <w:szCs w:val="28"/>
          <w:rtl w:val="true"/>
          <w:lang w:bidi="ar-SA"/>
        </w:rPr>
        <w:t xml:space="preserve"> من قاعدة السلطنة، فتقدم على القاعدة بالأهمية حسب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والكبريتية</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سقوطه عن المساحة أيضاً، أي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ولأدلة الحرية عموماً،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الإضرار باقتصاد بلاد المسلمين، إضراراً علم أن الشارع لا يريد وقوعه، </w:t>
      </w:r>
      <w:bookmarkStart w:id="255" w:name="pg15710_226802"/>
    </w:p>
    <w:p>
      <w:pPr>
        <w:pStyle w:val="BookText"/>
        <w:rPr/>
      </w:pPr>
      <w:bookmarkEnd w:id="2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 في المستثنى منه والمستثنى حسب الأدلة العامة، ومثل المكتبة حال سائر الأشياء النفيسة، التي تكون لشخص أو أشخاص، ووجوب سماع</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كلام الدولة في المستثنى إنما هو فيما إذا كانت شرعية، وإلا فلا تجب إطاعتها</w:t>
      </w:r>
      <w:r>
        <w:rPr>
          <w:rFonts w:eastAsia="Amiri" w:cs="Amiri" w:ascii="Amiri" w:hAnsi="Amiri"/>
          <w:color w:val="111111"/>
          <w:sz w:val="28"/>
          <w:szCs w:val="28"/>
          <w:rtl w:val="true"/>
          <w:lang w:bidi="ar-SA"/>
        </w:rPr>
        <w:t>.</w:t>
      </w:r>
    </w:p>
    <w:p>
      <w:pPr>
        <w:pStyle w:val="Heading2"/>
        <w:numPr>
          <w:ilvl w:val="1"/>
          <w:numId w:val="1"/>
        </w:numPr>
        <w:rPr/>
      </w:pPr>
      <w:bookmarkStart w:id="256" w:name="__RefHeading___Toc12183829_2142443653"/>
      <w:bookmarkStart w:id="257" w:name="_Toc95"/>
      <w:bookmarkEnd w:id="256"/>
      <w:r>
        <w:rPr>
          <w:rtl w:val="true"/>
        </w:rPr>
        <w:t>الاعتداء على غير المعتدي</w:t>
      </w:r>
      <w:bookmarkEnd w:id="25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تعدى جماعة من الكفار على جماعة من المسلمين، لا يحق لاُولئك المسلمين أو لغيرهم من المسلمين التعدي على كفار آخرين،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فإذا تعدى السيك على المسلمين في الهند مثلاً، لا يحق للمسلمين في باكستان التعدي على السيك الموجودين في باكستان، إلا إذا كان السيك كلهم يداً واحدة</w:t>
      </w:r>
      <w:r>
        <w:rPr>
          <w:rStyle w:val="FootnoteAnchor"/>
          <w:rtl w:val="true"/>
        </w:rPr>
        <w:footnoteReference w:id="420"/>
      </w:r>
      <w:r>
        <w:rPr>
          <w:rFonts w:ascii="Amiri" w:hAnsi="Amiri" w:eastAsia="Amiri" w:cs="Amiri"/>
          <w:color w:val="111111"/>
          <w:sz w:val="28"/>
          <w:sz w:val="28"/>
          <w:szCs w:val="28"/>
          <w:rtl w:val="true"/>
          <w:lang w:bidi="ar-SA"/>
        </w:rPr>
        <w:t xml:space="preserve">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كانت الكتب هي الرصيد الذي يعتمد عليه اقتصاد البلد، وسبب خروجها تحطم بلاد المسلمين وسيطرة الكفار</w:t>
      </w:r>
      <w:r>
        <w:rPr>
          <w:rFonts w:eastAsia="Amiri" w:cs="Amiri" w:ascii="Amiri" w:hAnsi="Amiri"/>
          <w:color w:val="111111"/>
          <w:sz w:val="28"/>
          <w:szCs w:val="28"/>
          <w:rtl w:val="true"/>
          <w:lang w:bidi="ar-SA"/>
        </w:rPr>
        <w:t>.</w:t>
      </w:r>
    </w:p>
    <w:p>
      <w:pPr>
        <w:pStyle w:val="BookText"/>
        <w:rPr/>
      </w:pP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سماع لكلامها، وإطاعة لأمرها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يحرّم ذلك في صورة وجود المحذور من جهة لزوم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مضى، وراجع 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فيها غموض، إذ ما هو المقياس في اليد الواحدة؟ فهل هو التعاون فيما بينهم، كما لو كانوا يمدونهم بالمال، أو بالفكر، أو بالتخطيط؟ أو هو </w:t>
      </w:r>
      <w:bookmarkStart w:id="258" w:name="pg15710_226803"/>
    </w:p>
    <w:p>
      <w:pPr>
        <w:pStyle w:val="BookText"/>
        <w:rPr/>
      </w:pPr>
      <w:bookmarkEnd w:id="2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 في المستثنى منه والمستثنى حسب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يعد المجموع حينئذٍ كالجيش الواحد</w:t>
      </w:r>
      <w:r>
        <w:rPr>
          <w:rFonts w:eastAsia="Amiri" w:cs="Amiri" w:ascii="Amiri" w:hAnsi="Amiri"/>
          <w:color w:val="111111"/>
          <w:sz w:val="28"/>
          <w:szCs w:val="28"/>
          <w:rtl w:val="true"/>
          <w:lang w:bidi="ar-SA"/>
        </w:rPr>
        <w:t>.</w:t>
      </w:r>
    </w:p>
    <w:p>
      <w:pPr>
        <w:pStyle w:val="Heading2"/>
        <w:numPr>
          <w:ilvl w:val="1"/>
          <w:numId w:val="1"/>
        </w:numPr>
        <w:rPr/>
      </w:pPr>
      <w:bookmarkStart w:id="259" w:name="__RefHeading___Toc12183831_2142443653"/>
      <w:bookmarkStart w:id="260" w:name="_Toc96"/>
      <w:bookmarkEnd w:id="259"/>
      <w:r>
        <w:rPr>
          <w:rtl w:val="true"/>
        </w:rPr>
        <w:t>جزاء التعدي</w:t>
      </w:r>
      <w:bookmarkEnd w:id="26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تعدى</w:t>
      </w:r>
      <w:r>
        <w:rPr>
          <w:rStyle w:val="FootnoteAnchor"/>
          <w:rtl w:val="true"/>
        </w:rPr>
        <w:footnoteReference w:id="425"/>
      </w:r>
      <w:r>
        <w:rPr>
          <w:rFonts w:ascii="Amiri" w:hAnsi="Amiri" w:eastAsia="Amiri" w:cs="Amiri"/>
          <w:color w:val="111111"/>
          <w:sz w:val="28"/>
          <w:sz w:val="28"/>
          <w:szCs w:val="28"/>
          <w:rtl w:val="true"/>
          <w:lang w:bidi="ar-SA"/>
        </w:rPr>
        <w:t xml:space="preserve"> الكفار على المسلمين، لا يحق لمسلمين آخرين أن يتعدوا على أُولئك الكفار المعتدين،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تعدى سيكي على مسلم لا يحق لمسلم آخر التعدي على ذاك السيكي، إلا إذا كان بميزان الجهاد والدفاع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الذي يريد الاعتداء ليس معتدى عليه، فلا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جبهة حربية واحدة؟ وما هو الدليل على اليد الواحدة؟</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الملاك عدّهم كفاراً حربيين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وراجع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 وهو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كالجيش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وقال الكل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عدهم كفاراً حربيين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جبهة واحدة،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بَدَؤُوكُمْ أَوَّلَ مَرَّةٍ</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ونحوها،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تعدياً شخصياً لعداوة بينهما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 </w:t>
      </w:r>
      <w:bookmarkStart w:id="261" w:name="pg15710_226804"/>
    </w:p>
    <w:p>
      <w:pPr>
        <w:pStyle w:val="BookText"/>
        <w:rPr/>
      </w:pPr>
      <w:bookmarkEnd w:id="261"/>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دفع</w:t>
      </w:r>
      <w:r>
        <w:rPr>
          <w:rStyle w:val="FootnoteAnchor"/>
          <w:rtl w:val="true"/>
        </w:rPr>
        <w:footnoteReference w:id="431"/>
      </w:r>
      <w:r>
        <w:rPr>
          <w:rFonts w:ascii="Amiri" w:hAnsi="Amiri" w:eastAsia="Amiri" w:cs="Amiri"/>
          <w:color w:val="111111"/>
          <w:sz w:val="28"/>
          <w:sz w:val="28"/>
          <w:szCs w:val="28"/>
          <w:rtl w:val="true"/>
          <w:lang w:bidi="ar-SA"/>
        </w:rPr>
        <w:t xml:space="preserve"> المنكر وما أشبه، كالدفاع عن الإسلام والمسلمين بشرائطه</w:t>
      </w:r>
      <w:r>
        <w:rPr>
          <w:rFonts w:eastAsia="Amiri" w:cs="Amiri" w:ascii="Amiri" w:hAnsi="Amiri"/>
          <w:color w:val="111111"/>
          <w:sz w:val="28"/>
          <w:szCs w:val="28"/>
          <w:rtl w:val="true"/>
          <w:lang w:bidi="ar-SA"/>
        </w:rPr>
        <w:t>.</w:t>
      </w:r>
    </w:p>
    <w:p>
      <w:pPr>
        <w:pStyle w:val="Heading2"/>
        <w:numPr>
          <w:ilvl w:val="1"/>
          <w:numId w:val="1"/>
        </w:numPr>
        <w:rPr/>
      </w:pPr>
      <w:bookmarkStart w:id="262" w:name="__RefHeading___Toc12183833_2142443653"/>
      <w:bookmarkStart w:id="263" w:name="_Toc97"/>
      <w:bookmarkEnd w:id="262"/>
      <w:r>
        <w:rPr>
          <w:rtl w:val="true"/>
        </w:rPr>
        <w:t>تحالف الكفار</w:t>
      </w:r>
      <w:bookmarkEnd w:id="26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المسألتين السابقتين إنما يكون فيما إذا لم يكن كفار الهند وباكستان متظاهرين</w:t>
      </w:r>
      <w:r>
        <w:rPr>
          <w:rStyle w:val="FootnoteAnchor"/>
          <w:rtl w:val="true"/>
        </w:rPr>
        <w:footnoteReference w:id="432"/>
      </w:r>
      <w:r>
        <w:rPr>
          <w:rFonts w:ascii="Amiri" w:hAnsi="Amiri" w:eastAsia="Amiri" w:cs="Amiri"/>
          <w:color w:val="111111"/>
          <w:sz w:val="28"/>
          <w:sz w:val="28"/>
          <w:szCs w:val="28"/>
          <w:rtl w:val="true"/>
          <w:lang w:bidi="ar-SA"/>
        </w:rPr>
        <w:t xml:space="preserve"> بعضهم مع بعض ضد المسلمين، الذين تعدى على بعضهم كفار الهند، وإلا جاز للمسلمين مقابلة الكافرين بالمثل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 الدفاع المذكورة في فقه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هذه المسألة والاستثناء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الأمر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التحالف، وفي كلتا الصورتين يعد الاثنان واحداً</w:t>
      </w:r>
      <w:r>
        <w:rPr>
          <w:rFonts w:eastAsia="Amiri" w:cs="Amiri" w:ascii="Amiri" w:hAnsi="Amiri"/>
          <w:color w:val="111111"/>
          <w:sz w:val="28"/>
          <w:szCs w:val="28"/>
          <w:rtl w:val="true"/>
          <w:lang w:bidi="ar-SA"/>
        </w:rPr>
        <w:t>.</w:t>
      </w:r>
    </w:p>
    <w:p>
      <w:pPr>
        <w:pStyle w:val="Heading2"/>
        <w:numPr>
          <w:ilvl w:val="1"/>
          <w:numId w:val="1"/>
        </w:numPr>
        <w:rPr/>
      </w:pPr>
      <w:bookmarkStart w:id="264" w:name="__RefHeading___Toc12183835_2142443653"/>
      <w:bookmarkStart w:id="265" w:name="_Toc98"/>
      <w:bookmarkEnd w:id="264"/>
      <w:r>
        <w:rPr>
          <w:rtl w:val="true"/>
        </w:rPr>
        <w:t>دفاع المسلم عن المسلمين</w:t>
      </w:r>
      <w:bookmarkEnd w:id="26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w:t>
      </w:r>
      <w:r>
        <w:rPr>
          <w:rStyle w:val="FootnoteAnchor"/>
          <w:rtl w:val="true"/>
        </w:rPr>
        <w:footnoteReference w:id="433"/>
      </w:r>
      <w:r>
        <w:rPr>
          <w:rFonts w:ascii="Amiri" w:hAnsi="Amiri" w:eastAsia="Amiri" w:cs="Amiri"/>
          <w:color w:val="111111"/>
          <w:sz w:val="28"/>
          <w:sz w:val="28"/>
          <w:szCs w:val="28"/>
          <w:rtl w:val="true"/>
          <w:lang w:bidi="ar-SA"/>
        </w:rPr>
        <w:t xml:space="preserve">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عناوين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يتعدى هو في المستقبل أو غيره على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مستمراً في الضرب، فنضربه ليرفع 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الكل يعدون جبهة واحدة، كما في المسألة السابقة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الكلام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الأرقام المذكورة غموض، والظاهر إبدال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66" w:name="pg15710_226805"/>
    </w:p>
    <w:p>
      <w:pPr>
        <w:pStyle w:val="BookText"/>
        <w:rPr/>
      </w:pPr>
      <w:bookmarkEnd w:id="266"/>
      <w:r>
        <w:rPr>
          <w:rFonts w:ascii="Amiri" w:hAnsi="Amiri" w:eastAsia="Amiri" w:cs="Amiri"/>
          <w:color w:val="111111"/>
          <w:sz w:val="28"/>
          <w:sz w:val="28"/>
          <w:szCs w:val="28"/>
          <w:rtl w:val="true"/>
          <w:lang w:bidi="ar-SA"/>
        </w:rPr>
        <w:t xml:space="preserve">فإذا تعدى كافر محارب للمسلمين على زيد جاز لعمرو أن ينتقم من ذلك الكافر، وهذا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المسلم عن المسلمين وإيقاف الكافر عند 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شرح للاستثناء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كان بميزان الجهاد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كالجسد الواحد إذا اشتكى عضو تداعت له سائر الأعضاء</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 وكذلك إن كان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12183837_2142443653"/>
      <w:bookmarkStart w:id="268" w:name="_Toc99"/>
      <w:bookmarkEnd w:id="267"/>
      <w:r>
        <w:rPr>
          <w:rtl w:val="true"/>
        </w:rPr>
        <w:t>إخراج النفائس من البلد</w:t>
      </w:r>
      <w:bookmarkEnd w:id="26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w:t>
      </w:r>
      <w:r>
        <w:rPr>
          <w:rStyle w:val="FootnoteAnchor"/>
          <w:rtl w:val="true"/>
        </w:rPr>
        <w:footnoteReference w:id="440"/>
      </w:r>
      <w:r>
        <w:rPr>
          <w:rFonts w:ascii="Amiri" w:hAnsi="Amiri" w:eastAsia="Amiri" w:cs="Amiri"/>
          <w:color w:val="111111"/>
          <w:sz w:val="28"/>
          <w:sz w:val="28"/>
          <w:szCs w:val="28"/>
          <w:rtl w:val="true"/>
          <w:lang w:bidi="ar-SA"/>
        </w:rPr>
        <w:t xml:space="preserve"> للدولة أن تمنع إخراج النفائس من البلد؟ الظاهر أنه لا يحق لها ذلك، إلا إذا كانت جهة موجبة للمنع أهم من حرية صاحب ذلك الشيء النفيس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الكلام</w:t>
      </w:r>
      <w:r>
        <w:rPr>
          <w:rStyle w:val="FootnoteAnchor"/>
          <w:rtl w:val="true"/>
        </w:rPr>
        <w:footnoteReference w:id="441"/>
      </w:r>
      <w:r>
        <w:rPr>
          <w:rFonts w:ascii="Amiri" w:hAnsi="Amiri" w:eastAsia="Amiri" w:cs="Amiri"/>
          <w:color w:val="111111"/>
          <w:sz w:val="28"/>
          <w:sz w:val="28"/>
          <w:szCs w:val="28"/>
          <w:rtl w:val="true"/>
          <w:lang w:bidi="ar-SA"/>
        </w:rPr>
        <w:t>فيه وفي سائر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الكلام في مثله في هامش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فراجع وسيأتي مثله في 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269" w:name="pg15710_226806"/>
    </w:p>
    <w:p>
      <w:pPr>
        <w:pStyle w:val="BookText"/>
        <w:rPr/>
      </w:pPr>
      <w:bookmarkEnd w:id="26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نبات نفيس، أو حيوان نفيس، أو جماد نفيس لوحدة الدليل في الجميع</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12183839_2142443653"/>
      <w:bookmarkStart w:id="271" w:name="_Toc100"/>
      <w:bookmarkEnd w:id="270"/>
      <w:r>
        <w:rPr>
          <w:rtl w:val="true"/>
        </w:rPr>
        <w:t>مصير الشيء النفيس</w:t>
      </w:r>
      <w:bookmarkEnd w:id="27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للدولة أن تستولي على الشيء النفيس بدون رضا صاحبه،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وجد كلاهما في زماننا، وأراد الواجد لهما أن يذبحهما</w:t>
      </w:r>
      <w:r>
        <w:rPr>
          <w:rStyle w:val="FootnoteAnchor"/>
          <w:rtl w:val="true"/>
        </w:rPr>
        <w:footnoteReference w:id="445"/>
      </w:r>
      <w:r>
        <w:rPr>
          <w:rFonts w:ascii="Amiri" w:hAnsi="Amiri" w:eastAsia="Amiri" w:cs="Amiri"/>
          <w:color w:val="111111"/>
          <w:sz w:val="28"/>
          <w:sz w:val="28"/>
          <w:szCs w:val="28"/>
          <w:rtl w:val="true"/>
          <w:lang w:bidi="ar-SA"/>
        </w:rPr>
        <w:t xml:space="preserve"> أو يخرجهما من البلد أو يجعلهما في بيته، مما هو معرض</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لهلاكهما وانقطاع نسلهما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يمكن اتخاذ النسل لهما، بالنزو على مثلهما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للدولة الاستيلاء عليهما بالقوة، حيث لا ينفع السلم بكل أشكاله؟ احتمالان، الظاهر العدم</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xml:space="preserve">، إلا إذا كانت جهة راجحة بحيث تدخل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المسائل السابقة، والغالب إمكان حل هذه المشاكل بما لا ينافي سلطنة</w:t>
      </w: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مشمول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وَيُهْلِكَ الْحَرْثَ وَالنَّسْلَ</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فيجب منعه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معرض وقوع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إنه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منع ما هو معرض؟</w:t>
      </w:r>
    </w:p>
    <w:p>
      <w:pPr>
        <w:pStyle w:val="BookText"/>
        <w:rPr/>
      </w:pPr>
      <w:r>
        <w:rPr>
          <w:rFonts w:ascii="Amiri" w:hAnsi="Amiri" w:eastAsia="Amiri" w:cs="Amiri"/>
          <w:color w:val="111111"/>
          <w:sz w:val="28"/>
          <w:sz w:val="28"/>
          <w:szCs w:val="28"/>
          <w:rtl w:val="true"/>
          <w:lang w:bidi="ar-SA"/>
        </w:rPr>
        <w:t>قد يُقال بذلك؛ لأن المولى لا يريد وقوع المنكر في الخارج، فيجب الحيلولة عن المعرضية،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التأمّل في إطلاقه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كالشراء بثمن نفيس مثلاً</w:t>
      </w:r>
      <w:r>
        <w:rPr>
          <w:rFonts w:eastAsia="Amiri" w:cs="Amiri" w:ascii="Amiri" w:hAnsi="Amiri"/>
          <w:color w:val="111111"/>
          <w:sz w:val="28"/>
          <w:szCs w:val="28"/>
          <w:rtl w:val="true"/>
          <w:lang w:bidi="ar-SA"/>
        </w:rPr>
        <w:t xml:space="preserve">. </w:t>
      </w:r>
      <w:bookmarkStart w:id="272" w:name="pg15710_226807"/>
    </w:p>
    <w:p>
      <w:pPr>
        <w:pStyle w:val="BookText"/>
        <w:rPr/>
      </w:pPr>
      <w:bookmarkEnd w:id="2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إذا جاز للدولة الاستيلاء؛ وذلك بإمضاء 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المراجع، فاللازم إعطاء ثمنه لصاحبه؛ لأنه لا تلازم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الحكم التكليفي والوضعي، هذا إذا كانت قاعدة الأهم تعطي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استملاك الدولة له، أما إذا لم تعط ذلك فالشيء يبقى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 مالكه، وإن كان تحت استيلاء الدولة جمعاً بين الحقين</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12183841_2142443653"/>
      <w:bookmarkStart w:id="274" w:name="_Toc101"/>
      <w:bookmarkEnd w:id="273"/>
      <w:r>
        <w:rPr>
          <w:rtl w:val="true"/>
        </w:rPr>
        <w:t>هجرة العقول</w:t>
      </w:r>
      <w:bookmarkEnd w:id="27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w:t>
      </w:r>
      <w:r>
        <w:rPr>
          <w:rStyle w:val="FootnoteAnchor"/>
          <w:rtl w:val="true"/>
        </w:rPr>
        <w:footnoteReference w:id="448"/>
      </w:r>
      <w:r>
        <w:rPr>
          <w:rFonts w:ascii="Amiri" w:hAnsi="Amiri" w:eastAsia="Amiri" w:cs="Amiri"/>
          <w:color w:val="111111"/>
          <w:sz w:val="28"/>
          <w:sz w:val="28"/>
          <w:szCs w:val="28"/>
          <w:rtl w:val="true"/>
          <w:lang w:bidi="ar-SA"/>
        </w:rPr>
        <w:t xml:space="preserve"> للدولة أن تمنع عن خروج أصحاب الصناعات والعلماء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بمختلف أقسام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البلد، سواء كان البلد محتاجا</w:t>
      </w:r>
      <w:r>
        <w:rPr>
          <w:rStyle w:val="FootnoteAnchor"/>
          <w:rtl w:val="true"/>
        </w:rPr>
        <w:footnoteReference w:id="449"/>
      </w:r>
      <w:r>
        <w:rPr>
          <w:rFonts w:ascii="Amiri" w:hAnsi="Amiri" w:eastAsia="Amiri" w:cs="Amiri"/>
          <w:color w:val="111111"/>
          <w:sz w:val="28"/>
          <w:sz w:val="28"/>
          <w:szCs w:val="28"/>
          <w:rtl w:val="true"/>
          <w:lang w:bidi="ar-SA"/>
        </w:rPr>
        <w:t xml:space="preserve"> لهم أم 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طبيب ماهر جداً فلا تسمح له الدولة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يخولونه لتولي مثل هذه الأُمور كالوكيل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الكلام في ذلك، أو راجع كتاب الأمر بالمعروف والنهي عن المنكر في كسر أواني الخمر مثلاً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إلاّ لو لم يرضَ المالك بالإجارة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عليها دفع الأجرة؟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الكلام في مثله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275" w:name="pg15710_226808"/>
    </w:p>
    <w:p>
      <w:pPr>
        <w:pStyle w:val="BookText"/>
        <w:rPr/>
      </w:pPr>
      <w:bookmarkEnd w:id="275"/>
      <w:r>
        <w:rPr>
          <w:rFonts w:ascii="Amiri" w:hAnsi="Amiri" w:eastAsia="Amiri" w:cs="Amiri"/>
          <w:color w:val="111111"/>
          <w:sz w:val="28"/>
          <w:sz w:val="28"/>
          <w:szCs w:val="28"/>
          <w:rtl w:val="true"/>
          <w:lang w:bidi="ar-SA"/>
        </w:rPr>
        <w:t>بالخروج، ولنفرض أن البقاء ليس واجباً عليه؟ الظاهر أنه لا يحق للدولة ذلك، إلا إذا كان جهة خارجية أهم، كما تقدم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على أنفسهم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والمستثنى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أمضاه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شورى الفقهاء المراجع</w:t>
      </w:r>
      <w:r>
        <w:rPr>
          <w:rFonts w:eastAsia="IRNazanin" w:cs="IRNazanin"/>
          <w:color w:val="111111"/>
          <w:sz w:val="28"/>
          <w:szCs w:val="28"/>
          <w:rtl w:val="true"/>
          <w:lang w:bidi="fa-IR"/>
        </w:rPr>
        <w:t>.</w:t>
      </w:r>
    </w:p>
    <w:p>
      <w:pPr>
        <w:pStyle w:val="Heading2"/>
        <w:numPr>
          <w:ilvl w:val="1"/>
          <w:numId w:val="1"/>
        </w:numPr>
        <w:rPr/>
      </w:pPr>
      <w:bookmarkStart w:id="276" w:name="__RefHeading___Toc12183843_2142443653"/>
      <w:bookmarkStart w:id="277" w:name="_Toc102"/>
      <w:bookmarkEnd w:id="276"/>
      <w:r>
        <w:rPr>
          <w:rtl w:val="true"/>
        </w:rPr>
        <w:t>المهملات والاستفادة منها</w:t>
      </w:r>
      <w:bookmarkEnd w:id="27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كان تركه يوجب أن يذهب بدون فائدة بحيث يصدق</w:t>
      </w:r>
      <w:r>
        <w:rPr>
          <w:rStyle w:val="FootnoteAnchor"/>
          <w:rtl w:val="true"/>
        </w:rPr>
        <w:footnoteReference w:id="454"/>
      </w:r>
      <w:r>
        <w:rPr>
          <w:rFonts w:ascii="Amiri" w:hAnsi="Amiri" w:eastAsia="Amiri" w:cs="Amiri"/>
          <w:color w:val="111111"/>
          <w:sz w:val="28"/>
          <w:sz w:val="28"/>
          <w:szCs w:val="28"/>
          <w:rtl w:val="true"/>
          <w:lang w:bidi="ar-SA"/>
        </w:rPr>
        <w:t xml:space="preserve"> عليه الإسراف يحرم</w:t>
      </w:r>
      <w:r>
        <w:rPr>
          <w:rStyle w:val="FootnoteAnchor"/>
          <w:rtl w:val="true"/>
        </w:rPr>
        <w:footnoteReference w:id="455"/>
      </w:r>
      <w:r>
        <w:rPr>
          <w:rFonts w:ascii="Amiri" w:hAnsi="Amiri" w:eastAsia="Amiri" w:cs="Amiri"/>
          <w:color w:val="111111"/>
          <w:sz w:val="28"/>
          <w:sz w:val="28"/>
          <w:szCs w:val="28"/>
          <w:rtl w:val="true"/>
          <w:lang w:bidi="ar-SA"/>
        </w:rPr>
        <w:t xml:space="preserve"> على الإنسان أن يتركه كذلك، مثلاً</w:t>
      </w:r>
      <w:r>
        <w:rPr>
          <w:rFonts w:eastAsia="Amiri" w:cs="Amiri" w:ascii="Amiri" w:hAnsi="Amiri"/>
          <w:color w:val="111111"/>
          <w:sz w:val="28"/>
          <w:szCs w:val="28"/>
          <w:rtl w:val="true"/>
          <w:lang w:bidi="ar-SA"/>
        </w:rPr>
        <w:t>:</w:t>
      </w:r>
    </w:p>
    <w:p>
      <w:pPr>
        <w:pStyle w:val="BookText"/>
        <w:rPr/>
      </w:pP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محتاجاً ولم يكن هنالك بلد آخر يحتاج كان الوجوب كفائياً، فيجوز إجبارهم، ليتحملوا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لم يكن هنالك مَنْ يقوم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ولنفرض أن البقاء</w:t>
      </w:r>
      <w:r>
        <w:rPr>
          <w:rFonts w:eastAsia="Amiri" w:cs="Amiri" w:ascii="Amiri" w:hAnsi="Amiri"/>
          <w:color w:val="111111"/>
          <w:sz w:val="28"/>
          <w:szCs w:val="28"/>
          <w:rtl w:val="true"/>
          <w:lang w:bidi="ar-SA"/>
        </w:rPr>
        <w:t>...».</w:t>
      </w:r>
    </w:p>
    <w:p>
      <w:pPr>
        <w:pStyle w:val="BookText"/>
        <w:rPr/>
      </w:pP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سبق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وكلائهم كما سبق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لا بالدقة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والشكر أسفل الاستكان</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المحرمات</w:t>
      </w:r>
      <w:r>
        <w:rPr>
          <w:rFonts w:eastAsia="IRNazanin" w:cs="IRNazanin"/>
          <w:color w:val="111111"/>
          <w:sz w:val="28"/>
          <w:szCs w:val="28"/>
          <w:rtl w:val="true"/>
          <w:lang w:bidi="fa-IR"/>
        </w:rPr>
        <w:t>)</w:t>
      </w:r>
      <w:r>
        <w:rPr>
          <w:rStyle w:val="FootnoteAnchor"/>
          <w:rtl w:val="true"/>
        </w:rPr>
        <w:footnoteReference w:id="464"/>
      </w:r>
      <w:r>
        <w:rPr>
          <w:rFonts w:ascii="Amiri" w:hAnsi="Amiri" w:eastAsia="Amiri" w:cs="Amiri"/>
          <w:color w:val="111111"/>
          <w:sz w:val="28"/>
          <w:sz w:val="28"/>
          <w:szCs w:val="28"/>
          <w:rtl w:val="true"/>
          <w:lang w:bidi="ar-SA"/>
        </w:rPr>
        <w:t>لكن 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الإسراف في ماء الوضوء </w:t>
      </w:r>
      <w:bookmarkStart w:id="278" w:name="pg15710_226809"/>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جمعه ليكون فحماً، كما يفعل به الغرب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صنع القماش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صنع الصبغ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 الحيوان والقمامة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صنع السماد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القاذورات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صنع الصابون منها، وهكذا يجب على الإنسان القادر حفظه؛ لأنه إسراف عرفاً</w:t>
      </w:r>
      <w:r>
        <w:rPr>
          <w:rStyle w:val="FootnoteAnchor"/>
          <w:rtl w:val="true"/>
        </w:rPr>
        <w:footnoteReference w:id="465"/>
      </w:r>
      <w:r>
        <w:rPr>
          <w:rFonts w:ascii="Amiri" w:hAnsi="Amiri" w:eastAsia="Amiri" w:cs="Amiri"/>
          <w:color w:val="111111"/>
          <w:sz w:val="28"/>
          <w:sz w:val="28"/>
          <w:szCs w:val="28"/>
          <w:rtl w:val="true"/>
          <w:lang w:bidi="ar-SA"/>
        </w:rPr>
        <w:t>، بل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طرح النواة</w:t>
      </w: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إسراف</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إذا كان قليلاً بحيث لا يصدق الإسراف؛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مثل الدخان والرماد والدم وميت الحيوان والقمامة والقاذورات البشرية لا يعد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الإسراف المحرم، فتأمل</w:t>
      </w:r>
      <w:r>
        <w:rPr>
          <w:rFonts w:eastAsia="Amiri" w:cs="Amiri" w:ascii="Amiri" w:hAnsi="Amiri"/>
          <w:color w:val="111111"/>
          <w:sz w:val="28"/>
          <w:szCs w:val="28"/>
          <w:rtl w:val="true"/>
          <w:lang w:bidi="ar-SA"/>
        </w:rPr>
        <w:t>.</w:t>
      </w:r>
    </w:p>
    <w:p>
      <w:pPr>
        <w:pStyle w:val="Heading2"/>
        <w:numPr>
          <w:ilvl w:val="1"/>
          <w:numId w:val="1"/>
        </w:numPr>
        <w:rPr/>
      </w:pPr>
      <w:bookmarkStart w:id="279" w:name="__RefHeading___Toc12183845_2142443653"/>
      <w:bookmarkStart w:id="280" w:name="_Toc103"/>
      <w:bookmarkEnd w:id="279"/>
      <w:r>
        <w:rPr>
          <w:rtl w:val="true"/>
        </w:rPr>
        <w:t>صرف الماء للزرع</w:t>
      </w:r>
      <w:bookmarkEnd w:id="28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نصب الماكنات أو بناء السد على الماء وصرفه</w:t>
      </w:r>
    </w:p>
    <w:p>
      <w:pPr>
        <w:pStyle w:val="BookText"/>
        <w:rPr/>
      </w:pP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 xml:space="preserve">، والوالد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بأن الإسراف ذو مراتب</w:t>
      </w:r>
      <w:r>
        <w:rPr>
          <w:rFonts w:eastAsia="IRNazanin" w:cs="IRNazanin"/>
          <w:color w:val="111111"/>
          <w:sz w:val="28"/>
          <w:szCs w:val="28"/>
          <w:rtl w:val="true"/>
          <w:lang w:bidi="fa-IR"/>
        </w:rPr>
        <w:t>.</w:t>
      </w:r>
    </w:p>
    <w:p>
      <w:pPr>
        <w:pStyle w:val="BookText"/>
        <w:rPr/>
      </w:pP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يفصل بين الفرد، فليس إسرافاً عرفاً، أما الدولة فإذا لم تفعل ذلك فاتتها المليارات، فهو إسراف عرفاً،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لملاحظة سنده أولاً</w:t>
      </w:r>
      <w:r>
        <w:rPr>
          <w:rStyle w:val="FootnoteAnchor"/>
          <w:rtl w:val="true"/>
        </w:rPr>
        <w:footnoteReference w:id="469"/>
      </w:r>
      <w:r>
        <w:rPr>
          <w:rFonts w:ascii="Amiri" w:hAnsi="Amiri" w:eastAsia="Amiri" w:cs="Amiri"/>
          <w:color w:val="111111"/>
          <w:sz w:val="28"/>
          <w:sz w:val="28"/>
          <w:szCs w:val="28"/>
          <w:rtl w:val="true"/>
          <w:lang w:bidi="ar-SA"/>
        </w:rPr>
        <w:t>، ثم ملاحظة الإعراض والسيرة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التفصيل، فتأمل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bookmarkStart w:id="281" w:name="pg15710_226810"/>
    </w:p>
    <w:p>
      <w:pPr>
        <w:pStyle w:val="BookText"/>
        <w:rPr/>
      </w:pPr>
      <w:bookmarkEnd w:id="281"/>
      <w:r>
        <w:rPr>
          <w:rFonts w:ascii="Amiri" w:hAnsi="Amiri" w:eastAsia="Amiri" w:cs="Amiri"/>
          <w:color w:val="111111"/>
          <w:sz w:val="28"/>
          <w:sz w:val="28"/>
          <w:szCs w:val="28"/>
          <w:rtl w:val="true"/>
          <w:lang w:bidi="ar-SA"/>
        </w:rPr>
        <w:t>على الزرع في مقابل أن يذهب إلى البحر</w:t>
      </w: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 وكذا لو أمكن صيد الأسماك الموجودة في الماء قبل أن تذهب إلى البحر وهكذا، فهل يجب ذلك على الإنسان القادر؛ لأن تركه إسراف، أو لا يجب؛ لانصراف أدلة الإسراف عن مثل ذلك؟ احتمالان، ويمكن اختلاف الموارد، والمعيار صدق الإسراف العرفي</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فكلما صدق الإسراف لم يجز، وكلما لم يصدق جاز، وإن اختلف العرف في الصدق وعدمه فالأصل</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عدم الوجوب</w:t>
      </w:r>
      <w:r>
        <w:rPr>
          <w:rFonts w:eastAsia="IRNazanin" w:cs="IRNazanin"/>
          <w:color w:val="111111"/>
          <w:sz w:val="28"/>
          <w:szCs w:val="28"/>
          <w:rtl w:val="true"/>
          <w:lang w:bidi="fa-IR"/>
        </w:rPr>
        <w:t>.</w:t>
      </w:r>
    </w:p>
    <w:p>
      <w:pPr>
        <w:pStyle w:val="Heading2"/>
        <w:numPr>
          <w:ilvl w:val="1"/>
          <w:numId w:val="1"/>
        </w:numPr>
        <w:rPr/>
      </w:pPr>
      <w:bookmarkStart w:id="282" w:name="__RefHeading___Toc12183847_2142443653"/>
      <w:bookmarkStart w:id="283" w:name="_Toc104"/>
      <w:bookmarkEnd w:id="282"/>
      <w:r>
        <w:rPr>
          <w:rtl w:val="true"/>
        </w:rPr>
        <w:t>حرية الطرق والمواصلات</w:t>
      </w:r>
      <w:bookmarkEnd w:id="28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للدولة</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اجتياز السيارات الكبيرة أو منع السيارات القديمة، أو منع استعمال جهاز التنبيه، أو منع سير العربيات في الشوارع أو شبه ذلك أم لا يحق؟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يحق لها ذلك؛ لأنه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جهة خارجية مرجحة</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فيحق لها المنع من باب قاعدة</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وتموت وإلا فهو مجرد نقل مكان،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للثالث، وإلا فلكلٍ عرفه، كما ذكروا مثله في القمار والغناء وما يسجد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تلاحظ الأكثرية هنا؟</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الطريق ملكاً لها فلها حقّ التصرّف</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الإلزام، كما يدلّ عليه تعليله بالأهم والمهم</w:t>
      </w:r>
      <w:r>
        <w:rPr>
          <w:rFonts w:eastAsia="Amiri" w:cs="Amiri" w:ascii="Amiri" w:hAnsi="Amiri"/>
          <w:color w:val="111111"/>
          <w:sz w:val="28"/>
          <w:szCs w:val="28"/>
          <w:rtl w:val="true"/>
          <w:lang w:bidi="ar-SA"/>
        </w:rPr>
        <w:t xml:space="preserve">. </w:t>
      </w:r>
      <w:bookmarkStart w:id="284" w:name="pg15710_226811"/>
    </w:p>
    <w:p>
      <w:pPr>
        <w:pStyle w:val="BookText"/>
        <w:rPr/>
      </w:pPr>
      <w:bookmarkEnd w:id="2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 والمهم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بعض المسائل السابقة، أو من باب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إذا أوجب بعض الأُمور المتقدمة عسراً وحرجاً على الناس؛ إذ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حاكمة على الأدلة الأولية</w:t>
      </w:r>
      <w:r>
        <w:rPr>
          <w:rFonts w:eastAsia="Amiri" w:cs="Amiri" w:ascii="Amiri" w:hAnsi="Amiri"/>
          <w:color w:val="111111"/>
          <w:sz w:val="28"/>
          <w:szCs w:val="28"/>
          <w:rtl w:val="true"/>
          <w:lang w:bidi="ar-SA"/>
        </w:rPr>
        <w:t>.</w:t>
      </w:r>
    </w:p>
    <w:p>
      <w:pPr>
        <w:pStyle w:val="Heading2"/>
        <w:numPr>
          <w:ilvl w:val="1"/>
          <w:numId w:val="1"/>
        </w:numPr>
        <w:rPr/>
      </w:pPr>
      <w:bookmarkStart w:id="285" w:name="__RefHeading___Toc12183849_2142443653"/>
      <w:bookmarkStart w:id="286" w:name="_Toc105"/>
      <w:bookmarkEnd w:id="285"/>
      <w:r>
        <w:rPr>
          <w:rtl w:val="true"/>
        </w:rPr>
        <w:t>قانون المرور</w:t>
      </w:r>
      <w:bookmarkEnd w:id="28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w:t>
      </w:r>
      <w:r>
        <w:rPr>
          <w:rStyle w:val="FootnoteAnchor"/>
          <w:rtl w:val="true"/>
        </w:rPr>
        <w:footnoteReference w:id="470"/>
      </w:r>
      <w:r>
        <w:rPr>
          <w:rFonts w:ascii="Amiri" w:hAnsi="Amiri" w:eastAsia="Amiri" w:cs="Amiri"/>
          <w:color w:val="111111"/>
          <w:sz w:val="28"/>
          <w:sz w:val="28"/>
          <w:szCs w:val="28"/>
          <w:rtl w:val="true"/>
          <w:lang w:bidi="ar-SA"/>
        </w:rPr>
        <w:t xml:space="preserve"> للدولة فرض اتجاه خاص لسير السيارات، أو سرعة خاصة، أو فرض جادة خاصة للراجلين وجادة أُخرى للراكبين، وجادة لأصحاب الدراجات؟ وهكذا الحكم ما ذكر في المسائل السابقة عليها، والظاهر أن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يكفل بكثير من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تتم التفجيرات في السيارات الكذائية فتمنع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منه إضرار الاقتصاد الوطني وإضرار الصحة العامة؟</w:t>
      </w:r>
    </w:p>
    <w:p>
      <w:pPr>
        <w:pStyle w:val="BookText"/>
        <w:rPr/>
      </w:pPr>
      <w:r>
        <w:rPr>
          <w:rFonts w:ascii="Amiri" w:hAnsi="Amiri" w:eastAsia="Amiri" w:cs="Amiri"/>
          <w:color w:val="111111"/>
          <w:sz w:val="28"/>
          <w:sz w:val="28"/>
          <w:szCs w:val="28"/>
          <w:rtl w:val="true"/>
          <w:lang w:bidi="ar-SA"/>
        </w:rPr>
        <w:t>الثاني منه، والأول قد يتحقّق لو لوحظ ترتب خسارة عظيمة يعلم أن الشارع لا يريد وقوعها على أثر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 قد يتعارض الضرران،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سائق السيارة الكبيرة مع ضرر الآخرين، 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الضررين</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287" w:name="pg15710_226812"/>
    </w:p>
    <w:p>
      <w:pPr>
        <w:pStyle w:val="BookText"/>
        <w:rPr/>
      </w:pPr>
      <w:bookmarkEnd w:id="2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إذا كانت الدولة شرعية لزم إطاعتها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حتى في غير مورد الضرر، كما إذا رأى السائق أن الطريق فارغ بحيث لا يضر المرور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تكن شرعية فالذي يقيد السائق انطباق 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على المورد الخاص، فإذا لم يكن ضرر جاز له خرق القانون</w:t>
      </w:r>
      <w:r>
        <w:rPr>
          <w:rFonts w:eastAsia="Amiri" w:cs="Amiri" w:ascii="Amiri" w:hAnsi="Amiri"/>
          <w:color w:val="111111"/>
          <w:sz w:val="28"/>
          <w:szCs w:val="28"/>
          <w:rtl w:val="true"/>
          <w:lang w:bidi="ar-SA"/>
        </w:rPr>
        <w:t>.</w:t>
      </w:r>
    </w:p>
    <w:p>
      <w:pPr>
        <w:pStyle w:val="Heading2"/>
        <w:numPr>
          <w:ilvl w:val="1"/>
          <w:numId w:val="1"/>
        </w:numPr>
        <w:rPr/>
      </w:pPr>
      <w:bookmarkStart w:id="288" w:name="__RefHeading___Toc12183851_2142443653"/>
      <w:bookmarkStart w:id="289" w:name="_Toc106"/>
      <w:bookmarkEnd w:id="288"/>
      <w:r>
        <w:rPr>
          <w:rtl w:val="true"/>
        </w:rPr>
        <w:t>ملء فراغ الشباب</w:t>
      </w:r>
      <w:bookmarkEnd w:id="28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ملء الفراغ</w:t>
      </w:r>
      <w:r>
        <w:rPr>
          <w:rStyle w:val="FootnoteAnchor"/>
          <w:rtl w:val="true"/>
        </w:rPr>
        <w:footnoteReference w:id="474"/>
      </w:r>
      <w:r>
        <w:rPr>
          <w:rFonts w:ascii="Amiri" w:hAnsi="Amiri" w:eastAsia="Amiri" w:cs="Amiri"/>
          <w:color w:val="111111"/>
          <w:sz w:val="28"/>
          <w:sz w:val="28"/>
          <w:szCs w:val="28"/>
          <w:rtl w:val="true"/>
          <w:lang w:bidi="ar-SA"/>
        </w:rPr>
        <w:t xml:space="preserve"> سبباً لمنع المنكر وجب، وإن كان نفس ملء الفراغ ليس واجباً بنفسه،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شاب لابد وأن يقرأ، فإذا لم تكن جريدة إسلامية</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الجريدة الخلاعية الموجبة لفساده، وتمكنا من إخراج جريدة إسلامية تملأ فراغه، مما تسد مسد الجريدة الخلاعية، فإنه يجب إخراج هذه الجريدة من باب المنع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الإخراج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واجب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للولاية العامة أو للأمور الحسبيّة، والضرر علّة للجعل لا للمجعول؛ إذ إناطة الأمر إلى تشخيص الأفراد يستلزم الضرر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كالأهم والمهم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الملء بالإسلامي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الملء بالحيادي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حيادية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أنّه واجب أو 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6"/>
      </w:r>
      <w:bookmarkStart w:id="290" w:name="pg15710_226813"/>
    </w:p>
    <w:p>
      <w:pPr>
        <w:pStyle w:val="Heading2"/>
        <w:numPr>
          <w:ilvl w:val="1"/>
          <w:numId w:val="1"/>
        </w:numPr>
        <w:rPr/>
      </w:pPr>
      <w:bookmarkStart w:id="291" w:name="__RefHeading___Toc12183853_2142443653"/>
      <w:bookmarkStart w:id="292" w:name="_Toc107"/>
      <w:bookmarkEnd w:id="290"/>
      <w:bookmarkEnd w:id="291"/>
      <w:r>
        <w:rPr>
          <w:rtl w:val="true"/>
        </w:rPr>
        <w:t>النادي الإسلامي</w:t>
      </w:r>
      <w:bookmarkEnd w:id="29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بملء الفراغ أمراً جزئياً خاصاً معلوماً فقط، بل يجب ما ذكر في المسألة السابقة بالنسبة إلى غير الجريدة،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أنه لو فتحنا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نادياً إسلامياً</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جملة من مرتادي النوادي المختلطة إلى هذا النادي، فإنه يلزم فتح النادي الإسلامي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صنع الأحواض للسباحة غير المختلطة في مقابل ما يوجد في البلد من الأحواض المختلطة وهكذا</w:t>
      </w:r>
      <w:r>
        <w:rPr>
          <w:rFonts w:eastAsia="Amiri" w:cs="Amiri" w:ascii="Amiri" w:hAnsi="Amiri"/>
          <w:color w:val="111111"/>
          <w:sz w:val="28"/>
          <w:szCs w:val="28"/>
          <w:rtl w:val="true"/>
          <w:lang w:bidi="ar-SA"/>
        </w:rPr>
        <w:t>.</w:t>
      </w:r>
    </w:p>
    <w:p>
      <w:pPr>
        <w:pStyle w:val="Heading2"/>
        <w:numPr>
          <w:ilvl w:val="1"/>
          <w:numId w:val="1"/>
        </w:numPr>
        <w:rPr/>
      </w:pPr>
      <w:bookmarkStart w:id="293" w:name="__RefHeading___Toc12183855_2142443653"/>
      <w:bookmarkStart w:id="294" w:name="_Toc108"/>
      <w:bookmarkEnd w:id="293"/>
      <w:r>
        <w:rPr>
          <w:rtl w:val="true"/>
        </w:rPr>
        <w:t>الحلال يسد مسد الحرام</w:t>
      </w:r>
      <w:bookmarkEnd w:id="29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المسلمين إدخال نشاط الحلال في كل جوانب الحياة، للحد من نشاط الحرام، أخذاً من تصوير الأُمور المحللة، كرسم ناطحات السحاب، بل الأُمور الإسلامية كرسم الكعبة المباركة في ظروف الشاي</w:t>
      </w:r>
      <w:r>
        <w:rPr>
          <w:rStyle w:val="FootnoteAnchor"/>
          <w:rtl w:val="true"/>
        </w:rPr>
        <w:footnoteReference w:id="478"/>
      </w:r>
      <w:r>
        <w:rPr>
          <w:rFonts w:ascii="Amiri" w:hAnsi="Amiri" w:eastAsia="Amiri" w:cs="Amiri"/>
          <w:color w:val="111111"/>
          <w:sz w:val="28"/>
          <w:sz w:val="28"/>
          <w:szCs w:val="28"/>
          <w:rtl w:val="true"/>
          <w:lang w:bidi="ar-SA"/>
        </w:rPr>
        <w:t xml:space="preserve"> إلى فتح الجامعات الخالية من المحرمات وهكذا، فإنه مما لاشك فيه أن الحلال يسد مسد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الإقبال إلى الحلال أكثر؛ لما في قلوب المسلمين من حب الإسلام والاعتقاد به، وإنما الحرام فرض عليهم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قلة من الناس لا يبالون، أو يبالون بالمنكر في كل زمان ومكان، وليس الكلام فيهم،</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حيادياً كما سبق نظيره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إهانة عرفاً</w:t>
      </w:r>
      <w:r>
        <w:rPr>
          <w:rFonts w:eastAsia="Amiri" w:cs="Amiri" w:ascii="Amiri" w:hAnsi="Amiri"/>
          <w:color w:val="111111"/>
          <w:sz w:val="28"/>
          <w:szCs w:val="28"/>
          <w:rtl w:val="true"/>
          <w:lang w:bidi="ar-SA"/>
        </w:rPr>
        <w:t xml:space="preserve">. </w:t>
      </w:r>
      <w:bookmarkStart w:id="295" w:name="pg15710_226814"/>
    </w:p>
    <w:p>
      <w:pPr>
        <w:pStyle w:val="BookText"/>
        <w:rPr/>
      </w:pPr>
      <w:bookmarkEnd w:id="295"/>
      <w:r>
        <w:rPr>
          <w:rFonts w:ascii="Amiri" w:hAnsi="Amiri" w:eastAsia="Amiri" w:cs="Amiri"/>
          <w:color w:val="111111"/>
          <w:sz w:val="28"/>
          <w:sz w:val="28"/>
          <w:szCs w:val="28"/>
          <w:rtl w:val="true"/>
          <w:lang w:bidi="ar-SA"/>
        </w:rPr>
        <w:t>ومنه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فتح الإذاعات والتلفزيونات والأقمار الصناعية، التي تبث البرامج الإسلامية والمحللة، وكذلك صنع الأفلام الشرعية</w:t>
      </w:r>
      <w:r>
        <w:rPr>
          <w:rFonts w:eastAsia="Amiri" w:cs="Amiri" w:ascii="Amiri" w:hAnsi="Amiri"/>
          <w:color w:val="111111"/>
          <w:sz w:val="28"/>
          <w:szCs w:val="28"/>
          <w:rtl w:val="true"/>
          <w:lang w:bidi="ar-SA"/>
        </w:rPr>
        <w:t>.</w:t>
      </w:r>
    </w:p>
    <w:p>
      <w:pPr>
        <w:pStyle w:val="Heading2"/>
        <w:numPr>
          <w:ilvl w:val="1"/>
          <w:numId w:val="1"/>
        </w:numPr>
        <w:rPr/>
      </w:pPr>
      <w:bookmarkStart w:id="296" w:name="__RefHeading___Toc12183857_2142443653"/>
      <w:bookmarkStart w:id="297" w:name="_Toc109"/>
      <w:bookmarkEnd w:id="296"/>
      <w:r>
        <w:rPr>
          <w:rtl w:val="true"/>
        </w:rPr>
        <w:t>حرمة التحري</w:t>
      </w:r>
      <w:bookmarkEnd w:id="29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482"/>
      </w:r>
      <w:r>
        <w:rPr>
          <w:rFonts w:ascii="Amiri" w:hAnsi="Amiri" w:eastAsia="Amiri" w:cs="Amiri"/>
          <w:color w:val="111111"/>
          <w:sz w:val="28"/>
          <w:sz w:val="28"/>
          <w:szCs w:val="28"/>
          <w:rtl w:val="true"/>
          <w:lang w:bidi="ar-SA"/>
        </w:rPr>
        <w:t xml:space="preserve"> تحري دار أحد أو دكانه أو أثاثه أو ثيابه، كما لا يجوز تحري سيارة أو مخزن أو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يحق للدولة الإسلامية العادلة التحري إذا كانت هناك مصلحة ملزمة تفوق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فيرجع الأمر إلى قاعدة الأهم والمهم</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أن يكون ذلك بتصويب</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شورى الفقهاء المراجع، وانطباق القاعدة من أندر النوادر جداً، كما يوجد ذلك في بعض الدول الديمقراطية</w:t>
      </w:r>
      <w:r>
        <w:rPr>
          <w:rFonts w:eastAsia="Amiri" w:cs="Amiri" w:ascii="Amiri" w:hAnsi="Amiri"/>
          <w:color w:val="111111"/>
          <w:sz w:val="28"/>
          <w:szCs w:val="28"/>
          <w:rtl w:val="true"/>
          <w:lang w:bidi="ar-SA"/>
        </w:rPr>
        <w:t>.</w:t>
      </w:r>
    </w:p>
    <w:p>
      <w:pPr>
        <w:pStyle w:val="Heading2"/>
        <w:numPr>
          <w:ilvl w:val="1"/>
          <w:numId w:val="1"/>
        </w:numPr>
        <w:rPr/>
      </w:pPr>
      <w:bookmarkStart w:id="298" w:name="__RefHeading___Toc12183859_2142443653"/>
      <w:bookmarkStart w:id="299" w:name="_Toc110"/>
      <w:bookmarkEnd w:id="298"/>
      <w:r>
        <w:rPr>
          <w:rtl w:val="true"/>
        </w:rPr>
        <w:t>المصر على المنكر</w:t>
      </w:r>
      <w:bookmarkEnd w:id="29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تعجرف</w:t>
      </w:r>
      <w:r>
        <w:rPr>
          <w:rStyle w:val="FootnoteAnchor"/>
          <w:rtl w:val="true"/>
        </w:rPr>
        <w:footnoteReference w:id="483"/>
      </w:r>
      <w:r>
        <w:rPr>
          <w:rFonts w:ascii="Amiri" w:hAnsi="Amiri" w:eastAsia="Amiri" w:cs="Amiri"/>
          <w:color w:val="111111"/>
          <w:sz w:val="28"/>
          <w:sz w:val="28"/>
          <w:szCs w:val="28"/>
          <w:rtl w:val="true"/>
          <w:lang w:bidi="ar-SA"/>
        </w:rPr>
        <w:t>إنسان أو دولة في فعل منكر، ولا يردعه عن ذلك إلا استفزاز مشاعره بحقيقة</w:t>
      </w:r>
      <w:r>
        <w:rPr>
          <w:rStyle w:val="FootnoteAnchor"/>
          <w:rtl w:val="true"/>
        </w:rPr>
        <w:footnoteReference w:id="484"/>
      </w:r>
      <w:r>
        <w:rPr>
          <w:rFonts w:ascii="Amiri" w:hAnsi="Amiri" w:eastAsia="Amiri" w:cs="Amiri"/>
          <w:color w:val="111111"/>
          <w:sz w:val="28"/>
          <w:sz w:val="28"/>
          <w:szCs w:val="28"/>
          <w:rtl w:val="true"/>
          <w:lang w:bidi="ar-SA"/>
        </w:rPr>
        <w:t xml:space="preserve"> يخاف فضيحته بها، جاز بشرط أن</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تجسساً وخلاف السلطنة، وتصرف في مال الغير بلا 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كالوقاية من الأعمال الانتحارية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وكلائهم كما مضى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بغيبته،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العيب الخفي</w:t>
      </w:r>
      <w:r>
        <w:rPr>
          <w:rFonts w:eastAsia="Amiri" w:cs="Amiri" w:ascii="Amiri" w:hAnsi="Amiri"/>
          <w:color w:val="111111"/>
          <w:sz w:val="28"/>
          <w:szCs w:val="28"/>
          <w:rtl w:val="true"/>
          <w:lang w:bidi="ar-SA"/>
        </w:rPr>
        <w:t xml:space="preserve">. </w:t>
      </w:r>
      <w:bookmarkStart w:id="300" w:name="pg15710_226815"/>
    </w:p>
    <w:p>
      <w:pPr>
        <w:pStyle w:val="BookText"/>
        <w:rPr/>
      </w:pPr>
      <w:bookmarkEnd w:id="300"/>
      <w:r>
        <w:rPr>
          <w:rFonts w:ascii="Amiri" w:hAnsi="Amiri" w:eastAsia="Amiri" w:cs="Amiri"/>
          <w:color w:val="111111"/>
          <w:sz w:val="28"/>
          <w:sz w:val="28"/>
          <w:szCs w:val="28"/>
          <w:rtl w:val="true"/>
          <w:lang w:bidi="ar-SA"/>
        </w:rPr>
        <w:t xml:space="preserve">يكون ذكر ذلك الحقيقة الفاضحة أقل أهمية في نظر الإسلام من ذلك المنكر؛ وذلك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يشرب الخمر خفية، ثم إنه يريد قتل إنسان محترم الدم، ولا يردعه عن القتل إلا إذا خاف أن نفضحه بشربه الخمر أمام الملأ، فإنه يجوز فضحه أو تهديده بالفضح إن لم يرتدع عن إرادته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لأنه طريق النهي</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عن المنكر الواجب حيث الأهمية</w:t>
      </w:r>
      <w:r>
        <w:rPr>
          <w:rFonts w:eastAsia="Amiri" w:cs="Amiri" w:ascii="Amiri" w:hAnsi="Amiri"/>
          <w:color w:val="111111"/>
          <w:sz w:val="28"/>
          <w:szCs w:val="28"/>
          <w:rtl w:val="true"/>
          <w:lang w:bidi="ar-SA"/>
        </w:rPr>
        <w:t>.</w:t>
      </w:r>
    </w:p>
    <w:p>
      <w:pPr>
        <w:pStyle w:val="Heading2"/>
        <w:numPr>
          <w:ilvl w:val="1"/>
          <w:numId w:val="1"/>
        </w:numPr>
        <w:rPr/>
      </w:pPr>
      <w:bookmarkStart w:id="301" w:name="__RefHeading___Toc12183861_2142443653"/>
      <w:bookmarkStart w:id="302" w:name="_Toc111"/>
      <w:bookmarkEnd w:id="301"/>
      <w:r>
        <w:rPr>
          <w:rtl w:val="true"/>
        </w:rPr>
        <w:t>مباهتة فاعل المنكر</w:t>
      </w:r>
      <w:bookmarkEnd w:id="30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المسألة السابقة يأتي فيما إذا لم يمكن الردع إلا بمباهتة مريد المنكر، أو العامل بالمنكر ببهتان</w:t>
      </w:r>
      <w:r>
        <w:rPr>
          <w:rStyle w:val="FootnoteAnchor"/>
          <w:rtl w:val="true"/>
        </w:rPr>
        <w:footnoteReference w:id="487"/>
      </w:r>
      <w:r>
        <w:rPr>
          <w:rFonts w:ascii="IRNazanin" w:hAnsi="IRNazanin" w:eastAsia="IRNazanin"/>
          <w:color w:val="111111"/>
          <w:sz w:val="28"/>
          <w:sz w:val="28"/>
          <w:szCs w:val="28"/>
          <w:rtl w:val="true"/>
          <w:lang w:bidi="fa-IR"/>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 خلاف الواقع،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حبس مسلماً بدون حق، فإذا خاف من مباهتتي إياه بأنه يشرب</w:t>
      </w:r>
    </w:p>
    <w:p>
      <w:pPr>
        <w:pStyle w:val="BookText"/>
        <w:rPr/>
      </w:pP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الردع عن المنكر، فهو دفع لا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التعليل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باهتوهم</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لئلا يطمع في الباطل، وعموم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الكذب، كجعل منام مختلق،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303" w:name="pg15710_226816"/>
    </w:p>
    <w:p>
      <w:pPr>
        <w:pStyle w:val="BookText"/>
        <w:rPr/>
      </w:pPr>
      <w:bookmarkEnd w:id="303"/>
      <w:r>
        <w:rPr>
          <w:rFonts w:ascii="Amiri" w:hAnsi="Amiri" w:eastAsia="Amiri" w:cs="Amiri"/>
          <w:color w:val="111111"/>
          <w:sz w:val="28"/>
          <w:sz w:val="28"/>
          <w:szCs w:val="28"/>
          <w:rtl w:val="true"/>
          <w:lang w:bidi="ar-SA"/>
        </w:rPr>
        <w:t>الخمر أطلق سراح السجين جاز البهتان أو تخويفه به، مع ملاحظة قاعدة الأهم والمهم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تمييز الأهمية بيد الحاكم الشرعي</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 الفقهاء المراجع، أو عدول</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المؤمنين إذا لم يكن حاكم شرعي قادر، وإلا فليس ذلك من حق أي فرد</w:t>
      </w:r>
      <w:r>
        <w:rPr>
          <w:rFonts w:eastAsia="Amiri" w:cs="Amiri" w:ascii="Amiri" w:hAnsi="Amiri"/>
          <w:color w:val="111111"/>
          <w:sz w:val="28"/>
          <w:szCs w:val="28"/>
          <w:rtl w:val="true"/>
          <w:lang w:bidi="ar-SA"/>
        </w:rPr>
        <w:t>.</w:t>
      </w:r>
    </w:p>
    <w:p>
      <w:pPr>
        <w:pStyle w:val="Heading2"/>
        <w:numPr>
          <w:ilvl w:val="1"/>
          <w:numId w:val="1"/>
        </w:numPr>
        <w:rPr/>
      </w:pPr>
      <w:bookmarkStart w:id="304" w:name="__RefHeading___Toc12183863_2142443653"/>
      <w:bookmarkStart w:id="305" w:name="_Toc112"/>
      <w:bookmarkEnd w:id="304"/>
      <w:r>
        <w:rPr>
          <w:rtl w:val="true"/>
        </w:rPr>
        <w:t>الخبير بالأحكام الإسلامية</w:t>
      </w:r>
      <w:bookmarkEnd w:id="30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في جملة من المسائل إنما هو بيد الخبير</w:t>
      </w:r>
      <w:r>
        <w:rPr>
          <w:rStyle w:val="FootnoteAnchor"/>
          <w:rtl w:val="true"/>
        </w:rPr>
        <w:footnoteReference w:id="494"/>
      </w:r>
      <w:r>
        <w:rPr>
          <w:rFonts w:ascii="Amiri" w:hAnsi="Amiri" w:eastAsia="Amiri" w:cs="Amiri"/>
          <w:color w:val="111111"/>
          <w:sz w:val="28"/>
          <w:sz w:val="28"/>
          <w:szCs w:val="28"/>
          <w:rtl w:val="true"/>
          <w:lang w:bidi="ar-SA"/>
        </w:rPr>
        <w:t xml:space="preserve"> بالأحكام الإسلامية، فليس لكل أحد أن يفعل ذلك، وإذا شك في الأهم والمهم فالمرجع إلى الأُصول العملية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بالخبير ما ذكرناه في المسألة السابقة، والمراد بالأصول العملية أصالة عدم الجواز، استصحاباً أو احتياطاً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الأغلب </w:t>
      </w:r>
      <w:r>
        <w:rPr>
          <w:rFonts w:eastAsia="IRNazanin" w:cs="IRNazanin"/>
          <w:color w:val="111111"/>
          <w:sz w:val="28"/>
          <w:szCs w:val="28"/>
          <w:rtl w:val="true"/>
          <w:lang w:bidi="fa-IR"/>
        </w:rPr>
        <w:t>- .</w:t>
      </w:r>
    </w:p>
    <w:p>
      <w:pPr>
        <w:pStyle w:val="BookText"/>
        <w:rPr/>
      </w:pP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العبارات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اللاحقة</w:t>
      </w:r>
      <w:r>
        <w:rPr>
          <w:rStyle w:val="FootnoteAnchor"/>
          <w:rtl w:val="true"/>
        </w:rPr>
        <w:footnoteReference w:id="496"/>
      </w:r>
      <w:r>
        <w:rPr>
          <w:rFonts w:ascii="IRNazanin" w:hAnsi="IRNazanin" w:eastAsia="IRNazanin"/>
          <w:color w:val="111111"/>
          <w:sz w:val="28"/>
          <w:sz w:val="28"/>
          <w:szCs w:val="28"/>
          <w:rtl w:val="true"/>
          <w:lang w:bidi="fa-IR"/>
        </w:rPr>
        <w:t>ومسائل أخرى</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إن كانت عامة كان الأمر بيد الفقيه أو الفقهاء، وإن كانت غير ذلك حقّ لكل خبير أو قاطع بالأهمية،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الخبراء بالأهم كبروياً، مع تشخيصه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الكلام فيه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معارض بالاحتياط في ردع المنكر، فتأمل</w:t>
      </w:r>
      <w:r>
        <w:rPr>
          <w:rFonts w:eastAsia="Amiri" w:cs="Amiri" w:ascii="Amiri" w:hAnsi="Amiri"/>
          <w:color w:val="111111"/>
          <w:sz w:val="28"/>
          <w:szCs w:val="28"/>
          <w:rtl w:val="true"/>
          <w:lang w:bidi="ar-SA"/>
        </w:rPr>
        <w:t xml:space="preserve">. </w:t>
      </w:r>
      <w:bookmarkStart w:id="306" w:name="pg15710_226817"/>
    </w:p>
    <w:p>
      <w:pPr>
        <w:pStyle w:val="Heading2"/>
        <w:numPr>
          <w:ilvl w:val="1"/>
          <w:numId w:val="1"/>
        </w:numPr>
        <w:rPr/>
      </w:pPr>
      <w:bookmarkStart w:id="307" w:name="__RefHeading___Toc12183865_2142443653"/>
      <w:bookmarkStart w:id="308" w:name="_Toc113"/>
      <w:bookmarkEnd w:id="306"/>
      <w:bookmarkEnd w:id="307"/>
      <w:r>
        <w:rPr>
          <w:rtl w:val="true"/>
        </w:rPr>
        <w:t>الإشاعات الكاذبة</w:t>
      </w:r>
      <w:bookmarkEnd w:id="30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الإشاعات الكاذبة إلا إذا كانت</w:t>
      </w:r>
      <w:r>
        <w:rPr>
          <w:rStyle w:val="FootnoteAnchor"/>
          <w:rtl w:val="true"/>
        </w:rPr>
        <w:footnoteReference w:id="501"/>
      </w:r>
      <w:r>
        <w:rPr>
          <w:rFonts w:ascii="Amiri" w:hAnsi="Amiri" w:eastAsia="Amiri" w:cs="Amiri"/>
          <w:color w:val="111111"/>
          <w:sz w:val="28"/>
          <w:sz w:val="28"/>
          <w:szCs w:val="28"/>
          <w:rtl w:val="true"/>
          <w:lang w:bidi="ar-SA"/>
        </w:rPr>
        <w:t xml:space="preserve"> لرد اعتداء أهم، أو للوقوف دون اعتداء أهم،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دكتاتورية تريد حملة اعتقالات، ولا تصرفها إلا الإشاعة بأنها تدبر مؤامرة قتل جماعية، فإن ذلك جائز منعاً للمنكر، كما أنها لو اعتقلت جازت الإشاعة بأنها تدبر إعدام السجناء، نهياً عن المنكر، لكن ذلك مع التحفظ على ما تقدم من 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الأهم والمهم</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والتي أمرها إلى شورى الفقهاء المراجع</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فإن هذه المسألة من صغريات المسألة السابقة</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12183867_2142443653"/>
      <w:bookmarkStart w:id="310" w:name="_Toc114"/>
      <w:bookmarkEnd w:id="309"/>
      <w:r>
        <w:rPr>
          <w:rtl w:val="true"/>
        </w:rPr>
        <w:t>وضع القوانين</w:t>
      </w:r>
      <w:bookmarkEnd w:id="31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وضع القوانين غير الإسلامية، فإنه مشمول لقوله سبحانه</w:t>
      </w:r>
      <w:r>
        <w:rPr>
          <w:rStyle w:val="FootnoteAnchor"/>
          <w:rtl w:val="true"/>
        </w:rPr>
        <w:footnoteReference w:id="5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رفع والآخر دفع</w:t>
      </w:r>
      <w:r>
        <w:rPr>
          <w:rFonts w:eastAsia="IRNazanin" w:cs="IRNazanin"/>
          <w:color w:val="111111"/>
          <w:sz w:val="28"/>
          <w:szCs w:val="28"/>
          <w:rtl w:val="true"/>
          <w:lang w:bidi="fa-IR"/>
        </w:rPr>
        <w:t>.</w:t>
      </w:r>
    </w:p>
    <w:p>
      <w:pPr>
        <w:pStyle w:val="BookText"/>
        <w:rPr/>
      </w:pP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يدخل في نطاق ذلك نقاء سمعة الجهة التي تطلق الإشاعة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التفصيل</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إن لم يحكم له مصداقان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 والتقنين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يدّعى ظهوره في الأوّل فقط، فتأمل</w:t>
      </w:r>
      <w:r>
        <w:rPr>
          <w:rFonts w:eastAsia="Amiri" w:cs="Amiri" w:ascii="Amiri" w:hAnsi="Amiri"/>
          <w:color w:val="111111"/>
          <w:sz w:val="28"/>
          <w:szCs w:val="28"/>
          <w:rtl w:val="true"/>
          <w:lang w:bidi="ar-SA"/>
        </w:rPr>
        <w:t xml:space="preserve">. </w:t>
      </w:r>
      <w:bookmarkStart w:id="311" w:name="pg15710_226818"/>
    </w:p>
    <w:p>
      <w:pPr>
        <w:pStyle w:val="BookText"/>
        <w:rPr/>
      </w:pPr>
      <w:bookmarkEnd w:id="31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سَأُنزِلُ مِثْلَ مَا أَنَزلَ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دل على حرمته الأدلة الأربعة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والمراد بالكافر كفر الحكم لا كفر الاعتقاد، فإن مخالف الإسلام يخرج عن الجادة المستقيمة،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الْفَاسِقُونَ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فيكون بذلك ظالماً لنفسه ولغيره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الظَّالِمُونَ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ويكون قد ستر حكم اللّه عملاً، فإن الكفر هو ستر الاعتقاد الصحيح، أو العمل الصحيح قولاً أو فعلاً،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الْكَافِرُونَ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2" w:name="__RefHeading___Toc12183869_2142443653"/>
      <w:bookmarkStart w:id="313" w:name="_Toc115"/>
      <w:bookmarkEnd w:id="312"/>
      <w:r>
        <w:rPr>
          <w:rtl w:val="true"/>
        </w:rPr>
        <w:t>دائمية الحكم الإسلامي</w:t>
      </w:r>
      <w:bookmarkEnd w:id="31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الإعراض عن أحكام الإسلام من غير فرق بين اللجوء إلى أحكام غير أحكام الإسلام، أو إلى عدم الحكم،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يترك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يد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اتخاذ أي إجراء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الأدلة الأربعة، ولا يخفى أن ترك القطع إلى الحبس قد يجوز إذا كان في القطع ضرر يرفع الحكم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كما ذكرناه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فقه 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كتشويه سمعة الإسلام</w:t>
      </w:r>
      <w:r>
        <w:rPr>
          <w:rFonts w:eastAsia="Amiri" w:cs="Amiri" w:ascii="Amiri" w:hAnsi="Amiri"/>
          <w:color w:val="111111"/>
          <w:sz w:val="28"/>
          <w:szCs w:val="28"/>
          <w:rtl w:val="true"/>
          <w:lang w:bidi="ar-SA"/>
        </w:rPr>
        <w:t xml:space="preserve">. </w:t>
      </w:r>
      <w:bookmarkStart w:id="314" w:name="pg15710_226819"/>
    </w:p>
    <w:p>
      <w:pPr>
        <w:pStyle w:val="Heading2"/>
        <w:numPr>
          <w:ilvl w:val="1"/>
          <w:numId w:val="1"/>
        </w:numPr>
        <w:rPr/>
      </w:pPr>
      <w:bookmarkStart w:id="315" w:name="__RefHeading___Toc12183871_2142443653"/>
      <w:bookmarkStart w:id="316" w:name="_Toc116"/>
      <w:bookmarkEnd w:id="314"/>
      <w:bookmarkEnd w:id="315"/>
      <w:r>
        <w:rPr>
          <w:rtl w:val="true"/>
        </w:rPr>
        <w:t>التحاكم إلى الطاغوت</w:t>
      </w:r>
      <w:bookmarkEnd w:id="31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التحاكم إلى حكام لا يحكمون بالإسلام، إلا إذا توقف إنقاذ</w:t>
      </w:r>
      <w:r>
        <w:rPr>
          <w:rStyle w:val="FootnoteAnchor"/>
          <w:rtl w:val="true"/>
        </w:rPr>
        <w:footnoteReference w:id="512"/>
      </w:r>
      <w:r>
        <w:rPr>
          <w:rFonts w:ascii="Amiri" w:hAnsi="Amiri" w:eastAsia="Amiri" w:cs="Amiri"/>
          <w:color w:val="111111"/>
          <w:sz w:val="28"/>
          <w:sz w:val="28"/>
          <w:szCs w:val="28"/>
          <w:rtl w:val="true"/>
          <w:lang w:bidi="ar-SA"/>
        </w:rPr>
        <w:t xml:space="preserve"> الحق على التحاكم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وصفهم اللّه تعالى في كتابه بالطاغوت، ويدل على ذلك الأدلة الكثيرة، كما ذكرنا تفصيله في الفقه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والتقليد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7" w:name="__RefHeading___Toc12183873_2142443653"/>
      <w:bookmarkStart w:id="318" w:name="_Toc117"/>
      <w:bookmarkEnd w:id="317"/>
      <w:r>
        <w:rPr>
          <w:rtl w:val="true"/>
        </w:rPr>
        <w:t>لا حكم للحاكم المزيف</w:t>
      </w:r>
      <w:bookmarkEnd w:id="31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التحاكم إلى حكام يحكمون بحكم الإسلام، لكنهم ليسوا مخولين</w:t>
      </w:r>
      <w:r>
        <w:rPr>
          <w:rStyle w:val="FootnoteAnchor"/>
          <w:rtl w:val="true"/>
        </w:rPr>
        <w:footnoteReference w:id="513"/>
      </w:r>
      <w:r>
        <w:rPr>
          <w:rFonts w:ascii="Amiri" w:hAnsi="Amiri" w:eastAsia="Amiri" w:cs="Amiri"/>
          <w:color w:val="111111"/>
          <w:sz w:val="28"/>
          <w:sz w:val="28"/>
          <w:szCs w:val="28"/>
          <w:rtl w:val="true"/>
          <w:lang w:bidi="ar-SA"/>
        </w:rPr>
        <w:t xml:space="preserve"> من قبل الشريعة في الحكم؛ لفقد العدالة والنزاهة فيهم، أو لسبب آخر، إلا إذا اضطر إنسان إلى التحاكم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الإطلاق وكذا ظاهر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التقليد</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ذلك ولو كان بقدر درهم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السبب ردع المعتدي عن اعتدائه، فإن الصغير يجرّ إلى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أربعة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غير مؤهل يحكم بغير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غير مؤهل يحكم بالإسلام؛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مؤهل يحكم بغير الإسلام، فتأمل؛ إذ يفقد الأهلية بذلك؛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مؤهل يحكم بالإسلام</w:t>
      </w:r>
      <w:r>
        <w:rPr>
          <w:rFonts w:eastAsia="Amiri" w:cs="Amiri" w:ascii="Amiri" w:hAnsi="Amiri"/>
          <w:color w:val="111111"/>
          <w:sz w:val="28"/>
          <w:szCs w:val="28"/>
          <w:rtl w:val="true"/>
          <w:lang w:bidi="ar-SA"/>
        </w:rPr>
        <w:t xml:space="preserve">. </w:t>
      </w:r>
      <w:bookmarkStart w:id="319" w:name="pg15710_226820"/>
    </w:p>
    <w:p>
      <w:pPr>
        <w:pStyle w:val="BookText"/>
        <w:rPr/>
      </w:pPr>
      <w:bookmarkEnd w:id="31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لقوله تعالى</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ولما دل على اشتراط العدالة والنزاهة وما أشبه في الحاكم والقاضي، وفقد الشرط لا يختلف فيه بين المسألة السابقة وهذه المسألة</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12183875_2142443653"/>
      <w:bookmarkStart w:id="321" w:name="_Toc118"/>
      <w:bookmarkEnd w:id="320"/>
      <w:r>
        <w:rPr>
          <w:rtl w:val="true"/>
        </w:rPr>
        <w:t>حكام الجور والتحاكم إليهم</w:t>
      </w:r>
      <w:bookmarkEnd w:id="32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رفع المنكر أو دفعه على التحاكم إلى حكام الجور، جاز فيما إذا كان دفع ذلك المنكر أو رفعه أهم</w:t>
      </w:r>
      <w:r>
        <w:rPr>
          <w:rStyle w:val="FootnoteAnchor"/>
          <w:rtl w:val="true"/>
        </w:rPr>
        <w:footnoteReference w:id="517"/>
      </w:r>
      <w:r>
        <w:rPr>
          <w:rFonts w:ascii="Amiri" w:hAnsi="Amiri" w:eastAsia="Amiri" w:cs="Amiri"/>
          <w:color w:val="111111"/>
          <w:sz w:val="28"/>
          <w:sz w:val="28"/>
          <w:szCs w:val="28"/>
          <w:rtl w:val="true"/>
          <w:lang w:bidi="ar-SA"/>
        </w:rPr>
        <w:t xml:space="preserve"> بنظر الشريعة من التحاكم إلى الجائر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يقيد الجواز بما إذا كان رفع المنكر أهم؛ لأن التحاكم اليهم لا يجوز في نفسه</w:t>
      </w:r>
      <w:r>
        <w:rPr>
          <w:rFonts w:eastAsia="Amiri" w:cs="Amiri" w:ascii="Amiri" w:hAnsi="Amiri"/>
          <w:color w:val="111111"/>
          <w:sz w:val="28"/>
          <w:szCs w:val="28"/>
          <w:rtl w:val="true"/>
          <w:lang w:bidi="ar-SA"/>
        </w:rPr>
        <w:t>.</w:t>
      </w:r>
    </w:p>
    <w:p>
      <w:pPr>
        <w:pStyle w:val="Heading2"/>
        <w:numPr>
          <w:ilvl w:val="1"/>
          <w:numId w:val="1"/>
        </w:numPr>
        <w:rPr/>
      </w:pPr>
      <w:bookmarkStart w:id="322" w:name="__RefHeading___Toc12183877_2142443653"/>
      <w:bookmarkStart w:id="323" w:name="_Toc119"/>
      <w:bookmarkEnd w:id="322"/>
      <w:r>
        <w:rPr>
          <w:rtl w:val="true"/>
        </w:rPr>
        <w:t>دفع المنكر بغير الحد الشرعي</w:t>
      </w:r>
      <w:bookmarkEnd w:id="32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الجائر يرفع المنكر بأُسلوب غير إسلامي لم يجز</w:t>
      </w:r>
      <w:r>
        <w:rPr>
          <w:rStyle w:val="FootnoteAnchor"/>
          <w:rtl w:val="true"/>
        </w:rPr>
        <w:footnoteReference w:id="518"/>
      </w:r>
      <w:r>
        <w:rPr>
          <w:rFonts w:ascii="Amiri" w:hAnsi="Amiri" w:eastAsia="Amiri" w:cs="Amiri"/>
          <w:color w:val="111111"/>
          <w:sz w:val="28"/>
          <w:sz w:val="28"/>
          <w:szCs w:val="28"/>
          <w:rtl w:val="true"/>
          <w:lang w:bidi="ar-SA"/>
        </w:rPr>
        <w:t xml:space="preserve"> الرجوع إليه، إلا إذا كان رفع ذلك المنكر أهم،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روجع</w:t>
      </w:r>
    </w:p>
    <w:p>
      <w:pPr>
        <w:pStyle w:val="BookText"/>
        <w:rPr/>
      </w:pP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فالولاية مجعولة أولاً وبالذات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أنابوا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حيث لا تشترط الأهمية كما سبق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bookmarkStart w:id="324" w:name="pg15710_226821"/>
    </w:p>
    <w:p>
      <w:pPr>
        <w:pStyle w:val="BookText"/>
        <w:rPr/>
      </w:pPr>
      <w:bookmarkEnd w:id="324"/>
      <w:r>
        <w:rPr>
          <w:rFonts w:ascii="Amiri" w:hAnsi="Amiri" w:eastAsia="Amiri" w:cs="Amiri"/>
          <w:color w:val="111111"/>
          <w:sz w:val="28"/>
          <w:sz w:val="28"/>
          <w:szCs w:val="28"/>
          <w:rtl w:val="true"/>
          <w:lang w:bidi="ar-SA"/>
        </w:rPr>
        <w:t>إليه في باب المتعدي على نواميس الناس يحبسه شهراً، فإنه يجوز الرجوع إليه لدفع شر المعتدي؛ إذ بقاء التعدي على أعراض الناس أعظم في نظر الشارع من حبس المتعدي، وإن كان الحبس للمتعدي ليس حكماً إسلامياً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فيه محذور التحاكم إلى الجائر والحكم بغير الشريعة، فالمقدم ما هو الأهم عند الشارع</w:t>
      </w:r>
      <w:r>
        <w:rPr>
          <w:rFonts w:eastAsia="Amiri" w:cs="Amiri" w:ascii="Amiri" w:hAnsi="Amiri"/>
          <w:color w:val="111111"/>
          <w:sz w:val="28"/>
          <w:szCs w:val="28"/>
          <w:rtl w:val="true"/>
          <w:lang w:bidi="ar-SA"/>
        </w:rPr>
        <w:t>.</w:t>
      </w:r>
    </w:p>
    <w:p>
      <w:pPr>
        <w:pStyle w:val="Heading2"/>
        <w:numPr>
          <w:ilvl w:val="1"/>
          <w:numId w:val="1"/>
        </w:numPr>
        <w:rPr/>
      </w:pPr>
      <w:bookmarkStart w:id="325" w:name="__RefHeading___Toc12183879_2142443653"/>
      <w:bookmarkStart w:id="326" w:name="_Toc120"/>
      <w:bookmarkEnd w:id="325"/>
      <w:r>
        <w:rPr>
          <w:rtl w:val="true"/>
        </w:rPr>
        <w:t>أضواء جديدة غير الشمس</w:t>
      </w:r>
      <w:bookmarkEnd w:id="32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صار في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بسبب بعض الأجرام الكونية بدون الشمس، فليس الوقت محكوماً بأنه نهار، بل الليل له أحكامه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النهار موضوع عرفاً من طلوع الشمس</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والحكم يتبع الموضوع</w:t>
      </w:r>
      <w:r>
        <w:rPr>
          <w:rFonts w:eastAsia="Amiri" w:cs="Amiri" w:ascii="Amiri" w:hAnsi="Amiri"/>
          <w:color w:val="111111"/>
          <w:sz w:val="28"/>
          <w:szCs w:val="28"/>
          <w:rtl w:val="true"/>
          <w:lang w:bidi="ar-SA"/>
        </w:rPr>
        <w:t>.</w:t>
      </w:r>
    </w:p>
    <w:p>
      <w:pPr>
        <w:pStyle w:val="BookText"/>
        <w:rPr/>
      </w:pP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محرمين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التحاكم إلى حكّام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التسبيب إلى الحكم غير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بواسطة الفاعل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وقد أشار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كلامه للمحذورين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الفجر، وقد يفرق بين النهار واليوم،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كتاب الصلاة</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327" w:name="pg15710_226822"/>
    </w:p>
    <w:p>
      <w:pPr>
        <w:pStyle w:val="Heading2"/>
        <w:numPr>
          <w:ilvl w:val="1"/>
          <w:numId w:val="1"/>
        </w:numPr>
        <w:rPr/>
      </w:pPr>
      <w:bookmarkStart w:id="328" w:name="__RefHeading___Toc12183881_2142443653"/>
      <w:bookmarkStart w:id="329" w:name="_Toc121"/>
      <w:bookmarkEnd w:id="327"/>
      <w:bookmarkEnd w:id="328"/>
      <w:r>
        <w:rPr>
          <w:rtl w:val="true"/>
        </w:rPr>
        <w:t>فرض الظلام مع وجود الشمس</w:t>
      </w:r>
      <w:bookmarkEnd w:id="32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أظلم الكون مع وجود الشمس بسبب غير الكسوف</w:t>
      </w:r>
      <w:r>
        <w:rPr>
          <w:rStyle w:val="FootnoteAnchor"/>
          <w:rtl w:val="true"/>
        </w:rPr>
        <w:footnoteReference w:id="525"/>
      </w:r>
      <w:r>
        <w:rPr>
          <w:rFonts w:ascii="Amiri" w:hAnsi="Amiri" w:eastAsia="Amiri" w:cs="Amiri"/>
          <w:color w:val="111111"/>
          <w:sz w:val="28"/>
          <w:sz w:val="28"/>
          <w:szCs w:val="28"/>
          <w:rtl w:val="true"/>
          <w:lang w:bidi="ar-SA"/>
        </w:rPr>
        <w:t>، فليس الوقت محكوماً بأنه ليل، بل النهار وله أحكامه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تقدم في المسألة السابقة</w:t>
      </w:r>
      <w:r>
        <w:rPr>
          <w:rFonts w:eastAsia="Amiri" w:cs="Amiri" w:ascii="Amiri" w:hAnsi="Amiri"/>
          <w:color w:val="111111"/>
          <w:sz w:val="28"/>
          <w:szCs w:val="28"/>
          <w:rtl w:val="true"/>
          <w:lang w:bidi="ar-SA"/>
        </w:rPr>
        <w:t>.</w:t>
      </w:r>
    </w:p>
    <w:p>
      <w:pPr>
        <w:pStyle w:val="Heading2"/>
        <w:numPr>
          <w:ilvl w:val="1"/>
          <w:numId w:val="1"/>
        </w:numPr>
        <w:rPr/>
      </w:pPr>
      <w:bookmarkStart w:id="330" w:name="__RefHeading___Toc12183883_2142443653"/>
      <w:bookmarkStart w:id="331" w:name="_Toc122"/>
      <w:bookmarkEnd w:id="330"/>
      <w:r>
        <w:rPr>
          <w:rtl w:val="true"/>
        </w:rPr>
        <w:t>السفر إلى الفضاء والعمل حسب موازين تلك الجهات</w:t>
      </w:r>
      <w:bookmarkEnd w:id="33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السفر إلى الفضاء وإن أوجب الإتيان بالصلاة والصوم حسب موازين</w:t>
      </w:r>
      <w:r>
        <w:rPr>
          <w:rStyle w:val="FootnoteAnchor"/>
          <w:rtl w:val="true"/>
        </w:rPr>
        <w:footnoteReference w:id="526"/>
      </w:r>
      <w:r>
        <w:rPr>
          <w:rFonts w:ascii="Amiri" w:hAnsi="Amiri" w:eastAsia="Amiri" w:cs="Amiri"/>
          <w:color w:val="111111"/>
          <w:sz w:val="28"/>
          <w:sz w:val="28"/>
          <w:szCs w:val="28"/>
          <w:rtl w:val="true"/>
          <w:lang w:bidi="ar-SA"/>
        </w:rPr>
        <w:t xml:space="preserve"> تلك الجهات، لا حسب موازين الأرض، فإن الصلاة والصوم تابعان للحالة التي يصلي الإنسان في تلك الحالة، من سفر أو حضر أو اختيار أو اضطرار أو ما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والانصراف</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إلى المتعارف بدوي، وإنما المعيار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 الصلاة</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كالسحب الطبيعية أو الصناعية أو الأسلحة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الاختيارية، وأما الاضطرارية فظاهر الروايات والسيرة الجواز، حيث إن الأسفار القديمة كانت تتضمن ذلك، وإن كان مقتضى القاعدة الكلية عدم جواز إخراج الإنسان نفسه من الموضوع الاختياري إلى الاضطراري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خاص بالآفاق المتعارفة، كما هو نظر بعض محشي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الصوم</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332" w:name="pg15710_226823"/>
    </w:p>
    <w:p>
      <w:pPr>
        <w:pStyle w:val="BookText"/>
        <w:rPr/>
      </w:pPr>
      <w:bookmarkEnd w:id="332"/>
      <w:r>
        <w:rPr>
          <w:rFonts w:ascii="IRNazanin" w:hAnsi="IRNazanin" w:eastAsia="IRNazanin"/>
          <w:color w:val="111111"/>
          <w:sz w:val="28"/>
          <w:sz w:val="28"/>
          <w:szCs w:val="28"/>
          <w:rtl w:val="true"/>
          <w:lang w:bidi="fa-IR"/>
        </w:rPr>
        <w:t>بحال</w:t>
      </w:r>
      <w:r>
        <w:rPr>
          <w:rFonts w:eastAsia="IRNazanin" w:cs="IRNazanin"/>
          <w:color w:val="111111"/>
          <w:sz w:val="28"/>
          <w:szCs w:val="28"/>
          <w:rtl w:val="true"/>
          <w:lang w:bidi="fa-IR"/>
        </w:rPr>
        <w:t>»</w:t>
      </w:r>
      <w:r>
        <w:rPr>
          <w:rStyle w:val="FootnoteAnchor"/>
          <w:rtl w:val="true"/>
        </w:rPr>
        <w:footnoteReference w:id="53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إلى نظائرهما</w:t>
      </w:r>
      <w:r>
        <w:rPr>
          <w:rFonts w:eastAsia="IRNazanin" w:cs="IRNazanin"/>
          <w:color w:val="111111"/>
          <w:sz w:val="28"/>
          <w:szCs w:val="28"/>
          <w:rtl w:val="true"/>
          <w:lang w:bidi="fa-IR"/>
        </w:rPr>
        <w:t>.</w:t>
      </w:r>
    </w:p>
    <w:p>
      <w:pPr>
        <w:pStyle w:val="Heading2"/>
        <w:numPr>
          <w:ilvl w:val="1"/>
          <w:numId w:val="1"/>
        </w:numPr>
        <w:rPr/>
      </w:pPr>
      <w:bookmarkStart w:id="333" w:name="__RefHeading___Toc12183885_2142443653"/>
      <w:bookmarkStart w:id="334" w:name="_Toc123"/>
      <w:bookmarkEnd w:id="333"/>
      <w:r>
        <w:rPr>
          <w:rtl w:val="true"/>
        </w:rPr>
        <w:t>السفر إلى القطبين</w:t>
      </w:r>
      <w:bookmarkEnd w:id="33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532"/>
      </w:r>
      <w:r>
        <w:rPr>
          <w:rFonts w:ascii="Amiri" w:hAnsi="Amiri" w:eastAsia="Amiri" w:cs="Amiri"/>
          <w:color w:val="111111"/>
          <w:sz w:val="28"/>
          <w:sz w:val="28"/>
          <w:szCs w:val="28"/>
          <w:rtl w:val="true"/>
          <w:lang w:bidi="ar-SA"/>
        </w:rPr>
        <w:t xml:space="preserve"> السفر إلى القطبين وإن أوجب الإتيان بالصلاة والصوم حسب موازين جهة القطب، لما تقدم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كل سفر مباح جائز، وللصلاة والصيام أحكام في كل حال</w:t>
      </w:r>
      <w:r>
        <w:rPr>
          <w:rFonts w:eastAsia="Amiri" w:cs="Amiri" w:ascii="Amiri" w:hAnsi="Amiri"/>
          <w:color w:val="111111"/>
          <w:sz w:val="28"/>
          <w:szCs w:val="28"/>
          <w:rtl w:val="true"/>
          <w:lang w:bidi="ar-SA"/>
        </w:rPr>
        <w:t>.</w:t>
      </w:r>
    </w:p>
    <w:p>
      <w:pPr>
        <w:pStyle w:val="Heading2"/>
        <w:numPr>
          <w:ilvl w:val="1"/>
          <w:numId w:val="1"/>
        </w:numPr>
        <w:rPr/>
      </w:pPr>
      <w:bookmarkStart w:id="335" w:name="__RefHeading___Toc12183887_2142443653"/>
      <w:bookmarkStart w:id="336" w:name="_Toc124"/>
      <w:bookmarkEnd w:id="335"/>
      <w:r>
        <w:rPr>
          <w:rtl w:val="true"/>
        </w:rPr>
        <w:t>العبادة في الوجه المظلم للقمر</w:t>
      </w:r>
      <w:bookmarkEnd w:id="33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والصوم في الوجه المظلم</w:t>
      </w:r>
      <w:r>
        <w:rPr>
          <w:rStyle w:val="FootnoteAnchor"/>
          <w:rtl w:val="true"/>
        </w:rPr>
        <w:footnoteReference w:id="533"/>
      </w:r>
      <w:r>
        <w:rPr>
          <w:rFonts w:ascii="Amiri" w:hAnsi="Amiri" w:eastAsia="Amiri" w:cs="Amiri"/>
          <w:color w:val="111111"/>
          <w:sz w:val="28"/>
          <w:sz w:val="28"/>
          <w:szCs w:val="28"/>
          <w:rtl w:val="true"/>
          <w:lang w:bidi="ar-SA"/>
        </w:rPr>
        <w:t xml:space="preserve"> للقمر حكمها في القطب، لكن يضاف</w:t>
      </w:r>
      <w:r>
        <w:rPr>
          <w:rStyle w:val="FootnoteAnchor"/>
          <w:rtl w:val="true"/>
        </w:rPr>
        <w:footnoteReference w:id="534"/>
      </w:r>
      <w:r>
        <w:rPr>
          <w:rFonts w:ascii="Amiri" w:hAnsi="Amiri" w:eastAsia="Amiri" w:cs="Amiri"/>
          <w:color w:val="111111"/>
          <w:sz w:val="28"/>
          <w:sz w:val="28"/>
          <w:szCs w:val="28"/>
          <w:rtl w:val="true"/>
          <w:lang w:bidi="ar-SA"/>
        </w:rPr>
        <w:t xml:space="preserve"> إلى ذلك خصوصية القمر،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والصوم</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القمر كله غير طبيعي،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الرجوع إلى إحدى الآفاق الطبيعية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معناه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القمر</w:t>
      </w:r>
      <w:r>
        <w:rPr>
          <w:rStyle w:val="FootnoteAnchor"/>
          <w:rtl w:val="true"/>
        </w:rPr>
        <w:footnoteReference w:id="539"/>
      </w:r>
      <w:r>
        <w:rPr>
          <w:rFonts w:ascii="Amiri" w:hAnsi="Amiri" w:eastAsia="Amiri" w:cs="Amiri"/>
          <w:color w:val="111111"/>
          <w:sz w:val="28"/>
          <w:sz w:val="28"/>
          <w:szCs w:val="28"/>
          <w:rtl w:val="true"/>
          <w:lang w:bidi="ar-SA"/>
        </w:rPr>
        <w:t xml:space="preserve"> يلاحظ في وقتهما وقت مكة</w:t>
      </w:r>
      <w:r>
        <w:rPr>
          <w:rStyle w:val="FootnoteAnchor"/>
          <w:rtl w:val="true"/>
        </w:rPr>
        <w:footnoteReference w:id="540"/>
      </w:r>
      <w:r>
        <w:rPr>
          <w:rFonts w:ascii="Amiri" w:hAnsi="Amiri" w:eastAsia="Amiri" w:cs="Amiri"/>
          <w:color w:val="111111"/>
          <w:sz w:val="28"/>
          <w:sz w:val="28"/>
          <w:szCs w:val="28"/>
          <w:rtl w:val="true"/>
          <w:lang w:bidi="ar-SA"/>
        </w:rPr>
        <w:t xml:space="preserve"> المكرمة، والصلاة والصوم في الوجه المظلم للقمر يلاحظ فيهما الحركة المعتدلة للقمر 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يلاحظ وقت مكة المكرمة لأن الآفاق غير المعتدلة يلاحظ فيها الآفاق المعتدلة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في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والفتوى، وهو على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الصحيح القطب</w:t>
      </w:r>
      <w:r>
        <w:rPr>
          <w:rFonts w:eastAsia="Amiri" w:cs="Amiri" w:ascii="Amiri" w:hAnsi="Amiri"/>
          <w:color w:val="111111"/>
          <w:sz w:val="28"/>
          <w:szCs w:val="28"/>
          <w:rtl w:val="true"/>
          <w:lang w:bidi="ar-SA"/>
        </w:rPr>
        <w:t>.</w:t>
      </w:r>
    </w:p>
    <w:p>
      <w:pPr>
        <w:pStyle w:val="BookText"/>
        <w:rPr/>
      </w:pP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خصوصية لها تعيناً، بل المناط كل أفق 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العروة، الصوم</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وليله ستة أشهر، أو نهاره ثلاثة وليله ستة، أو نحو ذلك، فلا يبعد كون المدار في صومه وصلاته على البلدان المتعارفة المتوسطة، مخيراً بين أفراد المتوسط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حركة معتدلة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خصوصية تعينية لمكة المكرمة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من الرسائل، وأوائل هذا الكتاب</w:t>
      </w:r>
      <w:r>
        <w:rPr>
          <w:rStyle w:val="FootnoteAnchor"/>
          <w:rtl w:val="true"/>
        </w:rPr>
        <w:footnoteReference w:id="545"/>
      </w:r>
      <w:r>
        <w:rPr>
          <w:rFonts w:ascii="Amiri" w:hAnsi="Amiri" w:eastAsia="Amiri" w:cs="Amiri"/>
          <w:color w:val="111111"/>
          <w:sz w:val="28"/>
          <w:sz w:val="28"/>
          <w:szCs w:val="28"/>
          <w:rtl w:val="true"/>
          <w:lang w:bidi="ar-SA"/>
        </w:rPr>
        <w:t>، وأشبار الكرّ</w:t>
      </w:r>
      <w:r>
        <w:rPr>
          <w:rStyle w:val="FootnoteAnchor"/>
          <w:rtl w:val="true"/>
        </w:rPr>
        <w:footnoteReference w:id="546"/>
      </w:r>
      <w:r>
        <w:rPr>
          <w:rFonts w:ascii="Amiri" w:hAnsi="Amiri" w:eastAsia="Amiri" w:cs="Amiri"/>
          <w:color w:val="111111"/>
          <w:sz w:val="28"/>
          <w:sz w:val="28"/>
          <w:szCs w:val="28"/>
          <w:rtl w:val="true"/>
          <w:lang w:bidi="ar-SA"/>
        </w:rPr>
        <w:t>، والوجه في الوضوء</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337" w:name="pg15710_226825"/>
    </w:p>
    <w:p>
      <w:pPr>
        <w:pStyle w:val="BookText"/>
        <w:rPr/>
      </w:pPr>
      <w:bookmarkEnd w:id="337"/>
      <w:r>
        <w:rPr>
          <w:rFonts w:ascii="Amiri" w:hAnsi="Amiri" w:eastAsia="Amiri" w:cs="Amiri"/>
          <w:color w:val="111111"/>
          <w:sz w:val="28"/>
          <w:sz w:val="28"/>
          <w:szCs w:val="28"/>
          <w:rtl w:val="true"/>
          <w:lang w:bidi="ar-SA"/>
        </w:rPr>
        <w:t>أيضاً، وأما ملاحظة الحركة المعتدلة للقمر فلأن غير المظلم</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 القمر هو المعتدل، كما أن غير المظلم من الأرض هو المعتدل منها لا غير المعتدل، والمسألة بعد بحاجة إلى تأمل</w:t>
      </w:r>
      <w:r>
        <w:rPr>
          <w:rFonts w:eastAsia="Amiri" w:cs="Amiri" w:ascii="Amiri" w:hAnsi="Amiri"/>
          <w:color w:val="111111"/>
          <w:sz w:val="28"/>
          <w:szCs w:val="28"/>
          <w:rtl w:val="true"/>
          <w:lang w:bidi="ar-SA"/>
        </w:rPr>
        <w:t>.</w:t>
      </w:r>
    </w:p>
    <w:p>
      <w:pPr>
        <w:pStyle w:val="Heading2"/>
        <w:numPr>
          <w:ilvl w:val="1"/>
          <w:numId w:val="1"/>
        </w:numPr>
        <w:rPr/>
      </w:pPr>
      <w:bookmarkStart w:id="338" w:name="__RefHeading___Toc12183889_2142443653"/>
      <w:bookmarkStart w:id="339" w:name="_Toc125"/>
      <w:bookmarkEnd w:id="338"/>
      <w:r>
        <w:rPr>
          <w:rtl w:val="true"/>
        </w:rPr>
        <w:t>العبادة في الوجه المنير للقمر</w:t>
      </w:r>
      <w:bookmarkEnd w:id="33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والصوم في الوجه المنير</w:t>
      </w:r>
      <w:r>
        <w:rPr>
          <w:rStyle w:val="FootnoteAnchor"/>
          <w:rtl w:val="true"/>
        </w:rPr>
        <w:footnoteReference w:id="548"/>
      </w:r>
      <w:r>
        <w:rPr>
          <w:rFonts w:ascii="Amiri" w:hAnsi="Amiri" w:eastAsia="Amiri" w:cs="Amiri"/>
          <w:color w:val="111111"/>
          <w:sz w:val="28"/>
          <w:sz w:val="28"/>
          <w:szCs w:val="28"/>
          <w:rtl w:val="true"/>
          <w:lang w:bidi="ar-SA"/>
        </w:rPr>
        <w:t xml:space="preserve"> للقمر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المواجه للشمس طيلة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حكمهما في الوجه المظلم للقمر، كما ذكر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كما أن المكان المظلم من الأرض في الصلاة والصيام حاله حال المكان المنير منها</w:t>
      </w:r>
      <w:r>
        <w:rPr>
          <w:rFonts w:eastAsia="Amiri" w:cs="Amiri" w:ascii="Amiri" w:hAnsi="Amiri"/>
          <w:color w:val="111111"/>
          <w:sz w:val="28"/>
          <w:szCs w:val="28"/>
          <w:rtl w:val="true"/>
          <w:lang w:bidi="ar-SA"/>
        </w:rPr>
        <w:t>.</w:t>
      </w:r>
    </w:p>
    <w:p>
      <w:pPr>
        <w:pStyle w:val="Heading2"/>
        <w:numPr>
          <w:ilvl w:val="1"/>
          <w:numId w:val="1"/>
        </w:numPr>
        <w:rPr/>
      </w:pPr>
      <w:bookmarkStart w:id="340" w:name="__RefHeading___Toc12183891_2142443653"/>
      <w:bookmarkStart w:id="341" w:name="_Toc126"/>
      <w:bookmarkEnd w:id="340"/>
      <w:r>
        <w:rPr>
          <w:rtl w:val="true"/>
        </w:rPr>
        <w:t>العصيان في الفضاء</w:t>
      </w:r>
      <w:bookmarkEnd w:id="34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في الفضاء حاله حال العصيان في الأرض؛ إذ النفس الأمارة موجودة حتى لو فرض أن الشيطان لا يتمكن من الذهاب هناك لوجود الشهب، ثم لا دليل على أن كل الشهب</w:t>
      </w:r>
      <w:r>
        <w:rPr>
          <w:rStyle w:val="FootnoteAnchor"/>
          <w:rtl w:val="true"/>
        </w:rPr>
        <w:footnoteReference w:id="549"/>
      </w:r>
      <w:r>
        <w:rPr>
          <w:rFonts w:ascii="Amiri" w:hAnsi="Amiri" w:eastAsia="Amiri" w:cs="Amiri"/>
          <w:color w:val="111111"/>
          <w:sz w:val="28"/>
          <w:sz w:val="28"/>
          <w:szCs w:val="28"/>
          <w:rtl w:val="true"/>
          <w:lang w:bidi="ar-SA"/>
        </w:rPr>
        <w:t xml:space="preserve"> لطرد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مصداق لذلك؟</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للمقام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كل شيطان يطرد بالشهب</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 بل لعل المطروح هو ما حاول الاستراق فقط</w:t>
      </w:r>
      <w:r>
        <w:rPr>
          <w:rFonts w:eastAsia="IRNazanin" w:cs="IRNazanin"/>
          <w:color w:val="111111"/>
          <w:sz w:val="28"/>
          <w:szCs w:val="28"/>
          <w:rtl w:val="true"/>
          <w:lang w:bidi="fa-IR"/>
        </w:rPr>
        <w:t xml:space="preserve">. </w:t>
      </w:r>
      <w:bookmarkStart w:id="342" w:name="pg15710_226826"/>
    </w:p>
    <w:p>
      <w:pPr>
        <w:pStyle w:val="BookText"/>
        <w:rPr/>
      </w:pPr>
      <w:bookmarkEnd w:id="3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فإطلاق أدلة العصيان جارٍ في كل مكان، ولكل إنسان مكلف مطلقاً</w:t>
      </w:r>
      <w:r>
        <w:rPr>
          <w:rFonts w:eastAsia="Amiri" w:cs="Amiri" w:ascii="Amiri" w:hAnsi="Amiri"/>
          <w:color w:val="111111"/>
          <w:sz w:val="28"/>
          <w:szCs w:val="28"/>
          <w:rtl w:val="true"/>
          <w:lang w:bidi="ar-SA"/>
        </w:rPr>
        <w:t>.</w:t>
      </w:r>
    </w:p>
    <w:p>
      <w:pPr>
        <w:pStyle w:val="Heading2"/>
        <w:numPr>
          <w:ilvl w:val="1"/>
          <w:numId w:val="1"/>
        </w:numPr>
        <w:rPr/>
      </w:pPr>
      <w:bookmarkStart w:id="343" w:name="__RefHeading___Toc12183893_2142443653"/>
      <w:bookmarkStart w:id="344" w:name="_Toc127"/>
      <w:bookmarkEnd w:id="343"/>
      <w:r>
        <w:rPr>
          <w:rtl w:val="true"/>
        </w:rPr>
        <w:t>الصلاة خارج الكبسولة الفضائية</w:t>
      </w:r>
      <w:bookmarkEnd w:id="34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الإنسان عن الكبسولة</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الفضاء، جاز</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بالكيفية التي يمكنه الصلاة بتلك الكيفية، ولو تدحرجا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يعتدل وينتكس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اللازم مع الإمكان إقامة الصلاة بحالة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بحالة الدوران والاعتدال والانتكاس؛ لأن الضرورات</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تقدر بقدرها</w:t>
      </w:r>
      <w:r>
        <w:rPr>
          <w:rFonts w:eastAsia="IRNazanin" w:cs="IRNazanin"/>
          <w:color w:val="111111"/>
          <w:sz w:val="28"/>
          <w:szCs w:val="28"/>
          <w:rtl w:val="true"/>
          <w:lang w:bidi="fa-IR"/>
        </w:rPr>
        <w:t>.</w:t>
      </w:r>
    </w:p>
    <w:p>
      <w:pPr>
        <w:pStyle w:val="Heading2"/>
        <w:numPr>
          <w:ilvl w:val="1"/>
          <w:numId w:val="1"/>
        </w:numPr>
        <w:rPr/>
      </w:pPr>
      <w:bookmarkStart w:id="345" w:name="__RefHeading___Toc12183895_2142443653"/>
      <w:bookmarkStart w:id="346" w:name="_Toc128"/>
      <w:bookmarkEnd w:id="345"/>
      <w:r>
        <w:rPr>
          <w:rtl w:val="true"/>
        </w:rPr>
        <w:t>انعكاس نور الشمس ليلاً</w:t>
      </w:r>
      <w:bookmarkEnd w:id="34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الاصطناعي</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انه يعكس نور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حتى كأن الوقت نهار، لا يوجب كون الليل محكوماً بحكم النهار، بل محكوم بحكم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المفروض أنه ليل وليس بنهار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والحكم تابع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داخلها وخارجها؛ ولذا يربط مَنْ في الداخل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أمكنه العود لمكان يتمكن فيه من الصلاة التامة وجب؛ لكونه مقدمة وجودية للواجب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للمقام لأنَّ الاختياري مقدم على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صنعه الإنسان حتى كأنه القمر الطبيعي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وعقلاً، فتأمل</w:t>
      </w:r>
      <w:r>
        <w:rPr>
          <w:rFonts w:eastAsia="Amiri" w:cs="Amiri" w:ascii="Amiri" w:hAnsi="Amiri"/>
          <w:color w:val="111111"/>
          <w:sz w:val="28"/>
          <w:szCs w:val="28"/>
          <w:rtl w:val="true"/>
          <w:lang w:bidi="ar-SA"/>
        </w:rPr>
        <w:t xml:space="preserve">. </w:t>
      </w:r>
      <w:bookmarkStart w:id="347" w:name="pg15710_226827"/>
    </w:p>
    <w:p>
      <w:pPr>
        <w:pStyle w:val="Heading2"/>
        <w:numPr>
          <w:ilvl w:val="1"/>
          <w:numId w:val="1"/>
        </w:numPr>
        <w:rPr/>
      </w:pPr>
      <w:bookmarkStart w:id="348" w:name="__RefHeading___Toc12183897_2142443653"/>
      <w:bookmarkStart w:id="349" w:name="_Toc129"/>
      <w:bookmarkEnd w:id="347"/>
      <w:bookmarkEnd w:id="348"/>
      <w:r>
        <w:rPr>
          <w:rtl w:val="true"/>
        </w:rPr>
        <w:t>التغذي بأشعة الشمس</w:t>
      </w:r>
      <w:bookmarkEnd w:id="34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التغذي بأشعة الشمس من غير طريق الفم</w:t>
      </w: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 بل بواسطة آلة تزرق مواد القوة الموجودة في الفضاء إلى جسم الإنسان، فالظاهر أنه لا يضر بالصوم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يضر بالصوم نفوذ الماء بسبب ثقوب البدن، في ما إذا دخل الإنسان في الماء؛ وذلك للانصراف وعدم الصدق</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0" w:name="__RefHeading___Toc12183899_2142443653"/>
      <w:bookmarkStart w:id="351" w:name="_Toc130"/>
      <w:bookmarkEnd w:id="350"/>
      <w:r>
        <w:rPr>
          <w:rtl w:val="true"/>
        </w:rPr>
        <w:t>من مستثنيات الطمأنينة في الأعضاء الصناعية</w:t>
      </w:r>
      <w:bookmarkEnd w:id="35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بتحريك</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والرجل الصناعيتين في حال يجب فيها الطمأنينة في الصلاة، سواء كان في القيام أم في الركوع والسجود؛ لأن العضو المصنوعي ليس مشمولاً</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وجوب الاستقرار والطمأنينة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أُخذت الرجل واليد من إنسان آخر وجعلت</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من طريق الفم إذا كان كالأشعة والهواء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لعنوان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بالملاك، إلا أن الملاك غير معلوم، فهو كمَنْ يصوم في المناطق الباردة جداً، أو في السراديب العميقة، أو ينام من الفجر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بالمقدار الذي يضر باليد الطبيعية، وإلا فأصل الحركة لا إشكال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كتحريك الثوب مثلاً</w:t>
      </w:r>
      <w:r>
        <w:rPr>
          <w:rFonts w:eastAsia="Amiri" w:cs="Amiri" w:ascii="Amiri" w:hAnsi="Amiri"/>
          <w:color w:val="111111"/>
          <w:sz w:val="28"/>
          <w:szCs w:val="28"/>
          <w:rtl w:val="true"/>
          <w:lang w:bidi="ar-SA"/>
        </w:rPr>
        <w:t xml:space="preserve">. </w:t>
      </w:r>
      <w:bookmarkStart w:id="352" w:name="pg15710_226828"/>
    </w:p>
    <w:p>
      <w:pPr>
        <w:pStyle w:val="BookText"/>
        <w:rPr/>
      </w:pPr>
      <w:bookmarkEnd w:id="352"/>
      <w:r>
        <w:rPr>
          <w:rFonts w:ascii="Amiri" w:hAnsi="Amiri" w:eastAsia="Amiri" w:cs="Amiri"/>
          <w:color w:val="111111"/>
          <w:sz w:val="28"/>
          <w:sz w:val="28"/>
          <w:szCs w:val="28"/>
          <w:rtl w:val="true"/>
          <w:lang w:bidi="ar-SA"/>
        </w:rPr>
        <w:t>جزءاً</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البدن صارت بحكم الأصلية، وليست حينئذٍ عارية</w:t>
      </w:r>
      <w:r>
        <w:rPr>
          <w:rFonts w:eastAsia="Amiri" w:cs="Amiri" w:ascii="Amiri" w:hAnsi="Amiri"/>
          <w:color w:val="111111"/>
          <w:sz w:val="28"/>
          <w:szCs w:val="28"/>
          <w:rtl w:val="true"/>
          <w:lang w:bidi="ar-SA"/>
        </w:rPr>
        <w:t>.</w:t>
      </w:r>
    </w:p>
    <w:p>
      <w:pPr>
        <w:pStyle w:val="Heading2"/>
        <w:numPr>
          <w:ilvl w:val="1"/>
          <w:numId w:val="1"/>
        </w:numPr>
        <w:rPr/>
      </w:pPr>
      <w:bookmarkStart w:id="353" w:name="__RefHeading___Toc12183901_2142443653"/>
      <w:bookmarkStart w:id="354" w:name="_Toc131"/>
      <w:bookmarkEnd w:id="353"/>
      <w:r>
        <w:rPr>
          <w:rtl w:val="true"/>
        </w:rPr>
        <w:t>الصلاة على الثلوج</w:t>
      </w:r>
      <w:bookmarkEnd w:id="35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على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القطب</w:t>
      </w:r>
      <w:r>
        <w:rPr>
          <w:rStyle w:val="FootnoteAnchor"/>
          <w:rtl w:val="true"/>
        </w:rPr>
        <w:footnoteReference w:id="5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المعيار في الصلاة الاستقرار، أما أن يكون الإنسان على شيء خاص فلا دليل</w:t>
      </w:r>
      <w:r>
        <w:rPr>
          <w:rStyle w:val="FootnoteAnchor"/>
          <w:rtl w:val="true"/>
        </w:rPr>
        <w:footnoteReference w:id="554"/>
      </w:r>
      <w:r>
        <w:rPr>
          <w:rFonts w:ascii="Amiri" w:hAnsi="Amiri" w:eastAsia="Amiri" w:cs="Amiri"/>
          <w:color w:val="111111"/>
          <w:sz w:val="28"/>
          <w:sz w:val="28"/>
          <w:szCs w:val="28"/>
          <w:rtl w:val="true"/>
          <w:lang w:bidi="ar-SA"/>
        </w:rPr>
        <w:t xml:space="preserve">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الثلج متحركاً، كأنهر الثلج الجارية أو كالثلج في حال الذوبان، لم يصح إذا أضر ذلك بالاستقرار إلا في صورة الاضطرار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في المستثنى منه والمستثنى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أن يكون السجود على الأرض أو ما في حكمه</w:t>
      </w:r>
      <w:r>
        <w:rPr>
          <w:rFonts w:eastAsia="Amiri" w:cs="Amiri" w:ascii="Amiri" w:hAnsi="Amiri"/>
          <w:color w:val="111111"/>
          <w:sz w:val="28"/>
          <w:szCs w:val="28"/>
          <w:rtl w:val="true"/>
          <w:lang w:bidi="ar-SA"/>
        </w:rPr>
        <w:t>.</w:t>
      </w:r>
    </w:p>
    <w:p>
      <w:pPr>
        <w:pStyle w:val="Heading2"/>
        <w:numPr>
          <w:ilvl w:val="1"/>
          <w:numId w:val="1"/>
        </w:numPr>
        <w:rPr/>
      </w:pPr>
      <w:bookmarkStart w:id="355" w:name="__RefHeading___Toc12183903_2142443653"/>
      <w:bookmarkStart w:id="356" w:name="_Toc132"/>
      <w:bookmarkEnd w:id="355"/>
      <w:r>
        <w:rPr>
          <w:rtl w:val="true"/>
        </w:rPr>
        <w:t>تشكيل النقابات</w:t>
      </w:r>
      <w:bookmarkEnd w:id="35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النقابة برضاية</w:t>
      </w:r>
      <w:r>
        <w:rPr>
          <w:rStyle w:val="FootnoteAnchor"/>
          <w:rtl w:val="true"/>
        </w:rPr>
        <w:footnoteReference w:id="555"/>
      </w:r>
      <w:r>
        <w:rPr>
          <w:rFonts w:ascii="IRNazanin" w:hAnsi="IRNazanin" w:eastAsia="IRNazanin"/>
          <w:color w:val="111111"/>
          <w:sz w:val="28"/>
          <w:sz w:val="28"/>
          <w:szCs w:val="28"/>
          <w:rtl w:val="true"/>
          <w:lang w:bidi="fa-IR"/>
        </w:rPr>
        <w:t>الأطراف وبدون شرط</w:t>
      </w:r>
      <w:r>
        <w:rPr>
          <w:rStyle w:val="FootnoteAnchor"/>
          <w:rtl w:val="true"/>
        </w:rPr>
        <w:footnoteReference w:id="556"/>
      </w:r>
      <w:r>
        <w:rPr>
          <w:rFonts w:ascii="IRNazanin" w:hAnsi="IRNazanin" w:eastAsia="IRNazanin"/>
          <w:color w:val="111111"/>
          <w:sz w:val="28"/>
          <w:sz w:val="28"/>
          <w:szCs w:val="28"/>
          <w:rtl w:val="true"/>
          <w:lang w:bidi="fa-IR"/>
        </w:rPr>
        <w:t xml:space="preserve"> أو عقد</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وقد سبق أن الملاك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التفاعل مع البدن</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 اليد الصناعية جعلت جزءاً حقيقةً وتفاعلت فهل لها الحكم أو لا؟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القطب أيضاً</w:t>
      </w:r>
      <w:r>
        <w:rPr>
          <w:rFonts w:eastAsia="Amiri" w:cs="Amiri" w:ascii="Amiri" w:hAnsi="Amiri"/>
          <w:color w:val="111111"/>
          <w:sz w:val="28"/>
          <w:szCs w:val="28"/>
          <w:rtl w:val="true"/>
          <w:lang w:bidi="ar-SA"/>
        </w:rPr>
        <w:t>.</w:t>
      </w:r>
    </w:p>
    <w:p>
      <w:pPr>
        <w:pStyle w:val="BookText"/>
        <w:rPr/>
      </w:pP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الدليل على عدمه، وهو إطلاقات الأدلة وسيرة المسافرين في الأزمنة القديمة، بلا ردع من الشارع،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كشرط الحضور عند الحاكم الظالم</w:t>
      </w:r>
      <w:r>
        <w:rPr>
          <w:rFonts w:eastAsia="Amiri" w:cs="Amiri" w:ascii="Amiri" w:hAnsi="Amiri"/>
          <w:color w:val="111111"/>
          <w:sz w:val="28"/>
          <w:szCs w:val="28"/>
          <w:rtl w:val="true"/>
          <w:lang w:bidi="ar-SA"/>
        </w:rPr>
        <w:t xml:space="preserve">. </w:t>
      </w:r>
      <w:bookmarkStart w:id="357" w:name="pg15710_226829"/>
    </w:p>
    <w:p>
      <w:pPr>
        <w:pStyle w:val="BookText"/>
        <w:rPr/>
      </w:pPr>
      <w:bookmarkEnd w:id="357"/>
      <w:r>
        <w:rPr>
          <w:rFonts w:ascii="Amiri" w:hAnsi="Amiri" w:eastAsia="Amiri" w:cs="Amiri"/>
          <w:color w:val="111111"/>
          <w:sz w:val="28"/>
          <w:sz w:val="28"/>
          <w:szCs w:val="28"/>
          <w:rtl w:val="true"/>
          <w:lang w:bidi="ar-SA"/>
        </w:rPr>
        <w:t>يخالف الإسلام جائز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بدون الرضاية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خلاف سلطنة الإنسان على نفسه، وخلاف حرية الإنسان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أما إذا كان عقد غير مشروع أو شرط غير مشروع فذلك مما يمنع في الإسلام</w:t>
      </w:r>
      <w:r>
        <w:rPr>
          <w:rFonts w:eastAsia="Amiri" w:cs="Amiri" w:ascii="Amiri" w:hAnsi="Amiri"/>
          <w:color w:val="111111"/>
          <w:sz w:val="28"/>
          <w:szCs w:val="28"/>
          <w:rtl w:val="true"/>
          <w:lang w:bidi="ar-SA"/>
        </w:rPr>
        <w:t>.</w:t>
      </w:r>
    </w:p>
    <w:p>
      <w:pPr>
        <w:pStyle w:val="Heading2"/>
        <w:numPr>
          <w:ilvl w:val="1"/>
          <w:numId w:val="1"/>
        </w:numPr>
        <w:rPr/>
      </w:pPr>
      <w:bookmarkStart w:id="358" w:name="__RefHeading___Toc12183905_2142443653"/>
      <w:bookmarkStart w:id="359" w:name="_Toc133"/>
      <w:bookmarkEnd w:id="358"/>
      <w:r>
        <w:rPr>
          <w:rtl w:val="true"/>
        </w:rPr>
        <w:t>حدود النقابات</w:t>
      </w:r>
      <w:bookmarkEnd w:id="35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561"/>
      </w:r>
      <w:r>
        <w:rPr>
          <w:rFonts w:ascii="Amiri" w:hAnsi="Amiri" w:eastAsia="Amiri" w:cs="Amiri"/>
          <w:color w:val="111111"/>
          <w:sz w:val="28"/>
          <w:sz w:val="28"/>
          <w:szCs w:val="28"/>
          <w:rtl w:val="true"/>
          <w:lang w:bidi="ar-SA"/>
        </w:rPr>
        <w:t xml:space="preserve"> تشكيل نقابة تفرض نفسها على الإنسان، أو تشتمل على عقد أو شرط مخالف للإسلام، إلا إذا كانت هناك مصلحة تفوق مصلحة الحرية الفردية، وتفوق مصلحة الحكم الأولي، مثلاً</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اجتاح البلد مجاعة مما اضطرت الدولة الإسلامية إلى أن تجمع مالكي الطعام، وتدخلهم تحت نقابة معينة لإنقاذ الناس من الموت، وشرطت عليهم بيع الحنطة بالنسيئة في صورة أن الدولة والرعية لا مال لهما يبذلانه في مقابل الحنطة، جاز</w:t>
      </w:r>
      <w:r>
        <w:rPr>
          <w:rFonts w:eastAsia="Amiri" w:cs="Amiri" w:ascii="Amiri" w:hAnsi="Amiri"/>
          <w:color w:val="111111"/>
          <w:sz w:val="28"/>
          <w:szCs w:val="28"/>
          <w:rtl w:val="true"/>
          <w:lang w:bidi="ar-SA"/>
        </w:rPr>
        <w:t>.</w:t>
      </w:r>
    </w:p>
    <w:p>
      <w:pPr>
        <w:pStyle w:val="BookText"/>
        <w:rPr/>
      </w:pP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عليها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w:t>
      </w:r>
      <w:r>
        <w:rPr>
          <w:rStyle w:val="FootnoteAnchor"/>
          <w:rtl w:val="true"/>
        </w:rPr>
        <w:footnoteReference w:id="565"/>
      </w:r>
      <w:r>
        <w:rPr>
          <w:rFonts w:ascii="Amiri" w:hAnsi="Amiri" w:eastAsia="Amiri" w:cs="Amiri"/>
          <w:color w:val="111111"/>
          <w:sz w:val="28"/>
          <w:sz w:val="28"/>
          <w:szCs w:val="28"/>
          <w:rtl w:val="true"/>
          <w:lang w:bidi="ar-SA"/>
        </w:rPr>
        <w:t>وأدلة الظلم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المسألة الماضية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وكتشكيل لجنة للخطباء عند المدّ الإلحادي في البلاد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والاستثناء لقاعدة الأهم والمهم، وهي قاعدة دلت عليها الأدلة الأربعة، قال سبحانه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أَن يَكُونَ النَّاسُ أُمَّةً وَاحِدَةً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لولا قومك حديثو عهد بالإسلام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وإن كان في سنده ضعف،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ولولا أن الناس يقولون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أشرنا إليه في الفقه، والتشخيص إلى شورى الفقهاء 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الاستدلال بأنه حذراً من كفر جميع الناس لمتعنا الكفار بالرخاء الاقتصادي</w:t>
      </w:r>
      <w:r>
        <w:rPr>
          <w:rFonts w:eastAsia="Amiri" w:cs="Amiri" w:ascii="Amiri" w:hAnsi="Amiri"/>
          <w:color w:val="111111"/>
          <w:sz w:val="28"/>
          <w:szCs w:val="28"/>
          <w:rtl w:val="true"/>
          <w:lang w:bidi="ar-SA"/>
        </w:rPr>
        <w:t>.</w:t>
      </w:r>
    </w:p>
    <w:p>
      <w:pPr>
        <w:pStyle w:val="BookText"/>
        <w:rPr/>
      </w:pP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استعان بأصحابه ثم قتلهم لضربت أعناق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تترس الكفار بالمسلمين، وأكل المخمصة،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لِينَةٍ</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فقدهم فعدول المؤمنين الخبراء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بمجموع الأمة، فتأمل</w:t>
      </w:r>
      <w:r>
        <w:rPr>
          <w:rFonts w:eastAsia="Amiri" w:cs="Amiri" w:ascii="Amiri" w:hAnsi="Amiri"/>
          <w:color w:val="111111"/>
          <w:sz w:val="28"/>
          <w:szCs w:val="28"/>
          <w:rtl w:val="true"/>
          <w:lang w:bidi="ar-SA"/>
        </w:rPr>
        <w:t xml:space="preserve">. </w:t>
      </w:r>
      <w:bookmarkStart w:id="360" w:name="pg15710_226831"/>
    </w:p>
    <w:p>
      <w:pPr>
        <w:pStyle w:val="Heading2"/>
        <w:numPr>
          <w:ilvl w:val="1"/>
          <w:numId w:val="1"/>
        </w:numPr>
        <w:rPr/>
      </w:pPr>
      <w:bookmarkStart w:id="361" w:name="__RefHeading___Toc12183907_2142443653"/>
      <w:bookmarkStart w:id="362" w:name="_Toc134"/>
      <w:bookmarkEnd w:id="360"/>
      <w:bookmarkEnd w:id="361"/>
      <w:r>
        <w:rPr>
          <w:rtl w:val="true"/>
        </w:rPr>
        <w:t>فرض الترتيب في شؤون الناس</w:t>
      </w:r>
      <w:bookmarkEnd w:id="36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w:t>
      </w:r>
      <w:r>
        <w:rPr>
          <w:rStyle w:val="FootnoteAnchor"/>
          <w:rtl w:val="true"/>
        </w:rPr>
        <w:footnoteReference w:id="572"/>
      </w:r>
      <w:r>
        <w:rPr>
          <w:rFonts w:ascii="Amiri" w:hAnsi="Amiri" w:eastAsia="Amiri" w:cs="Amiri"/>
          <w:color w:val="111111"/>
          <w:sz w:val="28"/>
          <w:sz w:val="28"/>
          <w:szCs w:val="28"/>
          <w:rtl w:val="true"/>
          <w:lang w:bidi="ar-SA"/>
        </w:rPr>
        <w:t xml:space="preserve"> للدولة فرض الترتيب بالنسبة إلى الأُمور، كفرض الترتيب على مَنْ يريد ركوب السيارة، أو مَنْ يريد اشتراء السلعة، أو مَنْ يريد دخول المحلات العامة أو ما أشبه ذلك، إلا إذا وجدت المصلحة الأهم، كما تقدم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بأن أهل بغداد مقدمون على أهل بصرة، أو البيض مقدمون على السود، أو المثقف مقدم على الأُمي إلى غير ذلك، بل الميزان تقدم الحق</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3" w:name="__RefHeading___Toc12183909_2142443653"/>
      <w:bookmarkStart w:id="364" w:name="_Toc135"/>
      <w:bookmarkEnd w:id="363"/>
      <w:r>
        <w:rPr>
          <w:rtl w:val="true"/>
        </w:rPr>
        <w:t>فرض الترتيب في شؤون الدولة</w:t>
      </w:r>
      <w:bookmarkEnd w:id="36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 للدولة</w:t>
      </w:r>
      <w:r>
        <w:rPr>
          <w:rStyle w:val="FootnoteAnchor"/>
          <w:rtl w:val="true"/>
        </w:rPr>
        <w:footnoteReference w:id="573"/>
      </w:r>
      <w:r>
        <w:rPr>
          <w:rFonts w:ascii="Amiri" w:hAnsi="Amiri" w:eastAsia="Amiri" w:cs="Amiri"/>
          <w:color w:val="111111"/>
          <w:sz w:val="28"/>
          <w:sz w:val="28"/>
          <w:szCs w:val="28"/>
          <w:rtl w:val="true"/>
          <w:lang w:bidi="ar-SA"/>
        </w:rPr>
        <w:t xml:space="preserve"> يحق لها فرض الترتيب، كما في</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الحرية والسلطنة</w:t>
      </w:r>
      <w:r>
        <w:rPr>
          <w:rFonts w:eastAsia="Amiri" w:cs="Amiri" w:ascii="Amiri" w:hAnsi="Amiri"/>
          <w:color w:val="111111"/>
          <w:sz w:val="28"/>
          <w:szCs w:val="28"/>
          <w:rtl w:val="true"/>
          <w:lang w:bidi="ar-SA"/>
        </w:rPr>
        <w:t>.</w:t>
      </w:r>
    </w:p>
    <w:p>
      <w:pPr>
        <w:pStyle w:val="BookText"/>
        <w:rPr/>
      </w:pP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يتوى</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وأدلة الظلم، وتقديم القاضي السابق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مسألة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خصوص أموالها الشخصية أو مطلق ما تحت يدها؟ وهل يشترط في الأخيرة رعاية المصلحة العامة؟ ظاهر 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كمال الأُمة</w:t>
      </w:r>
      <w:r>
        <w:rPr>
          <w:rFonts w:eastAsia="Amiri" w:cs="Amiri" w:ascii="Amiri" w:hAnsi="Amiri"/>
          <w:color w:val="111111"/>
          <w:sz w:val="28"/>
          <w:szCs w:val="28"/>
          <w:rtl w:val="true"/>
          <w:lang w:bidi="ar-SA"/>
        </w:rPr>
        <w:t xml:space="preserve">). </w:t>
      </w:r>
      <w:bookmarkStart w:id="365" w:name="pg15710_226832"/>
    </w:p>
    <w:p>
      <w:pPr>
        <w:pStyle w:val="BookText"/>
        <w:rPr/>
      </w:pPr>
      <w:bookmarkEnd w:id="365"/>
      <w:r>
        <w:rPr>
          <w:rFonts w:ascii="Amiri" w:hAnsi="Amiri" w:eastAsia="Amiri" w:cs="Amiri"/>
          <w:color w:val="111111"/>
          <w:sz w:val="28"/>
          <w:sz w:val="28"/>
          <w:szCs w:val="28"/>
          <w:rtl w:val="true"/>
          <w:lang w:bidi="ar-SA"/>
        </w:rPr>
        <w:t>السيارات العامة التي هي للدولة، فإنه يحق لها فرض الترتيب فيها بركوب الذي جاء لاحقاً قبل ركوب الذي جاء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المال حينئذٍ كمال الفرد، لا كمال الأُمة، والفرد له الحق في شروطه وقيوده الشرعية بالنسبة إلى ماله</w:t>
      </w:r>
      <w:r>
        <w:rPr>
          <w:rFonts w:eastAsia="Amiri" w:cs="Amiri" w:ascii="Amiri" w:hAnsi="Amiri"/>
          <w:color w:val="111111"/>
          <w:sz w:val="28"/>
          <w:szCs w:val="28"/>
          <w:rtl w:val="true"/>
          <w:lang w:bidi="ar-SA"/>
        </w:rPr>
        <w:t>.</w:t>
      </w:r>
    </w:p>
    <w:p>
      <w:pPr>
        <w:pStyle w:val="Heading2"/>
        <w:numPr>
          <w:ilvl w:val="1"/>
          <w:numId w:val="1"/>
        </w:numPr>
        <w:rPr/>
      </w:pPr>
      <w:bookmarkStart w:id="366" w:name="__RefHeading___Toc12183911_2142443653"/>
      <w:bookmarkStart w:id="367" w:name="_Toc136"/>
      <w:bookmarkEnd w:id="366"/>
      <w:r>
        <w:rPr>
          <w:rtl w:val="true"/>
        </w:rPr>
        <w:t>فرض الترتيب على أصحاب السيارات</w:t>
      </w:r>
      <w:bookmarkEnd w:id="36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w:t>
      </w:r>
      <w:r>
        <w:rPr>
          <w:rStyle w:val="FootnoteAnchor"/>
          <w:rtl w:val="true"/>
        </w:rPr>
        <w:footnoteReference w:id="579"/>
      </w:r>
      <w:r>
        <w:rPr>
          <w:rFonts w:ascii="Amiri" w:hAnsi="Amiri" w:eastAsia="Amiri" w:cs="Amiri"/>
          <w:color w:val="111111"/>
          <w:sz w:val="28"/>
          <w:sz w:val="28"/>
          <w:szCs w:val="28"/>
          <w:rtl w:val="true"/>
          <w:lang w:bidi="ar-SA"/>
        </w:rPr>
        <w:t xml:space="preserve"> للدولة فرض الترتيب على السواق في تقبل المسافرين، بأن كل سيارة دخلت المدينة أقدم يكون لها حق السبق، وكل سيارة دخلت بعد لا يحق لها التقدم؟ الظاهر العدم، إلا أن تكون هناك مصلحة مقدمة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فتتقدم تلك المصلحة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لا يعدو رضا السائق والمسافر، فلا شأن للدولة إلا مع الأهمية كما تقدم</w:t>
      </w:r>
      <w:r>
        <w:rPr>
          <w:rFonts w:eastAsia="Amiri" w:cs="Amiri" w:ascii="Amiri" w:hAnsi="Amiri"/>
          <w:color w:val="111111"/>
          <w:sz w:val="28"/>
          <w:szCs w:val="28"/>
          <w:rtl w:val="true"/>
          <w:lang w:bidi="ar-SA"/>
        </w:rPr>
        <w:t>.</w:t>
      </w:r>
    </w:p>
    <w:p>
      <w:pPr>
        <w:pStyle w:val="Heading2"/>
        <w:numPr>
          <w:ilvl w:val="1"/>
          <w:numId w:val="1"/>
        </w:numPr>
        <w:rPr/>
      </w:pPr>
      <w:bookmarkStart w:id="368" w:name="__RefHeading___Toc12183913_2142443653"/>
      <w:bookmarkStart w:id="369" w:name="_Toc137"/>
      <w:bookmarkEnd w:id="368"/>
      <w:r>
        <w:rPr>
          <w:rtl w:val="true"/>
        </w:rPr>
        <w:t>الدولة وفرض الترتيب</w:t>
      </w:r>
      <w:bookmarkEnd w:id="36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المسألة السابقة وما قبلها من حق الدولة في فرض الترتيب مع المصلحة، أو مع كون المال لها، إنما هي في الدولة الإسلامية العادلة، والدولة المالكة حقيقة شرعاً بالنسبة إلى المسألة السابقة،</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عن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xml:space="preserve">أنَّ ذلك بالنسبة للراكب، وهذا بالنسبة للسائق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الجامع واحد، والحكم واحد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bookmarkStart w:id="370" w:name="pg15710_226833"/>
    </w:p>
    <w:p>
      <w:pPr>
        <w:pStyle w:val="BookText"/>
        <w:rPr/>
      </w:pPr>
      <w:bookmarkEnd w:id="370"/>
      <w:r>
        <w:rPr>
          <w:rFonts w:ascii="Amiri" w:hAnsi="Amiri" w:eastAsia="Amiri" w:cs="Amiri"/>
          <w:color w:val="111111"/>
          <w:sz w:val="28"/>
          <w:sz w:val="28"/>
          <w:szCs w:val="28"/>
          <w:rtl w:val="true"/>
          <w:lang w:bidi="ar-SA"/>
        </w:rPr>
        <w:t>وإلا فالدولة التي لا تملك لا يحق</w:t>
      </w:r>
      <w:r>
        <w:rPr>
          <w:rStyle w:val="FootnoteAnchor"/>
          <w:rtl w:val="true"/>
        </w:rPr>
        <w:footnoteReference w:id="582"/>
      </w:r>
      <w:r>
        <w:rPr>
          <w:rFonts w:ascii="Amiri" w:hAnsi="Amiri" w:eastAsia="Amiri" w:cs="Amiri"/>
          <w:color w:val="111111"/>
          <w:sz w:val="28"/>
          <w:sz w:val="28"/>
          <w:szCs w:val="28"/>
          <w:rtl w:val="true"/>
          <w:lang w:bidi="ar-SA"/>
        </w:rPr>
        <w:t xml:space="preserve"> لها الفرض حتى مع المصلحة الأهم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لأنه لا حق لغير مَنْ عنتهم آية 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وحديث النيابة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الحوادث الواقعة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الطاعة على أحد، وحينئذٍ يرجع الأمر في هكذا دولة إلى قاعدة الأهم والمهم في الفرد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نفسه من حيث الضرر وعدمه، كما ذكرنا مثل ذلك سابقاً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Heading2"/>
        <w:numPr>
          <w:ilvl w:val="1"/>
          <w:numId w:val="1"/>
        </w:numPr>
        <w:rPr/>
      </w:pPr>
      <w:bookmarkStart w:id="371" w:name="__RefHeading___Toc12183915_2142443653"/>
      <w:bookmarkStart w:id="372" w:name="_Toc138"/>
      <w:bookmarkEnd w:id="371"/>
      <w:r>
        <w:rPr>
          <w:rtl w:val="true"/>
        </w:rPr>
        <w:t>الحريات الإسلامية هي المقدمة</w:t>
      </w:r>
      <w:bookmarkEnd w:id="37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مورد فرضت الدولة الترتيب بدون أن يكون فرضها نافذاً شرعاً لا يجب على الإنسان اتباع ذلك، بل يجوز للإنسان المخالفة بمزاولة حريته الطبيعية التي منحها اللّه سبحانه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فيما إذا لم يكن حق غيره مقدماً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عليه وإلا فالسابق أحق لدليل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ولما ذكروه في كتاب القضاء من تقدم حق</w:t>
      </w:r>
    </w:p>
    <w:p>
      <w:pPr>
        <w:pStyle w:val="BookText"/>
        <w:rPr/>
      </w:pP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يجب التقيد على الناس لا من باب أمر الدولة، بل من باب دفع الضرر الملزم أو نحو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المجتمع كما سبق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هنالك ضرر عام أو شخصي ملزم كما سبق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سائر الأدلة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373" w:name="pg15710_226834"/>
    </w:p>
    <w:p>
      <w:pPr>
        <w:pStyle w:val="BookText"/>
        <w:rPr/>
      </w:pPr>
      <w:bookmarkEnd w:id="373"/>
      <w:r>
        <w:rPr>
          <w:rFonts w:ascii="IRNazanin" w:hAnsi="IRNazanin" w:eastAsia="IRNazanin"/>
          <w:color w:val="111111"/>
          <w:sz w:val="28"/>
          <w:sz w:val="28"/>
          <w:szCs w:val="28"/>
          <w:rtl w:val="true"/>
          <w:lang w:bidi="fa-IR"/>
        </w:rPr>
        <w:t>المترافع سابقاً على المترافع لاحقاً للنص والفتوى</w:t>
      </w:r>
      <w:r>
        <w:rPr>
          <w:rFonts w:eastAsia="IRNazanin" w:cs="IRNazanin"/>
          <w:color w:val="111111"/>
          <w:sz w:val="28"/>
          <w:szCs w:val="28"/>
          <w:rtl w:val="true"/>
          <w:lang w:bidi="fa-IR"/>
        </w:rPr>
        <w:t>.</w:t>
      </w:r>
    </w:p>
    <w:p>
      <w:pPr>
        <w:pStyle w:val="Heading2"/>
        <w:numPr>
          <w:ilvl w:val="1"/>
          <w:numId w:val="1"/>
        </w:numPr>
        <w:rPr/>
      </w:pPr>
      <w:bookmarkStart w:id="374" w:name="__RefHeading___Toc12183917_2142443653"/>
      <w:bookmarkStart w:id="375" w:name="_Toc139"/>
      <w:bookmarkEnd w:id="374"/>
      <w:r>
        <w:rPr>
          <w:rtl w:val="true"/>
        </w:rPr>
        <w:t>حرية السفر</w:t>
      </w:r>
      <w:bookmarkEnd w:id="37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فرضت الدولة حصراً، فإن كانت الدولة واجبة الاتباع</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على الإنسان إطاعة ذلك الحصر، كما إذا منعت الدولة الإسلامية العادلة عن السفر لمصلحة أهم من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سلطة الناس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تكن الدولة واجبة الاتباع لم يلزم على الإنسان إطاعة الدولة، بل جاز له مزاولة حريته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لما تقدم من حرية الإنسان وتسلطه على نفسه، والدولة العادلة الشرعية هي التي تكون بإشراف شورى الفقهاء المراجع</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6" w:name="__RefHeading___Toc12183919_2142443653"/>
      <w:bookmarkStart w:id="377" w:name="_Toc140"/>
      <w:bookmarkEnd w:id="376"/>
      <w:r>
        <w:rPr>
          <w:rtl w:val="true"/>
        </w:rPr>
        <w:t>المتآمرون على أمن الدولة الإسلامية</w:t>
      </w:r>
      <w:bookmarkEnd w:id="37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المتآمرين الذين تلقي الدولة الإسلامية العادلة القبض عليهم؟ مثلا يتآمر جماعة على نشر الرعب بين الناس فينظمون لذلك أمرهم، بأن يتصدى أحدهم لتحصيل المال بالسرقة ونحوها، والآخر لتحصيل السلاح، والثالث لمعرفة الأُمور السياسية، والرابع لمعرفة الشخصيات وأماكنهم، والخامس ليشرف على الأُمور الفنية لأجل الاتصالات السلكية واللاسلكية وهكذا؟ الظاهر أن حكمهم التعزير إلا أن ينطبق على أحدهم حد محدود في الإسلام، كالسارق والمفسد وشاهر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هنالك ضرر عام أو شخصي ملزم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عدول المؤمنين في صورة عدم الإمكان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bookmarkStart w:id="378" w:name="pg15710_226835"/>
    </w:p>
    <w:p>
      <w:pPr>
        <w:pStyle w:val="BookText"/>
        <w:rPr/>
      </w:pPr>
      <w:bookmarkEnd w:id="378"/>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حكم كل فاعل حرام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إلا إذا قرر الشارع حداً خاصاً لبعض المحرمات فيجري الحد حينئذٍ، وقد ذكرنا في بعض كتبنا أن التعزير أعم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من الضرب بالسوط، فيشمل مثل السجن والغرامة المالية وما أشبه حسب تشخيص شورى الفقهاء</w:t>
      </w:r>
      <w:r>
        <w:rPr>
          <w:rFonts w:eastAsia="Amiri" w:cs="Amiri" w:ascii="Amiri" w:hAnsi="Amiri"/>
          <w:color w:val="111111"/>
          <w:sz w:val="28"/>
          <w:szCs w:val="28"/>
          <w:rtl w:val="true"/>
          <w:lang w:bidi="ar-SA"/>
        </w:rPr>
        <w:t>.</w:t>
      </w:r>
    </w:p>
    <w:p>
      <w:pPr>
        <w:pStyle w:val="Heading2"/>
        <w:numPr>
          <w:ilvl w:val="1"/>
          <w:numId w:val="1"/>
        </w:numPr>
        <w:rPr/>
      </w:pPr>
      <w:bookmarkStart w:id="379" w:name="__RefHeading___Toc12183921_2142443653"/>
      <w:bookmarkStart w:id="380" w:name="_Toc141"/>
      <w:bookmarkEnd w:id="379"/>
      <w:r>
        <w:rPr>
          <w:rtl w:val="true"/>
        </w:rPr>
        <w:t>المتآمرون والبغاة</w:t>
      </w:r>
      <w:bookmarkEnd w:id="38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قصد المخربين</w:t>
      </w:r>
      <w:r>
        <w:rPr>
          <w:rStyle w:val="FootnoteAnchor"/>
          <w:rtl w:val="true"/>
        </w:rPr>
        <w:footnoteReference w:id="588"/>
      </w:r>
      <w:r>
        <w:rPr>
          <w:rFonts w:ascii="Amiri" w:hAnsi="Amiri" w:eastAsia="Amiri" w:cs="Amiri"/>
          <w:color w:val="111111"/>
          <w:sz w:val="28"/>
          <w:sz w:val="28"/>
          <w:szCs w:val="28"/>
          <w:rtl w:val="true"/>
          <w:lang w:bidi="ar-SA"/>
        </w:rPr>
        <w:t xml:space="preserve"> الخروج على الدولة الإسلامية العادلة فحكمهم ما ذكر في كتاب الجهاد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ظهر من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حربه مع الناكثين والمارقين والقاسطين ما يكفي لكل أحكام هؤلاء</w:t>
      </w:r>
      <w:r>
        <w:rPr>
          <w:rFonts w:eastAsia="Amiri" w:cs="Amiri" w:ascii="Amiri" w:hAnsi="Amiri"/>
          <w:color w:val="111111"/>
          <w:sz w:val="28"/>
          <w:szCs w:val="28"/>
          <w:rtl w:val="true"/>
          <w:lang w:bidi="ar-SA"/>
        </w:rPr>
        <w:t>.</w:t>
      </w:r>
    </w:p>
    <w:p>
      <w:pPr>
        <w:pStyle w:val="Heading2"/>
        <w:numPr>
          <w:ilvl w:val="1"/>
          <w:numId w:val="1"/>
        </w:numPr>
        <w:rPr/>
      </w:pPr>
      <w:bookmarkStart w:id="381" w:name="__RefHeading___Toc12183923_2142443653"/>
      <w:bookmarkStart w:id="382" w:name="_Toc142"/>
      <w:bookmarkEnd w:id="381"/>
      <w:r>
        <w:rPr>
          <w:rtl w:val="true"/>
        </w:rPr>
        <w:t>البيوتات المكشوفة</w:t>
      </w:r>
      <w:bookmarkEnd w:id="38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بيت الجار مشرفاً على دار الإنسان بروشن أو نحوه، ولا تأمن المرأة أن ينظر الأجنبي من الروشن</w:t>
      </w:r>
      <w:r>
        <w:rPr>
          <w:rStyle w:val="FootnoteAnchor"/>
          <w:rtl w:val="true"/>
        </w:rPr>
        <w:footnoteReference w:id="589"/>
      </w:r>
      <w:r>
        <w:rPr>
          <w:rFonts w:ascii="Amiri" w:hAnsi="Amiri" w:eastAsia="Amiri" w:cs="Amiri"/>
          <w:color w:val="111111"/>
          <w:sz w:val="28"/>
          <w:sz w:val="28"/>
          <w:szCs w:val="28"/>
          <w:rtl w:val="true"/>
          <w:lang w:bidi="ar-SA"/>
        </w:rPr>
        <w:t>إليها يشكل</w:t>
      </w:r>
      <w:r>
        <w:rPr>
          <w:rStyle w:val="FootnoteAnchor"/>
          <w:rtl w:val="true"/>
        </w:rPr>
        <w:footnoteReference w:id="590"/>
      </w:r>
      <w:r>
        <w:rPr>
          <w:rFonts w:ascii="IRNazanin" w:hAnsi="IRNazanin" w:eastAsia="IRNazanin"/>
          <w:color w:val="111111"/>
          <w:sz w:val="28"/>
          <w:sz w:val="28"/>
          <w:szCs w:val="28"/>
          <w:rtl w:val="true"/>
          <w:lang w:bidi="fa-IR"/>
        </w:rPr>
        <w:t xml:space="preserve"> أن</w:t>
      </w:r>
    </w:p>
    <w:p>
      <w:pPr>
        <w:pStyle w:val="BookText"/>
        <w:rPr/>
      </w:pP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المشهور</w:t>
      </w:r>
      <w:r>
        <w:rPr>
          <w:rFonts w:eastAsia="IRNazanin" w:cs="IRNazanin"/>
          <w:color w:val="111111"/>
          <w:sz w:val="28"/>
          <w:szCs w:val="28"/>
          <w:rtl w:val="true"/>
          <w:lang w:bidi="fa-IR"/>
        </w:rPr>
        <w:t>.</w:t>
      </w:r>
    </w:p>
    <w:p>
      <w:pPr>
        <w:pStyle w:val="BookText"/>
        <w:rPr/>
      </w:pP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خلاف المشهور، إلاّ أن يكون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الأهم والمهم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سبق الإشارة لهم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المستفاد من الأدلة وجوب إحراز الستر، لا الستر عن المعلوم فقط، كما </w:t>
      </w:r>
      <w:bookmarkStart w:id="383" w:name="pg15710_226836"/>
    </w:p>
    <w:p>
      <w:pPr>
        <w:pStyle w:val="BookText"/>
        <w:rPr/>
      </w:pPr>
      <w:bookmarkEnd w:id="383"/>
      <w:r>
        <w:rPr>
          <w:rFonts w:ascii="Amiri" w:hAnsi="Amiri" w:eastAsia="Amiri" w:cs="Amiri"/>
          <w:color w:val="111111"/>
          <w:sz w:val="28"/>
          <w:sz w:val="28"/>
          <w:szCs w:val="28"/>
          <w:rtl w:val="true"/>
          <w:lang w:bidi="ar-SA"/>
        </w:rPr>
        <w:t>تأتي إلى الدار بدون الحجاب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حال مثل هذه الدار حال الشارع المحتمل وجود الناظر المحترم احتمالاً عقلائياً</w:t>
      </w:r>
      <w:r>
        <w:rPr>
          <w:rFonts w:eastAsia="Amiri" w:cs="Amiri" w:ascii="Amiri" w:hAnsi="Amiri"/>
          <w:color w:val="111111"/>
          <w:sz w:val="28"/>
          <w:szCs w:val="28"/>
          <w:rtl w:val="true"/>
          <w:lang w:bidi="ar-SA"/>
        </w:rPr>
        <w:t>.</w:t>
      </w:r>
    </w:p>
    <w:p>
      <w:pPr>
        <w:pStyle w:val="Heading2"/>
        <w:numPr>
          <w:ilvl w:val="1"/>
          <w:numId w:val="1"/>
        </w:numPr>
        <w:rPr/>
      </w:pPr>
      <w:bookmarkStart w:id="384" w:name="__RefHeading___Toc12183925_2142443653"/>
      <w:bookmarkStart w:id="385" w:name="_Toc143"/>
      <w:bookmarkEnd w:id="384"/>
      <w:r>
        <w:rPr>
          <w:rtl w:val="true"/>
        </w:rPr>
        <w:t>الإشراف على دار الغير</w:t>
      </w:r>
      <w:bookmarkEnd w:id="38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الإشراف من الروشن أو نحوه على دار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للأدلة العامة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والأدلة الخاصة المذكورة في محلها، ولو فعل ذلك كان عليه العقاب، كما ذكر في كتاب الحدود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الرسالة عن النظر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 بحث التخلي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الشكّ في الناظر</w:t>
      </w:r>
      <w:r>
        <w:rPr>
          <w:rStyle w:val="FootnoteAnchor"/>
          <w:rtl w:val="true"/>
        </w:rPr>
        <w:footnoteReference w:id="596"/>
      </w:r>
      <w:r>
        <w:rPr>
          <w:rFonts w:ascii="Amiri" w:hAnsi="Amiri" w:eastAsia="Amiri" w:cs="Amiri"/>
          <w:color w:val="111111"/>
          <w:sz w:val="28"/>
          <w:sz w:val="28"/>
          <w:szCs w:val="28"/>
          <w:rtl w:val="true"/>
          <w:lang w:bidi="ar-SA"/>
        </w:rPr>
        <w:t>، وكتاب النكاح</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منكر في أذهان المتشرعة، خاصة لو وصل إلى حدّ التعرّي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له عقداً سلبياً، كما سبق، أو المقصود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حقّ سلطنة على ماله بحيث يمنع الآخرين من النظر، فتأمل</w:t>
      </w:r>
      <w:r>
        <w:rPr>
          <w:rFonts w:eastAsia="Amiri" w:cs="Amiri" w:ascii="Amiri" w:hAnsi="Amiri"/>
          <w:color w:val="111111"/>
          <w:sz w:val="28"/>
          <w:szCs w:val="28"/>
          <w:rtl w:val="true"/>
          <w:lang w:bidi="ar-SA"/>
        </w:rPr>
        <w:t xml:space="preserve">. </w:t>
      </w:r>
      <w:bookmarkStart w:id="386" w:name="pg15710_226837"/>
    </w:p>
    <w:p>
      <w:pPr>
        <w:pStyle w:val="Heading2"/>
        <w:numPr>
          <w:ilvl w:val="1"/>
          <w:numId w:val="1"/>
        </w:numPr>
        <w:rPr/>
      </w:pPr>
      <w:bookmarkStart w:id="387" w:name="__RefHeading___Toc12183927_2142443653"/>
      <w:bookmarkStart w:id="388" w:name="_Toc144"/>
      <w:bookmarkEnd w:id="386"/>
      <w:bookmarkEnd w:id="387"/>
      <w:r>
        <w:rPr>
          <w:rtl w:val="true"/>
        </w:rPr>
        <w:t>الانتحار بالهواء المسموم</w:t>
      </w:r>
      <w:bookmarkEnd w:id="38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الانتحار بالتنفس في الهواء المسموم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قتل النفس حرام بأية كيفية كان القتل، كالحرق والغرق والإلقاء من شاهق أو ما أشبه إلى غير ذلك، وقد دل على حرمة الانتحار الأدلة الأربعة، وقد سبق البحث عنها</w:t>
      </w:r>
      <w:r>
        <w:rPr>
          <w:rFonts w:eastAsia="Amiri" w:cs="Amiri" w:ascii="Amiri" w:hAnsi="Amiri"/>
          <w:color w:val="111111"/>
          <w:sz w:val="28"/>
          <w:szCs w:val="28"/>
          <w:rtl w:val="true"/>
          <w:lang w:bidi="ar-SA"/>
        </w:rPr>
        <w:t>.</w:t>
      </w:r>
    </w:p>
    <w:p>
      <w:pPr>
        <w:pStyle w:val="Heading2"/>
        <w:numPr>
          <w:ilvl w:val="1"/>
          <w:numId w:val="1"/>
        </w:numPr>
        <w:rPr/>
      </w:pPr>
      <w:bookmarkStart w:id="389" w:name="__RefHeading___Toc12183929_2142443653"/>
      <w:bookmarkStart w:id="390" w:name="_Toc145"/>
      <w:bookmarkEnd w:id="389"/>
      <w:r>
        <w:rPr>
          <w:rtl w:val="true"/>
        </w:rPr>
        <w:t>التنفس بلا أجهزة</w:t>
      </w:r>
      <w:bookmarkEnd w:id="39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أجهزة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المحل الذي لا هواء فيه، إذا أوجب التنفس الموت، كأن يرفع مرتاد الفضاء عن فيه الكمامة الاصطناعية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قتل أيضاً فيشمله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1" w:name="__RefHeading___Toc12183931_2142443653"/>
      <w:bookmarkStart w:id="392" w:name="_Toc146"/>
      <w:bookmarkEnd w:id="391"/>
      <w:r>
        <w:rPr>
          <w:rtl w:val="true"/>
        </w:rPr>
        <w:t>البقاء في الأجواء القاتلة</w:t>
      </w:r>
      <w:bookmarkEnd w:id="39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البقاء في محل موبوء يخشى فيه التلف، كما إذا سم الهواء بالغبار الذري أو بالملاريا القاتلة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كالغاز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الأدلة المذكورة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bookmarkStart w:id="393" w:name="pg15710_226838"/>
    </w:p>
    <w:p>
      <w:pPr>
        <w:pStyle w:val="BookText"/>
        <w:rPr/>
      </w:pPr>
      <w:bookmarkEnd w:id="3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دفع الضرر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عقلائياً لا مثل الوسوسة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w:t>
      </w:r>
    </w:p>
    <w:p>
      <w:pPr>
        <w:pStyle w:val="Heading2"/>
        <w:numPr>
          <w:ilvl w:val="1"/>
          <w:numId w:val="1"/>
        </w:numPr>
        <w:rPr/>
      </w:pPr>
      <w:bookmarkStart w:id="394" w:name="__RefHeading___Toc12183933_2142443653"/>
      <w:bookmarkStart w:id="395" w:name="_Toc147"/>
      <w:bookmarkEnd w:id="394"/>
      <w:r>
        <w:rPr>
          <w:rtl w:val="true"/>
        </w:rPr>
        <w:t>البقاء في محل يخشى فيه المرض</w:t>
      </w:r>
      <w:bookmarkEnd w:id="39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البقاء في محل يخشى</w:t>
      </w:r>
      <w:r>
        <w:rPr>
          <w:rStyle w:val="FootnoteAnchor"/>
          <w:rtl w:val="true"/>
        </w:rPr>
        <w:footnoteReference w:id="603"/>
      </w:r>
      <w:r>
        <w:rPr>
          <w:rFonts w:ascii="Amiri" w:hAnsi="Amiri" w:eastAsia="Amiri" w:cs="Amiri"/>
          <w:color w:val="111111"/>
          <w:sz w:val="28"/>
          <w:sz w:val="28"/>
          <w:szCs w:val="28"/>
          <w:rtl w:val="true"/>
          <w:lang w:bidi="ar-SA"/>
        </w:rPr>
        <w:t xml:space="preserve"> فيه من المرض، الذي لا يجوز تحمله، كالبقاء مع المجذومين أو المسلولين أو ما أشبه، فإنه كما لا يجوز للإنسان تعريض نفسه للهلاك كذلك لا يجوز تعريض نفسه للضرر الكثير المحرم تحمله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قصة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وأكله مع المجذومين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منه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الأكل في سفرة واحدة لا من إنائهم، مع رعاية ما يوجب عدم الضرر، أو يكون من باب الإعجاز أو ما أشبه فتأمل، وذلك للأدلة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بذلك مع استخدام الوسائل الوقائية الحديثة التي تحفظ الإنسان من العدوى</w:t>
      </w:r>
      <w:r>
        <w:rPr>
          <w:rFonts w:eastAsia="Amiri" w:cs="Amiri" w:ascii="Amiri" w:hAnsi="Amiri"/>
          <w:color w:val="111111"/>
          <w:sz w:val="28"/>
          <w:szCs w:val="28"/>
          <w:rtl w:val="true"/>
          <w:lang w:bidi="ar-SA"/>
        </w:rPr>
        <w:t>.</w:t>
      </w:r>
    </w:p>
    <w:p>
      <w:pPr>
        <w:pStyle w:val="BookText"/>
        <w:rPr/>
      </w:pP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الاجتهاد والتقليد</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عقلائية، كما سبق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بالمجذوم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اللغة وحقق</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396" w:name="pg15710_226839"/>
    </w:p>
    <w:p>
      <w:pPr>
        <w:pStyle w:val="Heading2"/>
        <w:numPr>
          <w:ilvl w:val="1"/>
          <w:numId w:val="1"/>
        </w:numPr>
        <w:rPr/>
      </w:pPr>
      <w:bookmarkStart w:id="397" w:name="__RefHeading___Toc12183935_2142443653"/>
      <w:bookmarkStart w:id="398" w:name="_Toc148"/>
      <w:bookmarkEnd w:id="396"/>
      <w:bookmarkEnd w:id="397"/>
      <w:r>
        <w:rPr>
          <w:rtl w:val="true"/>
        </w:rPr>
        <w:t>الصلاة في الطائرة</w:t>
      </w:r>
      <w:bookmarkEnd w:id="39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استغرق</w:t>
      </w:r>
      <w:r>
        <w:rPr>
          <w:rStyle w:val="FootnoteAnchor"/>
          <w:rtl w:val="true"/>
        </w:rPr>
        <w:footnoteReference w:id="610"/>
      </w:r>
      <w:r>
        <w:rPr>
          <w:rFonts w:ascii="Amiri" w:hAnsi="Amiri" w:eastAsia="Amiri" w:cs="Amiri"/>
          <w:color w:val="111111"/>
          <w:sz w:val="28"/>
          <w:sz w:val="28"/>
          <w:szCs w:val="28"/>
          <w:rtl w:val="true"/>
          <w:lang w:bidi="ar-SA"/>
        </w:rPr>
        <w:t xml:space="preserve"> السفر بالطائرة كل الوقت، وجب إقامة الصلاة فيها كيفما أمكن</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وكذلك سائر وسائل النقل، بشرط أن لا يتمكن الإنسان من الهبوط</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التوقف، والنزول للصلاة الكاملة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مضطراً فعليه الصلاة بكامل الأجزاء والشرائط،</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إيقاع في الاضطرار،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في مثل السفر، لإطلاق الروايات الشريفة، وللسيرة المستمرة مع أن في الأسفار السابقة كانوا يواجهون كثيراً فقدان الماء أو الطهورين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المنطقة ثلجية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يرد الردع، مضافاً إلى أنه كثيراً ما يكون المنع ضررياً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ذلك أن يُحرم الإنسان للحج المندوب وهو يعلم أنه يقع في الاضطرار، للتظليل أو لبس المخيط أو الوقوف مع العامة، مع العلم بالخلاف أو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 الصلاة بحال</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وقد تمكن الصلاة التامة في مؤخرة الطائرة مع استقرارها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الإقامة التامة في نفس الطائرة، كما سبق</w:t>
      </w:r>
      <w:r>
        <w:rPr>
          <w:rFonts w:eastAsia="Amiri" w:cs="Amiri" w:ascii="Amiri" w:hAnsi="Amiri"/>
          <w:color w:val="111111"/>
          <w:sz w:val="28"/>
          <w:szCs w:val="28"/>
          <w:rtl w:val="true"/>
          <w:lang w:bidi="ar-SA"/>
        </w:rPr>
        <w:t xml:space="preserve">. </w:t>
      </w:r>
      <w:bookmarkStart w:id="399" w:name="pg15710_226840"/>
    </w:p>
    <w:p>
      <w:pPr>
        <w:pStyle w:val="BookText"/>
        <w:rPr/>
      </w:pPr>
      <w:bookmarkEnd w:id="399"/>
      <w:r>
        <w:rPr>
          <w:rFonts w:ascii="Amiri" w:hAnsi="Amiri" w:eastAsia="Amiri" w:cs="Amiri"/>
          <w:color w:val="111111"/>
          <w:sz w:val="28"/>
          <w:sz w:val="28"/>
          <w:szCs w:val="28"/>
          <w:rtl w:val="true"/>
          <w:lang w:bidi="ar-SA"/>
        </w:rPr>
        <w:t>ولا يخفى أن القدرة عرفي</w:t>
      </w:r>
      <w:r>
        <w:rPr>
          <w:rStyle w:val="FootnoteAnchor"/>
          <w:rtl w:val="true"/>
        </w:rPr>
        <w:footnoteReference w:id="613"/>
      </w:r>
      <w:r>
        <w:rPr>
          <w:rFonts w:ascii="Amiri" w:hAnsi="Amiri" w:eastAsia="Amiri" w:cs="Amiri"/>
          <w:color w:val="111111"/>
          <w:sz w:val="28"/>
          <w:sz w:val="28"/>
          <w:szCs w:val="28"/>
          <w:rtl w:val="true"/>
          <w:lang w:bidi="ar-SA"/>
        </w:rPr>
        <w:t xml:space="preserve"> لا دقي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2"/>
        <w:numPr>
          <w:ilvl w:val="1"/>
          <w:numId w:val="1"/>
        </w:numPr>
        <w:rPr/>
      </w:pPr>
      <w:bookmarkStart w:id="400" w:name="__RefHeading___Toc12183937_2142443653"/>
      <w:bookmarkStart w:id="401" w:name="_Toc149"/>
      <w:bookmarkEnd w:id="400"/>
      <w:r>
        <w:rPr>
          <w:rtl w:val="true"/>
        </w:rPr>
        <w:t>العلاقات الجنسية مع الأموات</w:t>
      </w:r>
      <w:bookmarkEnd w:id="40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المعاشقة</w:t>
      </w:r>
      <w:r>
        <w:rPr>
          <w:rStyle w:val="FootnoteAnchor"/>
          <w:rtl w:val="true"/>
        </w:rPr>
        <w:footnoteReference w:id="614"/>
      </w:r>
      <w:r>
        <w:rPr>
          <w:rFonts w:ascii="Amiri" w:hAnsi="Amiri" w:eastAsia="Amiri" w:cs="Amiri"/>
          <w:color w:val="111111"/>
          <w:sz w:val="28"/>
          <w:sz w:val="28"/>
          <w:szCs w:val="28"/>
          <w:rtl w:val="true"/>
          <w:lang w:bidi="ar-SA"/>
        </w:rPr>
        <w:t xml:space="preserve"> مع الأموات حتى إذا كان الميت زوجة أو زوجاً، كما يصنع بعض الشباب في الغرب مع الميت، فإنه غير جائز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لأنه خلاف</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يشمل</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w:t>
      </w:r>
    </w:p>
    <w:p>
      <w:pPr>
        <w:pStyle w:val="BookText"/>
        <w:rPr/>
      </w:pP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أول الكتاب في أنّ الألفاظ موضوعة للمعاني العرفيّة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استطاع الهبوط بالمظلة مثلاً، فقد لا يعد قادراً في كثير من الأحيان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العلاقات الجنسية كما هو مفاد العنوان والسياق، كما فعله بعض ملوك بني أمية</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الإجماع باستثناء ميرزا كاظم التبريزي ظاهراً، وخلاف ارتكاز المتشرعة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للانصراف، وقد يأتي هنا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وأما الاستصحاب فلا مجال له مع وجود الأدلة الاجتهادية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وراجع بحث </w:t>
      </w:r>
      <w:bookmarkStart w:id="402" w:name="pg15710_226841"/>
    </w:p>
    <w:p>
      <w:pPr>
        <w:pStyle w:val="Heading2"/>
        <w:numPr>
          <w:ilvl w:val="1"/>
          <w:numId w:val="1"/>
        </w:numPr>
        <w:rPr/>
      </w:pPr>
      <w:bookmarkStart w:id="403" w:name="__RefHeading___Toc12183939_2142443653"/>
      <w:bookmarkStart w:id="404" w:name="_Toc150"/>
      <w:bookmarkEnd w:id="402"/>
      <w:bookmarkEnd w:id="403"/>
      <w:r>
        <w:rPr>
          <w:rtl w:val="true"/>
        </w:rPr>
        <w:t>معاشقة الحيوانات</w:t>
      </w:r>
      <w:bookmarkEnd w:id="40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المعاشقة</w:t>
      </w:r>
      <w:r>
        <w:rPr>
          <w:rStyle w:val="FootnoteAnchor"/>
          <w:rtl w:val="true"/>
        </w:rPr>
        <w:footnoteReference w:id="621"/>
      </w:r>
      <w:r>
        <w:rPr>
          <w:rFonts w:ascii="Amiri" w:hAnsi="Amiri" w:eastAsia="Amiri" w:cs="Amiri"/>
          <w:color w:val="111111"/>
          <w:sz w:val="28"/>
          <w:sz w:val="28"/>
          <w:szCs w:val="28"/>
          <w:rtl w:val="true"/>
          <w:lang w:bidi="ar-SA"/>
        </w:rPr>
        <w:t xml:space="preserve"> مع الحيوانات، فإن مطلق</w:t>
      </w:r>
      <w:r>
        <w:rPr>
          <w:rStyle w:val="FootnoteAnchor"/>
          <w:rtl w:val="true"/>
        </w:rPr>
        <w:footnoteReference w:id="622"/>
      </w:r>
      <w:r>
        <w:rPr>
          <w:rFonts w:ascii="Amiri" w:hAnsi="Amiri" w:eastAsia="Amiri" w:cs="Amiri"/>
          <w:color w:val="111111"/>
          <w:sz w:val="28"/>
          <w:sz w:val="28"/>
          <w:szCs w:val="28"/>
          <w:rtl w:val="true"/>
          <w:lang w:bidi="ar-SA"/>
        </w:rPr>
        <w:t xml:space="preserve"> إثارة الشهوة بشيء غير الزوجة والزوج</w:t>
      </w:r>
      <w:r>
        <w:rPr>
          <w:rStyle w:val="FootnoteAnchor"/>
          <w:rtl w:val="true"/>
        </w:rPr>
        <w:footnoteReference w:id="623"/>
      </w:r>
      <w:r>
        <w:rPr>
          <w:rFonts w:ascii="Amiri" w:hAnsi="Amiri" w:eastAsia="Amiri" w:cs="Amiri"/>
          <w:color w:val="111111"/>
          <w:sz w:val="28"/>
          <w:sz w:val="28"/>
          <w:szCs w:val="28"/>
          <w:rtl w:val="true"/>
          <w:lang w:bidi="ar-SA"/>
        </w:rPr>
        <w:t xml:space="preserve"> غير جائز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ادعى الجواهر عليه الإجماع، ويفهم ذلك من مختلف النصوص</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تغسيل كلّ من الزوجين للآخر</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بالمعنى المتقدم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المحرمات، مادة هيج</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التهييج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المجامعة ونحوها واللمس ونحوه محرم قطعاً، وكذا الاستمناء</w:t>
      </w:r>
      <w:r>
        <w:rPr>
          <w:rFonts w:eastAsia="Amiri" w:cs="Amiri" w:ascii="Amiri" w:hAnsi="Amiri"/>
          <w:color w:val="111111"/>
          <w:sz w:val="28"/>
          <w:szCs w:val="28"/>
          <w:rtl w:val="true"/>
          <w:lang w:bidi="ar-SA"/>
        </w:rPr>
        <w:t>.</w:t>
      </w:r>
    </w:p>
    <w:p>
      <w:pPr>
        <w:pStyle w:val="BookText"/>
        <w:rPr/>
      </w:pP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وكذا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 المحرمة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405" w:name="pg15710_226842"/>
    </w:p>
    <w:p>
      <w:pPr>
        <w:pStyle w:val="Heading2"/>
        <w:numPr>
          <w:ilvl w:val="1"/>
          <w:numId w:val="1"/>
        </w:numPr>
        <w:rPr/>
      </w:pPr>
      <w:bookmarkStart w:id="406" w:name="__RefHeading___Toc12183941_2142443653"/>
      <w:bookmarkStart w:id="407" w:name="_Toc151"/>
      <w:bookmarkEnd w:id="405"/>
      <w:bookmarkEnd w:id="406"/>
      <w:r>
        <w:rPr>
          <w:rtl w:val="true"/>
        </w:rPr>
        <w:t>معاشقة التماثيل</w:t>
      </w:r>
      <w:bookmarkEnd w:id="40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المعاشقة</w:t>
      </w:r>
      <w:r>
        <w:rPr>
          <w:rStyle w:val="FootnoteAnchor"/>
          <w:rtl w:val="true"/>
        </w:rPr>
        <w:footnoteReference w:id="632"/>
      </w:r>
      <w:r>
        <w:rPr>
          <w:rFonts w:ascii="Amiri" w:hAnsi="Amiri" w:eastAsia="Amiri" w:cs="Amiri"/>
          <w:color w:val="111111"/>
          <w:sz w:val="28"/>
          <w:sz w:val="28"/>
          <w:szCs w:val="28"/>
          <w:rtl w:val="true"/>
          <w:lang w:bidi="ar-SA"/>
        </w:rPr>
        <w:t xml:space="preserve"> مع التماثيل، سواء كانت تماثيل مطاطية أم غيرها لما تقدم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من غير فرق في العاشق والمعشوق بين أن يكون ذكراً أو أُنثى حتى ولو كان تمثال زوجته أو زوجها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8" w:name="__RefHeading___Toc12183943_2142443653"/>
      <w:bookmarkStart w:id="409" w:name="_Toc152"/>
      <w:bookmarkEnd w:id="408"/>
      <w:r>
        <w:rPr>
          <w:rtl w:val="true"/>
        </w:rPr>
        <w:t>تطبيق حكم الكلي على الفرد</w:t>
      </w:r>
      <w:bookmarkEnd w:id="40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انطبق عنوان كلي على فرد وجب اتباع حكم ذلك الكلي في ذلك الفرد، سواء كان فرداً انقلب من حالة إلى حالة، كما إذا صنع فرد جديد للفاكهة بواسطة مواد كيماوية، أم حول قسم من الفاكهة بواسطة التركيب إلى قسم آخر، وكان القسم الأول حلالاً والثاني حراماً، أو بالعكس، كان الفرد محكوماً بحكم الفاكهة في الأول، وبحكم المحال إليه في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الحكم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المتقدم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ليست زوجة أو زوجاً، بل أمثالهما، وقد ذكر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أجوبته حرمة النظر إلى صورة زوجته حتى 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تابعة للعناوين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الرسائل</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410" w:name="pg15710_226843"/>
    </w:p>
    <w:p>
      <w:pPr>
        <w:pStyle w:val="BookText"/>
        <w:rPr/>
      </w:pPr>
      <w:bookmarkEnd w:id="410"/>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الموضوع، فاللازم ترتيب حكم المحال إليه على هذا الفرد الجديد</w:t>
      </w:r>
      <w:r>
        <w:rPr>
          <w:rFonts w:eastAsia="Amiri" w:cs="Amiri" w:ascii="Amiri" w:hAnsi="Amiri"/>
          <w:color w:val="111111"/>
          <w:sz w:val="28"/>
          <w:szCs w:val="28"/>
          <w:rtl w:val="true"/>
          <w:lang w:bidi="ar-SA"/>
        </w:rPr>
        <w:t>.</w:t>
      </w:r>
    </w:p>
    <w:p>
      <w:pPr>
        <w:pStyle w:val="Heading2"/>
        <w:numPr>
          <w:ilvl w:val="1"/>
          <w:numId w:val="1"/>
        </w:numPr>
        <w:rPr/>
      </w:pPr>
      <w:bookmarkStart w:id="411" w:name="__RefHeading___Toc12183945_2142443653"/>
      <w:bookmarkStart w:id="412" w:name="_Toc153"/>
      <w:bookmarkEnd w:id="411"/>
      <w:r>
        <w:rPr>
          <w:rtl w:val="true"/>
        </w:rPr>
        <w:t>لو كان لرجل رحم</w:t>
      </w:r>
      <w:bookmarkEnd w:id="41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لرجل رحم أو ركب فيه رحم، ثم ربي مني رجل وامرأة في رحمه فهل يكون للولد أبان وأُم، أو أُمان وأب، أو لا اعتبار بهذا الرجل الجديد؟ احتمالات، الظاهر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أنه لا اعتبار بصاحب الرحم؛ لفرض</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أن المني من غريبين عنه، وإنما رحمه حينئذٍ كاُنبوب الاختبار</w:t>
      </w:r>
      <w:r>
        <w:rPr>
          <w:rFonts w:eastAsia="Amiri" w:cs="Amiri" w:ascii="Amiri" w:hAnsi="Amiri"/>
          <w:color w:val="111111"/>
          <w:sz w:val="28"/>
          <w:szCs w:val="28"/>
          <w:rtl w:val="true"/>
          <w:lang w:bidi="ar-SA"/>
        </w:rPr>
        <w:t>.</w:t>
      </w:r>
    </w:p>
    <w:p>
      <w:pPr>
        <w:pStyle w:val="Heading2"/>
        <w:numPr>
          <w:ilvl w:val="1"/>
          <w:numId w:val="1"/>
        </w:numPr>
        <w:rPr/>
      </w:pPr>
      <w:bookmarkStart w:id="413" w:name="__RefHeading___Toc12183947_2142443653"/>
      <w:bookmarkStart w:id="414" w:name="_Toc154"/>
      <w:bookmarkEnd w:id="413"/>
      <w:r>
        <w:rPr>
          <w:rtl w:val="true"/>
        </w:rPr>
        <w:t>اتهام البريء</w:t>
      </w:r>
      <w:bookmarkEnd w:id="41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اتهام البريء بجعل ما يؤخذ عليه من نشرة أو مادة خاصة في داره أو سيارته أو ما أشبه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بشرط صدق العنوان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تخيلاً، فإنّ الألفاظ موضوعة للمعاني الواقعية لا الخيالية، كما ذكروا 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الأبيض</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ذهب البعض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الوالدة هي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اللَّائِي وَلَدْنَهُمْ</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ولدوهم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يفهم الملاك،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تابع للنطفة، لا لمحل التربية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bookmarkStart w:id="415" w:name="pg15710_226844"/>
    </w:p>
    <w:p>
      <w:pPr>
        <w:pStyle w:val="BookText"/>
        <w:rPr/>
      </w:pPr>
      <w:bookmarkEnd w:id="4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الاتهام خصوصاً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من هذا النوع من أشد المحرمات، وقد كان بعث العراق يعمل ذلك بصوره المختلفة، وبعضها أبشع من بعض، مثل أن يجعل في جيب بعض التجار العملة الإسرائيلية ثم يتهمهم بالعمالة لإسرائيل، ويعدمهم ويصادر أموالهم إلى غير ذلك</w:t>
      </w:r>
      <w:r>
        <w:rPr>
          <w:rFonts w:eastAsia="Amiri" w:cs="Amiri" w:ascii="Amiri" w:hAnsi="Amiri"/>
          <w:color w:val="111111"/>
          <w:sz w:val="28"/>
          <w:szCs w:val="28"/>
          <w:rtl w:val="true"/>
          <w:lang w:bidi="ar-SA"/>
        </w:rPr>
        <w:t>.</w:t>
      </w:r>
    </w:p>
    <w:p>
      <w:pPr>
        <w:pStyle w:val="Heading2"/>
        <w:numPr>
          <w:ilvl w:val="1"/>
          <w:numId w:val="1"/>
        </w:numPr>
        <w:rPr/>
      </w:pPr>
      <w:bookmarkStart w:id="416" w:name="__RefHeading___Toc12183949_2142443653"/>
      <w:bookmarkStart w:id="417" w:name="_Toc155"/>
      <w:bookmarkEnd w:id="416"/>
      <w:r>
        <w:rPr>
          <w:rtl w:val="true"/>
        </w:rPr>
        <w:t>طفل بلا والدين</w:t>
      </w:r>
      <w:bookmarkEnd w:id="41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تربية نطفة الأب فقط، فالولد لا أُم له، وفي العكس الولد لا أب له، ثم إنه قد يستبعد بعض المسائل السابقة أو اللاحقة بأنها كيف يمكن؟ لكن الوسائل العلمية أتت بغرائب</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للإنسان أن يسكت عن أحكامها، وقد ذكر</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في باب الطهارة؛ الإنسان المخلوق في الساعة، هل هو متطهر أو محدث؟ وتقتضي القاعدة أن لا يجوز للمخلوق في ساعته الإتيان بما يشترط فيه الطهارة بدون أن يتطهر</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مجمع مجموعة من المحرمات؛ إذ هو اتهام وإخافة وإيذاء له ولعائلته وللمجتمع وإضرار، حيث يقطع رزقه، وإفساد حيث يرفع عن العائلة القيم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وكبت للحرية، وتخلف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خطوة تقدمها يعني الاستنساخ، كما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خطوة متقدمة على الاستنساخ،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طفل من التراب أو نحوه، كما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المسألة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في القمر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أتت بهذه الغرائب قد تأتي بغرائب أخرى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تترتب عليه أحكام المحدث، فما كان الحدث عنه مانعاً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الطهارة شرط فيه لا يستطيع الإتيان بها</w:t>
      </w:r>
      <w:r>
        <w:rPr>
          <w:rFonts w:eastAsia="Amiri" w:cs="Amiri" w:ascii="Amiri" w:hAnsi="Amiri"/>
          <w:color w:val="111111"/>
          <w:sz w:val="28"/>
          <w:szCs w:val="28"/>
          <w:rtl w:val="true"/>
          <w:lang w:bidi="ar-SA"/>
        </w:rPr>
        <w:t xml:space="preserve">. </w:t>
      </w:r>
      <w:bookmarkStart w:id="418" w:name="pg15710_226845"/>
    </w:p>
    <w:p>
      <w:pPr>
        <w:pStyle w:val="BookText"/>
        <w:rPr/>
      </w:pPr>
      <w:bookmarkEnd w:id="4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رأينا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له أب، وفي آدم وحواء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والدين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 من أنه لا أب له أو لا أُم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الموضوع، فلا يترتب عليه ما كان مترتباً على مَنْ له أب أو أُم من هذه الحيثية، فيسقط عنه إطاعة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أو الأُم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لزوم تطهر مخلوق الساعة فلاشتراط الأعمال بالطهارة، لا بعدم الحدث، كما ذكر تفصيله في محله، ومنه يعلم الحكم في صنع نطفة وتربيتها بلا والدين</w:t>
      </w:r>
      <w:r>
        <w:rPr>
          <w:rFonts w:eastAsia="Amiri" w:cs="Amiri" w:ascii="Amiri" w:hAnsi="Amiri"/>
          <w:color w:val="111111"/>
          <w:sz w:val="28"/>
          <w:szCs w:val="28"/>
          <w:rtl w:val="true"/>
          <w:lang w:bidi="ar-SA"/>
        </w:rPr>
        <w:t>.</w:t>
      </w:r>
    </w:p>
    <w:p>
      <w:pPr>
        <w:pStyle w:val="Heading2"/>
        <w:numPr>
          <w:ilvl w:val="1"/>
          <w:numId w:val="1"/>
        </w:numPr>
        <w:rPr/>
      </w:pPr>
      <w:bookmarkStart w:id="419" w:name="__RefHeading___Toc12183951_2142443653"/>
      <w:bookmarkStart w:id="420" w:name="_Toc156"/>
      <w:bookmarkEnd w:id="419"/>
      <w:r>
        <w:rPr>
          <w:rtl w:val="true"/>
        </w:rPr>
        <w:t>تشريح الميت</w:t>
      </w:r>
      <w:bookmarkEnd w:id="42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شرح الميت المحترم فعلى المشرح الدية</w:t>
      </w:r>
      <w:r>
        <w:rPr>
          <w:rStyle w:val="FootnoteAnchor"/>
          <w:rtl w:val="true"/>
        </w:rPr>
        <w:footnoteReference w:id="644"/>
      </w:r>
      <w:r>
        <w:rPr>
          <w:rFonts w:ascii="Amiri" w:hAnsi="Amiri" w:eastAsia="Amiri" w:cs="Amiri"/>
          <w:color w:val="111111"/>
          <w:sz w:val="28"/>
          <w:sz w:val="28"/>
          <w:szCs w:val="28"/>
          <w:rtl w:val="true"/>
          <w:lang w:bidi="ar-SA"/>
        </w:rPr>
        <w:t>، وإن كان العمل جائزاً</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الأهم والمهم، ولا يخفى أن كل حكم شرعي لابد وأن يكون مجعولاً لعلة</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التفاصيل في كتاب الديات</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لا ملازمة بين الحكم الوضعي والتكليفي، وقد سبق التأمّل فيه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نحن فيه من حرمة التشريح،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عدم التشريح مع أن الميت سوف تأكله الديدان والتراب؟ </w:t>
      </w:r>
    </w:p>
    <w:p>
      <w:pPr>
        <w:pStyle w:val="BookText"/>
        <w:rPr/>
      </w:pPr>
      <w:r>
        <w:rPr>
          <w:rFonts w:ascii="Amiri" w:hAnsi="Amiri" w:eastAsia="Amiri" w:cs="Amiri"/>
          <w:color w:val="111111"/>
          <w:sz w:val="28"/>
          <w:sz w:val="28"/>
          <w:szCs w:val="28"/>
          <w:rtl w:val="true"/>
          <w:lang w:bidi="ar-SA"/>
        </w:rPr>
        <w:t>والعلة</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شخصية خاصة، ككون الخمر حراماً لكونها مسكرة، وقد تكون لأجل استقامة القانون العام، كالعدة في المطلقة، إذا كانت العلة الأولية اختلاط المياه، فإنها واجبة في فاقدة الرحم أيضاً، لتوحيد القانون في كل مطلقة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يدور مدارها الحكم وجوداً وعدماً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لأجل إطراد القانون، وعلة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في الأصول؛ إذ إيكال الأمر إلى تشخيص المكلف قد يترتب عليه ضرر أكبر، كقوانين المرور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كتمرين الجنود على إطاعة أوامر القائد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فيه مصلحة، والفرد من باب أنه أحد المصاديق</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أنه مبني على إمكان الترجيح بلا مرجح، كطريقي الهارب ورغيفي الطالب</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421" w:name="pg15710_226847"/>
    </w:p>
    <w:p>
      <w:pPr>
        <w:pStyle w:val="BookText"/>
        <w:rPr/>
      </w:pPr>
      <w:bookmarkEnd w:id="421"/>
      <w:r>
        <w:rPr>
          <w:rFonts w:ascii="Amiri" w:hAnsi="Amiri" w:eastAsia="Amiri" w:cs="Amiri"/>
          <w:color w:val="111111"/>
          <w:sz w:val="28"/>
          <w:sz w:val="28"/>
          <w:szCs w:val="28"/>
          <w:rtl w:val="true"/>
          <w:lang w:bidi="ar-SA"/>
        </w:rPr>
        <w:t>وقد تكون لأجل سلوك الطريق، كالخضوع للمولى الموجب لنزاهة النفس، وإن لم يكن في هذا الفرد المأتي به علة 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لأجل محبوبية النظافة مثلاً، والمولى رأى أنها تحصل بمائة غسل في السنة مثلاً، فأوجب وندب ووزع المائة على أحداث وأحوال، لا لخصوصية في بعضها، بل لأجل أنه فرد والتمييز بيد المكلف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لم يعلم أن الميت محترم أو غير محترم فالأصل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الدية، وقد ورد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استقامة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لماذا غسل النبي مع أنه طاهر مطهر لم ينجس بالموت؟ فأجاب بأنه لجريان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2" w:name="__RefHeading___Toc12183953_2142443653"/>
      <w:bookmarkStart w:id="423" w:name="_Toc157"/>
      <w:bookmarkEnd w:id="422"/>
      <w:r>
        <w:rPr>
          <w:rtl w:val="true"/>
        </w:rPr>
        <w:t>الجيل الجديد في القمر</w:t>
      </w:r>
      <w:bookmarkEnd w:id="42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سكن الإنسان في القمر، أو في كوكب آخر وتوالد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الأصل هو 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كتاب الخمس بحث أصالة احترام الأموال والأنفس</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ولا ملازمة بين الحكم الوضعي والتكليفي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به السنة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bookmarkStart w:id="424" w:name="pg15710_226848"/>
    </w:p>
    <w:p>
      <w:pPr>
        <w:pStyle w:val="BookText"/>
        <w:rPr/>
      </w:pPr>
      <w:bookmarkEnd w:id="424"/>
      <w:r>
        <w:rPr>
          <w:rFonts w:ascii="Amiri" w:hAnsi="Amiri" w:eastAsia="Amiri" w:cs="Amiri"/>
          <w:color w:val="111111"/>
          <w:sz w:val="28"/>
          <w:sz w:val="28"/>
          <w:szCs w:val="28"/>
          <w:rtl w:val="true"/>
          <w:lang w:bidi="ar-SA"/>
        </w:rPr>
        <w:t>وتناسل، فحاله حال إنسان الأرض في كل التكاليف العامة، كالصلاة والصيام والزواج والطلاق والحدود والمواريث والمعاملات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لإطلاق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الأدلة، وهكذا حال ساكن الفضاء</w:t>
      </w:r>
      <w:r>
        <w:rPr>
          <w:rFonts w:eastAsia="Amiri" w:cs="Amiri" w:ascii="Amiri" w:hAnsi="Amiri"/>
          <w:color w:val="111111"/>
          <w:sz w:val="28"/>
          <w:szCs w:val="28"/>
          <w:rtl w:val="true"/>
          <w:lang w:bidi="ar-SA"/>
        </w:rPr>
        <w:t>.</w:t>
      </w:r>
    </w:p>
    <w:p>
      <w:pPr>
        <w:pStyle w:val="Heading2"/>
        <w:numPr>
          <w:ilvl w:val="1"/>
          <w:numId w:val="1"/>
        </w:numPr>
        <w:rPr/>
      </w:pPr>
      <w:bookmarkStart w:id="425" w:name="__RefHeading___Toc12183955_2142443653"/>
      <w:bookmarkStart w:id="426" w:name="_Toc158"/>
      <w:bookmarkEnd w:id="425"/>
      <w:r>
        <w:rPr>
          <w:rtl w:val="true"/>
        </w:rPr>
        <w:t>الأحكام الشرعية لإنسان الكواكب</w:t>
      </w:r>
      <w:bookmarkEnd w:id="42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ظفر بإنسان في كوكب آخر، كما أنه ليس ببعيد لما 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مدن كمدنكم</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عوالم كاملة في عرض</w:t>
      </w:r>
      <w:r>
        <w:rPr>
          <w:rStyle w:val="FootnoteAnchor"/>
          <w:rtl w:val="true"/>
        </w:rPr>
        <w:footnoteReference w:id="651"/>
      </w:r>
      <w:r>
        <w:rPr>
          <w:rFonts w:ascii="Amiri" w:hAnsi="Amiri" w:eastAsia="Amiri" w:cs="Amiri"/>
          <w:color w:val="111111"/>
          <w:sz w:val="28"/>
          <w:sz w:val="28"/>
          <w:szCs w:val="28"/>
          <w:rtl w:val="true"/>
          <w:lang w:bidi="ar-SA"/>
        </w:rPr>
        <w:t xml:space="preserve"> هذا العالم في أحاديث ذكرت في البحار وغيره</w:t>
      </w:r>
      <w:r>
        <w:rPr>
          <w:rStyle w:val="FootnoteAnchor"/>
          <w:rtl w:val="true"/>
        </w:rPr>
        <w:footnoteReference w:id="652"/>
      </w:r>
      <w:r>
        <w:rPr>
          <w:rFonts w:ascii="Amiri" w:hAnsi="Amiri" w:eastAsia="Amiri" w:cs="Amiri"/>
          <w:color w:val="111111"/>
          <w:sz w:val="28"/>
          <w:sz w:val="28"/>
          <w:szCs w:val="28"/>
          <w:rtl w:val="true"/>
          <w:lang w:bidi="ar-SA"/>
        </w:rPr>
        <w:t>، فالظاهر أن جميع الأحكام الشرعية مرتبة عليهم، لأنّ الرسول</w:t>
      </w:r>
      <w:r>
        <w:rPr>
          <w:rStyle w:val="FootnoteAnchor"/>
          <w:rtl w:val="true"/>
        </w:rPr>
        <w:footnoteReference w:id="6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العالمين، كما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لِلْعَالَمِينَ</w:t>
      </w:r>
      <w:r>
        <w:rPr>
          <w:rStyle w:val="FootnoteAnchor"/>
          <w:rtl w:val="true"/>
        </w:rPr>
        <w:footnoteReference w:id="654"/>
      </w:r>
      <w:r>
        <w:rPr>
          <w:rFonts w:ascii="Amiri" w:hAnsi="Amiri" w:eastAsia="Amiri" w:cs="Amiri"/>
          <w:color w:val="111111"/>
          <w:sz w:val="28"/>
          <w:sz w:val="28"/>
          <w:szCs w:val="28"/>
          <w:rtl w:val="true"/>
          <w:lang w:bidi="ar-SA"/>
        </w:rPr>
        <w:t xml:space="preserve"> نَذِيراً</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عمومها، والإجماع والضرورة والاستصحاب، ولما سيأتي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الشريفة</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ولسائر الأدلة المذكورة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الحمد في معنى الكلمة</w:t>
      </w:r>
      <w:r>
        <w:rPr>
          <w:rStyle w:val="FootnoteAnchor"/>
          <w:rtl w:val="true"/>
        </w:rPr>
        <w:footnoteReference w:id="662"/>
      </w:r>
      <w:r>
        <w:rPr>
          <w:rFonts w:ascii="Amiri" w:hAnsi="Amiri" w:eastAsia="Amiri" w:cs="Amiri"/>
          <w:color w:val="111111"/>
          <w:sz w:val="28"/>
          <w:sz w:val="28"/>
          <w:szCs w:val="28"/>
          <w:rtl w:val="true"/>
          <w:lang w:bidi="ar-SA"/>
        </w:rPr>
        <w:t xml:space="preserve">، وقد ذكر بعضهم هنالك العمومية </w:t>
      </w:r>
      <w:bookmarkStart w:id="427" w:name="pg15710_226849"/>
    </w:p>
    <w:p>
      <w:pPr>
        <w:pStyle w:val="BookText"/>
        <w:rPr/>
      </w:pPr>
      <w:bookmarkEnd w:id="4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لو فرض وجود موجود آخر مكلف عاقل، كالإنس والجن يكون حاله حالهما، لإطلاق</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الأدلة، ولعل عدم الذكر 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من باب عدم استعداد فهم الناس في ذلك الوقت لمثل ذلك، كما أنه لم يذكر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صريحة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وقد أُُمروا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يكلموا الناس على قدر عقولهم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بِلِسَانِ قَوْمِهِ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واللسان أعم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ذكرناه</w:t>
      </w:r>
      <w:r>
        <w:rPr>
          <w:rFonts w:eastAsia="Amiri" w:cs="Amiri" w:ascii="Amiri" w:hAnsi="Amiri"/>
          <w:color w:val="111111"/>
          <w:sz w:val="28"/>
          <w:szCs w:val="28"/>
          <w:rtl w:val="true"/>
          <w:lang w:bidi="ar-SA"/>
        </w:rPr>
        <w:t>.</w:t>
      </w:r>
    </w:p>
    <w:p>
      <w:pPr>
        <w:pStyle w:val="Heading2"/>
        <w:numPr>
          <w:ilvl w:val="1"/>
          <w:numId w:val="1"/>
        </w:numPr>
        <w:rPr/>
      </w:pPr>
      <w:bookmarkStart w:id="428" w:name="__RefHeading___Toc12183957_2142443653"/>
      <w:bookmarkStart w:id="429" w:name="_Toc159"/>
      <w:bookmarkEnd w:id="428"/>
      <w:r>
        <w:rPr>
          <w:rtl w:val="true"/>
        </w:rPr>
        <w:t>التعاطي بيننا وبين إنسان الكواكب</w:t>
      </w:r>
      <w:bookmarkEnd w:id="42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التعاطي بيننا وبين إنسان سائر العوالم يكون كالتعاطي بيننا وبين إنسان هذا العالم، في قضايا المناكحة والمواريث وغيرها، لما</w:t>
      </w:r>
    </w:p>
    <w:p>
      <w:pPr>
        <w:pStyle w:val="BookText"/>
        <w:rPr/>
      </w:pPr>
      <w:r>
        <w:rPr>
          <w:rFonts w:ascii="Amiri" w:hAnsi="Amiri" w:eastAsia="Amiri" w:cs="Amiri"/>
          <w:color w:val="111111"/>
          <w:sz w:val="28"/>
          <w:sz w:val="28"/>
          <w:szCs w:val="28"/>
          <w:rtl w:val="true"/>
          <w:lang w:bidi="ar-SA"/>
        </w:rPr>
        <w:t>لكل عالم، كعالم النبات والحيوان والجماد، وهذا العموم غير مراد هنا ظاهراً، فلابدّ من تحديد المراد، وحينئذٍ يطرأ على الآية الكريمة الإجمال،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ولسائر الأدلة المذكورة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w:t>
      </w:r>
      <w:r>
        <w:rPr>
          <w:rFonts w:eastAsia="Amiri" w:cs="Amiri" w:ascii="Amiri" w:hAnsi="Amiri"/>
          <w:color w:val="111111"/>
          <w:sz w:val="28"/>
          <w:szCs w:val="28"/>
          <w:rtl w:val="true"/>
          <w:lang w:bidi="ar-SA"/>
        </w:rPr>
        <w:t>}</w:t>
      </w:r>
      <w:r>
        <w:rPr>
          <w:rStyle w:val="FootnoteAnchor"/>
          <w:rtl w:val="true"/>
        </w:rPr>
        <w:footnoteReference w:id="665"/>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ذكر لكن غاب عنّا،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يُقال لهم ما لا يفهمونه، فالمراد بالنحو الذي يفهمون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bookmarkStart w:id="430" w:name="pg15710_226850"/>
    </w:p>
    <w:p>
      <w:pPr>
        <w:pStyle w:val="BookText"/>
        <w:rPr/>
      </w:pPr>
      <w:bookmarkEnd w:id="430"/>
      <w:r>
        <w:rPr>
          <w:rFonts w:ascii="Amiri" w:hAnsi="Amiri" w:eastAsia="Amiri" w:cs="Amiri"/>
          <w:color w:val="111111"/>
          <w:sz w:val="28"/>
          <w:sz w:val="28"/>
          <w:szCs w:val="28"/>
          <w:rtl w:val="true"/>
          <w:lang w:bidi="ar-SA"/>
        </w:rPr>
        <w:t>تقدم في المسألة السابقة من وحدة التكليف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التكليف مستفادة من إطلاق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p>
    <w:p>
      <w:pPr>
        <w:pStyle w:val="Heading2"/>
        <w:numPr>
          <w:ilvl w:val="1"/>
          <w:numId w:val="1"/>
        </w:numPr>
        <w:rPr/>
      </w:pPr>
      <w:bookmarkStart w:id="431" w:name="__RefHeading___Toc12183959_2142443653"/>
      <w:bookmarkStart w:id="432" w:name="_Toc160"/>
      <w:bookmarkEnd w:id="431"/>
      <w:r>
        <w:rPr>
          <w:rtl w:val="true"/>
        </w:rPr>
        <w:t>الجن والأرواح والشياطين وأحكامهم</w:t>
      </w:r>
      <w:bookmarkEnd w:id="43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ظهور الأرواح أو الجن أو الشياطين في تقمصات</w:t>
      </w:r>
      <w:r>
        <w:rPr>
          <w:rStyle w:val="FootnoteAnchor"/>
          <w:rtl w:val="true"/>
        </w:rPr>
        <w:footnoteReference w:id="666"/>
      </w:r>
      <w:r>
        <w:rPr>
          <w:rFonts w:ascii="Amiri" w:hAnsi="Amiri" w:eastAsia="Amiri" w:cs="Amiri"/>
          <w:color w:val="111111"/>
          <w:sz w:val="28"/>
          <w:sz w:val="28"/>
          <w:szCs w:val="28"/>
          <w:rtl w:val="true"/>
          <w:lang w:bidi="ar-SA"/>
        </w:rPr>
        <w:t>إنسانية، أو بصورها الواقعية أو بصورة جديدة، فالظاهر أنّ حكم الجن والشيطان حكم الإنسان في التكاليف إلا ما استثني</w:t>
      </w:r>
      <w:r>
        <w:rPr>
          <w:rStyle w:val="FootnoteAnchor"/>
          <w:rtl w:val="true"/>
        </w:rPr>
        <w:footnoteReference w:id="667"/>
      </w:r>
      <w:r>
        <w:rPr>
          <w:rFonts w:ascii="Amiri" w:hAnsi="Amiri" w:eastAsia="Amiri" w:cs="Amiri"/>
          <w:color w:val="111111"/>
          <w:sz w:val="28"/>
          <w:sz w:val="28"/>
          <w:szCs w:val="28"/>
          <w:rtl w:val="true"/>
          <w:lang w:bidi="ar-SA"/>
        </w:rPr>
        <w:t>، كما ورد في الآيات</w:t>
      </w:r>
      <w:r>
        <w:rPr>
          <w:rStyle w:val="FootnoteAnchor"/>
          <w:rtl w:val="true"/>
        </w:rPr>
        <w:footnoteReference w:id="668"/>
      </w:r>
      <w:r>
        <w:rPr>
          <w:rStyle w:val="FootnoteAnchor"/>
          <w:rtl w:val="true"/>
        </w:rPr>
        <w:footnoteReference w:id="669"/>
      </w:r>
      <w:r>
        <w:rPr>
          <w:rFonts w:ascii="IRNazanin" w:hAnsi="IRNazanin" w:eastAsia="IRNazanin"/>
          <w:color w:val="111111"/>
          <w:sz w:val="28"/>
          <w:sz w:val="28"/>
          <w:szCs w:val="28"/>
          <w:rtl w:val="true"/>
          <w:lang w:bidi="fa-IR"/>
        </w:rPr>
        <w:t xml:space="preserve">، والأخبار من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مبعوثاً إليهم، أما</w:t>
      </w:r>
    </w:p>
    <w:p>
      <w:pPr>
        <w:pStyle w:val="BookText"/>
        <w:rPr/>
      </w:pP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ولسائر ما ذكر سابقاً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كالمناكحة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كسورة الجن</w:t>
      </w:r>
      <w:r>
        <w:rPr>
          <w:rStyle w:val="FootnoteAnchor"/>
          <w:rtl w:val="true"/>
        </w:rPr>
        <w:footnoteReference w:id="674"/>
      </w:r>
      <w:r>
        <w:rPr>
          <w:rFonts w:ascii="Amiri" w:hAnsi="Amiri" w:eastAsia="Amiri" w:cs="Amiri"/>
          <w:color w:val="111111"/>
          <w:sz w:val="28"/>
          <w:sz w:val="28"/>
          <w:szCs w:val="28"/>
          <w:rtl w:val="true"/>
          <w:lang w:bidi="ar-SA"/>
        </w:rPr>
        <w:t>والخطاب لهم في بعض الآيات الأُخر</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الأرواح فالظاهر من الآثار أنها بالموت ينقطع تكليفها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الشيطان نوع من الجن، والجن مكلف،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الْجِنِّ فَفَسَقَ عَنْ أَمْرِ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غيرهما من الآيات والروايات المتواترة، وقد سمعت عن علمائنا في النجف الأشرف وكربلاء وقم المقدستين، وكذلك في الكويت لما كنت فيها قضايا حول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التزويج بالإنس رجلاً أو امرأة، وقد ذكرت بعض المجلات أشياء كثيرة عن الأرواح والأجنة والشياطين مما لو ذكرتها جميعاً لصار مجلداً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الزواج من الجنية أو بالعكس عند العامة فهناك لهم أقوال وقصص وفتاوى يقول الدميري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الشيخ عماد الدين بن يونس رحمه اللَّه، يجعل من موانع النكاح اختلاف الجنس،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للإنسي أن يتزوج جنية،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جَعَلَ لَكُمْ مِنْ أَنْفُسِكُمْ أَزْواجاً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w:t>
      </w:r>
      <w:r>
        <w:rPr>
          <w:rStyle w:val="FootnoteAnchor"/>
          <w:rtl w:val="true"/>
        </w:rPr>
        <w:footnoteReference w:id="676"/>
      </w:r>
      <w:r>
        <w:rPr>
          <w:rFonts w:ascii="Amiri" w:hAnsi="Amiri" w:eastAsia="Amiri" w:cs="Amiri"/>
          <w:color w:val="111111"/>
          <w:sz w:val="28"/>
          <w:sz w:val="28"/>
          <w:szCs w:val="28"/>
          <w:rtl w:val="true"/>
          <w:lang w:bidi="ar-SA"/>
        </w:rPr>
        <w:t xml:space="preserve">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فالمودة الجماع والرحمة الولد</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تفسيره للآيتين بما ذكره محل تأمل؛ لأن إثبات الشيء لا ينفي</w:t>
      </w:r>
      <w:r>
        <w:rPr>
          <w:rStyle w:val="FootnoteAnchor"/>
          <w:rtl w:val="true"/>
        </w:rPr>
        <w:footnoteReference w:id="678"/>
      </w:r>
    </w:p>
    <w:p>
      <w:pPr>
        <w:pStyle w:val="BookText"/>
        <w:rPr/>
      </w:pP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أنهما بمعناهما الظاهر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المشروعية في عمومات سائر الأدلة،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والانصراف بدوي،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عداه، خصوصاً بملاحظة الروايات التي وردت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اللّه سبحانه وتعالى خلق لابني آدم زوجتين جنية وحورية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الدميري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 على منعه</w:t>
      </w:r>
      <w:r>
        <w:rPr>
          <w:rStyle w:val="FootnoteAnchor"/>
          <w:rtl w:val="true"/>
        </w:rPr>
        <w:footnoteReference w:id="682"/>
      </w:r>
      <w:r>
        <w:rPr>
          <w:rFonts w:ascii="Amiri" w:hAnsi="Amiri" w:eastAsia="Amiri" w:cs="Amiri"/>
          <w:color w:val="111111"/>
          <w:sz w:val="28"/>
          <w:sz w:val="28"/>
          <w:szCs w:val="28"/>
          <w:rtl w:val="true"/>
          <w:lang w:bidi="ar-SA"/>
        </w:rPr>
        <w:t>جماعة من أئمة الحنابلة، وفي الفتاوى السراجية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لاختلاف الجنس، وفي القنية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البصري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بحضرة شاهدين، وفي مسائل ابن حرب عن الحسن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كرها ذلك</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الدميري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رأيت أنا رجلاً من أهل القرآن والعلم أخبرني أنّه تزوج أربعاً من الجن واحدة بعد واحدة، لكن يبقى النظر في حكم طلاقها وليلتها والإيلاء منها وعدتها ونفقتها وكسوتها، والجمع بينها وبين أربع غير جنية وما يتعلق بذلك، وكل هذا فيه نظر لا يخفى</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يضيف الدميري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 الإسلام شمس الدين الذهبي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الشيخ فتح الدين اليعمري، وحدثني عنه عثمان المقاتلي،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الفتح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عز الدين بن عبد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ابن عربي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سوء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وكذاب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تذاكرنا يوماً نكاح الجن،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روح لطيف والإنس جسم كثيف فكيف يجتمعان؟ ثم غاب عنّا مدة وجاء في رأسه شجة،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امرأة من الجن فحصل بيني وبينها شيء فشجتني هذه الشجة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الذهبي بعد ذلك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أسنادها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أظن ابن عربي تعمد هذه الكذبة، وإنما هي من خرافات الرياضة</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ما ذكره الدميري في مادة جن، والذي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كل أحكامهما واحد حسب ظواهر الآيات القرآنية، وحسب ما ورد من القصص الخارجية، مثل تكلم جني في صورة ثعبان مع علي عليه الصلاة والسلام على منبر الكوفة</w:t>
      </w:r>
      <w:r>
        <w:rPr>
          <w:rStyle w:val="FootnoteAnchor"/>
          <w:rtl w:val="true"/>
        </w:rPr>
        <w:footnoteReference w:id="686"/>
      </w:r>
      <w:r>
        <w:rPr>
          <w:rFonts w:ascii="Amiri" w:hAnsi="Amiri" w:eastAsia="Amiri" w:cs="Amiri"/>
          <w:color w:val="111111"/>
          <w:sz w:val="28"/>
          <w:sz w:val="28"/>
          <w:szCs w:val="28"/>
          <w:rtl w:val="true"/>
          <w:lang w:bidi="ar-SA"/>
        </w:rPr>
        <w:t>، حيث سمي الباب بباب الثعبان، ثم بدله معاوية بعد ذلك بإدخال فيل منه، وسماه بباب الفيل ليمحو به تلك الفضيلة المشهورة</w:t>
      </w:r>
      <w:r>
        <w:rPr>
          <w:rStyle w:val="FootnoteAnchor"/>
          <w:rtl w:val="true"/>
        </w:rPr>
        <w:footnoteReference w:id="687"/>
      </w:r>
      <w:r>
        <w:rPr>
          <w:rFonts w:ascii="Amiri" w:hAnsi="Amiri" w:eastAsia="Amiri" w:cs="Amiri"/>
          <w:color w:val="111111"/>
          <w:sz w:val="28"/>
          <w:sz w:val="28"/>
          <w:szCs w:val="28"/>
          <w:rtl w:val="true"/>
          <w:lang w:bidi="ar-SA"/>
        </w:rPr>
        <w:t>، وكذلك سائر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كربلاء المقدسة، حيث جاء الجن إلى مصرع الحسين عليه الصلاة والسلام، وهناك روايات اُخر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تحتاج إلى مجلد متفرغ يذكر الخصوصيات والحلية والحرمة وغير ذلك من الشؤون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تدل هذه على وحدة التكليف؟ </w:t>
      </w:r>
      <w:bookmarkStart w:id="433" w:name="pg15710_226854"/>
    </w:p>
    <w:p>
      <w:pPr>
        <w:pStyle w:val="BookText"/>
        <w:rPr/>
      </w:pPr>
      <w:bookmarkEnd w:id="433"/>
      <w:r>
        <w:rPr>
          <w:rFonts w:ascii="Amiri" w:hAnsi="Amiri" w:eastAsia="Amiri" w:cs="Amiri"/>
          <w:color w:val="111111"/>
          <w:sz w:val="28"/>
          <w:sz w:val="28"/>
          <w:szCs w:val="28"/>
          <w:rtl w:val="true"/>
          <w:lang w:bidi="ar-SA"/>
        </w:rPr>
        <w:t>المختلفة لهذا الباب، وإني لم أرَ من علمائنا من تعرض لذلك مفصلاً</w:t>
      </w:r>
      <w:r>
        <w:rPr>
          <w:rFonts w:eastAsia="Amiri" w:cs="Amiri" w:ascii="Amiri" w:hAnsi="Amiri"/>
          <w:color w:val="111111"/>
          <w:sz w:val="28"/>
          <w:szCs w:val="28"/>
          <w:rtl w:val="true"/>
          <w:lang w:bidi="ar-SA"/>
        </w:rPr>
        <w:t>.</w:t>
      </w:r>
    </w:p>
    <w:p>
      <w:pPr>
        <w:pStyle w:val="Heading2"/>
        <w:numPr>
          <w:ilvl w:val="1"/>
          <w:numId w:val="1"/>
        </w:numPr>
        <w:rPr/>
      </w:pPr>
      <w:bookmarkStart w:id="434" w:name="__RefHeading___Toc12183961_2142443653"/>
      <w:bookmarkStart w:id="435" w:name="_Toc161"/>
      <w:bookmarkEnd w:id="434"/>
      <w:r>
        <w:rPr>
          <w:rtl w:val="true"/>
        </w:rPr>
        <w:t>كشف أسرار الغير</w:t>
      </w:r>
      <w:bookmarkEnd w:id="43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الاستماع إلى صوت الغير عبر الهاتف وغيره، ولا الاستماع إلى شريطه، ولا قراءة برقيته ورسالته إلا إذا كان راضياً</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كل ذلك يُعد سراً له، وإفشاء</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السر حرام بالإضافة إلى قاعدة السلطنة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فإنها تشمل الحق أيضاً، مضافاً إلى بعض الروايات الخاصة الواردة في أمثال المقامات المذكورة</w:t>
      </w:r>
      <w:r>
        <w:rPr>
          <w:rFonts w:eastAsia="Amiri" w:cs="Amiri" w:ascii="Amiri" w:hAnsi="Amiri"/>
          <w:color w:val="111111"/>
          <w:sz w:val="28"/>
          <w:szCs w:val="28"/>
          <w:rtl w:val="true"/>
          <w:lang w:bidi="ar-SA"/>
        </w:rPr>
        <w:t>.</w:t>
      </w:r>
    </w:p>
    <w:p>
      <w:pPr>
        <w:pStyle w:val="Heading2"/>
        <w:numPr>
          <w:ilvl w:val="1"/>
          <w:numId w:val="1"/>
        </w:numPr>
        <w:rPr/>
      </w:pPr>
      <w:bookmarkStart w:id="436" w:name="__RefHeading___Toc12183963_2142443653"/>
      <w:bookmarkStart w:id="437" w:name="_Toc162"/>
      <w:bookmarkEnd w:id="436"/>
      <w:r>
        <w:rPr>
          <w:rtl w:val="true"/>
        </w:rPr>
        <w:t>حكم تنجيس المساجد المتحركة</w:t>
      </w:r>
      <w:bookmarkEnd w:id="43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تنجيس المسجد وعدم مكث الجنب والحائض فيه وثواب الصلاة فيه وغيرها كلها تجري في المساجد المتحركة</w:t>
      </w:r>
      <w:r>
        <w:rPr>
          <w:rStyle w:val="FootnoteAnchor"/>
          <w:rtl w:val="true"/>
        </w:rPr>
        <w:footnoteReference w:id="689"/>
      </w:r>
      <w:r>
        <w:rPr>
          <w:rFonts w:ascii="Amiri" w:hAnsi="Amiri" w:eastAsia="Amiri" w:cs="Amiri"/>
          <w:color w:val="111111"/>
          <w:sz w:val="28"/>
          <w:sz w:val="28"/>
          <w:szCs w:val="28"/>
          <w:rtl w:val="true"/>
          <w:lang w:bidi="ar-SA"/>
        </w:rPr>
        <w:t xml:space="preserve"> في الفضاء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فيحتاج إلى إحراز الرضا، والشك ليس مجرىً للبراءة، كما قرر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xml:space="preserve">، وفي نظير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الاحترام في النفوس والأموال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إفشاءً، بل تجسساً، وتعدياً على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لها بعداً سلبياً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والحركة لا تضر مع فرض الصدق؛ إذ وزانه وزان نفس حركة المساجد بحركة الأرض، وقد سبق نظير المسألة قديماً، فراجع</w:t>
      </w:r>
      <w:r>
        <w:rPr>
          <w:rFonts w:eastAsia="Amiri" w:cs="Amiri" w:ascii="Amiri" w:hAnsi="Amiri"/>
          <w:color w:val="111111"/>
          <w:sz w:val="28"/>
          <w:szCs w:val="28"/>
          <w:rtl w:val="true"/>
          <w:lang w:bidi="ar-SA"/>
        </w:rPr>
        <w:t xml:space="preserve">. </w:t>
      </w:r>
      <w:bookmarkStart w:id="438" w:name="pg15710_226855"/>
    </w:p>
    <w:p>
      <w:pPr>
        <w:pStyle w:val="BookText"/>
        <w:rPr/>
      </w:pPr>
      <w:bookmarkEnd w:id="4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صدق عليها المسجد؛ وذلك لأن الحكم تابع للموضوع</w:t>
      </w:r>
      <w:r>
        <w:rPr>
          <w:rFonts w:eastAsia="Amiri" w:cs="Amiri" w:ascii="Amiri" w:hAnsi="Amiri"/>
          <w:color w:val="111111"/>
          <w:sz w:val="28"/>
          <w:szCs w:val="28"/>
          <w:rtl w:val="true"/>
          <w:lang w:bidi="ar-SA"/>
        </w:rPr>
        <w:t>.</w:t>
      </w:r>
    </w:p>
    <w:p>
      <w:pPr>
        <w:pStyle w:val="Heading2"/>
        <w:numPr>
          <w:ilvl w:val="1"/>
          <w:numId w:val="1"/>
        </w:numPr>
        <w:rPr/>
      </w:pPr>
      <w:bookmarkStart w:id="439" w:name="__RefHeading___Toc12183965_2142443653"/>
      <w:bookmarkStart w:id="440" w:name="_Toc163"/>
      <w:bookmarkEnd w:id="439"/>
      <w:r>
        <w:rPr>
          <w:rtl w:val="true"/>
        </w:rPr>
        <w:t>الإجناب بالحلال في الفضاء</w:t>
      </w:r>
      <w:bookmarkEnd w:id="44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الإجناب</w:t>
      </w:r>
      <w:r>
        <w:rPr>
          <w:rStyle w:val="FootnoteAnchor"/>
          <w:rtl w:val="true"/>
        </w:rPr>
        <w:footnoteReference w:id="693"/>
      </w:r>
      <w:r>
        <w:rPr>
          <w:rFonts w:ascii="Amiri" w:hAnsi="Amiri" w:eastAsia="Amiri" w:cs="Amiri"/>
          <w:color w:val="111111"/>
          <w:sz w:val="28"/>
          <w:sz w:val="28"/>
          <w:szCs w:val="28"/>
          <w:rtl w:val="true"/>
          <w:lang w:bidi="ar-SA"/>
        </w:rPr>
        <w:t xml:space="preserve"> بالحلال في الفضاء أو في القمر أو في سائر الكواكب، وإن لم يكن</w:t>
      </w:r>
      <w:r>
        <w:rPr>
          <w:rStyle w:val="FootnoteAnchor"/>
          <w:rtl w:val="true"/>
        </w:rPr>
        <w:footnoteReference w:id="694"/>
      </w:r>
      <w:r>
        <w:rPr>
          <w:rFonts w:ascii="Amiri" w:hAnsi="Amiri" w:eastAsia="Amiri" w:cs="Amiri"/>
          <w:color w:val="111111"/>
          <w:sz w:val="28"/>
          <w:sz w:val="28"/>
          <w:szCs w:val="28"/>
          <w:rtl w:val="true"/>
          <w:lang w:bidi="ar-SA"/>
        </w:rPr>
        <w:t xml:space="preserve"> ماء هناك، ولم يتمكن من الوصول إلى الماء، لما ذكروه في مسألة إجناب فاقد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لا فرق في جوازه بين الأرض وغيرها، فإن لم يجد ماءً فعليه أن يتيمم، وإن لم يكن ما يجوز التيمم عليه فحكمه حكم فاقد الطهورين، وهل يجوز التيمم بتراب القمر وسائر الكواكب؟ احتمالان، والظاهر الجواز إن كان يصدق عليه عرفاً التراب ونحوه</w:t>
      </w:r>
      <w:r>
        <w:rPr>
          <w:rFonts w:eastAsia="Amiri" w:cs="Amiri" w:ascii="Amiri" w:hAnsi="Amiri"/>
          <w:color w:val="111111"/>
          <w:sz w:val="28"/>
          <w:szCs w:val="28"/>
          <w:rtl w:val="true"/>
          <w:lang w:bidi="ar-SA"/>
        </w:rPr>
        <w:t>.</w:t>
      </w:r>
    </w:p>
    <w:p>
      <w:pPr>
        <w:pStyle w:val="Heading2"/>
        <w:numPr>
          <w:ilvl w:val="1"/>
          <w:numId w:val="1"/>
        </w:numPr>
        <w:rPr/>
      </w:pPr>
      <w:bookmarkStart w:id="441" w:name="__RefHeading___Toc12183967_2142443653"/>
      <w:bookmarkStart w:id="442" w:name="_Toc164"/>
      <w:bookmarkEnd w:id="441"/>
      <w:r>
        <w:rPr>
          <w:rtl w:val="true"/>
        </w:rPr>
        <w:t>بيع محطات الفضاء</w:t>
      </w:r>
      <w:bookmarkEnd w:id="44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يقدر على الغسل ولو بعد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هو مطلقاً، أو بخصوص إتيان أهله؟ مورد النص الأخير</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الإجناب في هذا الفرض غير جائز</w:t>
      </w:r>
      <w:r>
        <w:rPr>
          <w:rStyle w:val="FootnoteAnchor"/>
          <w:rtl w:val="true"/>
        </w:rPr>
        <w:footnoteReference w:id="698"/>
      </w:r>
      <w:r>
        <w:rPr>
          <w:rFonts w:ascii="Amiri" w:hAnsi="Amiri" w:eastAsia="Amiri" w:cs="Amiri"/>
          <w:color w:val="111111"/>
          <w:sz w:val="28"/>
          <w:sz w:val="28"/>
          <w:szCs w:val="28"/>
          <w:rtl w:val="true"/>
          <w:lang w:bidi="ar-SA"/>
        </w:rPr>
        <w:t>، إلاّ أن الحكم الوضعي يترتب لو فعله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bookmarkStart w:id="443" w:name="pg15710_226856"/>
    </w:p>
    <w:p>
      <w:pPr>
        <w:pStyle w:val="BookText"/>
        <w:rPr/>
      </w:pPr>
      <w:bookmarkEnd w:id="443"/>
      <w:r>
        <w:rPr>
          <w:rFonts w:ascii="Amiri" w:hAnsi="Amiri" w:eastAsia="Amiri" w:cs="Amiri"/>
          <w:color w:val="111111"/>
          <w:sz w:val="28"/>
          <w:sz w:val="28"/>
          <w:szCs w:val="28"/>
          <w:rtl w:val="true"/>
          <w:lang w:bidi="ar-SA"/>
        </w:rPr>
        <w:t>يجوز</w:t>
      </w:r>
      <w:r>
        <w:rPr>
          <w:rStyle w:val="FootnoteAnchor"/>
          <w:rtl w:val="true"/>
        </w:rPr>
        <w:footnoteReference w:id="699"/>
      </w:r>
      <w:r>
        <w:rPr>
          <w:rFonts w:ascii="Amiri" w:hAnsi="Amiri" w:eastAsia="Amiri" w:cs="Amiri"/>
          <w:color w:val="111111"/>
          <w:sz w:val="28"/>
          <w:sz w:val="28"/>
          <w:szCs w:val="28"/>
          <w:rtl w:val="true"/>
          <w:lang w:bidi="ar-SA"/>
        </w:rPr>
        <w:t xml:space="preserve"> بيع محطات أو مداراة الفضاء، كما إذا سبق قمر إلى محطة خاصة أو مدار خاص، فهل يجوز له بيعه أم لا؟ احتمالان، ولا يبعد الجواز إن رآه العرف مالاً</w:t>
      </w:r>
      <w:r>
        <w:rPr>
          <w:rStyle w:val="FootnoteAnchor"/>
          <w:rtl w:val="true"/>
        </w:rPr>
        <w:footnoteReference w:id="700"/>
      </w:r>
      <w:r>
        <w:rPr>
          <w:rFonts w:ascii="Amiri" w:hAnsi="Amiri" w:eastAsia="Amiri" w:cs="Amiri"/>
          <w:color w:val="111111"/>
          <w:sz w:val="28"/>
          <w:sz w:val="28"/>
          <w:szCs w:val="28"/>
          <w:rtl w:val="true"/>
          <w:lang w:bidi="ar-SA"/>
        </w:rPr>
        <w:t xml:space="preserve"> قد سبق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وما أشبه ولو ملاكاً</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ذلك في إطار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ذكرناه في الفقه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4" w:name="__RefHeading___Toc12183969_2142443653"/>
      <w:bookmarkStart w:id="445" w:name="_Toc165"/>
      <w:bookmarkEnd w:id="444"/>
      <w:r>
        <w:rPr>
          <w:rtl w:val="true"/>
        </w:rPr>
        <w:t>بيع مراسي البحر</w:t>
      </w:r>
      <w:bookmarkEnd w:id="44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محل من البحر سبق إليه إنسان بغواصة أو سفينة أو ما أشبه أم لا؟ احتمالان</w:t>
      </w:r>
      <w:r>
        <w:rPr>
          <w:rStyle w:val="FootnoteAnchor"/>
          <w:rtl w:val="true"/>
        </w:rPr>
        <w:footnoteReference w:id="701"/>
      </w:r>
      <w:r>
        <w:rPr>
          <w:rFonts w:ascii="Amiri" w:hAnsi="Amiri" w:eastAsia="Amiri" w:cs="Amiri"/>
          <w:color w:val="111111"/>
          <w:sz w:val="28"/>
          <w:sz w:val="28"/>
          <w:szCs w:val="28"/>
          <w:rtl w:val="true"/>
          <w:lang w:bidi="ar-SA"/>
        </w:rPr>
        <w:t xml:space="preserve"> كما ذكر في المسألة السابقة</w:t>
      </w:r>
      <w:r>
        <w:rPr>
          <w:rFonts w:eastAsia="Amiri" w:cs="Amiri" w:ascii="Amiri" w:hAnsi="Amiri"/>
          <w:color w:val="111111"/>
          <w:sz w:val="28"/>
          <w:szCs w:val="28"/>
          <w:rtl w:val="true"/>
          <w:lang w:bidi="ar-SA"/>
        </w:rPr>
        <w:t>.</w:t>
      </w:r>
    </w:p>
    <w:p>
      <w:pPr>
        <w:pStyle w:val="BookText"/>
        <w:rPr/>
      </w:pP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سبق نظيره</w:t>
      </w:r>
      <w:r>
        <w:rPr>
          <w:rFonts w:eastAsia="Amiri" w:cs="Amiri" w:ascii="Amiri" w:hAnsi="Amiri"/>
          <w:color w:val="111111"/>
          <w:sz w:val="28"/>
          <w:szCs w:val="28"/>
          <w:rtl w:val="true"/>
          <w:lang w:bidi="ar-SA"/>
        </w:rPr>
        <w:t>.</w:t>
      </w:r>
    </w:p>
    <w:p>
      <w:pPr>
        <w:pStyle w:val="BookText"/>
        <w:rPr/>
      </w:pP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رآه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w:t>
      </w:r>
    </w:p>
    <w:p>
      <w:pPr>
        <w:pStyle w:val="BookText"/>
        <w:rPr/>
      </w:pP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p>
    <w:p>
      <w:pPr>
        <w:pStyle w:val="BookText"/>
        <w:rPr/>
      </w:pP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الاقتصاد</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446" w:name="pg15710_226857"/>
    </w:p>
    <w:p>
      <w:pPr>
        <w:pStyle w:val="BookText"/>
        <w:rPr/>
      </w:pPr>
      <w:bookmarkEnd w:id="4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والأقرب الجواز إذا صدق عليه أنه مال عرفاً؛ وذلك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w:t>
      </w:r>
      <w:r>
        <w:rPr>
          <w:rFonts w:eastAsia="Amiri" w:cs="Amiri" w:ascii="Amiri" w:hAnsi="Amiri"/>
          <w:color w:val="111111"/>
          <w:sz w:val="28"/>
          <w:szCs w:val="28"/>
          <w:rtl w:val="true"/>
          <w:lang w:bidi="ar-SA"/>
        </w:rPr>
        <w:t>).</w:t>
      </w:r>
    </w:p>
    <w:p>
      <w:pPr>
        <w:pStyle w:val="Heading2"/>
        <w:numPr>
          <w:ilvl w:val="1"/>
          <w:numId w:val="1"/>
        </w:numPr>
        <w:rPr/>
      </w:pPr>
      <w:bookmarkStart w:id="447" w:name="__RefHeading___Toc12183971_2142443653"/>
      <w:bookmarkStart w:id="448" w:name="_Toc166"/>
      <w:bookmarkEnd w:id="447"/>
      <w:r>
        <w:rPr>
          <w:rtl w:val="true"/>
        </w:rPr>
        <w:t>بيع طبقات الأرض</w:t>
      </w:r>
      <w:bookmarkEnd w:id="44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Style w:val="FootnoteAnchor"/>
          <w:rtl w:val="true"/>
        </w:rPr>
        <w:footnoteReference w:id="709"/>
      </w:r>
      <w:r>
        <w:rPr>
          <w:rFonts w:ascii="Amiri" w:hAnsi="Amiri" w:eastAsia="Amiri" w:cs="Amiri"/>
          <w:color w:val="111111"/>
          <w:sz w:val="28"/>
          <w:sz w:val="28"/>
          <w:szCs w:val="28"/>
          <w:rtl w:val="true"/>
          <w:lang w:bidi="ar-SA"/>
        </w:rPr>
        <w:t xml:space="preserve"> في بيع طبقات الأرض السفلى كالكلام في بيع الفضاء والبحر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جائز للإطلاق المذكور</w:t>
      </w:r>
      <w:r>
        <w:rPr>
          <w:rFonts w:eastAsia="Amiri" w:cs="Amiri" w:ascii="Amiri" w:hAnsi="Amiri"/>
          <w:color w:val="111111"/>
          <w:sz w:val="28"/>
          <w:szCs w:val="28"/>
          <w:rtl w:val="true"/>
          <w:lang w:bidi="ar-SA"/>
        </w:rPr>
        <w:t>.</w:t>
      </w:r>
    </w:p>
    <w:p>
      <w:pPr>
        <w:pStyle w:val="Heading2"/>
        <w:numPr>
          <w:ilvl w:val="1"/>
          <w:numId w:val="1"/>
        </w:numPr>
        <w:rPr/>
      </w:pPr>
      <w:bookmarkStart w:id="449" w:name="__RefHeading___Toc12183973_2142443653"/>
      <w:bookmarkStart w:id="450" w:name="_Toc167"/>
      <w:bookmarkEnd w:id="449"/>
      <w:r>
        <w:rPr>
          <w:rtl w:val="true"/>
        </w:rPr>
        <w:t>تأميم الغابات</w:t>
      </w:r>
      <w:bookmarkEnd w:id="45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تأميم</w:t>
      </w:r>
      <w:r>
        <w:rPr>
          <w:rStyle w:val="FootnoteAnchor"/>
          <w:rtl w:val="true"/>
        </w:rPr>
        <w:footnoteReference w:id="710"/>
      </w:r>
      <w:r>
        <w:rPr>
          <w:rFonts w:ascii="Amiri" w:hAnsi="Amiri" w:eastAsia="Amiri" w:cs="Amiri"/>
          <w:color w:val="111111"/>
          <w:sz w:val="28"/>
          <w:sz w:val="28"/>
          <w:szCs w:val="28"/>
          <w:rtl w:val="true"/>
          <w:lang w:bidi="ar-SA"/>
        </w:rPr>
        <w:t xml:space="preserve"> الغابات غير صحيح، بل هي من المباحات التي يحق لكل أحد الاستفادة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يحق للإنسان أن يحجز قسماً من الغابة لنفسه، وقد يجوز للدولة الإسلامية الشرعية ذلك</w:t>
      </w:r>
      <w:r>
        <w:rPr>
          <w:rStyle w:val="FootnoteAnchor"/>
          <w:rtl w:val="true"/>
        </w:rPr>
        <w:footnoteReference w:id="711"/>
      </w:r>
      <w:r>
        <w:rPr>
          <w:rFonts w:ascii="Amiri" w:hAnsi="Amiri" w:eastAsia="Amiri" w:cs="Amiri"/>
          <w:color w:val="111111"/>
          <w:sz w:val="28"/>
          <w:sz w:val="28"/>
          <w:szCs w:val="28"/>
          <w:rtl w:val="true"/>
          <w:lang w:bidi="ar-SA"/>
        </w:rPr>
        <w:t xml:space="preserve"> إذا كان لمصلحة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تمنع الدولة بلا تحجير، أو لو حجّرت على الغابة بنفسها فهل تملك؟ الظاهر الصحة إلاّ إذا نافى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فيه ضرراً بالناس، أو نحو ذلك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وراجع المسألة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التأميم، وإلا فالحجز لقسم بالإحياء جائز للكل مطلقاً، فتأمل</w:t>
      </w:r>
      <w:r>
        <w:rPr>
          <w:rFonts w:eastAsia="Amiri" w:cs="Amiri" w:ascii="Amiri" w:hAnsi="Amiri"/>
          <w:color w:val="111111"/>
          <w:sz w:val="28"/>
          <w:szCs w:val="28"/>
          <w:rtl w:val="true"/>
          <w:lang w:bidi="ar-SA"/>
        </w:rPr>
        <w:t xml:space="preserve">. </w:t>
      </w:r>
      <w:bookmarkStart w:id="451" w:name="pg15710_226858"/>
    </w:p>
    <w:p>
      <w:pPr>
        <w:pStyle w:val="BookText"/>
        <w:rPr/>
      </w:pPr>
      <w:bookmarkEnd w:id="4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الجواز للإطلاقات ولكن في إطار</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أيضاً؛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على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ولذا فاللازم أن لا يكون ضاراً بالآخرين، وتشخيص الأهمية تكون بإمضاء شورى الفقهاء المراجع</w:t>
      </w:r>
      <w:r>
        <w:rPr>
          <w:rFonts w:eastAsia="Amiri" w:cs="Amiri" w:ascii="Amiri" w:hAnsi="Amiri"/>
          <w:color w:val="111111"/>
          <w:sz w:val="28"/>
          <w:szCs w:val="28"/>
          <w:rtl w:val="true"/>
          <w:lang w:bidi="ar-SA"/>
        </w:rPr>
        <w:t>.</w:t>
      </w:r>
    </w:p>
    <w:p>
      <w:pPr>
        <w:pStyle w:val="Heading2"/>
        <w:numPr>
          <w:ilvl w:val="1"/>
          <w:numId w:val="1"/>
        </w:numPr>
        <w:rPr/>
      </w:pPr>
      <w:bookmarkStart w:id="452" w:name="__RefHeading___Toc12183975_2142443653"/>
      <w:bookmarkStart w:id="453" w:name="_Toc168"/>
      <w:bookmarkEnd w:id="452"/>
      <w:r>
        <w:rPr>
          <w:rtl w:val="true"/>
        </w:rPr>
        <w:t>تأميم البحار والصحاري</w:t>
      </w:r>
      <w:bookmarkEnd w:id="45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تأميم</w:t>
      </w:r>
      <w:r>
        <w:rPr>
          <w:rStyle w:val="FootnoteAnchor"/>
          <w:rtl w:val="true"/>
        </w:rPr>
        <w:footnoteReference w:id="717"/>
      </w:r>
      <w:r>
        <w:rPr>
          <w:rFonts w:ascii="Amiri" w:hAnsi="Amiri" w:eastAsia="Amiri" w:cs="Amiri"/>
          <w:color w:val="111111"/>
          <w:sz w:val="28"/>
          <w:sz w:val="28"/>
          <w:szCs w:val="28"/>
          <w:rtl w:val="true"/>
          <w:lang w:bidi="ar-SA"/>
        </w:rPr>
        <w:t xml:space="preserve"> البحار والأنهر والصحاري وما أشبه لا يصح إلا على النحو الذي ذكر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المباحات التي جعلت للجميع بدليل الأنفال، وما ورد من تحريم جعل الحمى</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4" w:name="__RefHeading___Toc12183977_2142443653"/>
      <w:bookmarkStart w:id="455" w:name="_Toc169"/>
      <w:bookmarkEnd w:id="454"/>
      <w:r>
        <w:rPr>
          <w:rtl w:val="true"/>
        </w:rPr>
        <w:t>الاشتراكية في المعامل</w:t>
      </w:r>
      <w:bookmarkEnd w:id="45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فرض إشراك العمال مع صاحب المعمل في قسم</w:t>
      </w:r>
    </w:p>
    <w:p>
      <w:pPr>
        <w:pStyle w:val="BookText"/>
        <w:rPr/>
      </w:pP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بلا تحجير، فتأمل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bookmarkStart w:id="456" w:name="pg15710_226859"/>
    </w:p>
    <w:p>
      <w:pPr>
        <w:pStyle w:val="BookText"/>
        <w:rPr/>
      </w:pPr>
      <w:bookmarkEnd w:id="456"/>
      <w:r>
        <w:rPr>
          <w:rFonts w:ascii="IRNazanin" w:hAnsi="IRNazanin" w:eastAsia="IRNazanin"/>
          <w:color w:val="111111"/>
          <w:sz w:val="28"/>
          <w:sz w:val="28"/>
          <w:szCs w:val="28"/>
          <w:rtl w:val="true"/>
          <w:lang w:bidi="fa-IR"/>
        </w:rPr>
        <w:t>من الربح</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w:t>
      </w:r>
      <w:r>
        <w:rPr>
          <w:rStyle w:val="FootnoteAnchor"/>
          <w:rtl w:val="true"/>
        </w:rPr>
        <w:footnoteReference w:id="725"/>
      </w:r>
      <w:r>
        <w:rPr>
          <w:rFonts w:ascii="Amiri" w:hAnsi="Amiri" w:eastAsia="Amiri" w:cs="Amiri"/>
          <w:color w:val="111111"/>
          <w:sz w:val="28"/>
          <w:sz w:val="28"/>
          <w:szCs w:val="28"/>
          <w:rtl w:val="true"/>
          <w:lang w:bidi="ar-SA"/>
        </w:rPr>
        <w:t xml:space="preserve"> للعامل أن يعقد اتفاقية مع صاحب المعمل في أن يعمل له كل يوم باُجرة دينار مثلاً، ثم يعطيه المالك قسماً خاصاً من الربح في آخر السنة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جبرياً بالنسبة إلى صاحب المعمل أو العامل؛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 وأنفسهم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وكما لا يجوز الإشراك في الربح لا يجوز الإشراك في أصل المعمل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الإشراك حسب الاتفاق ومن دون جبر جاز، فإنه معاملة برضا الطرفين، فتشملها الأدلة</w:t>
      </w:r>
      <w:r>
        <w:rPr>
          <w:rFonts w:eastAsia="Amiri" w:cs="Amiri" w:ascii="Amiri" w:hAnsi="Amiri"/>
          <w:color w:val="111111"/>
          <w:sz w:val="28"/>
          <w:szCs w:val="28"/>
          <w:rtl w:val="true"/>
          <w:lang w:bidi="ar-SA"/>
        </w:rPr>
        <w:t>.</w:t>
      </w:r>
    </w:p>
    <w:p>
      <w:pPr>
        <w:pStyle w:val="Heading2"/>
        <w:numPr>
          <w:ilvl w:val="1"/>
          <w:numId w:val="1"/>
        </w:numPr>
        <w:rPr/>
      </w:pPr>
      <w:bookmarkStart w:id="457" w:name="__RefHeading___Toc12183979_2142443653"/>
      <w:bookmarkStart w:id="458" w:name="_Toc170"/>
      <w:bookmarkEnd w:id="457"/>
      <w:r>
        <w:rPr>
          <w:rtl w:val="true"/>
        </w:rPr>
        <w:t>التحاكم إلى العقول الالكترونية</w:t>
      </w:r>
      <w:bookmarkEnd w:id="45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726"/>
      </w:r>
      <w:r>
        <w:rPr>
          <w:rFonts w:ascii="Amiri" w:hAnsi="Amiri" w:eastAsia="Amiri" w:cs="Amiri"/>
          <w:color w:val="111111"/>
          <w:sz w:val="28"/>
          <w:sz w:val="28"/>
          <w:szCs w:val="28"/>
          <w:rtl w:val="true"/>
          <w:lang w:bidi="ar-SA"/>
        </w:rPr>
        <w:t xml:space="preserve"> التحاكم إلى العقول الآلية؛ إذ الجائز هو التحاكم إلى الحكام المقررين من قبل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إذا علمنا عدم خطأ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قد تخطأ وقد يتلاعب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فالأخذ بها من باب الأخذ بالعلم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لا بها</w:t>
      </w:r>
      <w:r>
        <w:rPr>
          <w:rFonts w:eastAsia="IRNazanin" w:cs="IRNazanin"/>
          <w:color w:val="111111"/>
          <w:sz w:val="28"/>
          <w:szCs w:val="28"/>
          <w:rtl w:val="true"/>
          <w:lang w:bidi="fa-IR"/>
        </w:rPr>
        <w:t>.</w:t>
      </w:r>
    </w:p>
    <w:p>
      <w:pPr>
        <w:pStyle w:val="BookText"/>
        <w:rPr/>
      </w:pP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للعامل أجرته فقط</w:t>
      </w:r>
      <w:r>
        <w:rPr>
          <w:rFonts w:eastAsia="IRNazanin" w:cs="IRNazanin"/>
          <w:color w:val="111111"/>
          <w:sz w:val="28"/>
          <w:szCs w:val="28"/>
          <w:rtl w:val="true"/>
          <w:lang w:bidi="fa-IR"/>
        </w:rPr>
        <w:t>.</w:t>
      </w:r>
    </w:p>
    <w:p>
      <w:pPr>
        <w:pStyle w:val="BookText"/>
        <w:rPr/>
      </w:pP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وأسبابها</w:t>
      </w:r>
      <w:r>
        <w:rPr>
          <w:rStyle w:val="FootnoteAnchor"/>
          <w:rtl w:val="true"/>
        </w:rPr>
        <w:footnoteReference w:id="729"/>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w:t>
      </w:r>
      <w:r>
        <w:rPr>
          <w:rFonts w:eastAsia="Amiri" w:cs="Amiri" w:ascii="Amiri" w:hAnsi="Amiri"/>
          <w:color w:val="111111"/>
          <w:sz w:val="28"/>
          <w:szCs w:val="28"/>
          <w:rtl w:val="true"/>
          <w:lang w:bidi="ar-SA"/>
        </w:rPr>
        <w:t>).</w:t>
      </w:r>
    </w:p>
    <w:p>
      <w:pPr>
        <w:pStyle w:val="BookText"/>
        <w:rPr/>
      </w:pP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الاستثناء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طريقياً كان الأخذ أخذاً بالعلم، وإن كان موضوعياً لم يجز</w:t>
      </w:r>
      <w:r>
        <w:rPr>
          <w:rFonts w:eastAsia="Amiri" w:cs="Amiri" w:ascii="Amiri" w:hAnsi="Amiri"/>
          <w:color w:val="111111"/>
          <w:sz w:val="28"/>
          <w:szCs w:val="28"/>
          <w:rtl w:val="true"/>
          <w:lang w:bidi="ar-SA"/>
        </w:rPr>
        <w:t xml:space="preserve">. </w:t>
      </w:r>
      <w:bookmarkStart w:id="459" w:name="pg15710_226860"/>
    </w:p>
    <w:p>
      <w:pPr>
        <w:pStyle w:val="Heading2"/>
        <w:numPr>
          <w:ilvl w:val="1"/>
          <w:numId w:val="1"/>
        </w:numPr>
        <w:rPr/>
      </w:pPr>
      <w:bookmarkStart w:id="460" w:name="__RefHeading___Toc12183981_2142443653"/>
      <w:bookmarkStart w:id="461" w:name="_Toc171"/>
      <w:bookmarkEnd w:id="459"/>
      <w:bookmarkEnd w:id="460"/>
      <w:r>
        <w:rPr>
          <w:rtl w:val="true"/>
        </w:rPr>
        <w:t>رضا المتحاكمين بالعقل الالكتروني</w:t>
      </w:r>
      <w:bookmarkEnd w:id="46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رضي اثنان أن يتحاكما إلى العقل الالكتروني وأن ينفذا ما حكمه لا يبعد جوازه؛ لأنه في الحقيقة تراضٍ بين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حكم العقل الآلي لم يكن حكمه واجب التنفيذ إلا بشرط في ضمن عقد أو 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الدليل دل على تنفيذ حكم الحاكم الشرعي فقط، وهذا فيما يجوز</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التحاكم إليه</w:t>
      </w:r>
      <w:r>
        <w:rPr>
          <w:rFonts w:eastAsia="Amiri" w:cs="Amiri" w:ascii="Amiri" w:hAnsi="Amiri"/>
          <w:color w:val="111111"/>
          <w:sz w:val="28"/>
          <w:szCs w:val="28"/>
          <w:rtl w:val="true"/>
          <w:lang w:bidi="ar-SA"/>
        </w:rPr>
        <w:t>.</w:t>
      </w:r>
    </w:p>
    <w:p>
      <w:pPr>
        <w:pStyle w:val="Heading2"/>
        <w:numPr>
          <w:ilvl w:val="1"/>
          <w:numId w:val="1"/>
        </w:numPr>
        <w:rPr/>
      </w:pPr>
      <w:bookmarkStart w:id="462" w:name="__RefHeading___Toc12183983_2142443653"/>
      <w:bookmarkStart w:id="463" w:name="_Toc172"/>
      <w:bookmarkEnd w:id="462"/>
      <w:r>
        <w:rPr>
          <w:rtl w:val="true"/>
        </w:rPr>
        <w:t>حدود أحكام العقول الالكترونية</w:t>
      </w:r>
      <w:bookmarkEnd w:id="46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المسألة السابقة إنما يصح إذا لم يكن من الموارد التي تحتاج إلى الفصل، كالمرأة التي اختلف عليها زوجان، وكانا شاكين حقيقة في أنها زوجة لهذا أو ذاك، فإنَّ حكم العقل الآلي ورضاهما لا يبرر كونها لأحدهما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لما دل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على لزوم الاحتياط في الفروج والدماء، إلا فيما كان من باب القرعة، فيما جعل الشارع فيه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المسألة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نظر؛ إذ الاحتياط وارد في الأموال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المتحصل من جميع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التحاكم إجباراً غير جائز</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إلى فصل الحاكم لا يجوز</w:t>
      </w:r>
      <w:r>
        <w:rPr>
          <w:rFonts w:eastAsia="Amiri" w:cs="Amiri" w:ascii="Amiri" w:hAnsi="Amiri"/>
          <w:color w:val="111111"/>
          <w:sz w:val="28"/>
          <w:szCs w:val="28"/>
          <w:rtl w:val="true"/>
          <w:lang w:bidi="ar-SA"/>
        </w:rPr>
        <w:t xml:space="preserve">. </w:t>
      </w:r>
      <w:bookmarkStart w:id="464" w:name="pg15710_226861"/>
    </w:p>
    <w:p>
      <w:pPr>
        <w:pStyle w:val="Heading2"/>
        <w:numPr>
          <w:ilvl w:val="1"/>
          <w:numId w:val="1"/>
        </w:numPr>
        <w:rPr/>
      </w:pPr>
      <w:bookmarkStart w:id="465" w:name="__RefHeading___Toc12183985_2142443653"/>
      <w:bookmarkStart w:id="466" w:name="_Toc173"/>
      <w:bookmarkEnd w:id="464"/>
      <w:bookmarkEnd w:id="465"/>
      <w:r>
        <w:rPr>
          <w:rtl w:val="true"/>
        </w:rPr>
        <w:t>الخمر لو سقطت عن الإسكار</w:t>
      </w:r>
      <w:bookmarkEnd w:id="46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الخمر لم تسكر في الفضاء أو في كوكب خاص، فهل تبقى على حرمتها أم لا؟ أما النجاسة فإن قلنا بأنها تابعة</w:t>
      </w:r>
      <w:r>
        <w:rPr>
          <w:rStyle w:val="FootnoteAnchor"/>
          <w:rtl w:val="true"/>
        </w:rPr>
        <w:footnoteReference w:id="735"/>
      </w:r>
      <w:r>
        <w:rPr>
          <w:rFonts w:ascii="Amiri" w:hAnsi="Amiri" w:eastAsia="Amiri" w:cs="Amiri"/>
          <w:color w:val="111111"/>
          <w:sz w:val="28"/>
          <w:sz w:val="28"/>
          <w:szCs w:val="28"/>
          <w:rtl w:val="true"/>
          <w:lang w:bidi="ar-SA"/>
        </w:rPr>
        <w:t xml:space="preserve"> للإسكار فتذهب بذهاب الإسكار، وإن قلنا بأنها مستقلة فيكون التحريم لأجل النجاسة</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حال مَنْ يقول بطهارة الخمر، لكن الصناعة تقتضي لزوم الاجتناب عن الخمر مطلقاً وإن لم يسكر؛ لإطلاق أدلته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وكذا يلزم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 الفصل بالقرعة يجوز مع التراضي، لكن العمل به غير واجب إلاّ مع الشرط في ضمن عقد، مع عدم تحديد الشارع طريقة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يجوز مع الملاحظة ما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بحاجة إلى تأمل، ومراجعة كتاب القضاء وبحث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التحكيم</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الرابع لو حكم وكان العلم موضوعياً لا ينفذ حكمه، ولو كان طريقياً وعلم كان الحكم بالعلم 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المراد الإسكار بطبعه أو الإسكار الفعلي؟ قد يُقال بالأول، وعليه فتبقى ولو ذهب الإسكار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ولحرمتها الذاتية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والإسكار حكمة 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دليل آخر، وهو أنه لو فرض أن شخصاً </w:t>
      </w:r>
      <w:bookmarkStart w:id="467" w:name="pg15710_226862"/>
    </w:p>
    <w:p>
      <w:pPr>
        <w:pStyle w:val="BookText"/>
        <w:rPr/>
      </w:pPr>
      <w:bookmarkEnd w:id="467"/>
      <w:r>
        <w:rPr>
          <w:rFonts w:ascii="Amiri" w:hAnsi="Amiri" w:eastAsia="Amiri" w:cs="Amiri"/>
          <w:color w:val="111111"/>
          <w:sz w:val="28"/>
          <w:sz w:val="28"/>
          <w:szCs w:val="28"/>
          <w:rtl w:val="true"/>
          <w:lang w:bidi="ar-SA"/>
        </w:rPr>
        <w:t>الاجتناب لو لم يسكر هذا الشخص لمانع ونحوه</w:t>
      </w:r>
      <w:r>
        <w:rPr>
          <w:rFonts w:eastAsia="Amiri" w:cs="Amiri" w:ascii="Amiri" w:hAnsi="Amiri"/>
          <w:color w:val="111111"/>
          <w:sz w:val="28"/>
          <w:szCs w:val="28"/>
          <w:rtl w:val="true"/>
          <w:lang w:bidi="ar-SA"/>
        </w:rPr>
        <w:t>.</w:t>
      </w:r>
    </w:p>
    <w:p>
      <w:pPr>
        <w:pStyle w:val="Heading2"/>
        <w:numPr>
          <w:ilvl w:val="1"/>
          <w:numId w:val="1"/>
        </w:numPr>
        <w:rPr/>
      </w:pPr>
      <w:bookmarkStart w:id="468" w:name="__RefHeading___Toc12183987_2142443653"/>
      <w:bookmarkStart w:id="469" w:name="_Toc174"/>
      <w:bookmarkEnd w:id="468"/>
      <w:r>
        <w:rPr>
          <w:rtl w:val="true"/>
        </w:rPr>
        <w:t>المسكرات الفضائية</w:t>
      </w:r>
      <w:bookmarkEnd w:id="46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إسكار</w:t>
      </w:r>
      <w:r>
        <w:rPr>
          <w:rStyle w:val="FootnoteAnchor"/>
          <w:rtl w:val="true"/>
        </w:rPr>
        <w:footnoteReference w:id="738"/>
      </w:r>
      <w:r>
        <w:rPr>
          <w:rFonts w:ascii="Amiri" w:hAnsi="Amiri" w:eastAsia="Amiri" w:cs="Amiri"/>
          <w:color w:val="111111"/>
          <w:sz w:val="28"/>
          <w:sz w:val="28"/>
          <w:szCs w:val="28"/>
          <w:rtl w:val="true"/>
          <w:lang w:bidi="ar-SA"/>
        </w:rPr>
        <w:t xml:space="preserve"> لمائع غير مسكر، بسبب كونه في الفضاء أو في بعض الكواكب حرم شربه،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تابع للموضوع، من غير فرق بين أن يكون تأثيره في الإسكار بسبب الزمان أو المكان أو الشخص أو بعض الشرائط، كما إذا كان يسكر إذا شرب بعده أو قبله أو معه شيئاً</w:t>
      </w:r>
      <w:r>
        <w:rPr>
          <w:rFonts w:eastAsia="Amiri" w:cs="Amiri" w:ascii="Amiri" w:hAnsi="Amiri"/>
          <w:color w:val="111111"/>
          <w:sz w:val="28"/>
          <w:szCs w:val="28"/>
          <w:rtl w:val="true"/>
          <w:lang w:bidi="ar-SA"/>
        </w:rPr>
        <w:t>.</w:t>
      </w:r>
    </w:p>
    <w:p>
      <w:pPr>
        <w:pStyle w:val="Heading2"/>
        <w:numPr>
          <w:ilvl w:val="1"/>
          <w:numId w:val="1"/>
        </w:numPr>
        <w:rPr/>
      </w:pPr>
      <w:bookmarkStart w:id="470" w:name="__RefHeading___Toc12183989_2142443653"/>
      <w:bookmarkStart w:id="471" w:name="_Toc175"/>
      <w:bookmarkEnd w:id="470"/>
      <w:r>
        <w:rPr>
          <w:rtl w:val="true"/>
        </w:rPr>
        <w:t>من أحكام المسكر</w:t>
      </w:r>
      <w:bookmarkEnd w:id="47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السكر عن مسكر لسبب كونه في الفضاء أو في بعض الكواكب وقلنا بأنه يحرم شربه، فالظاهر أنه لا يحرم استعماله</w:t>
      </w:r>
      <w:r>
        <w:rPr>
          <w:rStyle w:val="FootnoteAnchor"/>
          <w:rtl w:val="true"/>
        </w:rPr>
        <w:footnoteReference w:id="740"/>
      </w:r>
      <w:r>
        <w:rPr>
          <w:rFonts w:ascii="Amiri" w:hAnsi="Amiri" w:eastAsia="Amiri" w:cs="Amiri"/>
          <w:color w:val="111111"/>
          <w:sz w:val="28"/>
          <w:sz w:val="28"/>
          <w:szCs w:val="28"/>
          <w:rtl w:val="true"/>
          <w:lang w:bidi="ar-SA"/>
        </w:rPr>
        <w:t>؛ إذ ليس بمسكر</w:t>
      </w:r>
      <w:r>
        <w:rPr>
          <w:rStyle w:val="FootnoteAnchor"/>
          <w:rtl w:val="true"/>
        </w:rPr>
        <w:footnoteReference w:id="741"/>
      </w:r>
      <w:r>
        <w:rPr>
          <w:rFonts w:ascii="Amiri" w:hAnsi="Amiri" w:eastAsia="Amiri" w:cs="Amiri"/>
          <w:color w:val="111111"/>
          <w:sz w:val="28"/>
          <w:sz w:val="28"/>
          <w:szCs w:val="28"/>
          <w:rtl w:val="true"/>
          <w:lang w:bidi="ar-SA"/>
        </w:rPr>
        <w:t>، والدليل إنما دل على أنه يحرم استعمال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يسكر بالخمر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لحالة خاصة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أن يُقال بحليتها له، كما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منكر في أذهان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بالكثير منه دون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أسكر كثيره فقليله حرام</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دليل حرمة الاستعمال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الأطعمة والأشربة</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موقوف على أن المراد بالمسكر الفعلي أو الشأني،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والفارق </w:t>
      </w:r>
      <w:bookmarkStart w:id="472" w:name="pg15710_226863"/>
    </w:p>
    <w:p>
      <w:pPr>
        <w:pStyle w:val="BookText"/>
        <w:rPr/>
      </w:pPr>
      <w:bookmarkEnd w:id="4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يحرم شربه استصحاباً</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أو لأنه نجس، ولا يحرم استعماله،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يشترط فيه الطهارة، والشرب والاستعمال أمران لا يلازم أحدهما الآخر مطلقاً</w:t>
      </w:r>
      <w:r>
        <w:rPr>
          <w:rFonts w:eastAsia="Amiri" w:cs="Amiri" w:ascii="Amiri" w:hAnsi="Amiri"/>
          <w:color w:val="111111"/>
          <w:sz w:val="28"/>
          <w:szCs w:val="28"/>
          <w:rtl w:val="true"/>
          <w:lang w:bidi="ar-SA"/>
        </w:rPr>
        <w:t>.</w:t>
      </w:r>
    </w:p>
    <w:p>
      <w:pPr>
        <w:pStyle w:val="Heading2"/>
        <w:numPr>
          <w:ilvl w:val="1"/>
          <w:numId w:val="1"/>
        </w:numPr>
        <w:rPr/>
      </w:pPr>
      <w:bookmarkStart w:id="473" w:name="__RefHeading___Toc12183991_2142443653"/>
      <w:bookmarkStart w:id="474" w:name="_Toc176"/>
      <w:bookmarkEnd w:id="473"/>
      <w:r>
        <w:rPr>
          <w:rtl w:val="true"/>
        </w:rPr>
        <w:t>الفواكه أو الأطعمة الموجبة للإسكار</w:t>
      </w:r>
      <w:bookmarkEnd w:id="47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طعام أو فاكهة يوجبان السكر في الفضاء، أو في بعض الكواكب حرم أكله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إذا كان بتأثير من الزمان أو الشخص أو الشرائط كما تقدم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5" w:name="__RefHeading___Toc12183993_2142443653"/>
      <w:bookmarkStart w:id="476" w:name="_Toc177"/>
      <w:bookmarkEnd w:id="475"/>
      <w:r>
        <w:rPr>
          <w:rtl w:val="true"/>
        </w:rPr>
        <w:t>العقل الآلي وتعيين أول الشهر</w:t>
      </w:r>
      <w:bookmarkEnd w:id="47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Style w:val="FootnoteAnchor"/>
          <w:rtl w:val="true"/>
        </w:rPr>
        <w:footnoteReference w:id="747"/>
      </w:r>
      <w:r>
        <w:rPr>
          <w:rFonts w:ascii="Amiri" w:hAnsi="Amiri" w:eastAsia="Amiri" w:cs="Amiri"/>
          <w:color w:val="111111"/>
          <w:sz w:val="28"/>
          <w:sz w:val="28"/>
          <w:szCs w:val="28"/>
          <w:rtl w:val="true"/>
          <w:lang w:bidi="ar-SA"/>
        </w:rPr>
        <w:t xml:space="preserve"> الاعتماد على العقل الآلي في إخباره بأول الشهر، أو بإجرام إنسان أو ببراءة إنسان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الحرمتين محل 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الكلام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فالأنواع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يوجب القطع أو الاطمئنان، ليس بحجة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ولكن كان القطع موضوعياً، ليس بحجة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وكان القطع طريقياً، فهو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bookmarkStart w:id="477" w:name="pg15710_226864"/>
    </w:p>
    <w:p>
      <w:pPr>
        <w:pStyle w:val="BookText"/>
        <w:rPr/>
      </w:pPr>
      <w:bookmarkEnd w:id="47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لأنه لا دليل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على حجيته، إضافة إلى كثرة الخطأ وإمكان التلاعب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أورث الاطمئنان، وكان الاطمئنان كافياً شرعاً جاز الاعتماد من جهة الاطمئنان، وهذا في غير ما يشترط فيه طريقة خاصة كالحدود الشرعية</w:t>
      </w:r>
      <w:r>
        <w:rPr>
          <w:rFonts w:eastAsia="Amiri" w:cs="Amiri" w:ascii="Amiri" w:hAnsi="Amiri"/>
          <w:color w:val="111111"/>
          <w:sz w:val="28"/>
          <w:szCs w:val="28"/>
          <w:rtl w:val="true"/>
          <w:lang w:bidi="ar-SA"/>
        </w:rPr>
        <w:t>.</w:t>
      </w:r>
    </w:p>
    <w:p>
      <w:pPr>
        <w:pStyle w:val="Heading2"/>
        <w:numPr>
          <w:ilvl w:val="1"/>
          <w:numId w:val="1"/>
        </w:numPr>
        <w:rPr/>
      </w:pPr>
      <w:bookmarkStart w:id="478" w:name="__RefHeading___Toc12183995_2142443653"/>
      <w:bookmarkStart w:id="479" w:name="_Toc178"/>
      <w:bookmarkEnd w:id="478"/>
      <w:r>
        <w:rPr>
          <w:rtl w:val="true"/>
        </w:rPr>
        <w:t>حصول العلم من العقل الآلي</w:t>
      </w:r>
      <w:bookmarkEnd w:id="47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w:t>
      </w:r>
      <w:r>
        <w:rPr>
          <w:rStyle w:val="FootnoteAnchor"/>
          <w:rtl w:val="true"/>
        </w:rPr>
        <w:footnoteReference w:id="754"/>
      </w:r>
      <w:r>
        <w:rPr>
          <w:rFonts w:ascii="Amiri" w:hAnsi="Amiri" w:eastAsia="Amiri" w:cs="Amiri"/>
          <w:color w:val="111111"/>
          <w:sz w:val="28"/>
          <w:sz w:val="28"/>
          <w:szCs w:val="28"/>
          <w:rtl w:val="true"/>
          <w:lang w:bidi="ar-SA"/>
        </w:rPr>
        <w:t xml:space="preserve"> العقل الآلي بشيء وحصل منه العلم</w:t>
      </w:r>
      <w:r>
        <w:rPr>
          <w:rStyle w:val="FootnoteAnchor"/>
          <w:rtl w:val="true"/>
        </w:rPr>
        <w:footnoteReference w:id="755"/>
      </w:r>
      <w:r>
        <w:rPr>
          <w:rFonts w:ascii="Amiri" w:hAnsi="Amiri" w:eastAsia="Amiri" w:cs="Amiri"/>
          <w:color w:val="111111"/>
          <w:sz w:val="28"/>
          <w:sz w:val="28"/>
          <w:szCs w:val="28"/>
          <w:rtl w:val="true"/>
          <w:lang w:bidi="ar-SA"/>
        </w:rPr>
        <w:t xml:space="preserve"> صح الاعتماد على العلم، لا على العقل الآلي، ولكن الاعتماد على العلم أنما يصح فيما لم يشترط الشارع لذلك الشيء طريقاً خاصاً، كشهود الزنا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كشهود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ذكرنا في الفقه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المعتبر في الإثبات إما أربعة شهود بالرؤية كالميل في المكحلة، أو الاعتراف أربع مرات من غير إكراه</w:t>
      </w:r>
      <w:r>
        <w:rPr>
          <w:rFonts w:eastAsia="Amiri" w:cs="Amiri" w:ascii="Amiri" w:hAnsi="Amiri"/>
          <w:color w:val="111111"/>
          <w:sz w:val="28"/>
          <w:szCs w:val="28"/>
          <w:rtl w:val="true"/>
          <w:lang w:bidi="ar-SA"/>
        </w:rPr>
        <w:t>.</w:t>
      </w:r>
    </w:p>
    <w:p>
      <w:pPr>
        <w:pStyle w:val="Heading2"/>
        <w:numPr>
          <w:ilvl w:val="1"/>
          <w:numId w:val="1"/>
        </w:numPr>
        <w:rPr/>
      </w:pPr>
      <w:bookmarkStart w:id="480" w:name="__RefHeading___Toc12183997_2142443653"/>
      <w:bookmarkStart w:id="481" w:name="_Toc179"/>
      <w:bookmarkEnd w:id="480"/>
      <w:r>
        <w:rPr>
          <w:rtl w:val="true"/>
        </w:rPr>
        <w:t>الإضراب المستمر عن الطعام</w:t>
      </w:r>
      <w:bookmarkEnd w:id="48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الإضراب بالصيام المستمر ليل نهار؛ لأنه لا صيام</w:t>
      </w:r>
      <w:r>
        <w:rPr>
          <w:rStyle w:val="FootnoteAnchor"/>
          <w:rtl w:val="true"/>
        </w:rPr>
        <w:footnoteReference w:id="756"/>
      </w:r>
    </w:p>
    <w:p>
      <w:pPr>
        <w:pStyle w:val="BookText"/>
        <w:rPr/>
      </w:pP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الدليل على عدم حجيته،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BookText"/>
        <w:rPr/>
      </w:pP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للاطمئنان موضوعاً أو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والعبادات توقيفية، والتشريع محرم</w:t>
      </w:r>
      <w:r>
        <w:rPr>
          <w:rFonts w:eastAsia="Amiri" w:cs="Amiri" w:ascii="Amiri" w:hAnsi="Amiri"/>
          <w:color w:val="111111"/>
          <w:sz w:val="28"/>
          <w:szCs w:val="28"/>
          <w:rtl w:val="true"/>
          <w:lang w:bidi="ar-SA"/>
        </w:rPr>
        <w:t xml:space="preserve">. </w:t>
      </w:r>
      <w:bookmarkStart w:id="482" w:name="pg15710_226865"/>
    </w:p>
    <w:p>
      <w:pPr>
        <w:pStyle w:val="BookText"/>
        <w:rPr/>
      </w:pPr>
      <w:bookmarkEnd w:id="482"/>
      <w:r>
        <w:rPr>
          <w:rFonts w:ascii="Amiri" w:hAnsi="Amiri" w:eastAsia="Amiri" w:cs="Amiri"/>
          <w:color w:val="111111"/>
          <w:sz w:val="28"/>
          <w:sz w:val="28"/>
          <w:szCs w:val="28"/>
          <w:rtl w:val="true"/>
          <w:lang w:bidi="ar-SA"/>
        </w:rPr>
        <w:t>هكذا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يصح الإمساك بدون الصيام، فيشرب الماء مثلاً وهكذا، أو لا يشرب ولا يأكل شيئاً، لكن لا بنية الصوم، هذا إذا لم يترتب عليه ضرر بالغ إلا في صورة الأهم والمهم</w:t>
      </w:r>
      <w:r>
        <w:rPr>
          <w:rFonts w:eastAsia="Amiri" w:cs="Amiri" w:ascii="Amiri" w:hAnsi="Amiri"/>
          <w:color w:val="111111"/>
          <w:sz w:val="28"/>
          <w:szCs w:val="28"/>
          <w:rtl w:val="true"/>
          <w:lang w:bidi="ar-SA"/>
        </w:rPr>
        <w:t>.</w:t>
      </w:r>
    </w:p>
    <w:p>
      <w:pPr>
        <w:pStyle w:val="Heading2"/>
        <w:numPr>
          <w:ilvl w:val="1"/>
          <w:numId w:val="1"/>
        </w:numPr>
        <w:rPr/>
      </w:pPr>
      <w:bookmarkStart w:id="483" w:name="__RefHeading___Toc12183999_2142443653"/>
      <w:bookmarkStart w:id="484" w:name="_Toc180"/>
      <w:bookmarkEnd w:id="483"/>
      <w:r>
        <w:rPr>
          <w:rtl w:val="true"/>
        </w:rPr>
        <w:t>الإضراب بإدامة الصيام</w:t>
      </w:r>
      <w:bookmarkEnd w:id="48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الإضراب بإدامة الصيام المشروع كل يوم، إلى أن يعطي الطرف مطلب الصائم، لكن يشترط أن يكون الصيام بجميع شرائطه، التي منها القربة والإخلاص</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مثل هذا الصوم مشروع، كما يصح الإضراب بإدامة قراءة القرآن والصلاة والدعاء والذكر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أن يخل بواجباته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في هذه المسائل للإطلاقات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Heading2"/>
        <w:numPr>
          <w:ilvl w:val="1"/>
          <w:numId w:val="1"/>
        </w:numPr>
        <w:rPr/>
      </w:pPr>
      <w:bookmarkStart w:id="485" w:name="__RefHeading___Toc12184001_2142443653"/>
      <w:bookmarkStart w:id="486" w:name="_Toc181"/>
      <w:bookmarkEnd w:id="485"/>
      <w:r>
        <w:rPr>
          <w:rtl w:val="true"/>
        </w:rPr>
        <w:t>الإضراب الاحتجاجي</w:t>
      </w:r>
      <w:bookmarkEnd w:id="48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الإمساك عن بعض الأطعمة إضراباً واحتجاجاً لتحصيل</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والهدف يكون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إلى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دنيوياً، راجع العروة، بحث الوضوء</w:t>
      </w:r>
      <w:r>
        <w:rPr>
          <w:rStyle w:val="FootnoteAnchor"/>
          <w:rtl w:val="true"/>
        </w:rPr>
        <w:footnoteReference w:id="765"/>
      </w:r>
      <w:r>
        <w:rPr>
          <w:rFonts w:ascii="Amiri" w:hAnsi="Amiri" w:eastAsia="Amiri" w:cs="Amiri"/>
          <w:color w:val="111111"/>
          <w:sz w:val="28"/>
          <w:sz w:val="28"/>
          <w:szCs w:val="28"/>
          <w:rtl w:val="true"/>
          <w:lang w:bidi="ar-SA"/>
        </w:rPr>
        <w:t>، وشرائط الصلاة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ولأصالة الحل، بل ولإطلاق أدلة العبادات،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الصلاة و</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bookmarkStart w:id="487" w:name="pg15710_226866"/>
    </w:p>
    <w:p>
      <w:pPr>
        <w:pStyle w:val="BookText"/>
        <w:rPr/>
      </w:pPr>
      <w:bookmarkEnd w:id="487"/>
      <w:r>
        <w:rPr>
          <w:rFonts w:ascii="IRNazanin" w:hAnsi="IRNazanin" w:eastAsia="IRNazanin"/>
          <w:color w:val="111111"/>
          <w:sz w:val="28"/>
          <w:sz w:val="28"/>
          <w:szCs w:val="28"/>
          <w:rtl w:val="true"/>
          <w:lang w:bidi="fa-IR"/>
        </w:rPr>
        <w:t>مطلب حق</w:t>
      </w:r>
      <w:r>
        <w:rPr>
          <w:rStyle w:val="FootnoteAnchor"/>
          <w:rtl w:val="true"/>
        </w:rPr>
        <w:footnoteReference w:id="769"/>
      </w:r>
      <w:r>
        <w:rPr>
          <w:rFonts w:ascii="Amiri" w:hAnsi="Amiri" w:eastAsia="Amiri" w:cs="Amiri"/>
          <w:color w:val="111111"/>
          <w:sz w:val="28"/>
          <w:sz w:val="28"/>
          <w:szCs w:val="28"/>
          <w:rtl w:val="true"/>
          <w:lang w:bidi="ar-SA"/>
        </w:rPr>
        <w:t>، أو دفع منكر أو ما أشبه، لكن بشرط أن لا يضر الإمساك بالممسك ضرراً بالغاً لا يجوز تحمله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أضر ضرراً بالغاً ولم يكن من باب الأهم والمهم لم يجز</w:t>
      </w:r>
      <w:r>
        <w:rPr>
          <w:rFonts w:eastAsia="Amiri" w:cs="Amiri" w:ascii="Amiri" w:hAnsi="Amiri"/>
          <w:color w:val="111111"/>
          <w:sz w:val="28"/>
          <w:szCs w:val="28"/>
          <w:rtl w:val="true"/>
          <w:lang w:bidi="ar-SA"/>
        </w:rPr>
        <w:t>.</w:t>
      </w:r>
    </w:p>
    <w:p>
      <w:pPr>
        <w:pStyle w:val="Heading2"/>
        <w:numPr>
          <w:ilvl w:val="1"/>
          <w:numId w:val="1"/>
        </w:numPr>
        <w:rPr/>
      </w:pPr>
      <w:bookmarkStart w:id="488" w:name="__RefHeading___Toc12184003_2142443653"/>
      <w:bookmarkStart w:id="489" w:name="_Toc182"/>
      <w:bookmarkEnd w:id="488"/>
      <w:r>
        <w:rPr>
          <w:rtl w:val="true"/>
        </w:rPr>
        <w:t>من أحكام الإضراب</w:t>
      </w:r>
      <w:bookmarkEnd w:id="48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المسألة السابقة من أن لا يكون الإمساك مضراً بالممسك إنما هو إذا لم يكن هناك مصلحة إسلامية أهم من مصلحة عدم الضرر، وإلا كان مشمولاً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والمصلحة من باب المثال، وإلا فهو حكم كل أهم في نظر الشرع إلى حد المنع عن النقيض، والأدلة على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الأهم والمهم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يشمل الحكم ما لو لم يكن من حقه؟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أكل للمال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ملاكه فيما لم يرد مالاً، بل اعتباراً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إكراه اجوائي، فيما لو صدق الإكراه،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يضرب حتى يعطيه أبوه مالاً، وقد يُقال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صدق الإكراه عرفاً أو إيجاد الداعي،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لِّينَةٍ</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التترس بالمسلمين</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w:t>
      </w:r>
      <w:bookmarkStart w:id="490" w:name="pg15710_226867"/>
    </w:p>
    <w:p>
      <w:pPr>
        <w:pStyle w:val="Heading2"/>
        <w:numPr>
          <w:ilvl w:val="1"/>
          <w:numId w:val="1"/>
        </w:numPr>
        <w:rPr/>
      </w:pPr>
      <w:bookmarkStart w:id="491" w:name="__RefHeading___Toc12184005_2142443653"/>
      <w:bookmarkStart w:id="492" w:name="_Toc183"/>
      <w:bookmarkEnd w:id="490"/>
      <w:bookmarkEnd w:id="491"/>
      <w:r>
        <w:rPr>
          <w:rtl w:val="true"/>
        </w:rPr>
        <w:t>البلوغ المبكر في الفضاء</w:t>
      </w:r>
      <w:bookmarkEnd w:id="49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في الفضاء أو في كوكب ظهرت علائم البلوغ قبل أوانه، فالظاهر أن الإنسان محكوم بالبلوغ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لترتب الحكم على الموضوع، إلا إذا كان في وقت لا يشمله الأدلة عرفاً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كما لو ظهرت في السنة الثانية أو الثالثة من العمر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قومك حديثو عهد</w:t>
      </w:r>
      <w:r>
        <w:rPr>
          <w:rFonts w:eastAsia="Amiri" w:cs="Amiri" w:ascii="Amiri" w:hAnsi="Amiri"/>
          <w:color w:val="111111"/>
          <w:sz w:val="28"/>
          <w:szCs w:val="28"/>
          <w:rtl w:val="true"/>
          <w:lang w:bidi="ar-SA"/>
        </w:rPr>
        <w:t>»</w:t>
      </w:r>
      <w:r>
        <w:rPr>
          <w:rStyle w:val="FootnoteAnchor"/>
          <w:rtl w:val="true"/>
        </w:rPr>
        <w:footnoteReference w:id="775"/>
      </w:r>
      <w:r>
        <w:rPr>
          <w:rFonts w:ascii="IRNazanin" w:hAnsi="IRNazanin" w:eastAsia="IRNazanin"/>
          <w:color w:val="111111"/>
          <w:sz w:val="28"/>
          <w:sz w:val="28"/>
          <w:szCs w:val="28"/>
          <w:rtl w:val="true"/>
          <w:lang w:bidi="fa-IR"/>
        </w:rPr>
        <w:t>، وقد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أن الأدلة لا تشمل غير المتعارف، أول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القطاع</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وفي الدلائل تفصيل في ذلك</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bookmarkStart w:id="493" w:name="pg15710_226868"/>
    </w:p>
    <w:p>
      <w:pPr>
        <w:pStyle w:val="Heading2"/>
        <w:numPr>
          <w:ilvl w:val="1"/>
          <w:numId w:val="1"/>
        </w:numPr>
        <w:rPr/>
      </w:pPr>
      <w:bookmarkStart w:id="494" w:name="__RefHeading___Toc12184007_2142443653"/>
      <w:bookmarkStart w:id="495" w:name="_Toc184"/>
      <w:bookmarkEnd w:id="493"/>
      <w:bookmarkEnd w:id="494"/>
      <w:r>
        <w:rPr>
          <w:rtl w:val="true"/>
        </w:rPr>
        <w:t>البلوغ المتأخر في الفضاء</w:t>
      </w:r>
      <w:bookmarkEnd w:id="49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في الفضاء أو في كوكب لا تظهر علائم البلوغ إلا بعد أوانه، وكان حال الإنسان هناك حال الطفل</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الإدراك لم يكن الشخص مكلفاً قبل ذلك؛ إذ كون السادسة عشرة بلوغاً إنما يكون مع الإدراك، والمفروض أنه لا إدراك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حاله حال المجنون لا الطفل، فالطفل وليه أبواه، أما المجنون فوليه الحاكم الشرعي، على تفصيل ذكر في الفقه</w:t>
      </w:r>
      <w:r>
        <w:rPr>
          <w:rFonts w:eastAsia="Amiri" w:cs="Amiri" w:ascii="Amiri" w:hAnsi="Amiri"/>
          <w:color w:val="111111"/>
          <w:sz w:val="28"/>
          <w:szCs w:val="28"/>
          <w:rtl w:val="true"/>
          <w:lang w:bidi="ar-SA"/>
        </w:rPr>
        <w:t>.</w:t>
      </w:r>
    </w:p>
    <w:p>
      <w:pPr>
        <w:pStyle w:val="Heading2"/>
        <w:numPr>
          <w:ilvl w:val="1"/>
          <w:numId w:val="1"/>
        </w:numPr>
        <w:rPr/>
      </w:pPr>
      <w:bookmarkStart w:id="496" w:name="__RefHeading___Toc12184009_2142443653"/>
      <w:bookmarkStart w:id="497" w:name="_Toc185"/>
      <w:bookmarkEnd w:id="496"/>
      <w:r>
        <w:rPr>
          <w:rtl w:val="true"/>
        </w:rPr>
        <w:t>التسريع في إنتاج الغلات</w:t>
      </w:r>
      <w:bookmarkEnd w:id="49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إمكان تحصيل الحنطة وغيرها من الغلات الأربع في مدة قصيرة، أو في مدة طويلة، لم يفر ق الحكم في وجوب الزكاة في الوقت المقرر</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الأدلة، وقد تعارف الآن في بعض البلاد الصناعية ذلك</w:t>
      </w:r>
      <w:r>
        <w:rPr>
          <w:rFonts w:eastAsia="Amiri" w:cs="Amiri" w:ascii="Amiri" w:hAnsi="Amiri"/>
          <w:color w:val="111111"/>
          <w:sz w:val="28"/>
          <w:szCs w:val="28"/>
          <w:rtl w:val="true"/>
          <w:lang w:bidi="ar-SA"/>
        </w:rPr>
        <w:t>.</w:t>
      </w:r>
    </w:p>
    <w:p>
      <w:pPr>
        <w:pStyle w:val="Heading2"/>
        <w:numPr>
          <w:ilvl w:val="1"/>
          <w:numId w:val="1"/>
        </w:numPr>
        <w:rPr/>
      </w:pPr>
      <w:bookmarkStart w:id="498" w:name="__RefHeading___Toc12184011_2142443653"/>
      <w:bookmarkStart w:id="499" w:name="_Toc186"/>
      <w:bookmarkEnd w:id="498"/>
      <w:r>
        <w:rPr>
          <w:rtl w:val="true"/>
        </w:rPr>
        <w:t>تركيب الحنطة مع محصول آخر</w:t>
      </w:r>
      <w:bookmarkEnd w:id="49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الحنطة مع حب آخر، وخرج الحاصل، فإن كان يصدق عليه أنه حنطة وجبت فيها الزكاة، وإن لم يصدق عليه الحنطة</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تارة يكون غير مميز وأخرى مميزاً، ولعل المراد هنا الأوّل،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كصدق اسم الحنطة والشعير، وحصرمية الزبيب واصفرار التمر أو احمراره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bookmarkStart w:id="500" w:name="pg15710_226869"/>
    </w:p>
    <w:p>
      <w:pPr>
        <w:pStyle w:val="BookText"/>
        <w:rPr/>
      </w:pPr>
      <w:bookmarkEnd w:id="500"/>
      <w:r>
        <w:rPr>
          <w:rFonts w:ascii="Amiri" w:hAnsi="Amiri" w:eastAsia="Amiri" w:cs="Amiri"/>
          <w:color w:val="111111"/>
          <w:sz w:val="28"/>
          <w:sz w:val="28"/>
          <w:szCs w:val="28"/>
          <w:rtl w:val="true"/>
          <w:lang w:bidi="ar-SA"/>
        </w:rPr>
        <w:t>لم يجب، وإذا شك في الصدق وعدم الصدق فالأصل عدم الوجوب</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أصالة البراءة، لا الاستصحاب</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وذلك لأن الأثر للشاك</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لا للمشكوك</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1" w:name="__RefHeading___Toc12184013_2142443653"/>
      <w:bookmarkStart w:id="502" w:name="_Toc187"/>
      <w:bookmarkEnd w:id="501"/>
      <w:r>
        <w:rPr>
          <w:rtl w:val="true"/>
        </w:rPr>
        <w:t>عام الخمس في الكواكب</w:t>
      </w:r>
      <w:bookmarkEnd w:id="50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العام في مكان من الكواكب أو الفضاء أقل من عام الأرض أو أكثر، فهل الاعتبار بعام الخمس، أو الزكاة بعام الأرض، أو بعام نفس ذلك المكان؟ احتمالان، ولا يبعد أن يكون الاعتبار بعام ذلك المكان، إلا إذا كان طويلاً جداً، كعشر سنوات، أو قصيراً جداً كشهر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خلاف المتعارف</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لوحظ المتعارف، كما تقدم مثل ذلك</w:t>
      </w:r>
    </w:p>
    <w:p>
      <w:pPr>
        <w:pStyle w:val="BookText"/>
        <w:rPr/>
      </w:pP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الفحص على مبنى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الفحص في الشبهات الموضوعية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جريان الأصول المتوافقة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للشك</w:t>
      </w:r>
      <w:r>
        <w:rPr>
          <w:rFonts w:eastAsia="Amiri" w:cs="Amiri" w:ascii="Amiri" w:hAnsi="Amiri"/>
          <w:color w:val="111111"/>
          <w:sz w:val="28"/>
          <w:szCs w:val="28"/>
          <w:rtl w:val="true"/>
          <w:lang w:bidi="ar-SA"/>
        </w:rPr>
        <w:t>.</w:t>
      </w:r>
    </w:p>
    <w:p>
      <w:pPr>
        <w:pStyle w:val="BookText"/>
        <w:rPr/>
      </w:pP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إلى إثبات عدم الصدق تعبداً بالاستصحاب،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أول الرسائل، مباحث الظن</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اليد في الوضوء</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503" w:name="pg15710_226870"/>
    </w:p>
    <w:p>
      <w:pPr>
        <w:pStyle w:val="BookText"/>
        <w:rPr/>
      </w:pPr>
      <w:bookmarkEnd w:id="503"/>
      <w:r>
        <w:rPr>
          <w:rFonts w:ascii="Amiri" w:hAnsi="Amiri" w:eastAsia="Amiri" w:cs="Amiri"/>
          <w:color w:val="111111"/>
          <w:sz w:val="28"/>
          <w:sz w:val="28"/>
          <w:szCs w:val="28"/>
          <w:rtl w:val="true"/>
          <w:lang w:bidi="ar-SA"/>
        </w:rPr>
        <w:t>في بعض المسائل السابقة؛ لأن النص والفتوى دل على الأخذ بالمتعارف</w:t>
      </w:r>
      <w:r>
        <w:rPr>
          <w:rFonts w:eastAsia="Amiri" w:cs="Amiri" w:ascii="Amiri" w:hAnsi="Amiri"/>
          <w:color w:val="111111"/>
          <w:sz w:val="28"/>
          <w:szCs w:val="28"/>
          <w:rtl w:val="true"/>
          <w:lang w:bidi="ar-SA"/>
        </w:rPr>
        <w:t>.</w:t>
      </w:r>
    </w:p>
    <w:p>
      <w:pPr>
        <w:pStyle w:val="Heading2"/>
        <w:numPr>
          <w:ilvl w:val="1"/>
          <w:numId w:val="1"/>
        </w:numPr>
        <w:rPr/>
      </w:pPr>
      <w:bookmarkStart w:id="504" w:name="__RefHeading___Toc12184015_2142443653"/>
      <w:bookmarkStart w:id="505" w:name="_Toc188"/>
      <w:bookmarkEnd w:id="504"/>
      <w:r>
        <w:rPr>
          <w:rtl w:val="true"/>
        </w:rPr>
        <w:t>لو تبدلت أيام الأرض</w:t>
      </w:r>
      <w:bookmarkEnd w:id="50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تبدل لحادث كوني أيام الأرض أو شهورها أو أعوامها، بأن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ساعة أو مائة ساعة، أو صار الشهر خمسين يوماً أو عشرة أيام، أو صارت السنة ألف يوم أو مائة يوم، فهل الاعتبار في كافة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كأيام العدة وأوقات الصلاة وشهر الصيام ويومه وسنة الزكاة والخمس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الأوقات الجديدة، أو بمقدارها من الأوقات القديمة، أو بالأوقات الجديدة إن كان الاختلاف قليلاً</w:t>
      </w:r>
      <w:r>
        <w:rPr>
          <w:rStyle w:val="FootnoteAnchor"/>
          <w:rtl w:val="true"/>
        </w:rPr>
        <w:footnoteReference w:id="78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هذا الكتاب</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 غير المتعارض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القطاع</w:t>
      </w:r>
      <w:r>
        <w:rPr>
          <w:rFonts w:eastAsia="Amiri" w:cs="Amiri" w:ascii="Amiri" w:hAnsi="Amiri"/>
          <w:color w:val="111111"/>
          <w:sz w:val="28"/>
          <w:szCs w:val="28"/>
          <w:rtl w:val="true"/>
          <w:lang w:bidi="ar-SA"/>
        </w:rPr>
        <w:t>)</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ينصرف عنه الدليل عرفاً، وإلا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بعالمٍ، فهو يشمل العالم القصير جداً، غير المتعارف، وراجع المسائل اللاحقة</w:t>
      </w:r>
      <w:r>
        <w:rPr>
          <w:rStyle w:val="FootnoteAnchor"/>
          <w:rtl w:val="true"/>
        </w:rPr>
        <w:footnoteReference w:id="792"/>
      </w:r>
      <w:r>
        <w:rPr>
          <w:rFonts w:ascii="Amiri" w:hAnsi="Amiri" w:eastAsia="Amiri" w:cs="Amiri"/>
          <w:color w:val="111111"/>
          <w:sz w:val="28"/>
          <w:sz w:val="28"/>
          <w:szCs w:val="28"/>
          <w:rtl w:val="true"/>
          <w:lang w:bidi="ar-SA"/>
        </w:rPr>
        <w:t>، وراجع كتاب الصوم في بحث الآفاق الرحوية</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 متعارفاً، كما سيأتي في الشرح</w:t>
      </w:r>
      <w:r>
        <w:rPr>
          <w:rFonts w:eastAsia="Amiri" w:cs="Amiri" w:ascii="Amiri" w:hAnsi="Amiri"/>
          <w:color w:val="111111"/>
          <w:sz w:val="28"/>
          <w:szCs w:val="28"/>
          <w:rtl w:val="true"/>
          <w:lang w:bidi="ar-SA"/>
        </w:rPr>
        <w:t xml:space="preserve">. </w:t>
      </w:r>
      <w:bookmarkStart w:id="506" w:name="pg15710_226871"/>
    </w:p>
    <w:p>
      <w:pPr>
        <w:pStyle w:val="BookText"/>
        <w:rPr/>
      </w:pPr>
      <w:bookmarkEnd w:id="506"/>
      <w:r>
        <w:rPr>
          <w:rFonts w:ascii="Amiri" w:hAnsi="Amiri" w:eastAsia="Amiri" w:cs="Amiri"/>
          <w:color w:val="111111"/>
          <w:sz w:val="28"/>
          <w:sz w:val="28"/>
          <w:szCs w:val="28"/>
          <w:rtl w:val="true"/>
          <w:lang w:bidi="ar-SA"/>
        </w:rPr>
        <w:t>والأوقات القديمة إن كان الاختلاف كثيراً، أو يختلف</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بالنسبة إلى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موضوع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كعام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تفصيلات أُخر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الحمل على المتعارف في كثير التفاوت دون قليله، إلا إذا علم</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استثناء في بعض الموارد</w:t>
      </w:r>
      <w:r>
        <w:rPr>
          <w:rFonts w:eastAsia="Amiri" w:cs="Amiri" w:ascii="Amiri" w:hAnsi="Amiri"/>
          <w:color w:val="111111"/>
          <w:sz w:val="28"/>
          <w:szCs w:val="28"/>
          <w:rtl w:val="true"/>
          <w:lang w:bidi="ar-SA"/>
        </w:rPr>
        <w:t>.</w:t>
      </w:r>
    </w:p>
    <w:p>
      <w:pPr>
        <w:pStyle w:val="Heading2"/>
        <w:numPr>
          <w:ilvl w:val="1"/>
          <w:numId w:val="1"/>
        </w:numPr>
        <w:rPr/>
      </w:pPr>
      <w:bookmarkStart w:id="507" w:name="__RefHeading___Toc12184017_2142443653"/>
      <w:bookmarkStart w:id="508" w:name="_Toc189"/>
      <w:bookmarkEnd w:id="507"/>
      <w:r>
        <w:rPr>
          <w:rtl w:val="true"/>
        </w:rPr>
        <w:t>لو لم تطلع الشمس أُسبوعاً</w:t>
      </w:r>
      <w:bookmarkEnd w:id="50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تطلع الشمس أُسبوعاً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لحادث كوني، فهل اليوم الذي تطلع فيه هو اليوم المباشر، أو اليوم التاسع فيما إذا غابت الشمس ليلة الجمعة، ولم تطلع إلا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فهل حينما تطلع يكون يوم الجمعة، أو يوم السبت للأُسبوع الثاني؟ احتمالان، وربما يحتمل الفرق بين أن تكون المدة قليلة كتأخر ساعة، أو كثيرة كتأخر 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الأقرب لما تقدم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9" w:name="__RefHeading___Toc12184019_2142443653"/>
      <w:bookmarkStart w:id="510" w:name="_Toc190"/>
      <w:bookmarkEnd w:id="509"/>
      <w:r>
        <w:rPr>
          <w:rtl w:val="true"/>
        </w:rPr>
        <w:t>لو لم تغرب الشمس أُسبوعاُ</w:t>
      </w:r>
      <w:bookmarkEnd w:id="51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المسألة السابقة يأتي أيضاً فيما إذا لم تغب</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وجه له إلاّ الاحتياط،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مثال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bookmarkStart w:id="511" w:name="pg15710_226872"/>
    </w:p>
    <w:p>
      <w:pPr>
        <w:pStyle w:val="BookText"/>
        <w:rPr/>
      </w:pPr>
      <w:bookmarkEnd w:id="511"/>
      <w:r>
        <w:rPr>
          <w:rFonts w:ascii="Amiri" w:hAnsi="Amiri" w:eastAsia="Amiri" w:cs="Amiri"/>
          <w:color w:val="111111"/>
          <w:sz w:val="28"/>
          <w:sz w:val="28"/>
          <w:szCs w:val="28"/>
          <w:rtl w:val="true"/>
          <w:lang w:bidi="ar-SA"/>
        </w:rPr>
        <w:t>الشمس مدة أُسبوع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لوحدة الدليل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في المسألتين</w:t>
      </w:r>
      <w:r>
        <w:rPr>
          <w:rFonts w:eastAsia="Amiri" w:cs="Amiri" w:ascii="Amiri" w:hAnsi="Amiri"/>
          <w:color w:val="111111"/>
          <w:sz w:val="28"/>
          <w:szCs w:val="28"/>
          <w:rtl w:val="true"/>
          <w:lang w:bidi="ar-SA"/>
        </w:rPr>
        <w:t>.</w:t>
      </w:r>
    </w:p>
    <w:p>
      <w:pPr>
        <w:pStyle w:val="Heading2"/>
        <w:numPr>
          <w:ilvl w:val="1"/>
          <w:numId w:val="1"/>
        </w:numPr>
        <w:rPr/>
      </w:pPr>
      <w:bookmarkStart w:id="512" w:name="__RefHeading___Toc12184021_2142443653"/>
      <w:bookmarkStart w:id="513" w:name="_Toc191"/>
      <w:bookmarkEnd w:id="512"/>
      <w:r>
        <w:rPr>
          <w:rtl w:val="true"/>
        </w:rPr>
        <w:t>ظهور شمس جديدة</w:t>
      </w:r>
      <w:bookmarkEnd w:id="51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ظهرت شمس جديدة للأرض، بسبب حادث كوني، فهل الاعتبار بهذه الشمس القديمة أو بالشمس الجديدة أو بهما، أو احتمالات أُخر؟ المسألة محل إشكال</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والاستصحاب</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يقتضي الاعتبار بالشمس القديمة، فتأمل</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4" w:name="__RefHeading___Toc12184023_2142443653"/>
      <w:bookmarkStart w:id="515" w:name="_Toc192"/>
      <w:bookmarkEnd w:id="514"/>
      <w:r>
        <w:rPr>
          <w:rtl w:val="true"/>
        </w:rPr>
        <w:t>ضمان صاحب المرض المعدي</w:t>
      </w:r>
      <w:bookmarkEnd w:id="51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798"/>
      </w:r>
      <w:r>
        <w:rPr>
          <w:rFonts w:ascii="Amiri" w:hAnsi="Amiri" w:eastAsia="Amiri" w:cs="Amiri"/>
          <w:color w:val="111111"/>
          <w:sz w:val="28"/>
          <w:sz w:val="28"/>
          <w:szCs w:val="28"/>
          <w:rtl w:val="true"/>
          <w:lang w:bidi="ar-SA"/>
        </w:rPr>
        <w:t xml:space="preserve"> للإنسان الذي له مرض معدي أن يرتاد الاجتماعات، ويباشر الموارد العامة الموجبة للعدوى، ولو فعل وتلف بسببه</w:t>
      </w:r>
    </w:p>
    <w:p>
      <w:pPr>
        <w:pStyle w:val="BookText"/>
        <w:rPr/>
      </w:pP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الانصراف وعدمه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في القضايا أن تكون حقيقية لا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انصراف الدليل إلى الشمس الخارجية،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لتبدل الموضوع أو احتمال التبدل،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بجريان السيرة على الارتياد في بعض الأمراض، كالمصاب بالزكام مثلاً، ولو كان ذلك ممنوعاً منه لبان لكثرة الابتلاء بذلك، فلزم تحفظ </w:t>
      </w:r>
      <w:bookmarkStart w:id="516" w:name="pg15710_226873"/>
    </w:p>
    <w:p>
      <w:pPr>
        <w:pStyle w:val="BookText"/>
        <w:rPr/>
      </w:pPr>
      <w:bookmarkEnd w:id="516"/>
      <w:r>
        <w:rPr>
          <w:rFonts w:ascii="Amiri" w:hAnsi="Amiri" w:eastAsia="Amiri" w:cs="Amiri"/>
          <w:color w:val="111111"/>
          <w:sz w:val="28"/>
          <w:sz w:val="28"/>
          <w:szCs w:val="28"/>
          <w:rtl w:val="true"/>
          <w:lang w:bidi="ar-SA"/>
        </w:rPr>
        <w:t>شخص كان ضامناً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إذا أضر بشخص،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ولا ضرار</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7" w:name="__RefHeading___Toc12184025_2142443653"/>
      <w:bookmarkStart w:id="518" w:name="_Toc193"/>
      <w:bookmarkEnd w:id="517"/>
      <w:r>
        <w:rPr>
          <w:rtl w:val="true"/>
        </w:rPr>
        <w:t>نوادي العراة والشذوذ الجنسي</w:t>
      </w:r>
      <w:bookmarkEnd w:id="51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فتح المواخير</w:t>
      </w:r>
      <w:r>
        <w:rPr>
          <w:rStyle w:val="FootnoteAnchor"/>
          <w:rtl w:val="true"/>
        </w:rPr>
        <w:footnoteReference w:id="803"/>
      </w:r>
      <w:r>
        <w:rPr>
          <w:rFonts w:ascii="Amiri" w:hAnsi="Amiri" w:eastAsia="Amiri" w:cs="Amiri"/>
          <w:color w:val="111111"/>
          <w:sz w:val="28"/>
          <w:sz w:val="28"/>
          <w:szCs w:val="28"/>
          <w:rtl w:val="true"/>
          <w:lang w:bidi="ar-SA"/>
        </w:rPr>
        <w:t>ونوادي العراة ومحلات الشذوذ الجنسي إلى غيرها من الأمور التي حرمها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بديهي</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وإنما الكلام في أنه هل يجوز أن يفعل ذلك لمن دينهم الجواز لقاعدة الإلزام، أو لا يجوز؛ لأن إطلاق دليل الإلزام منصرف</w:t>
      </w:r>
    </w:p>
    <w:p>
      <w:pPr>
        <w:pStyle w:val="BookText"/>
        <w:rPr/>
      </w:pPr>
      <w:r>
        <w:rPr>
          <w:rFonts w:ascii="Amiri" w:hAnsi="Amiri" w:eastAsia="Amiri" w:cs="Amiri"/>
          <w:color w:val="111111"/>
          <w:sz w:val="28"/>
          <w:sz w:val="28"/>
          <w:szCs w:val="28"/>
          <w:rtl w:val="true"/>
          <w:lang w:bidi="ar-SA"/>
        </w:rPr>
        <w:t xml:space="preserve">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 المتشرعة، والردع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الأمراض الخطيرة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في المتن، بل في مطلق ما لم تجرِ عليه السيرة</w:t>
      </w:r>
      <w:r>
        <w:rPr>
          <w:rFonts w:eastAsia="Amiri" w:cs="Amiri" w:ascii="Amiri" w:hAnsi="Amiri"/>
          <w:color w:val="111111"/>
          <w:sz w:val="28"/>
          <w:szCs w:val="28"/>
          <w:rtl w:val="true"/>
          <w:lang w:bidi="ar-SA"/>
        </w:rPr>
        <w:t>.</w:t>
      </w:r>
    </w:p>
    <w:p>
      <w:pPr>
        <w:pStyle w:val="BookText"/>
        <w:rPr/>
      </w:pP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يفيد التكليف والوضع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ضرر يثبت الحكم أيضاً، وأنَّه نفي أو نهي</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دليل الإيذاء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والمحرّمات</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إفساد وإعانة على الإثم ومعاونة عليه، وخلاف الردع عن المنكر، وخلاف ارتكاز المتشرعة</w:t>
      </w:r>
      <w:r>
        <w:rPr>
          <w:rFonts w:eastAsia="Amiri" w:cs="Amiri" w:ascii="Amiri" w:hAnsi="Amiri"/>
          <w:color w:val="111111"/>
          <w:sz w:val="28"/>
          <w:szCs w:val="28"/>
          <w:rtl w:val="true"/>
          <w:lang w:bidi="ar-SA"/>
        </w:rPr>
        <w:t xml:space="preserve">. </w:t>
      </w:r>
      <w:bookmarkStart w:id="519" w:name="pg15710_226874"/>
    </w:p>
    <w:p>
      <w:pPr>
        <w:pStyle w:val="BookText"/>
        <w:rPr/>
      </w:pPr>
      <w:bookmarkEnd w:id="519"/>
      <w:r>
        <w:rPr>
          <w:rFonts w:ascii="Amiri" w:hAnsi="Amiri" w:eastAsia="Amiri" w:cs="Amiri"/>
          <w:color w:val="111111"/>
          <w:sz w:val="28"/>
          <w:sz w:val="28"/>
          <w:szCs w:val="28"/>
          <w:rtl w:val="true"/>
          <w:lang w:bidi="ar-SA"/>
        </w:rPr>
        <w:t>عن مثل ذلك؟ احتمالان</w:t>
      </w:r>
      <w:r>
        <w:rPr>
          <w:rStyle w:val="FootnoteAnchor"/>
          <w:rtl w:val="true"/>
        </w:rPr>
        <w:footnoteReference w:id="809"/>
      </w:r>
      <w:r>
        <w:rPr>
          <w:rFonts w:ascii="Amiri" w:hAnsi="Amiri" w:eastAsia="Amiri" w:cs="Amiri"/>
          <w:color w:val="111111"/>
          <w:sz w:val="28"/>
          <w:sz w:val="28"/>
          <w:szCs w:val="28"/>
          <w:rtl w:val="true"/>
          <w:lang w:bidi="ar-SA"/>
        </w:rPr>
        <w:t>، والاحتياط طريق النجاة</w:t>
      </w:r>
      <w:r>
        <w:rPr>
          <w:rFonts w:eastAsia="Amiri" w:cs="Amiri" w:ascii="Amiri" w:hAnsi="Amiri"/>
          <w:color w:val="111111"/>
          <w:sz w:val="28"/>
          <w:szCs w:val="28"/>
          <w:rtl w:val="true"/>
          <w:lang w:bidi="ar-SA"/>
        </w:rPr>
        <w:t>.</w:t>
      </w:r>
    </w:p>
    <w:p>
      <w:pPr>
        <w:pStyle w:val="Heading2"/>
        <w:numPr>
          <w:ilvl w:val="1"/>
          <w:numId w:val="1"/>
        </w:numPr>
        <w:rPr/>
      </w:pPr>
      <w:bookmarkStart w:id="520" w:name="__RefHeading___Toc12184027_2142443653"/>
      <w:bookmarkStart w:id="521" w:name="_Toc194"/>
      <w:bookmarkEnd w:id="520"/>
      <w:r>
        <w:rPr>
          <w:rtl w:val="true"/>
        </w:rPr>
        <w:t>أُجور المومسات</w:t>
      </w:r>
      <w:bookmarkEnd w:id="52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الأُجرة التي تأخذها المومسة والمفعول به وصاحب نادي</w:t>
      </w:r>
      <w:r>
        <w:rPr>
          <w:rStyle w:val="FootnoteAnchor"/>
          <w:rtl w:val="true"/>
        </w:rPr>
        <w:footnoteReference w:id="810"/>
      </w:r>
      <w:r>
        <w:rPr>
          <w:rFonts w:ascii="Amiri" w:hAnsi="Amiri" w:eastAsia="Amiri" w:cs="Amiri"/>
          <w:color w:val="111111"/>
          <w:sz w:val="28"/>
          <w:sz w:val="28"/>
          <w:szCs w:val="28"/>
          <w:rtl w:val="true"/>
          <w:lang w:bidi="ar-SA"/>
        </w:rPr>
        <w:t xml:space="preserve"> العراة حرام، ويجب أن يرجعها</w:t>
      </w:r>
      <w:r>
        <w:rPr>
          <w:rStyle w:val="FootnoteAnchor"/>
          <w:rtl w:val="true"/>
        </w:rPr>
        <w:footnoteReference w:id="811"/>
      </w:r>
      <w:r>
        <w:rPr>
          <w:rFonts w:ascii="Amiri" w:hAnsi="Amiri" w:eastAsia="Amiri" w:cs="Amiri"/>
          <w:color w:val="111111"/>
          <w:sz w:val="28"/>
          <w:sz w:val="28"/>
          <w:szCs w:val="28"/>
          <w:rtl w:val="true"/>
          <w:lang w:bidi="ar-SA"/>
        </w:rPr>
        <w:t xml:space="preserve"> إلى أهلها، فإن لم يعرف</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احتسبت رد المظالم، وصرفت في الفقراء بإذن</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من المنكرات في أذهان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في الأجرة، فما يأخذه بإزاء الحرام حرام، وما يأخذه لمجرد الكون في المحل حلال،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لا ينفع؛ لأنه رضا في ضمن عقد باطل، راجع المسألة في المكاسب</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تفصيلاً ولا إجمالاً منجزاً للتكليف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مطلقاً على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سائر القيود المذكورة كأن يدفعها عن صاحبها، راجع كتاب الخمس في بحث المال الحلال المختلط بالحرام</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bookmarkStart w:id="522" w:name="pg15710_226875"/>
    </w:p>
    <w:p>
      <w:pPr>
        <w:pStyle w:val="BookText"/>
        <w:rPr/>
      </w:pPr>
      <w:bookmarkEnd w:id="52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وذلك لأن حالها حال كل مال حرام لا يعرف صاحبه،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حرم اللّه شيئاً حرم ثمنه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3" w:name="__RefHeading___Toc12184029_2142443653"/>
      <w:bookmarkStart w:id="524" w:name="_Toc195"/>
      <w:bookmarkEnd w:id="523"/>
      <w:r>
        <w:rPr>
          <w:rtl w:val="true"/>
        </w:rPr>
        <w:t>الارتباط بأرواح المعذبين</w:t>
      </w:r>
      <w:bookmarkEnd w:id="52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الأموات المعذبون لكفرهم أو عصيانهم يمكن</w:t>
      </w:r>
      <w:r>
        <w:rPr>
          <w:rStyle w:val="FootnoteAnchor"/>
          <w:rtl w:val="true"/>
        </w:rPr>
        <w:footnoteReference w:id="817"/>
      </w:r>
      <w:r>
        <w:rPr>
          <w:rFonts w:ascii="Amiri" w:hAnsi="Amiri" w:eastAsia="Amiri" w:cs="Amiri"/>
          <w:color w:val="111111"/>
          <w:sz w:val="28"/>
          <w:sz w:val="28"/>
          <w:szCs w:val="28"/>
          <w:rtl w:val="true"/>
          <w:lang w:bidi="ar-SA"/>
        </w:rPr>
        <w:t xml:space="preserve"> الارتباط بأرواحهم والتكلم معهم، فإنّ حالهم حال المريض</w:t>
      </w:r>
      <w:r>
        <w:rPr>
          <w:rStyle w:val="FootnoteAnchor"/>
          <w:rtl w:val="true"/>
        </w:rPr>
        <w:footnoteReference w:id="818"/>
      </w:r>
      <w:r>
        <w:rPr>
          <w:rFonts w:ascii="Amiri" w:hAnsi="Amiri" w:eastAsia="Amiri" w:cs="Amiri"/>
          <w:color w:val="111111"/>
          <w:sz w:val="28"/>
          <w:sz w:val="28"/>
          <w:szCs w:val="28"/>
          <w:rtl w:val="true"/>
          <w:lang w:bidi="ar-SA"/>
        </w:rPr>
        <w:t xml:space="preserve"> الذي يتكلم معه،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الارتباط بهم إذا كانوا في العذاب؟ وفي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أكلٌ للمال بالباطل،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إمكاناً عقلياً، أما الإمكان الوقوعي فهو منوط بمعادلات غيبية عنّا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تكلم أهل جهنم بعضهم مع بعض، وكذا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يحشرون على أرض كالخبز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أشغلهم عن الأكل؟</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الأحاديث ما يؤيد</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جاء في بعض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المعذب تكلم مع الحي بإرشاد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يجوز الارتباط بأرواح المعذبين؟ لا يبعد ذلك إلا إذا كان محذور</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خارجي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درجان</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كالضرر الكبير أو خوفه</w:t>
      </w:r>
      <w:r>
        <w:rPr>
          <w:rFonts w:eastAsia="Amiri" w:cs="Amiri" w:ascii="Amiri" w:hAnsi="Amiri"/>
          <w:color w:val="111111"/>
          <w:sz w:val="28"/>
          <w:szCs w:val="28"/>
          <w:rtl w:val="true"/>
          <w:lang w:bidi="ar-SA"/>
        </w:rPr>
        <w:t xml:space="preserve">. </w:t>
      </w:r>
      <w:bookmarkStart w:id="525" w:name="pg15710_226877"/>
    </w:p>
    <w:p>
      <w:pPr>
        <w:pStyle w:val="Heading2"/>
        <w:numPr>
          <w:ilvl w:val="1"/>
          <w:numId w:val="1"/>
        </w:numPr>
        <w:rPr/>
      </w:pPr>
      <w:bookmarkStart w:id="526" w:name="__RefHeading___Toc12184031_2142443653"/>
      <w:bookmarkStart w:id="527" w:name="_Toc196"/>
      <w:bookmarkEnd w:id="525"/>
      <w:bookmarkEnd w:id="526"/>
      <w:r>
        <w:rPr>
          <w:rtl w:val="true"/>
        </w:rPr>
        <w:t>المواد التي تلصق بالجسم</w:t>
      </w:r>
      <w:bookmarkEnd w:id="52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بعمل الأصباغ وما أشبه من المواد التي تلصق بالجسم ولا تزول إلا بمرور الزمن جائز، وفي أوقات الوضوء والغسل إن لم يتمكن</w:t>
      </w:r>
      <w:r>
        <w:rPr>
          <w:rStyle w:val="FootnoteAnchor"/>
          <w:rtl w:val="true"/>
        </w:rPr>
        <w:footnoteReference w:id="824"/>
      </w:r>
      <w:r>
        <w:rPr>
          <w:rFonts w:ascii="Amiri" w:hAnsi="Amiri" w:eastAsia="Amiri" w:cs="Amiri"/>
          <w:color w:val="111111"/>
          <w:sz w:val="28"/>
          <w:sz w:val="28"/>
          <w:szCs w:val="28"/>
          <w:rtl w:val="true"/>
          <w:lang w:bidi="ar-SA"/>
        </w:rPr>
        <w:t xml:space="preserve"> الإنسان من إزالتها تطهّر تطهر الجبيرة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هو المتعارف بالنسبة إلى القيار والبناء والصباغ وما أشبه ذلك منذ قديم الزمان، ولو كان اللازم الاجتناب لزم التنبيه عليه في الروايات، وحيث لا تنبيه فلا إشكال، فإن عدم الدليل في أمثال المقام دليل العدم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عسر عليه ذلك، أو كان فيه ضرر أو حرج أو عسر، راجع الفرق بينها في القواعد الفقهية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والردع العام بلزوم الوصول لم يكفِ، وإلا لالتزم به المتدينون، راجع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الآيات الناهية عن العمل بالظن عن الظواهر</w:t>
      </w:r>
      <w:r>
        <w:rPr>
          <w:rStyle w:val="FootnoteAnchor"/>
          <w:rtl w:val="true"/>
        </w:rPr>
        <w:footnoteReference w:id="828"/>
      </w:r>
      <w:r>
        <w:rPr>
          <w:rFonts w:ascii="IRNazanin" w:hAnsi="IRNazanin" w:eastAsia="IRNazanin"/>
          <w:color w:val="111111"/>
          <w:sz w:val="28"/>
          <w:sz w:val="28"/>
          <w:szCs w:val="28"/>
          <w:rtl w:val="true"/>
          <w:lang w:bidi="fa-IR"/>
        </w:rPr>
        <w:t>، أو خبر الواحد</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الردع العام لا يكفي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والخاص لو كان لوصل إلينا، ولكثرت حوله الأسئلة، ولزم تجنب المتدينين عنه، أو تحفظهم شديداً حتى لا يصل إلى بدنهم، وهو غير ممكن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روايات الجبيرة</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لزوم العسر والحرج من عدم العمل بذلك، وإن كان يورد عليه بأن الحرج شخصي لا نوعي</w:t>
      </w:r>
      <w:r>
        <w:rPr>
          <w:rFonts w:eastAsia="Amiri" w:cs="Amiri" w:ascii="Amiri" w:hAnsi="Amiri"/>
          <w:color w:val="111111"/>
          <w:sz w:val="28"/>
          <w:szCs w:val="28"/>
          <w:rtl w:val="true"/>
          <w:lang w:bidi="ar-SA"/>
        </w:rPr>
        <w:t xml:space="preserve">. </w:t>
      </w:r>
      <w:bookmarkStart w:id="528" w:name="pg15710_226878"/>
    </w:p>
    <w:p>
      <w:pPr>
        <w:pStyle w:val="Heading2"/>
        <w:numPr>
          <w:ilvl w:val="1"/>
          <w:numId w:val="1"/>
        </w:numPr>
        <w:rPr/>
      </w:pPr>
      <w:bookmarkStart w:id="529" w:name="__RefHeading___Toc12184033_2142443653"/>
      <w:bookmarkStart w:id="530" w:name="_Toc197"/>
      <w:bookmarkEnd w:id="528"/>
      <w:bookmarkEnd w:id="529"/>
      <w:r>
        <w:rPr>
          <w:rtl w:val="true"/>
        </w:rPr>
        <w:t>شهادة الزور</w:t>
      </w:r>
      <w:bookmarkEnd w:id="53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شهادة الزور، ولا يجوز أخذ الثمن</w:t>
      </w:r>
      <w:r>
        <w:rPr>
          <w:rStyle w:val="FootnoteAnchor"/>
          <w:rtl w:val="true"/>
        </w:rPr>
        <w:footnoteReference w:id="832"/>
      </w:r>
      <w:r>
        <w:rPr>
          <w:rFonts w:ascii="Amiri" w:hAnsi="Amiri" w:eastAsia="Amiri" w:cs="Amiri"/>
          <w:color w:val="111111"/>
          <w:sz w:val="28"/>
          <w:sz w:val="28"/>
          <w:szCs w:val="28"/>
          <w:rtl w:val="true"/>
          <w:lang w:bidi="ar-SA"/>
        </w:rPr>
        <w:t xml:space="preserve"> لذلك، فما يعتاد في بعض محاكم اليوم من وجود من يشهد بالمال باطل في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المستشهد الذي يكون له الحق واقعاً إذا لم يجد علاجاً إلا بإشهاد هؤلاء وإعطائهم الأُجرة فإن عمله حلال</w:t>
      </w:r>
      <w:r>
        <w:rPr>
          <w:rStyle w:val="FootnoteAnchor"/>
          <w:rtl w:val="true"/>
        </w:rPr>
        <w:footnoteReference w:id="833"/>
      </w:r>
      <w:r>
        <w:rPr>
          <w:rFonts w:ascii="Amiri" w:hAnsi="Amiri" w:eastAsia="Amiri" w:cs="Amiri"/>
          <w:color w:val="111111"/>
          <w:sz w:val="28"/>
          <w:sz w:val="28"/>
          <w:szCs w:val="28"/>
          <w:rtl w:val="true"/>
          <w:lang w:bidi="ar-SA"/>
        </w:rPr>
        <w:t>، كما أنه ليس معاقباً لإعطائه الأجر، إذا توقف إنقاذ الحق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في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المحكمة باطل لما دل على حرمة الرجوع إلى محاكم الظالمين إلا للمضطر، وشهادة الزور فيها باطل آخر؛ لما دل على حرمة شهادة الزور، والمستثنى لما ذكرناه في كتابي التقليد والقضاء من الفقه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1" w:name="__RefHeading___Toc12184035_2142443653"/>
      <w:bookmarkStart w:id="532" w:name="_Toc198"/>
      <w:bookmarkEnd w:id="531"/>
      <w:r>
        <w:rPr>
          <w:rtl w:val="true"/>
        </w:rPr>
        <w:t>البشرية والنضج الإسلامي</w:t>
      </w:r>
      <w:bookmarkEnd w:id="53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الواقع المؤسف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نرى العالم لم يصل بعد إلى مغزى</w:t>
      </w:r>
      <w:r>
        <w:rPr>
          <w:rStyle w:val="FootnoteAnchor"/>
          <w:rtl w:val="true"/>
        </w:rPr>
        <w:footnoteReference w:id="834"/>
      </w:r>
      <w:r>
        <w:rPr>
          <w:rFonts w:ascii="Amiri" w:hAnsi="Amiri" w:eastAsia="Amiri" w:cs="Amiri"/>
          <w:color w:val="111111"/>
          <w:sz w:val="28"/>
          <w:sz w:val="28"/>
          <w:szCs w:val="28"/>
          <w:rtl w:val="true"/>
          <w:lang w:bidi="ar-SA"/>
        </w:rPr>
        <w:t xml:space="preserve"> النضج الإسلامي، فمثل العالم في الوقت الحاضر والإسلام مثل الطفل الذي يتلمذ في الصف الثالث الابتدائي، حيث إن مداركه لم تصل</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أكل للمال بالباطل، وللروايات الخاصة ظاهراً</w:t>
      </w:r>
      <w:r>
        <w:rPr>
          <w:rFonts w:eastAsia="Amiri" w:cs="Amiri" w:ascii="Amiri" w:hAnsi="Amiri"/>
          <w:color w:val="111111"/>
          <w:sz w:val="28"/>
          <w:szCs w:val="28"/>
          <w:rtl w:val="true"/>
          <w:lang w:bidi="ar-SA"/>
        </w:rPr>
        <w:t>.</w:t>
      </w:r>
    </w:p>
    <w:p>
      <w:pPr>
        <w:pStyle w:val="BookText"/>
        <w:rPr/>
      </w:pP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ولو كان المال</w:t>
      </w:r>
      <w:r>
        <w:rPr>
          <w:rStyle w:val="FootnoteAnchor"/>
          <w:rtl w:val="true"/>
        </w:rPr>
        <w:footnoteReference w:id="837"/>
      </w:r>
      <w:r>
        <w:rPr>
          <w:rFonts w:ascii="Amiri" w:hAnsi="Amiri" w:eastAsia="Amiri" w:cs="Amiri"/>
          <w:color w:val="111111"/>
          <w:sz w:val="28"/>
          <w:sz w:val="28"/>
          <w:szCs w:val="28"/>
          <w:rtl w:val="true"/>
          <w:lang w:bidi="ar-SA"/>
        </w:rPr>
        <w:t>قليلاً، أو تلاحظ قوانين التزاحم والأهم والمهم؟</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فلسفتها أولاً، ثم السعادة التي تنتظرهم إذا عملوا بها 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استيعاب دروس الهندسة التي تدرس في الكليات، وفي أي يوم توصل العالم إلى هذا المغزى أدرك مدى السعادة، التي يمكنه تحصيلها بسبب الإسلام، وإنما ذكرنا هذا كمقدمة لوجوب تبليغ رجال الدين إلى العالم مغزى الأحكام الإسلامية والسعادة التي تكون بانتظارهم إذا عملوا بهذه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تبليغ الإسلام إلى العالم واجبة بالأدلة الأربعة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والمسلمون انحرفوا عن هذا الأمر إلا قليلاً منهم، وذلك يكون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تطبيق</w:t>
      </w:r>
      <w:r>
        <w:rPr>
          <w:rStyle w:val="FootnoteAnchor"/>
          <w:rtl w:val="true"/>
        </w:rPr>
        <w:footnoteReference w:id="839"/>
      </w:r>
      <w:r>
        <w:rPr>
          <w:rFonts w:ascii="Amiri" w:hAnsi="Amiri" w:eastAsia="Amiri" w:cs="Amiri"/>
          <w:color w:val="111111"/>
          <w:sz w:val="28"/>
          <w:sz w:val="28"/>
          <w:szCs w:val="28"/>
          <w:rtl w:val="true"/>
          <w:lang w:bidi="ar-SA"/>
        </w:rPr>
        <w:t xml:space="preserve"> الإسلام في بلاد المسلمين تطبيقاً كتطبيق الرسول ووصيه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إلى الأُمة الواحدة، والبلد</w:t>
      </w:r>
    </w:p>
    <w:p>
      <w:pPr>
        <w:pStyle w:val="BookText"/>
        <w:rPr/>
      </w:pP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العقل يراجع بشأنه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العقائد</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وقد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أعمى وأمامه بئر ولم تساعده فقد أذنبت</w:t>
      </w:r>
      <w:r>
        <w:rPr>
          <w:rFonts w:eastAsia="Amiri" w:cs="Amiri" w:ascii="Amiri" w:hAnsi="Amiri"/>
          <w:color w:val="111111"/>
          <w:sz w:val="28"/>
          <w:szCs w:val="28"/>
          <w:rtl w:val="true"/>
          <w:lang w:bidi="ar-SA"/>
        </w:rPr>
        <w:t>»</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بحث قاعدة اللطف</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يكون نموذجاً، فإن الواقع الخارجي يحرك أكثر مما تحرك الأفكار المجردة</w:t>
      </w:r>
      <w:r>
        <w:rPr>
          <w:rFonts w:eastAsia="Amiri" w:cs="Amiri" w:ascii="Amiri" w:hAnsi="Amiri"/>
          <w:color w:val="111111"/>
          <w:sz w:val="28"/>
          <w:szCs w:val="28"/>
          <w:rtl w:val="true"/>
          <w:lang w:bidi="ar-SA"/>
        </w:rPr>
        <w:t xml:space="preserve">. </w:t>
      </w:r>
      <w:bookmarkStart w:id="533" w:name="pg15710_226880"/>
    </w:p>
    <w:p>
      <w:pPr>
        <w:pStyle w:val="BookText"/>
        <w:rPr/>
      </w:pPr>
      <w:bookmarkEnd w:id="533"/>
      <w:r>
        <w:rPr>
          <w:rFonts w:ascii="Amiri" w:hAnsi="Amiri" w:eastAsia="Amiri" w:cs="Amiri"/>
          <w:color w:val="111111"/>
          <w:sz w:val="28"/>
          <w:sz w:val="28"/>
          <w:szCs w:val="28"/>
          <w:rtl w:val="true"/>
          <w:lang w:bidi="ar-SA"/>
        </w:rPr>
        <w:t>الواحد، والحريات الإسلامية، والأُخوة الدينية</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غير المسلمين إلى الإسلام</w:t>
      </w:r>
      <w:r>
        <w:rPr>
          <w:rFonts w:eastAsia="Amiri" w:cs="Amiri" w:ascii="Amiri" w:hAnsi="Amiri"/>
          <w:color w:val="111111"/>
          <w:sz w:val="28"/>
          <w:szCs w:val="28"/>
          <w:rtl w:val="true"/>
          <w:lang w:bidi="ar-SA"/>
        </w:rPr>
        <w:t>.</w:t>
      </w:r>
    </w:p>
    <w:p>
      <w:pPr>
        <w:pStyle w:val="Heading2"/>
        <w:numPr>
          <w:ilvl w:val="1"/>
          <w:numId w:val="1"/>
        </w:numPr>
        <w:rPr/>
      </w:pPr>
      <w:bookmarkStart w:id="534" w:name="__RefHeading___Toc12184037_2142443653"/>
      <w:bookmarkStart w:id="535" w:name="_Toc199"/>
      <w:bookmarkEnd w:id="534"/>
      <w:r>
        <w:rPr>
          <w:rtl w:val="true"/>
        </w:rPr>
        <w:t>الذهب للرجال</w:t>
      </w:r>
      <w:bookmarkEnd w:id="53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لبس ساعة الذهب أو الموشاة بالذهب، وكذلك بالنسبة إلى الخاتم والمنطقة والقلم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يظهره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من مكان من ملبسه كما هي العادة، ومثل القلم غيره من كل ما يعد زينة، أما القلم الذي يكتب به ولا يظهره في ملبسه ولا يعد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زينة فالظاهر عدم حرمته</w:t>
      </w:r>
      <w:r>
        <w:rPr>
          <w:rFonts w:eastAsia="Amiri" w:cs="Amiri" w:ascii="Amiri" w:hAnsi="Amiri"/>
          <w:color w:val="111111"/>
          <w:sz w:val="28"/>
          <w:szCs w:val="28"/>
          <w:rtl w:val="true"/>
          <w:lang w:bidi="ar-SA"/>
        </w:rPr>
        <w:t>.</w:t>
      </w:r>
    </w:p>
    <w:p>
      <w:pPr>
        <w:pStyle w:val="Heading2"/>
        <w:numPr>
          <w:ilvl w:val="1"/>
          <w:numId w:val="1"/>
        </w:numPr>
        <w:rPr/>
      </w:pPr>
      <w:bookmarkStart w:id="536" w:name="__RefHeading___Toc12184039_2142443653"/>
      <w:bookmarkStart w:id="537" w:name="_Toc200"/>
      <w:bookmarkEnd w:id="536"/>
      <w:r>
        <w:rPr>
          <w:rtl w:val="true"/>
        </w:rPr>
        <w:t>تربية الطفل خارج الرحم</w:t>
      </w:r>
      <w:bookmarkEnd w:id="53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أمر الجنين بين أن يسقط أو يخرج ويربى خارج الرحم؛ وذلك لضعف الأُم عن تحمل الجنين، وجب إخراجه وتربيته</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الأحكام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التزين اللبسي بالذهب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استعمال أواني الذهب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مثل القلم الظاهر لا يعد لبساً، فأنه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التزين اللبسي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بل كونه عنواناً في قبال الأوّل إشكال، فراجع</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حاجة إلى هذا القيد، فتأمل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bookmarkStart w:id="538" w:name="pg15710_226881"/>
    </w:p>
    <w:p>
      <w:pPr>
        <w:pStyle w:val="BookText"/>
        <w:rPr/>
      </w:pPr>
      <w:bookmarkEnd w:id="5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قتل الجنين أو تركه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حتى يموت غير جائز للأدلة الأربعة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9" w:name="__RefHeading___Toc12184041_2142443653"/>
      <w:bookmarkStart w:id="540" w:name="_Toc201"/>
      <w:bookmarkEnd w:id="539"/>
      <w:r>
        <w:rPr>
          <w:rtl w:val="true"/>
        </w:rPr>
        <w:t>المؤسسات العامة للمساعدة والإنقاذ</w:t>
      </w:r>
      <w:bookmarkEnd w:id="54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للإنسان أن يساهم في إنقاذ المرضى</w:t>
      </w:r>
      <w:r>
        <w:rPr>
          <w:rStyle w:val="FootnoteAnchor"/>
          <w:rtl w:val="true"/>
        </w:rPr>
        <w:footnoteReference w:id="850"/>
      </w:r>
      <w:r>
        <w:rPr>
          <w:rFonts w:ascii="Amiri" w:hAnsi="Amiri" w:eastAsia="Amiri" w:cs="Amiri"/>
          <w:color w:val="111111"/>
          <w:sz w:val="28"/>
          <w:sz w:val="28"/>
          <w:szCs w:val="28"/>
          <w:rtl w:val="true"/>
          <w:lang w:bidi="ar-SA"/>
        </w:rPr>
        <w:t xml:space="preserve"> والزمنى والعجزة، والمنكوبين والمشوهين والساقطين وأصحاب المشاكل، بأي شكل كانت المساهمة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تشكيل جمعيات، أو الارتباط بالرابطات المعنية بهذه الشؤون أو ما أشبه ذلك، سواء بالمساعدة المادية أم العملية أم الإعلامية أم نحوها، هذا فيما إذا لم تكن هناك جهة محرمة أو جهة موجبة</w:t>
      </w:r>
      <w:r>
        <w:rPr>
          <w:rStyle w:val="FootnoteAnchor"/>
          <w:rtl w:val="true"/>
        </w:rPr>
        <w:footnoteReference w:id="851"/>
      </w:r>
      <w:r>
        <w:rPr>
          <w:rFonts w:ascii="Amiri" w:hAnsi="Amiri" w:eastAsia="Amiri" w:cs="Amiri"/>
          <w:color w:val="111111"/>
          <w:sz w:val="28"/>
          <w:sz w:val="28"/>
          <w:szCs w:val="28"/>
          <w:rtl w:val="true"/>
          <w:lang w:bidi="ar-SA"/>
        </w:rPr>
        <w:t>، وإلا كان</w:t>
      </w:r>
    </w:p>
    <w:p>
      <w:pPr>
        <w:pStyle w:val="BookText"/>
        <w:rPr/>
      </w:pP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نوع من أنواع القتل عرفاً،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الجارح والتارك مداواة الجريح في الإثم سواء</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وكذا في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فقأ عين الناظر</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لكن لا ربط له بالمقام ظاهراً،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 الجنين، أما الترك فلعله يدلّ عليه الثلاثة إلاّ أن يستفاد الملاك،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الإطلاق حتى لغير المسلمين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فعلاً كذلك في كثير من الأحيان؛ إذ إن تركهم سبب لنفوذ الأديان الباطلة والملحدين وجذبهم نحو خطهم</w:t>
      </w:r>
      <w:r>
        <w:rPr>
          <w:rFonts w:eastAsia="Amiri" w:cs="Amiri" w:ascii="Amiri" w:hAnsi="Amiri"/>
          <w:color w:val="111111"/>
          <w:sz w:val="28"/>
          <w:szCs w:val="28"/>
          <w:rtl w:val="true"/>
          <w:lang w:bidi="ar-SA"/>
        </w:rPr>
        <w:t xml:space="preserve">. </w:t>
      </w:r>
      <w:bookmarkStart w:id="541" w:name="pg15710_226882"/>
    </w:p>
    <w:p>
      <w:pPr>
        <w:pStyle w:val="BookText"/>
        <w:rPr/>
      </w:pPr>
      <w:bookmarkEnd w:id="541"/>
      <w:r>
        <w:rPr>
          <w:rFonts w:ascii="Amiri" w:hAnsi="Amiri" w:eastAsia="Amiri" w:cs="Amiri"/>
          <w:color w:val="111111"/>
          <w:sz w:val="28"/>
          <w:sz w:val="28"/>
          <w:szCs w:val="28"/>
          <w:rtl w:val="true"/>
          <w:lang w:bidi="ar-SA"/>
        </w:rPr>
        <w:t>الإنقاذ واجباً أو محرماً حسب اقتضاء الجهة الثانوية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في المستثنى منه لتواتر الآيات والروايات، وفي المستثنى لهما أيضاً</w:t>
      </w:r>
      <w:r>
        <w:rPr>
          <w:rFonts w:eastAsia="Amiri" w:cs="Amiri" w:ascii="Amiri" w:hAnsi="Amiri"/>
          <w:color w:val="111111"/>
          <w:sz w:val="28"/>
          <w:szCs w:val="28"/>
          <w:rtl w:val="true"/>
          <w:lang w:bidi="ar-SA"/>
        </w:rPr>
        <w:t>.</w:t>
      </w:r>
    </w:p>
    <w:p>
      <w:pPr>
        <w:pStyle w:val="Heading2"/>
        <w:numPr>
          <w:ilvl w:val="1"/>
          <w:numId w:val="1"/>
        </w:numPr>
        <w:rPr/>
      </w:pPr>
      <w:bookmarkStart w:id="542" w:name="__RefHeading___Toc12184043_2142443653"/>
      <w:bookmarkStart w:id="543" w:name="_Toc202"/>
      <w:bookmarkEnd w:id="542"/>
      <w:r>
        <w:rPr>
          <w:rtl w:val="true"/>
        </w:rPr>
        <w:t>مناسبات الكفار</w:t>
      </w:r>
      <w:bookmarkEnd w:id="54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اتخاذ أيام أفراح الكفار أعياداً، ولا اتخاذ أيام حزنهم أحزاناً؛ لأنه ترويج للكفر</w:t>
      </w:r>
      <w:r>
        <w:rPr>
          <w:rStyle w:val="FootnoteAnchor"/>
          <w:rtl w:val="true"/>
        </w:rPr>
        <w:footnoteReference w:id="858"/>
      </w:r>
      <w:r>
        <w:rPr>
          <w:rFonts w:ascii="Amiri" w:hAnsi="Amiri" w:eastAsia="Amiri" w:cs="Amiri"/>
          <w:color w:val="111111"/>
          <w:sz w:val="28"/>
          <w:sz w:val="28"/>
          <w:szCs w:val="28"/>
          <w:rtl w:val="true"/>
          <w:lang w:bidi="ar-SA"/>
        </w:rPr>
        <w:t>، إلا إذا كانت هناك أهمية إسلامية، فيجوز ذلك من باب قاعدة الأهم والمهم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بأفراحهم وأحزانهم ما ليس من الدين، وإلا الفرح بمولد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والحزن لموت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تعظيم لشعائر اللّه سبحانه، إلا إذا كانت جهة حرمة ثانوية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4" w:name="__RefHeading___Toc12184045_2142443653"/>
      <w:bookmarkStart w:id="545" w:name="_Toc203"/>
      <w:bookmarkEnd w:id="544"/>
      <w:r>
        <w:rPr>
          <w:rtl w:val="true"/>
        </w:rPr>
        <w:t>لو تضاعف الوزن في الأرض</w:t>
      </w:r>
      <w:bookmarkEnd w:id="54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حجم خاص مداً أو صاعاً في الأرض، وكان أقل من صاع في القمر أو في سائر الكواكب، فهل كون المعيار الأرض أو ذلك</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وموادّة لأعداء اللّه تعالى وأوليائه الكرام، راجع بحث التبري والتولي</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يسبب ذلك الفساد الأخلاقي للشباب، أو انجذابهم إلى المسيحية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bookmarkStart w:id="546" w:name="pg15710_226883"/>
    </w:p>
    <w:p>
      <w:pPr>
        <w:pStyle w:val="BookText"/>
        <w:rPr/>
      </w:pPr>
      <w:bookmarkEnd w:id="546"/>
      <w:r>
        <w:rPr>
          <w:rFonts w:ascii="Amiri" w:hAnsi="Amiri" w:eastAsia="Amiri" w:cs="Amiri"/>
          <w:color w:val="111111"/>
          <w:sz w:val="28"/>
          <w:sz w:val="28"/>
          <w:szCs w:val="28"/>
          <w:rtl w:val="true"/>
          <w:lang w:bidi="ar-SA"/>
        </w:rPr>
        <w:t xml:space="preserve">الكوكب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من في ذلك الكوكب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احتمالان، والثاني أقرب</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الحكم تابع لموضوعه، على ما تقدمت الإشارة إليه في مثل هذه المسألة</w:t>
      </w:r>
      <w:r>
        <w:rPr>
          <w:rFonts w:eastAsia="Amiri" w:cs="Amiri" w:ascii="Amiri" w:hAnsi="Amiri"/>
          <w:color w:val="111111"/>
          <w:sz w:val="28"/>
          <w:szCs w:val="28"/>
          <w:rtl w:val="true"/>
          <w:lang w:bidi="ar-SA"/>
        </w:rPr>
        <w:t>.</w:t>
      </w:r>
    </w:p>
    <w:p>
      <w:pPr>
        <w:pStyle w:val="Heading2"/>
        <w:numPr>
          <w:ilvl w:val="1"/>
          <w:numId w:val="1"/>
        </w:numPr>
        <w:rPr/>
      </w:pPr>
      <w:bookmarkStart w:id="547" w:name="__RefHeading___Toc12184047_2142443653"/>
      <w:bookmarkStart w:id="548" w:name="_Toc204"/>
      <w:bookmarkEnd w:id="547"/>
      <w:r>
        <w:rPr>
          <w:rtl w:val="true"/>
        </w:rPr>
        <w:t>لو تضاعف الوزن في الكواكب</w:t>
      </w:r>
      <w:bookmarkEnd w:id="54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انعكس الفرض المتقدم في المسألة السابقة بأن كان وزن الحجم الخاص في الكوكب أكثر من وزنه في الأرض،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 خاص من الماء في الأرض كان وزنه ألف ومأتي رطل، ولما أخذنا ذلك الحجم في كوكب آخر كان وزنه ألف وخمسمائة رطل، فهل لنا أن ننقص من الوزن مقدار ثلاثمائة رطل؛ لأن الحكم يتبع موضوعه، أو ليس لنا ذلك، لوحدة المناط، احتمالان، لكن الأول أقرب</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تقدم في المسألة السابقة</w:t>
      </w:r>
      <w:r>
        <w:rPr>
          <w:rFonts w:eastAsia="Amiri" w:cs="Amiri" w:ascii="Amiri" w:hAnsi="Amiri"/>
          <w:color w:val="111111"/>
          <w:sz w:val="28"/>
          <w:szCs w:val="28"/>
          <w:rtl w:val="true"/>
          <w:lang w:bidi="ar-SA"/>
        </w:rPr>
        <w:t>.</w:t>
      </w:r>
    </w:p>
    <w:p>
      <w:pPr>
        <w:pStyle w:val="Heading2"/>
        <w:numPr>
          <w:ilvl w:val="1"/>
          <w:numId w:val="1"/>
        </w:numPr>
        <w:rPr/>
      </w:pPr>
      <w:bookmarkStart w:id="549" w:name="__RefHeading___Toc12184049_2142443653"/>
      <w:bookmarkStart w:id="550" w:name="_Toc205"/>
      <w:bookmarkEnd w:id="549"/>
      <w:r>
        <w:rPr>
          <w:rtl w:val="true"/>
        </w:rPr>
        <w:t>الغاز الخارج في منابع النفط</w:t>
      </w:r>
      <w:bookmarkEnd w:id="55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السرف في الغاز الخارج من منابع النفط، بأن</w:t>
      </w:r>
    </w:p>
    <w:p>
      <w:pPr>
        <w:pStyle w:val="BookText"/>
        <w:rPr/>
      </w:pP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لو كان خارجاً عن التعارف، فالاعتبار بالمتعارف كما تقدّم نظيره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الاستثناء</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bookmarkStart w:id="551" w:name="pg15710_226884"/>
    </w:p>
    <w:p>
      <w:pPr>
        <w:pStyle w:val="BookText"/>
        <w:rPr/>
      </w:pPr>
      <w:bookmarkEnd w:id="551"/>
      <w:r>
        <w:rPr>
          <w:rFonts w:ascii="Amiri" w:hAnsi="Amiri" w:eastAsia="Amiri" w:cs="Amiri"/>
          <w:color w:val="111111"/>
          <w:sz w:val="28"/>
          <w:sz w:val="28"/>
          <w:szCs w:val="28"/>
          <w:rtl w:val="true"/>
          <w:lang w:bidi="ar-SA"/>
        </w:rPr>
        <w:t>نتركه يذهب هدراً في الهواء، بل الواجب تهيئة الوسائل والآلات الحافظة له ليصرف في المنفعة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الإسراف محرم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في أية مادة كانت، خصوصاً في المواد النافعة جداً كالغاز</w:t>
      </w:r>
      <w:r>
        <w:rPr>
          <w:rFonts w:eastAsia="Amiri" w:cs="Amiri" w:ascii="Amiri" w:hAnsi="Amiri"/>
          <w:color w:val="111111"/>
          <w:sz w:val="28"/>
          <w:szCs w:val="28"/>
          <w:rtl w:val="true"/>
          <w:lang w:bidi="ar-SA"/>
        </w:rPr>
        <w:t>.</w:t>
      </w:r>
    </w:p>
    <w:p>
      <w:pPr>
        <w:pStyle w:val="Heading2"/>
        <w:numPr>
          <w:ilvl w:val="1"/>
          <w:numId w:val="1"/>
        </w:numPr>
        <w:rPr/>
      </w:pPr>
      <w:bookmarkStart w:id="552" w:name="__RefHeading___Toc12184051_2142443653"/>
      <w:bookmarkStart w:id="553" w:name="_Toc206"/>
      <w:bookmarkEnd w:id="552"/>
      <w:r>
        <w:rPr>
          <w:rtl w:val="true"/>
        </w:rPr>
        <w:t>استخدام الذرة</w:t>
      </w:r>
      <w:bookmarkEnd w:id="55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استخدام الذرة في المقاصد السلمية يجوز</w:t>
      </w:r>
      <w:r>
        <w:rPr>
          <w:rStyle w:val="FootnoteAnchor"/>
          <w:rtl w:val="true"/>
        </w:rPr>
        <w:footnoteReference w:id="867"/>
      </w:r>
      <w:r>
        <w:rPr>
          <w:rFonts w:ascii="IRNazanin" w:hAnsi="IRNazanin" w:eastAsia="IRNazanin"/>
          <w:color w:val="111111"/>
          <w:sz w:val="28"/>
          <w:sz w:val="28"/>
          <w:szCs w:val="28"/>
          <w:rtl w:val="true"/>
          <w:lang w:bidi="fa-IR"/>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 استخدامها في المقاصد الحربية</w:t>
      </w:r>
    </w:p>
    <w:p>
      <w:pPr>
        <w:pStyle w:val="BookText"/>
        <w:rPr/>
      </w:pP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العروة بحث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الإسراف في ماء الوضوء مكروه</w:t>
      </w:r>
      <w:r>
        <w:rPr>
          <w:rFonts w:eastAsia="Amiri" w:cs="Amiri" w:ascii="Amiri" w:hAnsi="Amiri"/>
          <w:color w:val="111111"/>
          <w:sz w:val="28"/>
          <w:szCs w:val="28"/>
          <w:rtl w:val="true"/>
          <w:lang w:bidi="ar-SA"/>
        </w:rPr>
        <w:t>)</w:t>
      </w:r>
      <w:r>
        <w:rPr>
          <w:rStyle w:val="FootnoteAnchor"/>
          <w:rtl w:val="true"/>
        </w:rPr>
        <w:footnoteReference w:id="870"/>
      </w:r>
      <w:r>
        <w:rPr>
          <w:rFonts w:ascii="IRNazanin" w:hAnsi="IRNazanin" w:eastAsia="IRNazanin"/>
          <w:color w:val="111111"/>
          <w:sz w:val="28"/>
          <w:sz w:val="28"/>
          <w:szCs w:val="28"/>
          <w:rtl w:val="true"/>
          <w:lang w:bidi="fa-IR"/>
        </w:rPr>
        <w:t>، والواجبات والمحرمات</w:t>
      </w:r>
      <w:r>
        <w:rPr>
          <w:rStyle w:val="FootnoteAnchor"/>
          <w:rtl w:val="true"/>
        </w:rPr>
        <w:footnoteReference w:id="871"/>
      </w:r>
      <w:r>
        <w:rPr>
          <w:rFonts w:ascii="Amiri" w:hAnsi="Amiri" w:eastAsia="Amiri" w:cs="Amiri"/>
          <w:color w:val="111111"/>
          <w:sz w:val="28"/>
          <w:sz w:val="28"/>
          <w:szCs w:val="28"/>
          <w:rtl w:val="true"/>
          <w:lang w:bidi="ar-SA"/>
        </w:rPr>
        <w:t>والتفاسير، ولا يخفى</w:t>
      </w:r>
      <w:r>
        <w:rPr>
          <w:rStyle w:val="FootnoteAnchor"/>
          <w:rtl w:val="true"/>
        </w:rPr>
        <w:footnoteReference w:id="872"/>
      </w:r>
      <w:r>
        <w:rPr>
          <w:rFonts w:ascii="Amiri" w:hAnsi="Amiri" w:eastAsia="Amiri" w:cs="Amiri"/>
          <w:color w:val="111111"/>
          <w:sz w:val="28"/>
          <w:sz w:val="28"/>
          <w:szCs w:val="28"/>
          <w:rtl w:val="true"/>
          <w:lang w:bidi="ar-SA"/>
        </w:rPr>
        <w:t>أن ذلك فيما لو صدق الإسراف عرفاً لا بالدقة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BookText"/>
        <w:rPr/>
      </w:pP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الجواز بمعناه الأعم الشامل للوجوب،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فيما لم يكن هنالك عنوان ثانوي يوجب التحريم، كتشويه سمعة الإسلام، أو التعرض لضغوط تسبب سقوط الدولة مثلاً</w:t>
      </w:r>
      <w:r>
        <w:rPr>
          <w:rFonts w:eastAsia="Amiri" w:cs="Amiri" w:ascii="Amiri" w:hAnsi="Amiri"/>
          <w:color w:val="111111"/>
          <w:sz w:val="28"/>
          <w:szCs w:val="28"/>
          <w:rtl w:val="true"/>
          <w:lang w:bidi="ar-SA"/>
        </w:rPr>
        <w:t xml:space="preserve">. </w:t>
      </w:r>
      <w:bookmarkStart w:id="554" w:name="pg15710_226885"/>
    </w:p>
    <w:p>
      <w:pPr>
        <w:pStyle w:val="BookText"/>
        <w:rPr/>
      </w:pPr>
      <w:bookmarkEnd w:id="5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للردع</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الحرب في الإسلام لا يجوز إلا في سبيل اللّه والمستضعفين، فالحروب العدوانية والحروب التجارية وحروب السيطرة لا تجوز في الإسلام إطلاقاً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الجواز للإطلاقات، ثم الحرب في الإسلام نظيف من الأُمور غير الإنسانية إلى الغاية، كما يرشد إلى ذلك 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5" w:name="__RefHeading___Toc12184053_2142443653"/>
      <w:bookmarkStart w:id="556" w:name="_Toc207"/>
      <w:bookmarkEnd w:id="555"/>
      <w:r>
        <w:rPr>
          <w:rtl w:val="true"/>
        </w:rPr>
        <w:t>استماع نشرات الأخبار</w:t>
      </w:r>
      <w:bookmarkEnd w:id="55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منعت الدولة الإسلامية العادلة الاستماع إلى قسم من الأخبار الإذاعية لم يجز</w:t>
      </w:r>
      <w:r>
        <w:rPr>
          <w:rStyle w:val="FootnoteAnchor"/>
          <w:rtl w:val="true"/>
        </w:rPr>
        <w:footnoteReference w:id="876"/>
      </w:r>
      <w:r>
        <w:rPr>
          <w:rFonts w:ascii="Amiri" w:hAnsi="Amiri" w:eastAsia="Amiri" w:cs="Amiri"/>
          <w:color w:val="111111"/>
          <w:sz w:val="28"/>
          <w:sz w:val="28"/>
          <w:szCs w:val="28"/>
          <w:rtl w:val="true"/>
          <w:lang w:bidi="ar-SA"/>
        </w:rPr>
        <w:t xml:space="preserve"> الاستماع، وأما إذا لم تكن الدولة إسلامية عادلة فلا أثر لمنعها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اللازم ملاحظة هل أن الاستماع حرام في نفسه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أم لا؟</w:t>
      </w:r>
    </w:p>
    <w:p>
      <w:pPr>
        <w:pStyle w:val="BookText"/>
        <w:rPr/>
      </w:pP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البحث في أنه لو قنن قانون لملاك ولم يكن الملاك في مورد، فهل يجوز خرق القانون أو لا؟ كإشارات المرور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عممت الدولة لأنَّ الإيكال للمكلف يسبب سقوط القانون، راجع الأصول في باب الحجج</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ملاحظة العناوين الثانوية، كالضرر مثلاً، كسجن الدولة مَنْ يستمع</w:t>
      </w:r>
      <w:r>
        <w:rPr>
          <w:rFonts w:eastAsia="Amiri" w:cs="Amiri" w:ascii="Amiri" w:hAnsi="Amiri"/>
          <w:color w:val="111111"/>
          <w:sz w:val="28"/>
          <w:szCs w:val="28"/>
          <w:rtl w:val="true"/>
          <w:lang w:bidi="ar-SA"/>
        </w:rPr>
        <w:t xml:space="preserve">. </w:t>
      </w:r>
      <w:bookmarkStart w:id="557" w:name="pg15710_226886"/>
    </w:p>
    <w:p>
      <w:pPr>
        <w:pStyle w:val="Heading2"/>
        <w:numPr>
          <w:ilvl w:val="1"/>
          <w:numId w:val="1"/>
        </w:numPr>
        <w:rPr/>
      </w:pPr>
      <w:bookmarkStart w:id="558" w:name="__RefHeading___Toc12184055_2142443653"/>
      <w:bookmarkStart w:id="559" w:name="_Toc208"/>
      <w:bookmarkEnd w:id="557"/>
      <w:bookmarkEnd w:id="558"/>
      <w:r>
        <w:rPr>
          <w:rtl w:val="true"/>
        </w:rPr>
        <w:t>من شروط منع الاستماع</w:t>
      </w:r>
      <w:bookmarkEnd w:id="55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للدولة الإسلامية العادلة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هناك مصلحة أهم</w:t>
      </w:r>
      <w:r>
        <w:rPr>
          <w:rStyle w:val="FootnoteAnchor"/>
          <w:rtl w:val="true"/>
        </w:rPr>
        <w:footnoteReference w:id="878"/>
      </w:r>
      <w:r>
        <w:rPr>
          <w:rFonts w:ascii="Amiri" w:hAnsi="Amiri" w:eastAsia="Amiri" w:cs="Amiri"/>
          <w:color w:val="111111"/>
          <w:sz w:val="28"/>
          <w:sz w:val="28"/>
          <w:szCs w:val="28"/>
          <w:rtl w:val="true"/>
          <w:lang w:bidi="ar-SA"/>
        </w:rPr>
        <w:t xml:space="preserve"> من مصلحة الحرية الممنوحة للإنسان بقاعدة</w:t>
      </w:r>
      <w:r>
        <w:rPr>
          <w:rStyle w:val="FootnoteAnchor"/>
          <w:rtl w:val="true"/>
        </w:rPr>
        <w:footnoteReference w:id="8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على أنفسهم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وتشخيص الأهمية من حق شورى المراجع</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وإلا لم يجز لها المنع؛ إذ الناس مسلطون على أنفسهم، فالحد من حرياتهم غير جائز، ومنه يعلم حرمة المنع عن الجرائد والمجلات والكتب وغير ذلك إلا فيما استثني</w:t>
      </w:r>
      <w:r>
        <w:rPr>
          <w:rFonts w:eastAsia="Amiri" w:cs="Amiri" w:ascii="Amiri" w:hAnsi="Amiri"/>
          <w:color w:val="111111"/>
          <w:sz w:val="28"/>
          <w:szCs w:val="28"/>
          <w:rtl w:val="true"/>
          <w:lang w:bidi="ar-SA"/>
        </w:rPr>
        <w:t>.</w:t>
      </w:r>
    </w:p>
    <w:p>
      <w:pPr>
        <w:pStyle w:val="Heading2"/>
        <w:numPr>
          <w:ilvl w:val="1"/>
          <w:numId w:val="1"/>
        </w:numPr>
        <w:rPr/>
      </w:pPr>
      <w:bookmarkStart w:id="560" w:name="__RefHeading___Toc12184057_2142443653"/>
      <w:bookmarkStart w:id="561" w:name="_Toc209"/>
      <w:bookmarkEnd w:id="560"/>
      <w:r>
        <w:rPr>
          <w:rtl w:val="true"/>
        </w:rPr>
        <w:t>استماع الأخبار المضللة</w:t>
      </w:r>
      <w:bookmarkEnd w:id="56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الاستماع إلى الأخبار الإذاعية المضللة بالنسبة إلى مَنْ لا يميز بين الصحيح والفاسد، ويكون معرضاً لفساد عقيدته</w:t>
      </w:r>
      <w:r>
        <w:rPr>
          <w:rStyle w:val="FootnoteAnchor"/>
          <w:rtl w:val="true"/>
        </w:rPr>
        <w:footnoteReference w:id="880"/>
      </w:r>
      <w:r>
        <w:rPr>
          <w:rFonts w:ascii="IRNazanin" w:hAnsi="IRNazanin" w:eastAsia="IRNazanin"/>
          <w:color w:val="111111"/>
          <w:sz w:val="28"/>
          <w:sz w:val="28"/>
          <w:szCs w:val="28"/>
          <w:rtl w:val="true"/>
          <w:lang w:bidi="fa-IR"/>
        </w:rPr>
        <w:t>، أو</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يدخل في تشخيص الأهمية عدم تشويه سمعة الإسلام، وعدم خلق ردّ فعل في النفوس يؤدي إلى ما هو أخطر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الإباحة قد تكون لعدم الملاك أو لوجود ملاك في الإباحة</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عبر وكلائهم المعتمدين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bookmarkStart w:id="562" w:name="pg15710_226887"/>
    </w:p>
    <w:p>
      <w:pPr>
        <w:pStyle w:val="BookText"/>
        <w:rPr/>
      </w:pPr>
      <w:bookmarkEnd w:id="562"/>
      <w:r>
        <w:rPr>
          <w:rFonts w:ascii="Amiri" w:hAnsi="Amiri" w:eastAsia="Amiri" w:cs="Amiri"/>
          <w:color w:val="111111"/>
          <w:sz w:val="28"/>
          <w:sz w:val="28"/>
          <w:szCs w:val="28"/>
          <w:rtl w:val="true"/>
          <w:lang w:bidi="ar-SA"/>
        </w:rPr>
        <w:t>انحراف طريقته</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خوف</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العقيدة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مشمول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الأدلة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ولا يحتاج إلى الظن دائماً، بل قد يكفي الاحتمال، كما ذكر وجهه في بحث لا ضرر</w:t>
      </w:r>
      <w:r>
        <w:rPr>
          <w:rFonts w:eastAsia="Amiri" w:cs="Amiri" w:ascii="Amiri" w:hAnsi="Amiri"/>
          <w:color w:val="111111"/>
          <w:sz w:val="28"/>
          <w:szCs w:val="28"/>
          <w:rtl w:val="true"/>
          <w:lang w:bidi="ar-SA"/>
        </w:rPr>
        <w:t>.</w:t>
      </w:r>
    </w:p>
    <w:p>
      <w:pPr>
        <w:pStyle w:val="Heading2"/>
        <w:numPr>
          <w:ilvl w:val="1"/>
          <w:numId w:val="1"/>
        </w:numPr>
        <w:rPr/>
      </w:pPr>
      <w:bookmarkStart w:id="563" w:name="__RefHeading___Toc12184059_2142443653"/>
      <w:bookmarkStart w:id="564" w:name="_Toc210"/>
      <w:bookmarkEnd w:id="563"/>
      <w:r>
        <w:rPr>
          <w:rtl w:val="true"/>
        </w:rPr>
        <w:t>الهاتف الصحراوي</w:t>
      </w:r>
      <w:bookmarkEnd w:id="56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الهاتف الصحراوي</w:t>
      </w:r>
      <w:r>
        <w:rPr>
          <w:rFonts w:eastAsia="Amiri" w:cs="Amiri" w:ascii="Amiri" w:hAnsi="Amiri"/>
          <w:color w:val="111111"/>
          <w:sz w:val="28"/>
          <w:szCs w:val="28"/>
          <w:rtl w:val="true"/>
          <w:lang w:bidi="ar-SA"/>
        </w:rPr>
        <w:t>)</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بأجهزة الدولة كحكم التصرف في سائر أموال الدولة، فكلما كان التصرف في مال الدولة بدون رضاها حراماً كان التشكيل المذكور حراماً، وكلما لم يكن التصرف حراماً</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التشكيل المذكور حراماً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إذا كان أجهزة الهاتف لشركة محترمة أو شخص محترم، وهكذا حال الماء والغاز والكهرباء وغيرها</w:t>
      </w:r>
      <w:r>
        <w:rPr>
          <w:rFonts w:eastAsia="Amiri" w:cs="Amiri" w:ascii="Amiri" w:hAnsi="Amiri"/>
          <w:color w:val="111111"/>
          <w:sz w:val="28"/>
          <w:szCs w:val="28"/>
          <w:rtl w:val="true"/>
          <w:lang w:bidi="ar-SA"/>
        </w:rPr>
        <w:t>.</w:t>
      </w:r>
    </w:p>
    <w:p>
      <w:pPr>
        <w:pStyle w:val="Heading2"/>
        <w:numPr>
          <w:ilvl w:val="1"/>
          <w:numId w:val="1"/>
        </w:numPr>
        <w:rPr/>
      </w:pPr>
      <w:bookmarkStart w:id="565" w:name="__RefHeading___Toc12184061_2142443653"/>
      <w:bookmarkStart w:id="566" w:name="_Toc211"/>
      <w:bookmarkEnd w:id="565"/>
      <w:r>
        <w:rPr>
          <w:rtl w:val="true"/>
        </w:rPr>
        <w:t>إطلاق النار على المجرمين</w:t>
      </w:r>
      <w:bookmarkEnd w:id="56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المجرم الذي أمرت الدولة العدالة بإلقاء القبض</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كتب الضلال</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جرّ خط كهربائي أو تلفوني من أسلاك 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وتراعى في ذلك العناوين الثانوية أيضاً، كتشويه سمعة الإسلام والمسلمين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bookmarkStart w:id="567" w:name="pg15710_226888"/>
    </w:p>
    <w:p>
      <w:pPr>
        <w:pStyle w:val="BookText"/>
        <w:rPr/>
      </w:pPr>
      <w:bookmarkEnd w:id="567"/>
      <w:r>
        <w:rPr>
          <w:rFonts w:ascii="Amiri" w:hAnsi="Amiri" w:eastAsia="Amiri" w:cs="Amiri"/>
          <w:color w:val="111111"/>
          <w:sz w:val="28"/>
          <w:sz w:val="28"/>
          <w:szCs w:val="28"/>
          <w:rtl w:val="true"/>
          <w:lang w:bidi="ar-SA"/>
        </w:rPr>
        <w:t>عليه ممن تريد الدولة استخباره واستنطاقه لأمر مهم، ككشف شبكة من المخربين مثلاً</w:t>
      </w:r>
      <w:r>
        <w:rPr>
          <w:rStyle w:val="FootnoteAnchor"/>
          <w:rtl w:val="true"/>
        </w:rPr>
        <w:footnoteReference w:id="888"/>
      </w:r>
      <w:r>
        <w:rPr>
          <w:rFonts w:ascii="Amiri" w:hAnsi="Amiri" w:eastAsia="Amiri" w:cs="Amiri"/>
          <w:color w:val="111111"/>
          <w:sz w:val="28"/>
          <w:sz w:val="28"/>
          <w:szCs w:val="28"/>
          <w:rtl w:val="true"/>
          <w:lang w:bidi="ar-SA"/>
        </w:rPr>
        <w:t>، لم يجز للشرطة الذين يريدون أخذه إطلاق الرصاص</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حتى وإن لاذ بالفرار، أو حاول التخلص منهم بإطلاق الرصاص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هنا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يطلقون الرصاص في الهواء لإرعابه، أو يطلقون الرصاص المطاطي ونحوه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2"/>
        <w:numPr>
          <w:ilvl w:val="1"/>
          <w:numId w:val="1"/>
        </w:numPr>
        <w:rPr/>
      </w:pPr>
      <w:bookmarkStart w:id="568" w:name="__RefHeading___Toc12184063_2142443653"/>
      <w:bookmarkStart w:id="569" w:name="_Toc212"/>
      <w:bookmarkEnd w:id="568"/>
      <w:r>
        <w:rPr>
          <w:rtl w:val="true"/>
        </w:rPr>
        <w:t>المقتول على أيدي المجرمين</w:t>
      </w:r>
      <w:bookmarkEnd w:id="56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الشرطي المفروض في المسألة السابقة كان مثاباً مأجوراً، ولكنه ليس بحكم الشهيد؛ إذ الأحكام الخاصة بالشهيد مخصوصة بمن قتل في المعركة</w:t>
      </w:r>
      <w:r>
        <w:rPr>
          <w:rStyle w:val="FootnoteAnchor"/>
          <w:rtl w:val="true"/>
        </w:rPr>
        <w:footnoteReference w:id="889"/>
      </w:r>
      <w:r>
        <w:rPr>
          <w:rFonts w:ascii="Amiri" w:hAnsi="Amiri" w:eastAsia="Amiri" w:cs="Amiri"/>
          <w:color w:val="111111"/>
          <w:sz w:val="28"/>
          <w:sz w:val="28"/>
          <w:szCs w:val="28"/>
          <w:rtl w:val="true"/>
          <w:lang w:bidi="ar-SA"/>
        </w:rPr>
        <w:t xml:space="preserve"> بالشرائط التي ذكروها في كتاب الجهاد</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كالذين يقومون بالعمليات الانتحارية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وإلا فضرب رجله مثلاً لا بأس به عند الضرر إذا لم يؤدِ موته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يمكن القبض عليه حياً مطلقاً وكان فراره خطراً لزم 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يطلقون الغازات المخدرة عليه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ميدان الحرب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العروة، كتاب الطهارة، أحكام الأموات</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570" w:name="pg15710_226889"/>
    </w:p>
    <w:p>
      <w:pPr>
        <w:pStyle w:val="BookText"/>
        <w:rPr/>
      </w:pPr>
      <w:bookmarkEnd w:id="570"/>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كانت الدولة عادلة، وكانت المسألة من باب الأهم والمهم</w:t>
      </w:r>
      <w:r>
        <w:rPr>
          <w:rFonts w:eastAsia="Amiri" w:cs="Amiri" w:ascii="Amiri" w:hAnsi="Amiri"/>
          <w:color w:val="111111"/>
          <w:sz w:val="28"/>
          <w:szCs w:val="28"/>
          <w:rtl w:val="true"/>
          <w:lang w:bidi="ar-SA"/>
        </w:rPr>
        <w:t>.</w:t>
      </w:r>
    </w:p>
    <w:p>
      <w:pPr>
        <w:pStyle w:val="Heading2"/>
        <w:numPr>
          <w:ilvl w:val="1"/>
          <w:numId w:val="1"/>
        </w:numPr>
        <w:rPr/>
      </w:pPr>
      <w:bookmarkStart w:id="571" w:name="__RefHeading___Toc12184065_2142443653"/>
      <w:bookmarkStart w:id="572" w:name="_Toc213"/>
      <w:bookmarkEnd w:id="571"/>
      <w:r>
        <w:rPr>
          <w:rtl w:val="true"/>
        </w:rPr>
        <w:t>الصمود في المظاهرات</w:t>
      </w:r>
      <w:bookmarkEnd w:id="57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المظاهرة التي تخرج لأمر مشروع إن كانت بحيث تقتضي المصلحة الإسلامية صمودهم حتى الموت، فلا بأس أن يصمد المتظاهرون حتى الموت، فيما إذا أطلقت الدولة الظالمة الرصاص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اللازم القطع بذلك، أو إفتاء شورى المراجع</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وإلا فلا يجوز تعريض النفس للخطر</w:t>
      </w:r>
      <w:r>
        <w:rPr>
          <w:rFonts w:eastAsia="Amiri" w:cs="Amiri" w:ascii="Amiri" w:hAnsi="Amiri"/>
          <w:color w:val="111111"/>
          <w:sz w:val="28"/>
          <w:szCs w:val="28"/>
          <w:rtl w:val="true"/>
          <w:lang w:bidi="ar-SA"/>
        </w:rPr>
        <w:t>.</w:t>
      </w:r>
    </w:p>
    <w:p>
      <w:pPr>
        <w:pStyle w:val="Heading2"/>
        <w:numPr>
          <w:ilvl w:val="1"/>
          <w:numId w:val="1"/>
        </w:numPr>
        <w:rPr/>
      </w:pPr>
      <w:bookmarkStart w:id="573" w:name="__RefHeading___Toc12184067_2142443653"/>
      <w:bookmarkStart w:id="574" w:name="_Toc214"/>
      <w:bookmarkEnd w:id="573"/>
      <w:r>
        <w:rPr>
          <w:rtl w:val="true"/>
        </w:rPr>
        <w:t>إنقاذ النفس من الموت</w:t>
      </w:r>
      <w:bookmarkEnd w:id="57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تقتضِ المصلحة الإسلامية الصمود حتى الموت في المظاهرة المذكورة في المسألة السابقة لم يجز للأفراد المتظاهرة الوقوف أمام الرصاص، بل يجب عليهم التفرق وإنقاذ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لأن لا يقتلوا فقط، بل لأن لا تقطع أيديهم مثلاً، أو لا يفقدوا قوة من قواهم، والحاصل أنه لا يجوز</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إفتاء مرجع التقليد، فإنه حجة لمقلديه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 xml:space="preserve">، وقد ينطبق عليه </w:t>
      </w:r>
      <w:bookmarkStart w:id="575" w:name="pg15710_226890"/>
    </w:p>
    <w:p>
      <w:pPr>
        <w:pStyle w:val="BookText"/>
        <w:rPr/>
      </w:pPr>
      <w:bookmarkEnd w:id="575"/>
      <w:r>
        <w:rPr>
          <w:rFonts w:ascii="IRNazanin" w:hAnsi="IRNazanin" w:eastAsia="IRNazanin"/>
          <w:color w:val="111111"/>
          <w:sz w:val="28"/>
          <w:sz w:val="28"/>
          <w:szCs w:val="28"/>
          <w:rtl w:val="true"/>
          <w:lang w:bidi="fa-IR"/>
        </w:rPr>
        <w:t>الصمود أمام الضرر الممنوع شرعاً</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6" w:name="__RefHeading___Toc12184069_2142443653"/>
      <w:bookmarkStart w:id="577" w:name="_Toc215"/>
      <w:bookmarkEnd w:id="576"/>
      <w:r>
        <w:rPr>
          <w:rtl w:val="true"/>
        </w:rPr>
        <w:t>قتل الأُخت والزوجة</w:t>
      </w:r>
      <w:bookmarkEnd w:id="57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w:t>
      </w:r>
      <w:r>
        <w:rPr>
          <w:rStyle w:val="FootnoteAnchor"/>
          <w:rtl w:val="true"/>
        </w:rPr>
        <w:footnoteReference w:id="897"/>
      </w:r>
      <w:r>
        <w:rPr>
          <w:rFonts w:ascii="Amiri" w:hAnsi="Amiri" w:eastAsia="Amiri" w:cs="Amiri"/>
          <w:color w:val="111111"/>
          <w:sz w:val="28"/>
          <w:sz w:val="28"/>
          <w:szCs w:val="28"/>
          <w:rtl w:val="true"/>
          <w:lang w:bidi="ar-SA"/>
        </w:rPr>
        <w:t xml:space="preserve"> للإنسان أن يقتل زوجته أو أُخته أو سائر نسائه</w:t>
      </w:r>
      <w:r>
        <w:rPr>
          <w:rStyle w:val="FootnoteAnchor"/>
          <w:rtl w:val="true"/>
        </w:rPr>
        <w:footnoteReference w:id="898"/>
      </w:r>
      <w:r>
        <w:rPr>
          <w:rFonts w:ascii="Amiri" w:hAnsi="Amiri" w:eastAsia="Amiri" w:cs="Amiri"/>
          <w:color w:val="111111"/>
          <w:sz w:val="28"/>
          <w:sz w:val="28"/>
          <w:szCs w:val="28"/>
          <w:rtl w:val="true"/>
          <w:lang w:bidi="ar-SA"/>
        </w:rPr>
        <w:t xml:space="preserve"> إذا كن عرضة للأسر بيد الكافر أو الفاسق، الذي يهتك</w:t>
      </w:r>
      <w:r>
        <w:rPr>
          <w:rStyle w:val="FootnoteAnchor"/>
          <w:rtl w:val="true"/>
        </w:rPr>
        <w:footnoteReference w:id="899"/>
      </w:r>
      <w:r>
        <w:rPr>
          <w:rFonts w:ascii="Amiri" w:hAnsi="Amiri" w:eastAsia="Amiri" w:cs="Amiri"/>
          <w:color w:val="111111"/>
          <w:sz w:val="28"/>
          <w:sz w:val="28"/>
          <w:szCs w:val="28"/>
          <w:rtl w:val="true"/>
          <w:lang w:bidi="ar-SA"/>
        </w:rPr>
        <w:t xml:space="preserve"> أعراضهن وشرفهن أم لا يجوز، أم يفصل بين ما إذا رضيت المرأة بذلك القتل وبين ما إذا لم ترضَ به؟ احتمالات، وكذا في قتل الأولاد الذين يريد العدو هتك عرضهم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يقتل نفسه </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w:t>
      </w:r>
      <w:r>
        <w:rPr>
          <w:rStyle w:val="FootnoteAnchor"/>
          <w:rtl w:val="true"/>
        </w:rPr>
        <w:footnoteReference w:id="901"/>
      </w:r>
      <w:r>
        <w:rPr>
          <w:rFonts w:ascii="IRNazanin" w:hAnsi="IRNazanin" w:eastAsia="IRNazanin"/>
          <w:color w:val="111111"/>
          <w:sz w:val="28"/>
          <w:sz w:val="28"/>
          <w:szCs w:val="28"/>
          <w:rtl w:val="true"/>
          <w:lang w:bidi="fa-IR"/>
        </w:rPr>
        <w:t xml:space="preserve">،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 وللإجماع</w:t>
      </w:r>
      <w:r>
        <w:rPr>
          <w:rStyle w:val="FootnoteAnchor"/>
          <w:rtl w:val="true"/>
        </w:rPr>
        <w:footnoteReference w:id="903"/>
      </w:r>
      <w:r>
        <w:rPr>
          <w:rFonts w:ascii="IRNazanin" w:hAnsi="IRNazanin" w:eastAsia="IRNazanin"/>
          <w:color w:val="111111"/>
          <w:sz w:val="28"/>
          <w:sz w:val="28"/>
          <w:szCs w:val="28"/>
          <w:rtl w:val="true"/>
          <w:lang w:bidi="fa-IR"/>
        </w:rPr>
        <w:t>وللعقل</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الموت أو إسقاط قوة أو تلف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لنفسها الانتحار أو لا؟</w:t>
      </w:r>
    </w:p>
    <w:p>
      <w:pPr>
        <w:pStyle w:val="BookText"/>
        <w:rPr/>
      </w:pPr>
      <w:r>
        <w:rPr>
          <w:rFonts w:ascii="Amiri" w:hAnsi="Amiri" w:eastAsia="Amiri" w:cs="Amiri"/>
          <w:color w:val="111111"/>
          <w:sz w:val="28"/>
          <w:sz w:val="28"/>
          <w:szCs w:val="28"/>
          <w:rtl w:val="true"/>
          <w:lang w:bidi="ar-SA"/>
        </w:rPr>
        <w:t xml:space="preserve">هذا ولكن المنقول شفاهاً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الانتحار بإلقاء نفسها في النهر مثلاً، فتأكّد</w:t>
      </w:r>
      <w:r>
        <w:rPr>
          <w:rFonts w:eastAsia="Amiri" w:cs="Amiri" w:ascii="Amiri" w:hAnsi="Amiri"/>
          <w:color w:val="111111"/>
          <w:sz w:val="28"/>
          <w:szCs w:val="28"/>
          <w:rtl w:val="true"/>
          <w:lang w:bidi="ar-SA"/>
        </w:rPr>
        <w:t>.</w:t>
      </w:r>
    </w:p>
    <w:p>
      <w:pPr>
        <w:pStyle w:val="BookText"/>
        <w:rPr/>
      </w:pP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سائر النساء الأُخريات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العرض له مراتب، ولعل المراد المرتبة القصوى وما يقرب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القتل</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لا يجوز مطلقاً إلا إذا كان لأمر أهم شرعاً، فإذا شخص القاتل والمقتول ذلك وكانا ممن لهم التشخيص جاز وإلا لم يجز، هذا في صورة الرضا، أما إذا لم يرضَ المقتول فالظاهر عدم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الزنا أقل جريمة من القتل، وكذلك اللواط،</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القاعدة العامة والاستثناء للأهمية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تشخيص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وقوعه في الأسر يسبب قتل الألوف، حيث إنه يعترف عليهم، أو كشف أسرار الأسلحة الخطيرة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القتل مع تشخيص القاتل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شخّص المقتول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للقاتل التشخيص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المفروض قطع القاتل، وقد قرر أن القطع حجة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التأمّل فيما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خصوص مسألتنا، فحيث لم تعلم الأهمية أو علم أهمية القتل فلا يجوز القتل مطلقاً، إلاّ فيما علمت أهمية خارجية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الهلكة من أجل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الشعائر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هل الأدلة تامة أو لا؟ وهل كان هنالك قطع بالهكلة أو لا؟ وهل يشمل ما نحن فيه أو أنّه في هلكة تطرأ بلا اختيار؟</w:t>
      </w:r>
      <w:r>
        <w:rPr>
          <w:rStyle w:val="FootnoteAnchor"/>
          <w:rtl w:val="true"/>
        </w:rPr>
        <w:footnoteReference w:id="909"/>
      </w:r>
      <w:bookmarkStart w:id="578" w:name="pg15710_226892"/>
    </w:p>
    <w:p>
      <w:pPr>
        <w:pStyle w:val="BookText"/>
        <w:rPr/>
      </w:pPr>
      <w:bookmarkEnd w:id="578"/>
      <w:r>
        <w:rPr>
          <w:rFonts w:ascii="Amiri" w:hAnsi="Amiri" w:eastAsia="Amiri" w:cs="Amiri"/>
          <w:color w:val="111111"/>
          <w:sz w:val="28"/>
          <w:sz w:val="28"/>
          <w:szCs w:val="28"/>
          <w:rtl w:val="true"/>
          <w:lang w:bidi="ar-SA"/>
        </w:rPr>
        <w:t>ولذا جاز لتلك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تأخذ الماء من الرجل لكي لا تموت بقيمة زناه بها، بل لا يبعد أن يكون كذلك لو دار أمرها بين الزنا بها أو عميها أو قطع يدها أو ما أشبه؛ لأن المركوز في أذهان المتشرعة أقلية الزنا عن ذلك، وإذا كان الظالم يريد أخذه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المسلمين مثلاً فإذا قطع يده أو رجله بنفسه، تركه وشأنه، فالظاهر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ذلك؛ لأن القتل أكثر أهمية في نظر الشارع من قطع يده أو رجله</w:t>
      </w:r>
      <w:r>
        <w:rPr>
          <w:rFonts w:eastAsia="Amiri" w:cs="Amiri" w:ascii="Amiri" w:hAnsi="Amiri"/>
          <w:color w:val="111111"/>
          <w:sz w:val="28"/>
          <w:szCs w:val="28"/>
          <w:rtl w:val="true"/>
          <w:lang w:bidi="ar-SA"/>
        </w:rPr>
        <w:t>.</w:t>
      </w:r>
    </w:p>
    <w:p>
      <w:pPr>
        <w:pStyle w:val="Heading2"/>
        <w:numPr>
          <w:ilvl w:val="1"/>
          <w:numId w:val="1"/>
        </w:numPr>
        <w:rPr/>
      </w:pPr>
      <w:bookmarkStart w:id="579" w:name="__RefHeading___Toc12184071_2142443653"/>
      <w:bookmarkStart w:id="580" w:name="_Toc216"/>
      <w:bookmarkEnd w:id="579"/>
      <w:r>
        <w:rPr>
          <w:rtl w:val="true"/>
        </w:rPr>
        <w:t>تفريق المتظاهرين</w:t>
      </w:r>
      <w:bookmarkEnd w:id="58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للدولة تفريق المتظاهرين بحق بإطلاق الرصاص عليهم، ولو فعلت ذلك فأُصيب أحد فعليها الدية لكل قتل أو جرح</w:t>
      </w:r>
      <w:r>
        <w:rPr>
          <w:rStyle w:val="FootnoteAnchor"/>
          <w:rtl w:val="true"/>
        </w:rPr>
        <w:footnoteReference w:id="911"/>
      </w:r>
      <w:r>
        <w:rPr>
          <w:rFonts w:ascii="IRNazanin" w:hAnsi="IRNazanin" w:eastAsia="IRNazanin"/>
          <w:color w:val="111111"/>
          <w:sz w:val="28"/>
          <w:sz w:val="28"/>
          <w:szCs w:val="28"/>
          <w:rtl w:val="true"/>
          <w:lang w:bidi="fa-IR"/>
        </w:rPr>
        <w:t xml:space="preserve"> وقعا بسبب إطلاق الرصاص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اضطرار مسوغ، وهنا لا اضطرار،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القتل بلا اختيار منه، وإلاّ وجب عليه 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 لو دار أمر نفسه بين قطع يده، أو سراية المرض إلى قلبه وموته، فكما يجوز القطع كذلك يجوز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هنالك دية للأمراض النفسية الحاصلة؟ </w:t>
      </w:r>
      <w:bookmarkStart w:id="581" w:name="pg15710_226893"/>
    </w:p>
    <w:p>
      <w:pPr>
        <w:pStyle w:val="BookText"/>
        <w:rPr/>
      </w:pPr>
      <w:bookmarkEnd w:id="581"/>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 أصحاب المقتول، وإلا كان لهم القصاص، وكذلك حال ما إذا قطعت اليد أو الرجل إلى غير ذلك، وهل الدية على الدولة أو على القاتل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على القاتل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المتظاهرون بالباطل فلا يجوز إطلاق الرصاص</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أيضاً، وإنما يستفاد تفريقهم بطرق أُخرى كخراطيم الماء مثلاً</w:t>
      </w:r>
      <w:r>
        <w:rPr>
          <w:rFonts w:eastAsia="Amiri" w:cs="Amiri" w:ascii="Amiri" w:hAnsi="Amiri"/>
          <w:color w:val="111111"/>
          <w:sz w:val="28"/>
          <w:szCs w:val="28"/>
          <w:rtl w:val="true"/>
          <w:lang w:bidi="ar-SA"/>
        </w:rPr>
        <w:t>.</w:t>
      </w:r>
    </w:p>
    <w:p>
      <w:pPr>
        <w:pStyle w:val="Heading2"/>
        <w:numPr>
          <w:ilvl w:val="1"/>
          <w:numId w:val="1"/>
        </w:numPr>
        <w:rPr/>
      </w:pPr>
      <w:bookmarkStart w:id="582" w:name="__RefHeading___Toc12184073_2142443653"/>
      <w:bookmarkStart w:id="583" w:name="_Toc217"/>
      <w:bookmarkEnd w:id="582"/>
      <w:r>
        <w:rPr>
          <w:rtl w:val="true"/>
        </w:rPr>
        <w:t>القنابل المسيلة للدموع</w:t>
      </w:r>
      <w:bookmarkEnd w:id="58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للدولة تفريق المتظاهرين بحق بإلقاء القنابل المسيلة للدموع، أو بتسليط خراطيم الماء عليهم، أو بإلقاء القنابل المبردة، أو الموجبة لحرارة الجو أو المخدرة للأعصاب أو ما أشبه؛ لأن ذلك كله تصرف في الإنسان بدون 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وإيذاء وإهانة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وكلها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الدولة العادلة التي يشرف عليها شورى الفقهاء المراجع يحق ذلك، إذا كان أهم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من سلب الحرية والوقوف دون سلطة الإنسان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إذ لم يرد في الأدلة ذلك مع تعارفه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المباشر أقوى من السبب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الأهمية وعدم وجود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وقد يكون أمراً بالمنكر ونهياً عن المعروف أحياناً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في الأهمية عدم تشويه سمعة الإسلام، وعدم حصول رد فعلٍ في النفوس، كما سبق</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bookmarkStart w:id="584" w:name="pg15710_226894"/>
    </w:p>
    <w:p>
      <w:pPr>
        <w:pStyle w:val="Heading2"/>
        <w:numPr>
          <w:ilvl w:val="1"/>
          <w:numId w:val="1"/>
        </w:numPr>
        <w:rPr/>
      </w:pPr>
      <w:bookmarkStart w:id="585" w:name="__RefHeading___Toc12184075_2142443653"/>
      <w:bookmarkStart w:id="586" w:name="_Toc218"/>
      <w:bookmarkEnd w:id="584"/>
      <w:bookmarkEnd w:id="585"/>
      <w:r>
        <w:rPr>
          <w:rtl w:val="true"/>
        </w:rPr>
        <w:t>تقديم وتأخير الحيض</w:t>
      </w:r>
      <w:bookmarkEnd w:id="58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915"/>
      </w:r>
      <w:r>
        <w:rPr>
          <w:rFonts w:ascii="Amiri" w:hAnsi="Amiri" w:eastAsia="Amiri" w:cs="Amiri"/>
          <w:color w:val="111111"/>
          <w:sz w:val="28"/>
          <w:sz w:val="28"/>
          <w:szCs w:val="28"/>
          <w:rtl w:val="true"/>
          <w:lang w:bidi="ar-SA"/>
        </w:rPr>
        <w:t xml:space="preserve"> تقديم الحيض أو تأخيره بسبب شرب الدواء أو القفز أو ما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حديث ابن يقطين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رفع الحيض للمرأة في أيام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p>
    <w:p>
      <w:pPr>
        <w:pStyle w:val="BookText"/>
        <w:rPr/>
      </w:pP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التأخير فلا إشكال فيه، وكذا الرفع كما في الحديث</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التقديم ففيه إشكال؛ إذ هو تفويت للواجب إن قلنا بكون الوجوب معلقاً، أو كان ذلك بعد دخول الوقت، وهو تفويت للملاك على غيرهما؛ ولذا لا يجوز إراقة الماء بعد دخول الوقت، راجع العروة</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bookmarkStart w:id="587" w:name="pg15710_226895"/>
    </w:p>
    <w:p>
      <w:pPr>
        <w:pStyle w:val="BookText"/>
        <w:rPr/>
      </w:pPr>
      <w:bookmarkEnd w:id="587"/>
      <w:r>
        <w:rPr>
          <w:rFonts w:ascii="Amiri" w:hAnsi="Amiri" w:eastAsia="Amiri" w:cs="Amiri"/>
          <w:color w:val="111111"/>
          <w:sz w:val="28"/>
          <w:sz w:val="28"/>
          <w:szCs w:val="28"/>
          <w:rtl w:val="true"/>
          <w:lang w:bidi="ar-SA"/>
        </w:rPr>
        <w:t>بالإضافة إلى أنه مقتضى قاعدة تسلط</w:t>
      </w:r>
      <w:r>
        <w:rPr>
          <w:rStyle w:val="FootnoteAnchor"/>
          <w:rtl w:val="true"/>
        </w:rPr>
        <w:footnoteReference w:id="919"/>
      </w:r>
      <w:r>
        <w:rPr>
          <w:rFonts w:ascii="Amiri" w:hAnsi="Amiri" w:eastAsia="Amiri" w:cs="Amiri"/>
          <w:color w:val="111111"/>
          <w:sz w:val="28"/>
          <w:sz w:val="28"/>
          <w:szCs w:val="28"/>
          <w:rtl w:val="true"/>
          <w:lang w:bidi="ar-SA"/>
        </w:rPr>
        <w:t xml:space="preserve"> الناس، وأن الحكم يتبع موضوعه، وقد أشرنا إلى هذه المسألة سابقاً</w:t>
      </w:r>
      <w:r>
        <w:rPr>
          <w:rFonts w:eastAsia="Amiri" w:cs="Amiri" w:ascii="Amiri" w:hAnsi="Amiri"/>
          <w:color w:val="111111"/>
          <w:sz w:val="28"/>
          <w:szCs w:val="28"/>
          <w:rtl w:val="true"/>
          <w:lang w:bidi="ar-SA"/>
        </w:rPr>
        <w:t>.</w:t>
      </w:r>
    </w:p>
    <w:p>
      <w:pPr>
        <w:pStyle w:val="Heading2"/>
        <w:numPr>
          <w:ilvl w:val="1"/>
          <w:numId w:val="1"/>
        </w:numPr>
        <w:rPr/>
      </w:pPr>
      <w:bookmarkStart w:id="588" w:name="__RefHeading___Toc12184077_2142443653"/>
      <w:bookmarkStart w:id="589" w:name="_Toc219"/>
      <w:bookmarkEnd w:id="588"/>
      <w:r>
        <w:rPr>
          <w:rtl w:val="true"/>
        </w:rPr>
        <w:t>تكثير وتقليل الحيض</w:t>
      </w:r>
      <w:bookmarkEnd w:id="58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تكثير</w:t>
      </w:r>
      <w:r>
        <w:rPr>
          <w:rStyle w:val="FootnoteAnchor"/>
          <w:rtl w:val="true"/>
        </w:rPr>
        <w:footnoteReference w:id="920"/>
      </w:r>
      <w:r>
        <w:rPr>
          <w:rFonts w:ascii="Amiri" w:hAnsi="Amiri" w:eastAsia="Amiri" w:cs="Amiri"/>
          <w:color w:val="111111"/>
          <w:sz w:val="28"/>
          <w:sz w:val="28"/>
          <w:szCs w:val="28"/>
          <w:rtl w:val="true"/>
          <w:lang w:bidi="ar-SA"/>
        </w:rPr>
        <w:t xml:space="preserve"> الحيض أو تقليله،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ثلاثة أيام فتجعله خمسة أيام، أو كان عشرة أيام فتجعله ثلاثة أيام بسبب الدواء أو ما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تقدم في المسألة السابقة</w:t>
      </w:r>
      <w:r>
        <w:rPr>
          <w:rFonts w:eastAsia="Amiri" w:cs="Amiri" w:ascii="Amiri" w:hAnsi="Amiri"/>
          <w:color w:val="111111"/>
          <w:sz w:val="28"/>
          <w:szCs w:val="28"/>
          <w:rtl w:val="true"/>
          <w:lang w:bidi="ar-SA"/>
        </w:rPr>
        <w:t>.</w:t>
      </w:r>
    </w:p>
    <w:p>
      <w:pPr>
        <w:pStyle w:val="Heading2"/>
        <w:numPr>
          <w:ilvl w:val="1"/>
          <w:numId w:val="1"/>
        </w:numPr>
        <w:rPr/>
      </w:pPr>
      <w:bookmarkStart w:id="590" w:name="__RefHeading___Toc12184079_2142443653"/>
      <w:bookmarkStart w:id="591" w:name="_Toc220"/>
      <w:bookmarkEnd w:id="590"/>
      <w:r>
        <w:rPr>
          <w:rtl w:val="true"/>
        </w:rPr>
        <w:t>تكثير دفعات الحيض وتقليله</w:t>
      </w:r>
      <w:bookmarkEnd w:id="59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تكثير</w:t>
      </w:r>
      <w:r>
        <w:rPr>
          <w:rStyle w:val="FootnoteAnchor"/>
          <w:rtl w:val="true"/>
        </w:rPr>
        <w:footnoteReference w:id="921"/>
      </w:r>
      <w:r>
        <w:rPr>
          <w:rFonts w:ascii="Amiri" w:hAnsi="Amiri" w:eastAsia="Amiri" w:cs="Amiri"/>
          <w:color w:val="111111"/>
          <w:sz w:val="28"/>
          <w:sz w:val="28"/>
          <w:szCs w:val="28"/>
          <w:rtl w:val="true"/>
          <w:lang w:bidi="ar-SA"/>
        </w:rPr>
        <w:t xml:space="preserve"> دفعات الحيض أو تقليله،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ترى في كل شهر مرة فتجعله في كل شهر مرتين، أو كانت ترى في كل شهر مرتين فتجعله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تبديل الموضوع، كالمسافر يحضر، أو الحاضر يسافر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الفقه تفصيل بين موضوعين عرضيين فيجوز التبديل، وطوليين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أحدهما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بحاجة لتأمل</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الإشكال لم تنفع؛ إذ لا تسلط 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فيه نفس البحث السابق</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فيه نفس البحث السابق</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bookmarkStart w:id="592" w:name="pg15710_226896"/>
    </w:p>
    <w:p>
      <w:pPr>
        <w:pStyle w:val="BookText"/>
        <w:rPr/>
      </w:pPr>
      <w:bookmarkEnd w:id="59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لإطلاق تسلط الناس على أنفسهم بعد أن لم يكن محذور، وإذا تحقق الموضوع تحقق الحكم</w:t>
      </w:r>
      <w:r>
        <w:rPr>
          <w:rFonts w:eastAsia="Amiri" w:cs="Amiri" w:ascii="Amiri" w:hAnsi="Amiri"/>
          <w:color w:val="111111"/>
          <w:sz w:val="28"/>
          <w:szCs w:val="28"/>
          <w:rtl w:val="true"/>
          <w:lang w:bidi="ar-SA"/>
        </w:rPr>
        <w:t>.</w:t>
      </w:r>
    </w:p>
    <w:p>
      <w:pPr>
        <w:pStyle w:val="Heading2"/>
        <w:numPr>
          <w:ilvl w:val="1"/>
          <w:numId w:val="1"/>
        </w:numPr>
        <w:rPr/>
      </w:pPr>
      <w:bookmarkStart w:id="593" w:name="__RefHeading___Toc12184081_2142443653"/>
      <w:bookmarkStart w:id="594" w:name="_Toc221"/>
      <w:bookmarkEnd w:id="593"/>
      <w:r>
        <w:rPr>
          <w:rtl w:val="true"/>
        </w:rPr>
        <w:t>إيجاد الحيض وإعدامه</w:t>
      </w:r>
      <w:bookmarkEnd w:id="59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إيجاد</w:t>
      </w:r>
      <w:r>
        <w:rPr>
          <w:rStyle w:val="FootnoteAnchor"/>
          <w:rtl w:val="true"/>
        </w:rPr>
        <w:footnoteReference w:id="928"/>
      </w:r>
      <w:r>
        <w:rPr>
          <w:rFonts w:ascii="Amiri" w:hAnsi="Amiri" w:eastAsia="Amiri" w:cs="Amiri"/>
          <w:color w:val="111111"/>
          <w:sz w:val="28"/>
          <w:sz w:val="28"/>
          <w:szCs w:val="28"/>
          <w:rtl w:val="true"/>
          <w:lang w:bidi="ar-SA"/>
        </w:rPr>
        <w:t xml:space="preserve"> الحيض لمن لا تحيض وهي في سن من تحيض، كما يجوز إعدام الحيض، إلا إذا أوجب ذهاب قوة أو ضرراً بالغاً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ذكرناه في المسألة السابقة، إلا إذا سبب الإيجاد أو الإعدام ضرراً بالغاً، فإنه يشمله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كان حراماً وفعله فالحكم يتبع الموضوع، ولا منافاة بين الحكم التكليفي والحكم الوضعي، فلو صارت ممن لا تحيض يجوز وطيها حتى في الأيام التي كانت تحيض سابقاً وهكذا</w:t>
      </w:r>
      <w:r>
        <w:rPr>
          <w:rFonts w:eastAsia="Amiri" w:cs="Amiri" w:ascii="Amiri" w:hAnsi="Amiri"/>
          <w:color w:val="111111"/>
          <w:sz w:val="28"/>
          <w:szCs w:val="28"/>
          <w:rtl w:val="true"/>
          <w:lang w:bidi="ar-SA"/>
        </w:rPr>
        <w:t>.</w:t>
      </w:r>
    </w:p>
    <w:p>
      <w:pPr>
        <w:pStyle w:val="Heading2"/>
        <w:numPr>
          <w:ilvl w:val="1"/>
          <w:numId w:val="1"/>
        </w:numPr>
        <w:rPr/>
      </w:pPr>
      <w:bookmarkStart w:id="595" w:name="__RefHeading___Toc12184083_2142443653"/>
      <w:bookmarkStart w:id="596" w:name="_Toc222"/>
      <w:bookmarkEnd w:id="595"/>
      <w:r>
        <w:rPr>
          <w:rtl w:val="true"/>
        </w:rPr>
        <w:t>من أحكام تحقق الحيض</w:t>
      </w:r>
      <w:bookmarkEnd w:id="59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يتبع الحيض وعدمه، سواء في الصلاة والصوم أم العدة والطلاق وغيرها، فكلما تحقق الحيض ولو بالوسائل، تحققت الأحكام المترتبة على الحيض، وكلما انتفى الحيض انتفت الأحكام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BookText"/>
        <w:rPr/>
      </w:pP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في نفس البحث السابق</w:t>
      </w:r>
      <w:r>
        <w:rPr>
          <w:rStyle w:val="FootnoteAnchor"/>
          <w:rtl w:val="true"/>
        </w:rPr>
        <w:footnoteReference w:id="930"/>
      </w:r>
      <w:r>
        <w:rPr>
          <w:rFonts w:ascii="Amiri" w:hAnsi="Amiri" w:eastAsia="Amiri" w:cs="Amiri"/>
          <w:color w:val="111111"/>
          <w:sz w:val="28"/>
          <w:sz w:val="28"/>
          <w:szCs w:val="28"/>
          <w:rtl w:val="true"/>
          <w:lang w:bidi="ar-SA"/>
        </w:rPr>
        <w:t>، إلاّ أن يكون العدم ضررياً فلا 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نهياً عن الإضرار،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الجواز حكم ضرري، فتأمل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bookmarkStart w:id="597" w:name="pg15710_226897"/>
    </w:p>
    <w:p>
      <w:pPr>
        <w:pStyle w:val="BookText"/>
        <w:rPr/>
      </w:pPr>
      <w:bookmarkEnd w:id="59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لما ذكر من تبعية الحكم للموضوع، ثم ما ذكرناه من الجواز فيما إذا لم يرتبط بحق الغير، لكن إذا كانت المرأة متزوجة ولم يرضَ الزوج بتكثير الحيض أياماً أو عدداً أُشكل ذلك، ولا يبعد المنع</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حيث إن حق الاستمتاع للزوج حينئذ، فإذا لم يرضَ كان تصرفاً في سلطانه، هذا بشرط أن تكون مورد الاستفادة، فإذا سافر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لم يحرم؛ إذ لا يريد الاستفادة حينئذٍ، أما التقليل إذا لم يضر</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جاز؛ لأنه لم يمنع الزوج عن شيء</w:t>
      </w:r>
      <w:r>
        <w:rPr>
          <w:rFonts w:eastAsia="Amiri" w:cs="Amiri" w:ascii="Amiri" w:hAnsi="Amiri"/>
          <w:color w:val="111111"/>
          <w:sz w:val="28"/>
          <w:szCs w:val="28"/>
          <w:rtl w:val="true"/>
          <w:lang w:bidi="ar-SA"/>
        </w:rPr>
        <w:t>.</w:t>
      </w:r>
    </w:p>
    <w:p>
      <w:pPr>
        <w:pStyle w:val="Heading2"/>
        <w:numPr>
          <w:ilvl w:val="1"/>
          <w:numId w:val="1"/>
        </w:numPr>
        <w:rPr/>
      </w:pPr>
      <w:bookmarkStart w:id="598" w:name="__RefHeading___Toc12184085_2142443653"/>
      <w:bookmarkStart w:id="599" w:name="_Toc223"/>
      <w:bookmarkEnd w:id="598"/>
      <w:r>
        <w:rPr>
          <w:rtl w:val="true"/>
        </w:rPr>
        <w:t>قطع الحيض بالوسيلة</w:t>
      </w:r>
      <w:bookmarkEnd w:id="59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الحيض يوما ثم قطعته بالوسيلة، فهل تكون في ذلك اليوم محكومة بحكم الحيض؛ لأنه كان حيضاً، أو محكومة بحكم الطاهر؛ لأن الحيض لا يقل عن ثلاثة أيام؟ احتمالان، الأول لأن حالها حال ما إذا رأت الحيض يوماً ثم ماتت</w:t>
      </w:r>
      <w:r>
        <w:rPr>
          <w:rFonts w:eastAsia="Amiri" w:cs="Amiri" w:ascii="Amiri" w:hAnsi="Amiri"/>
          <w:color w:val="111111"/>
          <w:sz w:val="28"/>
          <w:szCs w:val="28"/>
          <w:rtl w:val="true"/>
          <w:lang w:bidi="ar-SA"/>
        </w:rPr>
        <w:t>.</w:t>
      </w:r>
    </w:p>
    <w:p>
      <w:pPr>
        <w:pStyle w:val="BookText"/>
        <w:rPr/>
      </w:pP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حقّ الناس وحق اللّه تعالى؟</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يُعلم وجود حقّ له تعالى بعد تبدل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بمثله في الزوج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يريد الاستفادة، أو كان غير قادر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ذلك بنفسه منفراً دخل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إزالة المنفرات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يرد الاستمتاع،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ضرراً بالغاً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bookmarkStart w:id="600" w:name="pg15710_226898"/>
    </w:p>
    <w:p>
      <w:pPr>
        <w:pStyle w:val="BookText"/>
        <w:rPr/>
      </w:pPr>
      <w:bookmarkEnd w:id="60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الثاني</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فيكون حالها حال ما إذا رأت الدم يوماً ثم انقطع من نفسه بلا وسيلة، فإن الحكم يتبع موضوعه، فتأمل</w:t>
      </w:r>
      <w:r>
        <w:rPr>
          <w:rFonts w:eastAsia="Amiri" w:cs="Amiri" w:ascii="Amiri" w:hAnsi="Amiri"/>
          <w:color w:val="111111"/>
          <w:sz w:val="28"/>
          <w:szCs w:val="28"/>
          <w:rtl w:val="true"/>
          <w:lang w:bidi="ar-SA"/>
        </w:rPr>
        <w:t>.</w:t>
      </w:r>
    </w:p>
    <w:p>
      <w:pPr>
        <w:pStyle w:val="Heading2"/>
        <w:numPr>
          <w:ilvl w:val="1"/>
          <w:numId w:val="1"/>
        </w:numPr>
        <w:rPr/>
      </w:pPr>
      <w:bookmarkStart w:id="601" w:name="__RefHeading___Toc12184087_2142443653"/>
      <w:bookmarkStart w:id="602" w:name="_Toc224"/>
      <w:bookmarkEnd w:id="601"/>
      <w:r>
        <w:rPr>
          <w:rtl w:val="true"/>
        </w:rPr>
        <w:t>النفاس والاستحاضة</w:t>
      </w:r>
      <w:bookmarkEnd w:id="60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المسائل السابقة في دم الحيض آتٍ في دم النفاس وفي دم الاستحاضة أيضاً، لكن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الدليل، فكلما تحقق الموضوع ولو اختياراً تحقق الحكم، والاختلاف اليسير مثل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الاستحاضة لا ترتبط بالمدة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الحيض والاستحاضة مادة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الفيضان،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والاستحاضة كثرة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بأنَّ الثلاثة أمارة، والأمارات مطلقاً ظرفها الشكّ، ولا شكّ هنا في كونه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يؤيد بمسألة المتعارف والانصراف، راجع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وينقض بما رأته المرأة قبل البلوغ وبعد اليأس وفوق العشرة ودون فاصلة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الحيض وإنْ كان موضوعاً تكوينياً عرفياً إلاّ أن الشارع تصرف فيه، وهذه التحديدات تفيد الموضوعية،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الإشكال في الحكم بحيضية ما لو ماتت قبل الثلاثة،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أنْ لا حدّ لأقل النفاس</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لأنَّ مدته أطول</w:t>
      </w:r>
      <w:r>
        <w:rPr>
          <w:rFonts w:eastAsia="Amiri" w:cs="Amiri" w:ascii="Amiri" w:hAnsi="Amiri"/>
          <w:color w:val="111111"/>
          <w:sz w:val="28"/>
          <w:szCs w:val="28"/>
          <w:rtl w:val="true"/>
          <w:lang w:bidi="ar-SA"/>
        </w:rPr>
        <w:t xml:space="preserve">. </w:t>
      </w:r>
      <w:bookmarkStart w:id="603" w:name="pg15710_226899"/>
    </w:p>
    <w:p>
      <w:pPr>
        <w:pStyle w:val="BookText"/>
        <w:rPr/>
      </w:pPr>
      <w:bookmarkEnd w:id="603"/>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الفيضان</w:t>
      </w:r>
      <w:r>
        <w:rPr>
          <w:rStyle w:val="FootnoteAnchor"/>
          <w:rtl w:val="true"/>
        </w:rPr>
        <w:footnoteReference w:id="937"/>
      </w:r>
      <w:r>
        <w:rPr>
          <w:rFonts w:ascii="Amiri" w:hAnsi="Amiri" w:eastAsia="Amiri" w:cs="Amiri"/>
          <w:color w:val="111111"/>
          <w:sz w:val="28"/>
          <w:sz w:val="28"/>
          <w:szCs w:val="28"/>
          <w:rtl w:val="true"/>
          <w:lang w:bidi="ar-SA"/>
        </w:rPr>
        <w:t>لأن زيادة المبنى تدل على زيادة المعنى</w:t>
      </w:r>
      <w:r>
        <w:rPr>
          <w:rFonts w:eastAsia="Amiri" w:cs="Amiri" w:ascii="Amiri" w:hAnsi="Amiri"/>
          <w:color w:val="111111"/>
          <w:sz w:val="28"/>
          <w:szCs w:val="28"/>
          <w:rtl w:val="true"/>
          <w:lang w:bidi="ar-SA"/>
        </w:rPr>
        <w:t>.</w:t>
      </w:r>
    </w:p>
    <w:p>
      <w:pPr>
        <w:pStyle w:val="Heading2"/>
        <w:numPr>
          <w:ilvl w:val="1"/>
          <w:numId w:val="1"/>
        </w:numPr>
        <w:rPr/>
      </w:pPr>
      <w:bookmarkStart w:id="604" w:name="__RefHeading___Toc12184089_2142443653"/>
      <w:bookmarkStart w:id="605" w:name="_Toc225"/>
      <w:bookmarkEnd w:id="604"/>
      <w:r>
        <w:rPr>
          <w:rtl w:val="true"/>
        </w:rPr>
        <w:t>التلاعب بالاستحاضة</w:t>
      </w:r>
      <w:bookmarkEnd w:id="60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938"/>
      </w:r>
      <w:r>
        <w:rPr>
          <w:rFonts w:ascii="Amiri" w:hAnsi="Amiri" w:eastAsia="Amiri" w:cs="Amiri"/>
          <w:color w:val="111111"/>
          <w:sz w:val="28"/>
          <w:sz w:val="28"/>
          <w:szCs w:val="28"/>
          <w:rtl w:val="true"/>
          <w:lang w:bidi="ar-SA"/>
        </w:rPr>
        <w:t xml:space="preserve"> للمرأة أن تقلب استحاضتها من القلة إلى التوسط أو الكثرة، أو من الكثرة إلى التوسط أو القلة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لسلطانها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ولا محذور شرعي، فإذا تحقق موضوع كل قسم تبعه حكمه</w:t>
      </w:r>
      <w:r>
        <w:rPr>
          <w:rFonts w:eastAsia="Amiri" w:cs="Amiri" w:ascii="Amiri" w:hAnsi="Amiri"/>
          <w:color w:val="111111"/>
          <w:sz w:val="28"/>
          <w:szCs w:val="28"/>
          <w:rtl w:val="true"/>
          <w:lang w:bidi="ar-SA"/>
        </w:rPr>
        <w:t>.</w:t>
      </w:r>
    </w:p>
    <w:p>
      <w:pPr>
        <w:pStyle w:val="Heading2"/>
        <w:numPr>
          <w:ilvl w:val="1"/>
          <w:numId w:val="1"/>
        </w:numPr>
        <w:rPr/>
      </w:pPr>
      <w:bookmarkStart w:id="606" w:name="__RefHeading___Toc12184091_2142443653"/>
      <w:bookmarkStart w:id="607" w:name="_Toc226"/>
      <w:bookmarkEnd w:id="606"/>
      <w:r>
        <w:rPr>
          <w:rtl w:val="true"/>
        </w:rPr>
        <w:t>الفرار من المواقعة الجنسية بين الزوجين</w:t>
      </w:r>
      <w:bookmarkEnd w:id="60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Style w:val="FootnoteAnchor"/>
          <w:rtl w:val="true"/>
        </w:rPr>
        <w:footnoteReference w:id="939"/>
      </w:r>
      <w:r>
        <w:rPr>
          <w:rFonts w:ascii="Amiri" w:hAnsi="Amiri" w:eastAsia="Amiri" w:cs="Amiri"/>
          <w:color w:val="111111"/>
          <w:sz w:val="28"/>
          <w:sz w:val="28"/>
          <w:szCs w:val="28"/>
          <w:rtl w:val="true"/>
          <w:lang w:bidi="ar-SA"/>
        </w:rPr>
        <w:t xml:space="preserve"> للزوجة أن تحيض نفسها فراراً من مواقعة زوجها لها أم لا؟ الظاهر أنها لا حق لها في ذلك، ولكن إذا عصت وفعلت لم يكن لزوجها المواقعة</w:t>
      </w:r>
      <w:r>
        <w:rPr>
          <w:rFonts w:eastAsia="Amiri" w:cs="Amiri" w:ascii="Amiri" w:hAnsi="Amiri"/>
          <w:color w:val="111111"/>
          <w:sz w:val="28"/>
          <w:szCs w:val="28"/>
          <w:rtl w:val="true"/>
          <w:lang w:bidi="ar-SA"/>
        </w:rPr>
        <w:t>.</w:t>
      </w:r>
    </w:p>
    <w:p>
      <w:pPr>
        <w:pStyle w:val="BookText"/>
        <w:rPr/>
      </w:pP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طلب ذلك، فراجع</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يأتي إشكال الحيض؛ لأن المستحاضة بحكم الطاهرة، فلا مانع من جعل القليلة متوسطة، والمتوسطة كثيرة</w:t>
      </w:r>
      <w:r>
        <w:rPr>
          <w:rFonts w:eastAsia="Amiri" w:cs="Amiri" w:ascii="Amiri" w:hAnsi="Amiri"/>
          <w:color w:val="111111"/>
          <w:sz w:val="28"/>
          <w:szCs w:val="28"/>
          <w:rtl w:val="true"/>
          <w:lang w:bidi="ar-SA"/>
        </w:rPr>
        <w:t>.</w:t>
      </w:r>
    </w:p>
    <w:p>
      <w:pPr>
        <w:pStyle w:val="BookText"/>
        <w:rPr/>
      </w:pP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فقد الدليل الاجتهادي فمقتضى 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البحث في ذلك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bookmarkStart w:id="608" w:name="pg15710_226900"/>
    </w:p>
    <w:p>
      <w:pPr>
        <w:pStyle w:val="BookText"/>
        <w:rPr/>
      </w:pPr>
      <w:bookmarkEnd w:id="60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وجه الحكمين من أنه حق الزوج، ومن أن الحكم تابع</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لموضوعه، ولا يخفى أن المستحاضة وإن جاز لزوجها المواقعة إلا أنه إذا لم يرغب في الإدخال وهي ذات دم لم يجز</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لها ذلك بأن تجعل نفسها مستحاضة؛ لأنه من حق الزوج كما تقدم</w:t>
      </w:r>
      <w:r>
        <w:rPr>
          <w:rFonts w:eastAsia="Amiri" w:cs="Amiri" w:ascii="Amiri" w:hAnsi="Amiri"/>
          <w:color w:val="111111"/>
          <w:sz w:val="28"/>
          <w:szCs w:val="28"/>
          <w:rtl w:val="true"/>
          <w:lang w:bidi="ar-SA"/>
        </w:rPr>
        <w:t>.</w:t>
      </w:r>
    </w:p>
    <w:p>
      <w:pPr>
        <w:pStyle w:val="Heading2"/>
        <w:numPr>
          <w:ilvl w:val="1"/>
          <w:numId w:val="1"/>
        </w:numPr>
        <w:rPr/>
      </w:pPr>
      <w:bookmarkStart w:id="609" w:name="__RefHeading___Toc12184093_2142443653"/>
      <w:bookmarkStart w:id="610" w:name="_Toc227"/>
      <w:bookmarkEnd w:id="609"/>
      <w:r>
        <w:rPr>
          <w:rtl w:val="true"/>
        </w:rPr>
        <w:t>النفقة بعد تحقيق الفرار</w:t>
      </w:r>
      <w:bookmarkEnd w:id="61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حيضت نفسها فراراً من زوجها، كما تقدم في المسألة السابقة، فهل لها النفقة أم لا؟ وهل أنها تكون بعملها ذلك ناشزاً</w:t>
      </w:r>
      <w:r>
        <w:rPr>
          <w:rStyle w:val="FootnoteAnchor"/>
          <w:rtl w:val="true"/>
        </w:rPr>
        <w:footnoteReference w:id="946"/>
      </w:r>
      <w:r>
        <w:rPr>
          <w:rFonts w:ascii="IRNazanin" w:hAnsi="IRNazanin" w:eastAsia="IRNazanin"/>
          <w:color w:val="111111"/>
          <w:sz w:val="28"/>
          <w:sz w:val="28"/>
          <w:szCs w:val="28"/>
          <w:rtl w:val="true"/>
          <w:lang w:bidi="fa-IR"/>
        </w:rPr>
        <w:t xml:space="preserve"> أم لا؟ احتمالان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أنه إذا كان ذلك خلاف رغبة الزوج ونهاها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كانت ناشزة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والموضوعان عرضيان، فيجوز ذلك، راجع ما سبق</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المنفرات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BookText"/>
        <w:rPr/>
      </w:pP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والامتناع بالاختيار لا ينافي الاختيار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للنهي بعد العلم بعدم الرضا،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يكفي الشكّ؛ إذ لا </w:t>
      </w:r>
      <w:bookmarkStart w:id="611" w:name="pg15710_226901"/>
    </w:p>
    <w:p>
      <w:pPr>
        <w:pStyle w:val="BookText"/>
        <w:rPr/>
      </w:pPr>
      <w:bookmarkEnd w:id="611"/>
      <w:r>
        <w:rPr>
          <w:rFonts w:ascii="Amiri" w:hAnsi="Amiri" w:eastAsia="Amiri" w:cs="Amiri"/>
          <w:color w:val="111111"/>
          <w:sz w:val="28"/>
          <w:sz w:val="28"/>
          <w:szCs w:val="28"/>
          <w:rtl w:val="true"/>
          <w:lang w:bidi="ar-SA"/>
        </w:rPr>
        <w:t>ولا نفقة لها، حسب الصناعة</w:t>
      </w:r>
      <w:r>
        <w:rPr>
          <w:rFonts w:eastAsia="Amiri" w:cs="Amiri" w:ascii="Amiri" w:hAnsi="Amiri"/>
          <w:color w:val="111111"/>
          <w:sz w:val="28"/>
          <w:szCs w:val="28"/>
          <w:rtl w:val="true"/>
          <w:lang w:bidi="ar-SA"/>
        </w:rPr>
        <w:t>.</w:t>
      </w:r>
    </w:p>
    <w:p>
      <w:pPr>
        <w:pStyle w:val="Heading2"/>
        <w:numPr>
          <w:ilvl w:val="1"/>
          <w:numId w:val="1"/>
        </w:numPr>
        <w:rPr/>
      </w:pPr>
      <w:bookmarkStart w:id="612" w:name="__RefHeading___Toc12184095_2142443653"/>
      <w:bookmarkStart w:id="613" w:name="_Toc228"/>
      <w:bookmarkEnd w:id="612"/>
      <w:r>
        <w:rPr>
          <w:rtl w:val="true"/>
        </w:rPr>
        <w:t>سحب الدم بالآلة</w:t>
      </w:r>
      <w:bookmarkEnd w:id="61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أخرجت دم الحيض بواسطة السحب بالآلة فهل تكون مدة خروج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حائضاً أم لا؟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أنه حيض، ومن أن أدلة الحيض منصرفة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عن مثل ذلك، ولما دل على أن الحيض لا يقل عن ثلاثة، وهذا أقرب</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4" w:name="__RefHeading___Toc12184097_2142443653"/>
      <w:bookmarkStart w:id="615" w:name="_Toc229"/>
      <w:bookmarkEnd w:id="614"/>
      <w:r>
        <w:rPr>
          <w:rtl w:val="true"/>
        </w:rPr>
        <w:t>الحيض لا من المخرج المتعارف</w:t>
      </w:r>
      <w:bookmarkEnd w:id="61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w:t>
      </w:r>
      <w:r>
        <w:rPr>
          <w:rStyle w:val="FootnoteAnchor"/>
          <w:rtl w:val="true"/>
        </w:rPr>
        <w:footnoteReference w:id="953"/>
      </w:r>
      <w:r>
        <w:rPr>
          <w:rFonts w:ascii="Amiri" w:hAnsi="Amiri" w:eastAsia="Amiri" w:cs="Amiri"/>
          <w:color w:val="111111"/>
          <w:sz w:val="28"/>
          <w:sz w:val="28"/>
          <w:szCs w:val="28"/>
          <w:rtl w:val="true"/>
          <w:lang w:bidi="ar-SA"/>
        </w:rPr>
        <w:t xml:space="preserve"> دم الحيض بواسطة أُنبوب وضع في ظهرها أو</w:t>
      </w:r>
    </w:p>
    <w:p>
      <w:pPr>
        <w:pStyle w:val="BookText"/>
        <w:rPr/>
      </w:pPr>
      <w:r>
        <w:rPr>
          <w:rFonts w:ascii="Amiri" w:hAnsi="Amiri" w:eastAsia="Amiri" w:cs="Amiri"/>
          <w:color w:val="111111"/>
          <w:sz w:val="28"/>
          <w:sz w:val="28"/>
          <w:szCs w:val="28"/>
          <w:rtl w:val="true"/>
          <w:lang w:bidi="ar-SA"/>
        </w:rPr>
        <w:t>حقّ لأحد في التصرّف بحق الآخرين إلاّ مع العلم بإذنه، والشك لا يكفي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العروة</w:t>
      </w:r>
      <w:r>
        <w:rPr>
          <w:rStyle w:val="FootnoteAnchor"/>
          <w:rtl w:val="true"/>
        </w:rPr>
        <w:footnoteReference w:id="954"/>
      </w:r>
      <w:r>
        <w:rPr>
          <w:rFonts w:ascii="Amiri" w:hAnsi="Amiri" w:eastAsia="Amiri" w:cs="Amiri"/>
          <w:color w:val="111111"/>
          <w:sz w:val="28"/>
          <w:sz w:val="28"/>
          <w:szCs w:val="28"/>
          <w:rtl w:val="true"/>
          <w:lang w:bidi="ar-SA"/>
        </w:rPr>
        <w:t>، بحث الوضوء، الإباحة، والخمس في أنَّ الأصل الاحترام إلاّ أن يُعلم بالعدم</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الشرعي كما سبق</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الحكم بالحيضية مطلقاً</w:t>
      </w:r>
      <w:r>
        <w:rPr>
          <w:rFonts w:eastAsia="Amiri" w:cs="Amiri" w:ascii="Amiri" w:hAnsi="Amiri"/>
          <w:color w:val="111111"/>
          <w:sz w:val="28"/>
          <w:szCs w:val="28"/>
          <w:rtl w:val="true"/>
          <w:lang w:bidi="ar-SA"/>
        </w:rPr>
        <w:t xml:space="preserve">. </w:t>
      </w:r>
      <w:bookmarkStart w:id="616" w:name="pg15710_226902"/>
    </w:p>
    <w:p>
      <w:pPr>
        <w:pStyle w:val="BookText"/>
        <w:rPr/>
      </w:pPr>
      <w:bookmarkEnd w:id="616"/>
      <w:r>
        <w:rPr>
          <w:rFonts w:ascii="Amiri" w:hAnsi="Amiri" w:eastAsia="Amiri" w:cs="Amiri"/>
          <w:color w:val="111111"/>
          <w:sz w:val="28"/>
          <w:sz w:val="28"/>
          <w:szCs w:val="28"/>
          <w:rtl w:val="true"/>
          <w:lang w:bidi="ar-SA"/>
        </w:rPr>
        <w:t>بطنها مثلاً، لا من المخرج المتعارف، فهل تكون محكوماً بحكم الحائض أم لا؟ أم يفصل بين اعتياد الإخراج من ذلك الأُنبوب وبين وقوع ذلك مرة واحدة فقط، مثلاً؟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أنه كخروج البول والغائط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 في الفقه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الملاك في المقامين</w:t>
      </w:r>
      <w:r>
        <w:rPr>
          <w:rFonts w:eastAsia="Amiri" w:cs="Amiri" w:ascii="Amiri" w:hAnsi="Amiri"/>
          <w:color w:val="111111"/>
          <w:sz w:val="28"/>
          <w:szCs w:val="28"/>
          <w:rtl w:val="true"/>
          <w:lang w:bidi="ar-SA"/>
        </w:rPr>
        <w:t>.</w:t>
      </w:r>
    </w:p>
    <w:p>
      <w:pPr>
        <w:pStyle w:val="Heading2"/>
        <w:numPr>
          <w:ilvl w:val="1"/>
          <w:numId w:val="1"/>
        </w:numPr>
        <w:rPr/>
      </w:pPr>
      <w:bookmarkStart w:id="617" w:name="__RefHeading___Toc12184099_2142443653"/>
      <w:bookmarkStart w:id="618" w:name="_Toc230"/>
      <w:bookmarkEnd w:id="617"/>
      <w:r>
        <w:rPr>
          <w:rtl w:val="true"/>
        </w:rPr>
        <w:t>تسريع نبع دم الحيض</w:t>
      </w:r>
      <w:bookmarkEnd w:id="61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توسلت بوسيلة جعلت دم الحيض الخارج في مدة ثلاثة أيام يخرج ببطء في مدة خمسة أيام</w:t>
      </w:r>
      <w:r>
        <w:rPr>
          <w:rStyle w:val="FootnoteAnchor"/>
          <w:rtl w:val="true"/>
        </w:rPr>
        <w:footnoteReference w:id="961"/>
      </w:r>
      <w:r>
        <w:rPr>
          <w:rFonts w:ascii="Amiri" w:hAnsi="Amiri" w:eastAsia="Amiri" w:cs="Amiri"/>
          <w:color w:val="111111"/>
          <w:sz w:val="28"/>
          <w:sz w:val="28"/>
          <w:szCs w:val="28"/>
          <w:rtl w:val="true"/>
          <w:lang w:bidi="ar-SA"/>
        </w:rPr>
        <w:t>، فالظاهر أن الجميع حيض، وكذلك العكس لو جعلت دم الحيض الخارج في مدة خمسة أيام يخرج بكثرة في مدة ثلاثة أيام، فالظاهر أن يوم النقاء ليس حيضاً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لأنه كلّما تحقق الموضوع</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تحقق الحكم، وكلّما لم يتحقق 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p>
    <w:p>
      <w:pPr>
        <w:pStyle w:val="BookText"/>
        <w:rPr/>
      </w:pP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البحث في حليته وحرمته فقد سبق</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المسائل السابقة</w:t>
      </w:r>
      <w:r>
        <w:rPr>
          <w:rStyle w:val="FootnoteAnchor"/>
          <w:rtl w:val="true"/>
        </w:rPr>
        <w:footnoteReference w:id="965"/>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 تابعة </w:t>
      </w:r>
      <w:bookmarkStart w:id="619" w:name="pg15710_226903"/>
    </w:p>
    <w:p>
      <w:pPr>
        <w:pStyle w:val="Heading2"/>
        <w:numPr>
          <w:ilvl w:val="1"/>
          <w:numId w:val="1"/>
        </w:numPr>
        <w:rPr/>
      </w:pPr>
      <w:bookmarkStart w:id="620" w:name="__RefHeading___Toc12184101_2142443653"/>
      <w:bookmarkStart w:id="621" w:name="_Toc231"/>
      <w:bookmarkEnd w:id="619"/>
      <w:bookmarkEnd w:id="620"/>
      <w:r>
        <w:rPr>
          <w:rtl w:val="true"/>
        </w:rPr>
        <w:t>تكثير أيام الحيض</w:t>
      </w:r>
      <w:bookmarkEnd w:id="62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توسلت بوسيلة جعلت الدم المقرر خروجه لعشرة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كانت عادتها عشرة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أحد عشر يوماً، فاليوم الزائد ليس محكوماً بحكم الحيض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أدلة أن دم الحيض لا يكون أكثر من عشرة، إلا أن يقال بانصراف</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الأدلة عن مثل ذلك، وكذلك في عكسه لو جعلت دم الثلاثة بالكبس يخرج في يومين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للعناوين</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 xml:space="preserve">، و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الاستحالة</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في المطهرات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الانصراف هنا تم في بعض المسائل السابقة، ووجه ذلك أنّ الألفاظ محمولة على المتعارف، وهذا ليس متعارفاً، فتأمل، وراجع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bookmarkStart w:id="622" w:name="pg15710_226904"/>
    </w:p>
    <w:p>
      <w:pPr>
        <w:pStyle w:val="Heading2"/>
        <w:numPr>
          <w:ilvl w:val="1"/>
          <w:numId w:val="1"/>
        </w:numPr>
        <w:rPr/>
      </w:pPr>
      <w:bookmarkStart w:id="623" w:name="__RefHeading___Toc12184103_2142443653"/>
      <w:bookmarkStart w:id="624" w:name="_Toc232"/>
      <w:bookmarkEnd w:id="622"/>
      <w:bookmarkEnd w:id="623"/>
      <w:r>
        <w:rPr>
          <w:rtl w:val="true"/>
        </w:rPr>
        <w:t>تقطيع دم الحيض بالآلة</w:t>
      </w:r>
      <w:bookmarkEnd w:id="62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سببت الآلة تقطيع دم الحيض بأن كانت عادتها ثلاثة أيام فصارت بسبب الآلة ترى الدم في اليوم الأول والثالث والسادس، فالمسألة مشكلة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والاحتياط</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هنا وفي كل ما شك سبيل النجاة، وإن كان الظاهر</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أنه ليس بحيض؛ لاشتراط الاستمرار ثلاثة أيام فيه</w:t>
      </w:r>
      <w:r>
        <w:rPr>
          <w:rFonts w:eastAsia="Amiri" w:cs="Amiri" w:ascii="Amiri" w:hAnsi="Amiri"/>
          <w:color w:val="111111"/>
          <w:sz w:val="28"/>
          <w:szCs w:val="28"/>
          <w:rtl w:val="true"/>
          <w:lang w:bidi="ar-SA"/>
        </w:rPr>
        <w:t>.</w:t>
      </w:r>
    </w:p>
    <w:p>
      <w:pPr>
        <w:pStyle w:val="Heading2"/>
        <w:numPr>
          <w:ilvl w:val="1"/>
          <w:numId w:val="1"/>
        </w:numPr>
        <w:rPr/>
      </w:pPr>
      <w:bookmarkStart w:id="625" w:name="__RefHeading___Toc12184105_2142443653"/>
      <w:bookmarkStart w:id="626" w:name="_Toc233"/>
      <w:bookmarkEnd w:id="625"/>
      <w:r>
        <w:rPr>
          <w:rtl w:val="true"/>
        </w:rPr>
        <w:t>السجود على ما صار مأكولاً</w:t>
      </w:r>
      <w:bookmarkEnd w:id="62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قُرِّر أكل كل نبات لوسائل تطويرية أبدلت النباتات التي لا تؤكل إلى التي تؤكل، فهل يصح السجود على ما لم يكن يؤكل سابقاً، أو لا يصح السجود باعتبار هذه الحالة الطارئة؟ احتمالات، وإن كان الظاهر عدم الصحة؛ لأن الحكم تابع للموضوع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الآن مما يؤكل، لا مما لا يؤكل، كما أنه كذلك إذا صار</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بالجمع بين تروك الحائض وأعمال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حرمة العبادات على الحائض ليست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الاحتياط في العبادة لدوران الأمر بين المحذورين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الكلام في مثله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bookmarkStart w:id="627" w:name="pg15710_226905"/>
    </w:p>
    <w:p>
      <w:pPr>
        <w:pStyle w:val="BookText"/>
        <w:rPr/>
      </w:pPr>
      <w:bookmarkEnd w:id="627"/>
      <w:r>
        <w:rPr>
          <w:rFonts w:ascii="IRNazanin" w:hAnsi="IRNazanin" w:eastAsia="IRNazanin"/>
          <w:color w:val="111111"/>
          <w:sz w:val="28"/>
          <w:sz w:val="28"/>
          <w:szCs w:val="28"/>
          <w:rtl w:val="true"/>
          <w:lang w:bidi="fa-IR"/>
        </w:rPr>
        <w:t>بالطبخ</w:t>
      </w:r>
      <w:r>
        <w:rPr>
          <w:rStyle w:val="FootnoteAnchor"/>
          <w:rtl w:val="true"/>
        </w:rPr>
        <w:footnoteReference w:id="976"/>
      </w:r>
      <w:r>
        <w:rPr>
          <w:rFonts w:ascii="Amiri" w:hAnsi="Amiri" w:eastAsia="Amiri" w:cs="Amiri"/>
          <w:color w:val="111111"/>
          <w:sz w:val="28"/>
          <w:sz w:val="28"/>
          <w:szCs w:val="28"/>
          <w:rtl w:val="true"/>
          <w:lang w:bidi="ar-SA"/>
        </w:rPr>
        <w:t xml:space="preserve"> مأكولاً</w:t>
      </w:r>
      <w:r>
        <w:rPr>
          <w:rFonts w:eastAsia="Amiri" w:cs="Amiri" w:ascii="Amiri" w:hAnsi="Amiri"/>
          <w:color w:val="111111"/>
          <w:sz w:val="28"/>
          <w:szCs w:val="28"/>
          <w:rtl w:val="true"/>
          <w:lang w:bidi="ar-SA"/>
        </w:rPr>
        <w:t>.</w:t>
      </w:r>
    </w:p>
    <w:p>
      <w:pPr>
        <w:pStyle w:val="Heading2"/>
        <w:numPr>
          <w:ilvl w:val="1"/>
          <w:numId w:val="1"/>
        </w:numPr>
        <w:rPr/>
      </w:pPr>
      <w:bookmarkStart w:id="628" w:name="__RefHeading___Toc12184107_2142443653"/>
      <w:bookmarkStart w:id="629" w:name="_Toc234"/>
      <w:bookmarkEnd w:id="628"/>
      <w:r>
        <w:rPr>
          <w:rtl w:val="true"/>
        </w:rPr>
        <w:t>السجود على ما صار غير مأكول</w:t>
      </w:r>
      <w:bookmarkEnd w:id="62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قسم من النباتات المأكولة عن قابلية الأكل بوسائل تطويرية فالظاهر جواز السجود عليها بعد التطوير، لما تقدم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الآن ليس بمأكول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0" w:name="__RefHeading___Toc12184109_2142443653"/>
      <w:bookmarkStart w:id="631" w:name="_Toc235"/>
      <w:bookmarkEnd w:id="630"/>
      <w:r>
        <w:rPr>
          <w:rtl w:val="true"/>
        </w:rPr>
        <w:t>السجود على ما كان ملبوساً وبالعكس</w:t>
      </w:r>
      <w:bookmarkEnd w:id="63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النبات الملبوس بأن صار غير الملبوس ملبوساً، أو صار الملبوس غير ملبوس بوسائل تطويرية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تقدم من أن الحكم تابع لموضوعه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ولو لم يطبخ يعد مأكولاً،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الأكل، فليس في ذلك تبدل وانقلاب بخلاف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تابع للموضوع، كما مر مراراً، راجع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اختلفت الأعراف كان لكلٍ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ما يصح السجود عليه في العروة</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 العرف الواحد فما الحكم؟ ولو هاجر الإنسان من عرف إلى عرف آخر؟ </w:t>
      </w:r>
      <w:bookmarkStart w:id="632" w:name="pg15710_226906"/>
    </w:p>
    <w:p>
      <w:pPr>
        <w:pStyle w:val="Heading2"/>
        <w:numPr>
          <w:ilvl w:val="1"/>
          <w:numId w:val="1"/>
        </w:numPr>
        <w:rPr/>
      </w:pPr>
      <w:bookmarkStart w:id="633" w:name="__RefHeading___Toc12184111_2142443653"/>
      <w:bookmarkStart w:id="634" w:name="_Toc236"/>
      <w:bookmarkEnd w:id="632"/>
      <w:bookmarkEnd w:id="633"/>
      <w:r>
        <w:rPr>
          <w:rtl w:val="true"/>
        </w:rPr>
        <w:t>الحرير من الحيوانات الأُخرى</w:t>
      </w:r>
      <w:bookmarkEnd w:id="63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اتخاذ الحرير حقيقة من بعض الحيوانات بوسائل فنية، فهل يكون بحكم الحرير في حرمة اللبس للرجال أم لا؟ احتمالان، وإن كان الأقرب حرمة اللبس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صدق الحرير حقيقة لا اسماً وصورة فقط</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اللّهم إلا أن يقال بالانصراف</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عن حرير غير دود القز،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pStyle w:val="BookText"/>
        <w:rPr/>
      </w:pP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الأحكام تابعة للعناوين</w:t>
      </w:r>
      <w:r>
        <w:rPr>
          <w:rFonts w:eastAsia="Amiri" w:cs="Amiri" w:ascii="Amiri" w:hAnsi="Amiri"/>
          <w:color w:val="111111"/>
          <w:sz w:val="28"/>
          <w:szCs w:val="28"/>
          <w:rtl w:val="true"/>
          <w:lang w:bidi="ar-SA"/>
        </w:rPr>
        <w:t>.</w:t>
      </w:r>
    </w:p>
    <w:p>
      <w:pPr>
        <w:pStyle w:val="BookText"/>
        <w:rPr/>
      </w:pP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القضيّة وإن كانت حقيقية إلاّ أنها تشمل الأفراد المتجددة لحرير القز لا غيره، وإلا لنقض ذلك بالحرير الصناعي لو صدق عليه الحرير حقيقةً، وكذا لو أوجد وليّ من الأولياء الحرير بالكرامة أو الإعجاز،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تابعة للملاكات، وحيث إنهما لا يختلفان مطلقاً سرت إليه الحرمة، 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الملاكات مجهولة 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عرفية، فلو قال الطبيب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عليه ما صنعته دودة القز؛ إذ لا فرق</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يقرب ذلك بأنه لو خلق ولي من الأولياء الماء بالإعجاز أو الكرامة جاز الوضوء به، ولا يلاحظ لزوم كون منشئه ماء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عَلَيْكُمْ مِنْ السَّمَاءِ</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فَسَلَكَهُ يَنَابِيعَ</w:t>
      </w:r>
      <w:r>
        <w:rPr>
          <w:rFonts w:eastAsia="Amiri" w:cs="Amiri" w:ascii="Amiri" w:hAnsi="Amiri"/>
          <w:color w:val="111111"/>
          <w:sz w:val="28"/>
          <w:szCs w:val="28"/>
          <w:rtl w:val="true"/>
          <w:lang w:bidi="ar-SA"/>
        </w:rPr>
        <w:t>}</w:t>
      </w:r>
      <w:r>
        <w:rPr>
          <w:rStyle w:val="FootnoteAnchor"/>
          <w:rtl w:val="true"/>
        </w:rPr>
        <w:footnoteReference w:id="985"/>
      </w:r>
      <w:r>
        <w:rPr>
          <w:rFonts w:ascii="IRNazanin" w:hAnsi="IRNazanin" w:eastAsia="IRNazanin"/>
          <w:color w:val="111111"/>
          <w:sz w:val="28"/>
          <w:sz w:val="28"/>
          <w:szCs w:val="28"/>
          <w:rtl w:val="true"/>
          <w:lang w:bidi="fa-IR"/>
        </w:rPr>
        <w:t>فتأمل</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bookmarkStart w:id="635" w:name="pg15710_226907"/>
    </w:p>
    <w:p>
      <w:pPr>
        <w:pStyle w:val="BookText"/>
        <w:rPr/>
      </w:pPr>
      <w:bookmarkEnd w:id="635"/>
      <w:r>
        <w:rPr>
          <w:rFonts w:ascii="Amiri" w:hAnsi="Amiri" w:eastAsia="Amiri" w:cs="Amiri"/>
          <w:color w:val="111111"/>
          <w:sz w:val="28"/>
          <w:sz w:val="28"/>
          <w:szCs w:val="28"/>
          <w:rtl w:val="true"/>
          <w:lang w:bidi="ar-SA"/>
        </w:rPr>
        <w:t>الحكم كذلك في اللؤلؤ مثلاً، لا يختلف فيه بين اللؤلؤ الطبيعي أو الاصطناعي</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كما يفعله بعض الدول الصناعية لكن بالوسائل الفنية في نفس البحر وسائر شرائطه</w:t>
      </w:r>
      <w:r>
        <w:rPr>
          <w:rFonts w:eastAsia="Amiri" w:cs="Amiri" w:ascii="Amiri" w:hAnsi="Amiri"/>
          <w:color w:val="111111"/>
          <w:sz w:val="28"/>
          <w:szCs w:val="28"/>
          <w:rtl w:val="true"/>
          <w:lang w:bidi="ar-SA"/>
        </w:rPr>
        <w:t>.</w:t>
      </w:r>
    </w:p>
    <w:p>
      <w:pPr>
        <w:pStyle w:val="Heading2"/>
        <w:numPr>
          <w:ilvl w:val="1"/>
          <w:numId w:val="1"/>
        </w:numPr>
        <w:rPr/>
      </w:pPr>
      <w:bookmarkStart w:id="636" w:name="__RefHeading___Toc12184113_2142443653"/>
      <w:bookmarkStart w:id="637" w:name="_Toc237"/>
      <w:bookmarkEnd w:id="636"/>
      <w:r>
        <w:rPr>
          <w:rtl w:val="true"/>
        </w:rPr>
        <w:t>تغيير مادة الحرير</w:t>
      </w:r>
      <w:bookmarkEnd w:id="63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أطعم دود القز بما سبب أن لا يكون لعابه حريراً، فالظاهر أنه لا يحكم بحكم الحرير؛ لأن الحكم تابع لموضوعه</w:t>
      </w:r>
      <w:r>
        <w:rPr>
          <w:rStyle w:val="FootnoteAnchor"/>
          <w:rtl w:val="true"/>
        </w:rPr>
        <w:footnoteReference w:id="987"/>
      </w:r>
      <w:r>
        <w:rPr>
          <w:rFonts w:ascii="Amiri" w:hAnsi="Amiri" w:eastAsia="Amiri" w:cs="Amiri"/>
          <w:color w:val="111111"/>
          <w:sz w:val="28"/>
          <w:sz w:val="28"/>
          <w:szCs w:val="28"/>
          <w:rtl w:val="true"/>
          <w:lang w:bidi="ar-SA"/>
        </w:rPr>
        <w:t>، والمفروض أنه لا حرير، فلا حرمة للبسه للرجال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ما تقدم من أنه متى تحقق الموضوع تحقق الحكم، وبالعكس</w:t>
      </w:r>
      <w:r>
        <w:rPr>
          <w:rFonts w:eastAsia="Amiri" w:cs="Amiri" w:ascii="Amiri" w:hAnsi="Amiri"/>
          <w:color w:val="111111"/>
          <w:sz w:val="28"/>
          <w:szCs w:val="28"/>
          <w:rtl w:val="true"/>
          <w:lang w:bidi="ar-SA"/>
        </w:rPr>
        <w:t>.</w:t>
      </w:r>
    </w:p>
    <w:p>
      <w:pPr>
        <w:pStyle w:val="Heading2"/>
        <w:numPr>
          <w:ilvl w:val="1"/>
          <w:numId w:val="1"/>
        </w:numPr>
        <w:rPr/>
      </w:pPr>
      <w:bookmarkStart w:id="638" w:name="__RefHeading___Toc12184115_2142443653"/>
      <w:bookmarkStart w:id="639" w:name="_Toc238"/>
      <w:bookmarkEnd w:id="638"/>
      <w:r>
        <w:rPr>
          <w:rtl w:val="true"/>
        </w:rPr>
        <w:t>لجنة مراسم الدفن في الهلال الأحمر</w:t>
      </w:r>
      <w:bookmarkEnd w:id="63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للهلال الأحمر علماء بأحكام الأموات حتى إذا دخل الهلال في كارثة كان معه مَنْ يقوم بإجراء مراسيم الأموات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يكون واجباً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إذا لم يكن هناك مَنْ به الكفاية، ويكون</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صدق عليه اللؤلؤ بلا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مثله تماماً، فتأتي مسألة الملاك المذكور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 لكنه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اتخاذ العلماء، إذا لم يكن خارجاً مَنْ به الكفاية، فالمراد واجباً كفائياً، ويحتمل عينياً؛ إذ الفرض عدم وجود من به الكفاية، إلاّ أن يكون الملاك </w:t>
      </w:r>
      <w:bookmarkStart w:id="640" w:name="pg15710_226908"/>
    </w:p>
    <w:p>
      <w:pPr>
        <w:pStyle w:val="BookText"/>
        <w:rPr/>
      </w:pPr>
      <w:bookmarkEnd w:id="640"/>
      <w:r>
        <w:rPr>
          <w:rFonts w:ascii="IRNazanin" w:hAnsi="IRNazanin" w:eastAsia="IRNazanin"/>
          <w:color w:val="111111"/>
          <w:sz w:val="28"/>
          <w:sz w:val="28"/>
          <w:szCs w:val="28"/>
          <w:rtl w:val="true"/>
          <w:lang w:bidi="fa-IR"/>
        </w:rPr>
        <w:t>مستحباً بشرائطه</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1" w:name="__RefHeading___Toc12184117_2142443653"/>
      <w:bookmarkStart w:id="642" w:name="_Toc239"/>
      <w:bookmarkEnd w:id="641"/>
      <w:r>
        <w:rPr>
          <w:rtl w:val="true"/>
        </w:rPr>
        <w:t>زيارة الأرواح للأئمة</w:t>
      </w:r>
      <w:bookmarkEnd w:id="64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من الزيارة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إيفاد الروح</w:t>
      </w:r>
      <w:r>
        <w:rPr>
          <w:rStyle w:val="FootnoteAnchor"/>
          <w:rtl w:val="true"/>
        </w:rPr>
        <w:footnoteReference w:id="991"/>
      </w:r>
      <w:r>
        <w:rPr>
          <w:rFonts w:ascii="IRNazanin" w:hAnsi="IRNazanin" w:eastAsia="IRNazanin"/>
          <w:color w:val="111111"/>
          <w:sz w:val="28"/>
          <w:sz w:val="28"/>
          <w:szCs w:val="28"/>
          <w:rtl w:val="true"/>
          <w:lang w:bidi="fa-IR"/>
        </w:rPr>
        <w:t xml:space="preserve"> إلى مرقد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ميت الإنسان، حتى يحضر هناك أم لا؟ احتمالان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العدم لتوهم انصراف الأدلة عن مثله، ولا يبعد استحباب ذلك لعموم الأدلة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أو للملاك، فتأمل</w:t>
      </w:r>
      <w:r>
        <w:rPr>
          <w:rFonts w:eastAsia="Amiri" w:cs="Amiri" w:ascii="Amiri" w:hAnsi="Amiri"/>
          <w:color w:val="111111"/>
          <w:sz w:val="28"/>
          <w:szCs w:val="28"/>
          <w:rtl w:val="true"/>
          <w:lang w:bidi="ar-SA"/>
        </w:rPr>
        <w:t>.</w:t>
      </w:r>
    </w:p>
    <w:p>
      <w:pPr>
        <w:pStyle w:val="Heading2"/>
        <w:numPr>
          <w:ilvl w:val="1"/>
          <w:numId w:val="1"/>
        </w:numPr>
        <w:rPr/>
      </w:pPr>
      <w:bookmarkStart w:id="643" w:name="__RefHeading___Toc12184119_2142443653"/>
      <w:bookmarkStart w:id="644" w:name="_Toc240"/>
      <w:bookmarkEnd w:id="643"/>
      <w:r>
        <w:rPr>
          <w:rtl w:val="true"/>
        </w:rPr>
        <w:t>نهج البلاغة في الإذاعات</w:t>
      </w:r>
      <w:bookmarkEnd w:id="64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w:t>
      </w:r>
      <w:r>
        <w:rPr>
          <w:rStyle w:val="FootnoteAnchor"/>
          <w:rtl w:val="true"/>
        </w:rPr>
        <w:footnoteReference w:id="992"/>
      </w:r>
      <w:r>
        <w:rPr>
          <w:rFonts w:ascii="Amiri" w:hAnsi="Amiri" w:eastAsia="Amiri" w:cs="Amiri"/>
          <w:color w:val="111111"/>
          <w:sz w:val="28"/>
          <w:sz w:val="28"/>
          <w:szCs w:val="28"/>
          <w:rtl w:val="true"/>
          <w:lang w:bidi="ar-SA"/>
        </w:rPr>
        <w:t xml:space="preserve"> قراءة نهج البلاغة في الإذاعات بلحن خاص</w:t>
      </w:r>
    </w:p>
    <w:p>
      <w:pPr>
        <w:pStyle w:val="BookText"/>
        <w:rPr/>
      </w:pPr>
      <w:r>
        <w:rPr>
          <w:rFonts w:ascii="Amiri" w:hAnsi="Amiri" w:eastAsia="Amiri" w:cs="Amiri"/>
          <w:color w:val="111111"/>
          <w:sz w:val="28"/>
          <w:sz w:val="28"/>
          <w:szCs w:val="28"/>
          <w:rtl w:val="true"/>
          <w:lang w:bidi="ar-SA"/>
        </w:rPr>
        <w:t>في العيني عدم قيام مَنْ به الكفاية،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مزاحماً بالواجب، أو مستلزماً للحرام، فتأمل؟</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الأحياء، أو أرواح الأموات؟</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الزيارة والمودة في القربى، وتعظيم البيوت التي أذن اللّه أن ترفع،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يجب ذلك كفائياً، وقد يجب عينياً، من باب المقدمية والإرشاد، كما أُشير إليه في المسألة اللاحقة</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bookmarkStart w:id="645" w:name="pg15710_226909"/>
    </w:p>
    <w:p>
      <w:pPr>
        <w:pStyle w:val="BookText"/>
        <w:rPr/>
      </w:pPr>
      <w:bookmarkEnd w:id="645"/>
      <w:r>
        <w:rPr>
          <w:rFonts w:ascii="Amiri" w:hAnsi="Amiri" w:eastAsia="Amiri" w:cs="Amiri"/>
          <w:color w:val="111111"/>
          <w:sz w:val="28"/>
          <w:sz w:val="28"/>
          <w:szCs w:val="28"/>
          <w:rtl w:val="true"/>
          <w:lang w:bidi="ar-SA"/>
        </w:rPr>
        <w:t>يناسب الكتاب، لا كتجويد القرآن الحكيم، ولا مثل القراءة العادية للأخبار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تكون له سمة خاصة، وهذا من الاهتمام به ومن تعظيم الشعائر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وبذلك يجلب الناس إلى العمل به، فإنه يوجب سعادة الدنيا والآخرة</w:t>
      </w:r>
      <w:r>
        <w:rPr>
          <w:rFonts w:eastAsia="Amiri" w:cs="Amiri" w:ascii="Amiri" w:hAnsi="Amiri"/>
          <w:color w:val="111111"/>
          <w:sz w:val="28"/>
          <w:szCs w:val="28"/>
          <w:rtl w:val="true"/>
          <w:lang w:bidi="ar-SA"/>
        </w:rPr>
        <w:t>.</w:t>
      </w:r>
    </w:p>
    <w:p>
      <w:pPr>
        <w:pStyle w:val="Heading2"/>
        <w:numPr>
          <w:ilvl w:val="1"/>
          <w:numId w:val="1"/>
        </w:numPr>
        <w:rPr/>
      </w:pPr>
      <w:bookmarkStart w:id="646" w:name="__RefHeading___Toc12184121_2142443653"/>
      <w:bookmarkStart w:id="647" w:name="_Toc241"/>
      <w:bookmarkEnd w:id="646"/>
      <w:r>
        <w:rPr>
          <w:rtl w:val="true"/>
        </w:rPr>
        <w:t>الأدعية في الإذاعات</w:t>
      </w:r>
      <w:bookmarkEnd w:id="647"/>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قراءة الأدعية الواردة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الإذاعات بلحن الدعاء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الدعاء مدرسة الاعتقاد والعمل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والآداب والسنن، إضافة إلى أنه من تعظيم الشعائر، وقد يجب ذلك</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8" w:name="__RefHeading___Toc12184123_2142443653"/>
      <w:bookmarkStart w:id="649" w:name="_Toc242"/>
      <w:bookmarkEnd w:id="648"/>
      <w:r>
        <w:rPr>
          <w:rtl w:val="true"/>
        </w:rPr>
        <w:t>التبليغ الإسلامي عبر الإذاعات</w:t>
      </w:r>
      <w:bookmarkEnd w:id="64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اتخاذ المراكز العلمية الدينية الإذاعات لنشر الإسلام والفضيلة، بل قد يجب</w:t>
      </w:r>
      <w:r>
        <w:rPr>
          <w:rStyle w:val="FootnoteAnchor"/>
          <w:rtl w:val="true"/>
        </w:rPr>
        <w:footnoteReference w:id="996"/>
      </w:r>
    </w:p>
    <w:p>
      <w:pPr>
        <w:pStyle w:val="BookText"/>
        <w:rPr/>
      </w:pP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والمودة في القربى، والأمر والنهي والإرشاد والتنبيه والتواصي بالحق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الأحكام الفرعية والأخلاق</w:t>
      </w:r>
      <w:r>
        <w:rPr>
          <w:rFonts w:eastAsia="Amiri" w:cs="Amiri" w:ascii="Amiri" w:hAnsi="Amiri"/>
          <w:color w:val="111111"/>
          <w:sz w:val="28"/>
          <w:szCs w:val="28"/>
          <w:rtl w:val="true"/>
          <w:lang w:bidi="ar-SA"/>
        </w:rPr>
        <w:t>.</w:t>
      </w:r>
    </w:p>
    <w:p>
      <w:pPr>
        <w:pStyle w:val="BookText"/>
        <w:rPr/>
      </w:pP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عينياً أو كفائياً، كما سبق في المسألة السابقة</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أو عيناً كما سبق</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bookmarkStart w:id="650" w:name="pg15710_226910"/>
    </w:p>
    <w:p>
      <w:pPr>
        <w:pStyle w:val="BookText"/>
        <w:rPr/>
      </w:pPr>
      <w:bookmarkEnd w:id="650"/>
      <w:r>
        <w:rPr>
          <w:rFonts w:ascii="Amiri" w:hAnsi="Amiri" w:eastAsia="Amiri" w:cs="Amiri"/>
          <w:color w:val="111111"/>
          <w:sz w:val="28"/>
          <w:sz w:val="28"/>
          <w:szCs w:val="28"/>
          <w:rtl w:val="true"/>
          <w:lang w:bidi="ar-SA"/>
        </w:rPr>
        <w:t>إذا كان في ذلك إرشاد</w:t>
      </w:r>
      <w:r>
        <w:rPr>
          <w:rStyle w:val="FootnoteAnchor"/>
          <w:rtl w:val="true"/>
        </w:rPr>
        <w:footnoteReference w:id="1003"/>
      </w:r>
      <w:r>
        <w:rPr>
          <w:rFonts w:ascii="Amiri" w:hAnsi="Amiri" w:eastAsia="Amiri" w:cs="Amiri"/>
          <w:color w:val="111111"/>
          <w:sz w:val="28"/>
          <w:sz w:val="28"/>
          <w:szCs w:val="28"/>
          <w:rtl w:val="true"/>
          <w:lang w:bidi="ar-SA"/>
        </w:rPr>
        <w:t xml:space="preserve"> للجاهل وتنبيه للغافل، أو أمر بالمعروف أو نهي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لإطلاق أدلة الواجب في الواجبات والمستحب في المستحبات، وكذلك حال محطات التلفزيون وسائر الوسائل الحديثة، كالأقمار الصناعية وغيرها</w:t>
      </w:r>
      <w:r>
        <w:rPr>
          <w:rFonts w:eastAsia="Amiri" w:cs="Amiri" w:ascii="Amiri" w:hAnsi="Amiri"/>
          <w:color w:val="111111"/>
          <w:sz w:val="28"/>
          <w:szCs w:val="28"/>
          <w:rtl w:val="true"/>
          <w:lang w:bidi="ar-SA"/>
        </w:rPr>
        <w:t>.</w:t>
      </w:r>
    </w:p>
    <w:p>
      <w:pPr>
        <w:pStyle w:val="Heading2"/>
        <w:numPr>
          <w:ilvl w:val="1"/>
          <w:numId w:val="1"/>
        </w:numPr>
        <w:rPr/>
      </w:pPr>
      <w:bookmarkStart w:id="651" w:name="__RefHeading___Toc12184125_2142443653"/>
      <w:bookmarkStart w:id="652" w:name="_Toc243"/>
      <w:bookmarkEnd w:id="651"/>
      <w:r>
        <w:rPr>
          <w:rtl w:val="true"/>
        </w:rPr>
        <w:t>استيجار الدراجة الهوائية</w:t>
      </w:r>
      <w:bookmarkEnd w:id="65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إرداف إنسان على الدراجة الهوائية المستأجرة لو لم يأذن</w:t>
      </w:r>
      <w:r>
        <w:rPr>
          <w:rStyle w:val="FootnoteAnchor"/>
          <w:rtl w:val="true"/>
        </w:rPr>
        <w:footnoteReference w:id="1004"/>
      </w:r>
      <w:r>
        <w:rPr>
          <w:rFonts w:ascii="Amiri" w:hAnsi="Amiri" w:eastAsia="Amiri" w:cs="Amiri"/>
          <w:color w:val="111111"/>
          <w:sz w:val="28"/>
          <w:sz w:val="28"/>
          <w:szCs w:val="28"/>
          <w:rtl w:val="true"/>
          <w:lang w:bidi="ar-SA"/>
        </w:rPr>
        <w:t xml:space="preserve"> بذلك صاحب الدراجة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أذن أو علمنا</w:t>
      </w:r>
      <w:r>
        <w:rPr>
          <w:rStyle w:val="FootnoteAnchor"/>
          <w:rtl w:val="true"/>
        </w:rPr>
        <w:footnoteReference w:id="1005"/>
      </w:r>
      <w:r>
        <w:rPr>
          <w:rFonts w:ascii="Amiri" w:hAnsi="Amiri" w:eastAsia="Amiri" w:cs="Amiri"/>
          <w:color w:val="111111"/>
          <w:sz w:val="28"/>
          <w:sz w:val="28"/>
          <w:szCs w:val="28"/>
          <w:rtl w:val="true"/>
          <w:lang w:bidi="ar-SA"/>
        </w:rPr>
        <w:t xml:space="preserve"> رضاه أو كان الإيجار لذلك 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الجواز في الصورة الأُولى لعدم رضا صاحب الدراجة، وهكذا زيادة الركاب في السيارة المستأجرة، إلا إذا كان بحد متعارف ولم ينه عنه</w:t>
      </w:r>
      <w:r>
        <w:rPr>
          <w:rFonts w:eastAsia="Amiri" w:cs="Amiri" w:ascii="Amiri" w:hAnsi="Amiri"/>
          <w:color w:val="111111"/>
          <w:sz w:val="28"/>
          <w:szCs w:val="28"/>
          <w:rtl w:val="true"/>
          <w:lang w:bidi="ar-SA"/>
        </w:rPr>
        <w:t>.</w:t>
      </w:r>
    </w:p>
    <w:p>
      <w:pPr>
        <w:pStyle w:val="BookText"/>
        <w:rPr/>
      </w:pP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الفوارق بينها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في الإذن، راجع الوضوء، والخمس في حرمة التصرف إلاّ مع العلم</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مبنى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الوجودي والاستثناء</w:t>
      </w:r>
      <w:r>
        <w:rPr>
          <w:rStyle w:val="FootnoteAnchor"/>
          <w:rtl w:val="true"/>
        </w:rPr>
        <w:footnoteReference w:id="1009"/>
      </w:r>
      <w:r>
        <w:rPr>
          <w:rFonts w:ascii="Amiri" w:hAnsi="Amiri" w:eastAsia="Amiri" w:cs="Amiri"/>
          <w:color w:val="111111"/>
          <w:sz w:val="28"/>
          <w:sz w:val="28"/>
          <w:szCs w:val="28"/>
          <w:rtl w:val="true"/>
          <w:lang w:bidi="ar-SA"/>
        </w:rPr>
        <w:t xml:space="preserve">،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ذلك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اطمأننّا، أو كانت هنالك فحوى، أو شاهد حال قطعي، وهل يكفي شاهد الحال لو كان ظهوراً؟ وهل هو مثل ظهور الألفاظ؟ راجع الدلائل، بحث </w:t>
      </w:r>
      <w:bookmarkStart w:id="653" w:name="pg15710_226911"/>
    </w:p>
    <w:p>
      <w:pPr>
        <w:pStyle w:val="Heading2"/>
        <w:numPr>
          <w:ilvl w:val="1"/>
          <w:numId w:val="1"/>
        </w:numPr>
        <w:rPr/>
      </w:pPr>
      <w:bookmarkStart w:id="654" w:name="__RefHeading___Toc12184127_2142443653"/>
      <w:bookmarkStart w:id="655" w:name="_Toc244"/>
      <w:bookmarkEnd w:id="653"/>
      <w:bookmarkEnd w:id="654"/>
      <w:r>
        <w:rPr>
          <w:rtl w:val="true"/>
        </w:rPr>
        <w:t>إثبات الاتهام بالوسائل العلمية</w:t>
      </w:r>
      <w:bookmarkEnd w:id="65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w:t>
      </w:r>
      <w:r>
        <w:rPr>
          <w:rStyle w:val="FootnoteAnchor"/>
          <w:rtl w:val="true"/>
        </w:rPr>
        <w:footnoteReference w:id="1011"/>
      </w:r>
      <w:r>
        <w:rPr>
          <w:rFonts w:ascii="Amiri" w:hAnsi="Amiri" w:eastAsia="Amiri" w:cs="Amiri"/>
          <w:color w:val="111111"/>
          <w:sz w:val="28"/>
          <w:sz w:val="28"/>
          <w:szCs w:val="28"/>
          <w:rtl w:val="true"/>
          <w:lang w:bidi="ar-SA"/>
        </w:rPr>
        <w:t xml:space="preserve"> بالوسائل العلمية إقرار أو جناية أو دين أو وصية أو ما أشبه، كما لو تمكنا من أخذ صوت المقر من الهواء أو حفظت بالمسجلة، أو تمكنا من التقاط صورة الجاني</w:t>
      </w:r>
      <w:r>
        <w:rPr>
          <w:rStyle w:val="FootnoteAnchor"/>
          <w:rtl w:val="true"/>
        </w:rPr>
        <w:footnoteReference w:id="1012"/>
      </w:r>
      <w:r>
        <w:rPr>
          <w:rFonts w:ascii="Amiri" w:hAnsi="Amiri" w:eastAsia="Amiri" w:cs="Amiri"/>
          <w:color w:val="111111"/>
          <w:sz w:val="28"/>
          <w:sz w:val="28"/>
          <w:szCs w:val="28"/>
          <w:rtl w:val="true"/>
          <w:lang w:bidi="ar-SA"/>
        </w:rPr>
        <w:t xml:space="preserve"> بالأشعة بعد تمام الجناية، أو نحو ذلك، فإن أورث العلم</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الشارع قرر لإثبات ذلك طريقاً خاصاً صح الحكم بترتيب الآثار الشرعية على ما ثبت بالأدلة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العلم حجة ذاتاً، لو لم يكن كما في الزنا، حيث يلزم لإثباته شهود أربعة أو الإقرار أربعاً، والظاهر أن الشارع لم يرد الفضيحة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ولهذا شدد، وإلا فالإقرار الواحد الخالي عن الضغط والإكراه وما أشبه كافٍ في الإثبات، وفي حصول العلم للقاضي بذلك، فالسرقة تثبت الضمان بالوسائل المفيدة للعلم، وأما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قطع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تثبت إلا بالطريق المقرر شرعاً، ولا تلازم بين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الوضوء</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والتعارف الخارجي يكفي كما سيأتي في ذيل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هذه المسألة في أوائل الكتاب</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تزوير الأصوات والصور ممكن بالدبلجة، أو إعطاء الذبذبات للكمبيوتر، فاللازم التحري والدقة،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والاطمئنان مرتبة منه عرفاً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يتراجع بعد الإقرار الأوّل أو الثاني أو الثالث، فلا يجرى عليه الحدّ</w:t>
      </w:r>
      <w:r>
        <w:rPr>
          <w:rFonts w:eastAsia="Amiri" w:cs="Amiri" w:ascii="Amiri" w:hAnsi="Amiri"/>
          <w:color w:val="111111"/>
          <w:sz w:val="28"/>
          <w:szCs w:val="28"/>
          <w:rtl w:val="true"/>
          <w:lang w:bidi="ar-SA"/>
        </w:rPr>
        <w:t xml:space="preserve">. </w:t>
      </w:r>
      <w:bookmarkStart w:id="656" w:name="pg15710_226912"/>
    </w:p>
    <w:p>
      <w:pPr>
        <w:pStyle w:val="Heading2"/>
        <w:numPr>
          <w:ilvl w:val="1"/>
          <w:numId w:val="1"/>
        </w:numPr>
        <w:rPr/>
      </w:pPr>
      <w:bookmarkStart w:id="657" w:name="__RefHeading___Toc12184129_2142443653"/>
      <w:bookmarkStart w:id="658" w:name="_Toc245"/>
      <w:bookmarkEnd w:id="656"/>
      <w:bookmarkEnd w:id="657"/>
      <w:r>
        <w:rPr>
          <w:rtl w:val="true"/>
        </w:rPr>
        <w:t>بصمات الأصابع</w:t>
      </w:r>
      <w:bookmarkEnd w:id="65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اختلاف الخطوط الموجودة في الأنامل قطعاً</w:t>
      </w:r>
      <w:r>
        <w:rPr>
          <w:rStyle w:val="FootnoteAnchor"/>
          <w:rtl w:val="true"/>
        </w:rPr>
        <w:footnoteReference w:id="1017"/>
      </w:r>
      <w:r>
        <w:rPr>
          <w:rFonts w:ascii="Amiri" w:hAnsi="Amiri" w:eastAsia="Amiri" w:cs="Amiri"/>
          <w:color w:val="111111"/>
          <w:sz w:val="28"/>
          <w:sz w:val="28"/>
          <w:szCs w:val="28"/>
          <w:rtl w:val="true"/>
          <w:lang w:bidi="ar-SA"/>
        </w:rPr>
        <w:t>، ووجد على الباب المنكسر أو القفل المفتوح أو ما أشبه ذلك آثار تلك الخطوط، وعلمنا</w:t>
      </w:r>
      <w:r>
        <w:rPr>
          <w:rStyle w:val="FootnoteAnchor"/>
          <w:rtl w:val="true"/>
        </w:rPr>
        <w:footnoteReference w:id="1018"/>
      </w:r>
      <w:r>
        <w:rPr>
          <w:rFonts w:ascii="Amiri" w:hAnsi="Amiri" w:eastAsia="Amiri" w:cs="Amiri"/>
          <w:color w:val="111111"/>
          <w:sz w:val="28"/>
          <w:sz w:val="28"/>
          <w:szCs w:val="28"/>
          <w:rtl w:val="true"/>
          <w:lang w:bidi="ar-SA"/>
        </w:rPr>
        <w:t xml:space="preserve"> بما يدين المتهم بالسرقة أو بالجريمة، صح الحكم على طبق ما ثبت استناداً إلى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العلم</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حجة، وليست 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الضمان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وردّ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كالزنا ونحوه في الاحتياج إلى طريق خاص</w:t>
      </w:r>
      <w:r>
        <w:rPr>
          <w:rFonts w:eastAsia="Amiri" w:cs="Amiri" w:ascii="Amiri" w:hAnsi="Amiri"/>
          <w:color w:val="111111"/>
          <w:sz w:val="28"/>
          <w:szCs w:val="28"/>
          <w:rtl w:val="true"/>
          <w:lang w:bidi="ar-SA"/>
        </w:rPr>
        <w:t>.</w:t>
      </w:r>
    </w:p>
    <w:p>
      <w:pPr>
        <w:pStyle w:val="Heading2"/>
        <w:numPr>
          <w:ilvl w:val="1"/>
          <w:numId w:val="1"/>
        </w:numPr>
        <w:rPr/>
      </w:pPr>
      <w:bookmarkStart w:id="659" w:name="__RefHeading___Toc12184131_2142443653"/>
      <w:bookmarkStart w:id="660" w:name="_Toc246"/>
      <w:bookmarkEnd w:id="659"/>
      <w:r>
        <w:rPr>
          <w:rtl w:val="true"/>
        </w:rPr>
        <w:t>مجال استناد الحاكم إلى علمه</w:t>
      </w:r>
      <w:bookmarkEnd w:id="66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فيما يجوز اعتماد الحاكم على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نستقربه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قيل بعدم صحة</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يشترك اثنان في ذلك</w:t>
      </w:r>
      <w:r>
        <w:rPr>
          <w:rFonts w:eastAsia="Amiri" w:cs="Amiri" w:ascii="Amiri" w:hAnsi="Amiri"/>
          <w:color w:val="111111"/>
          <w:sz w:val="28"/>
          <w:szCs w:val="28"/>
          <w:rtl w:val="true"/>
          <w:lang w:bidi="ar-SA"/>
        </w:rPr>
        <w:t>.</w:t>
      </w:r>
    </w:p>
    <w:p>
      <w:pPr>
        <w:pStyle w:val="BookText"/>
        <w:rPr/>
      </w:pP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وضع تلك الخطوط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بنقلها من مكان آخر أو تقليدها وصنعها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فاللازم الدقة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الاطمئنان كما سبق</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القطع فهو بحاجة إلى وسائل الإثبات المعينة، راجع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bookmarkStart w:id="661" w:name="pg15710_226913"/>
    </w:p>
    <w:p>
      <w:pPr>
        <w:pStyle w:val="BookText"/>
        <w:rPr/>
      </w:pPr>
      <w:bookmarkEnd w:id="661"/>
      <w:r>
        <w:rPr>
          <w:rFonts w:ascii="Amiri" w:hAnsi="Amiri" w:eastAsia="Amiri" w:cs="Amiri"/>
          <w:color w:val="111111"/>
          <w:sz w:val="28"/>
          <w:sz w:val="28"/>
          <w:szCs w:val="28"/>
          <w:rtl w:val="true"/>
          <w:lang w:bidi="ar-SA"/>
        </w:rPr>
        <w:t>الاعتماد، وإنما اللازم بطرق البينة واليمين فالعلم</w:t>
      </w:r>
      <w:r>
        <w:rPr>
          <w:rStyle w:val="FootnoteAnchor"/>
          <w:rtl w:val="true"/>
        </w:rPr>
        <w:footnoteReference w:id="1023"/>
      </w:r>
      <w:r>
        <w:rPr>
          <w:rFonts w:ascii="Amiri" w:hAnsi="Amiri" w:eastAsia="Amiri" w:cs="Amiri"/>
          <w:color w:val="111111"/>
          <w:sz w:val="28"/>
          <w:sz w:val="28"/>
          <w:szCs w:val="28"/>
          <w:rtl w:val="true"/>
          <w:lang w:bidi="ar-SA"/>
        </w:rPr>
        <w:t xml:space="preserve"> لا يفيد في الإدانة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الظاهر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من قضايا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الوصول إلى النتائج بالطريق الموجب للاطمينان، فتأمل</w:t>
      </w:r>
      <w:r>
        <w:rPr>
          <w:rFonts w:eastAsia="Amiri" w:cs="Amiri" w:ascii="Amiri" w:hAnsi="Amiri"/>
          <w:color w:val="111111"/>
          <w:sz w:val="28"/>
          <w:szCs w:val="28"/>
          <w:rtl w:val="true"/>
          <w:lang w:bidi="ar-SA"/>
        </w:rPr>
        <w:t>.</w:t>
      </w:r>
    </w:p>
    <w:p>
      <w:pPr>
        <w:pStyle w:val="Heading2"/>
        <w:numPr>
          <w:ilvl w:val="1"/>
          <w:numId w:val="1"/>
        </w:numPr>
        <w:rPr/>
      </w:pPr>
      <w:bookmarkStart w:id="662" w:name="__RefHeading___Toc12184133_2142443653"/>
      <w:bookmarkStart w:id="663" w:name="_Toc247"/>
      <w:bookmarkEnd w:id="662"/>
      <w:r>
        <w:rPr>
          <w:rtl w:val="true"/>
        </w:rPr>
        <w:t>الإيذاء عبر جهاز التنبيه</w:t>
      </w:r>
      <w:bookmarkEnd w:id="66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استعمال جهاز التنبيه عند إنسان فجأة</w:t>
      </w:r>
      <w:r>
        <w:rPr>
          <w:rStyle w:val="FootnoteAnchor"/>
          <w:rtl w:val="true"/>
        </w:rPr>
        <w:footnoteReference w:id="1024"/>
      </w:r>
      <w:r>
        <w:rPr>
          <w:rFonts w:ascii="Amiri" w:hAnsi="Amiri" w:eastAsia="Amiri" w:cs="Amiri"/>
          <w:color w:val="111111"/>
          <w:sz w:val="28"/>
          <w:sz w:val="28"/>
          <w:szCs w:val="28"/>
          <w:rtl w:val="true"/>
          <w:lang w:bidi="ar-SA"/>
        </w:rPr>
        <w:t xml:space="preserve"> مما يسبب إيذاءه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الإيذاء حرام مطلقاً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4" w:name="__RefHeading___Toc12184135_2142443653"/>
      <w:bookmarkStart w:id="665" w:name="_Toc248"/>
      <w:bookmarkEnd w:id="664"/>
      <w:r>
        <w:rPr>
          <w:rtl w:val="true"/>
        </w:rPr>
        <w:t>الإيذاء عبر وسائل النقل</w:t>
      </w:r>
      <w:bookmarkEnd w:id="66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إمرار السيارة أو الدراجة أو ما أشبه من وراء</w:t>
      </w:r>
    </w:p>
    <w:p>
      <w:pPr>
        <w:pStyle w:val="BookText"/>
        <w:rPr/>
      </w:pP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 لصاحب المال التقاص فيما لو علم بالسرقة</w:t>
      </w:r>
      <w:r>
        <w:rPr>
          <w:rFonts w:eastAsia="Amiri" w:cs="Amiri" w:ascii="Amiri" w:hAnsi="Amiri"/>
          <w:color w:val="111111"/>
          <w:sz w:val="28"/>
          <w:szCs w:val="28"/>
          <w:rtl w:val="true"/>
          <w:lang w:bidi="ar-SA"/>
        </w:rPr>
        <w:t>.</w:t>
      </w:r>
    </w:p>
    <w:p>
      <w:pPr>
        <w:pStyle w:val="BookText"/>
        <w:rPr/>
      </w:pP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قضايا في واقعة، لكن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 هذه المقولة في بعض كتبه</w:t>
      </w:r>
      <w:r>
        <w:rPr>
          <w:rStyle w:val="FootnoteAnchor"/>
          <w:rtl w:val="true"/>
        </w:rPr>
        <w:footnoteReference w:id="1027"/>
      </w:r>
      <w:r>
        <w:rPr>
          <w:rFonts w:ascii="Amiri" w:hAnsi="Amiri" w:eastAsia="Amiri" w:cs="Amiri"/>
          <w:color w:val="111111"/>
          <w:sz w:val="28"/>
          <w:sz w:val="28"/>
          <w:szCs w:val="28"/>
          <w:rtl w:val="true"/>
          <w:lang w:bidi="ar-SA"/>
        </w:rPr>
        <w:t>، وأصالة الأسوة تقتضي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BookText"/>
        <w:rPr/>
      </w:pP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المقدار المتعارف لا بأس به؛ لجريان السيرة عليه، فإن المتعارف التنبيه للماشي والراكب على الدابة ولم يردع عنه،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المحرمات</w:t>
      </w:r>
      <w:r>
        <w:rPr>
          <w:rFonts w:eastAsia="IRNazanin" w:cs="IRNazanin"/>
          <w:color w:val="111111"/>
          <w:sz w:val="28"/>
          <w:szCs w:val="28"/>
          <w:rtl w:val="true"/>
          <w:lang w:bidi="fa-IR"/>
        </w:rPr>
        <w:t>)</w:t>
      </w:r>
      <w:r>
        <w:rPr>
          <w:rStyle w:val="FootnoteAnchor"/>
          <w:rtl w:val="true"/>
        </w:rPr>
        <w:footnoteReference w:id="1030"/>
      </w:r>
      <w:r>
        <w:rPr>
          <w:rFonts w:ascii="Amiri" w:hAnsi="Amiri" w:eastAsia="Amiri" w:cs="Amiri"/>
          <w:color w:val="111111"/>
          <w:sz w:val="28"/>
          <w:sz w:val="28"/>
          <w:szCs w:val="28"/>
          <w:rtl w:val="true"/>
          <w:lang w:bidi="ar-SA"/>
        </w:rPr>
        <w:t>وهو من مصاديق الظلم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bookmarkStart w:id="666" w:name="pg15710_226914"/>
    </w:p>
    <w:p>
      <w:pPr>
        <w:pStyle w:val="BookText"/>
        <w:rPr/>
      </w:pPr>
      <w:bookmarkEnd w:id="666"/>
      <w:r>
        <w:rPr>
          <w:rFonts w:ascii="Amiri" w:hAnsi="Amiri" w:eastAsia="Amiri" w:cs="Amiri"/>
          <w:color w:val="111111"/>
          <w:sz w:val="28"/>
          <w:sz w:val="28"/>
          <w:szCs w:val="28"/>
          <w:rtl w:val="true"/>
          <w:lang w:bidi="ar-SA"/>
        </w:rPr>
        <w:t>إنسان فجأة مما يسبب إيذاءه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لما تقدم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وكذا كل ما كان من هذا القبيل</w:t>
      </w:r>
      <w:r>
        <w:rPr>
          <w:rFonts w:eastAsia="Amiri" w:cs="Amiri" w:ascii="Amiri" w:hAnsi="Amiri"/>
          <w:color w:val="111111"/>
          <w:sz w:val="28"/>
          <w:szCs w:val="28"/>
          <w:rtl w:val="true"/>
          <w:lang w:bidi="ar-SA"/>
        </w:rPr>
        <w:t>.</w:t>
      </w:r>
    </w:p>
    <w:p>
      <w:pPr>
        <w:pStyle w:val="Heading2"/>
        <w:numPr>
          <w:ilvl w:val="1"/>
          <w:numId w:val="1"/>
        </w:numPr>
        <w:rPr/>
      </w:pPr>
      <w:bookmarkStart w:id="667" w:name="__RefHeading___Toc12184137_2142443653"/>
      <w:bookmarkStart w:id="668" w:name="_Toc249"/>
      <w:bookmarkEnd w:id="667"/>
      <w:r>
        <w:rPr>
          <w:rtl w:val="true"/>
        </w:rPr>
        <w:t>الاصطدام بالسيارة</w:t>
      </w:r>
      <w:bookmarkEnd w:id="66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دهس</w:t>
      </w:r>
      <w:r>
        <w:rPr>
          <w:rStyle w:val="FootnoteAnchor"/>
          <w:rtl w:val="true"/>
        </w:rPr>
        <w:footnoteReference w:id="1031"/>
      </w:r>
      <w:r>
        <w:rPr>
          <w:rFonts w:ascii="Amiri" w:hAnsi="Amiri" w:eastAsia="Amiri" w:cs="Amiri"/>
          <w:color w:val="111111"/>
          <w:sz w:val="28"/>
          <w:sz w:val="28"/>
          <w:szCs w:val="28"/>
          <w:rtl w:val="true"/>
          <w:lang w:bidi="ar-SA"/>
        </w:rPr>
        <w:t xml:space="preserve"> السائق إنساناً مما يسبب وفاته أو جرحه أو كسر عضو منه، فعلى السائق الدية وإن لم يكن عن علم أو عمد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للصدق العرفي بأنه القاتل أو الكاسر أو الجارح، والدية تكون حسب الموازين المذكورة في محلها، ففي الخطأ المحض على العاقلة، وفي العمد وشبه العمد على القاتل والجارح، سنة في العمد، وسنتين في شبهه كما أنه يحق للولي القصاص مكان الدية في العمد</w:t>
      </w:r>
      <w:r>
        <w:rPr>
          <w:rFonts w:eastAsia="Amiri" w:cs="Amiri" w:ascii="Amiri" w:hAnsi="Amiri"/>
          <w:color w:val="111111"/>
          <w:sz w:val="28"/>
          <w:szCs w:val="28"/>
          <w:rtl w:val="true"/>
          <w:lang w:bidi="ar-SA"/>
        </w:rPr>
        <w:t>.</w:t>
      </w:r>
    </w:p>
    <w:p>
      <w:pPr>
        <w:pStyle w:val="Heading2"/>
        <w:numPr>
          <w:ilvl w:val="1"/>
          <w:numId w:val="1"/>
        </w:numPr>
        <w:rPr/>
      </w:pPr>
      <w:bookmarkStart w:id="669" w:name="__RefHeading___Toc12184139_2142443653"/>
      <w:bookmarkStart w:id="670" w:name="_Toc250"/>
      <w:bookmarkEnd w:id="669"/>
      <w:r>
        <w:rPr>
          <w:rtl w:val="true"/>
        </w:rPr>
        <w:t>من أحكام الاصطدام</w:t>
      </w:r>
      <w:bookmarkEnd w:id="67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دهس السائق سيارة</w:t>
      </w:r>
      <w:r>
        <w:rPr>
          <w:rStyle w:val="FootnoteAnchor"/>
          <w:rtl w:val="true"/>
        </w:rPr>
        <w:footnoteReference w:id="1032"/>
      </w:r>
      <w:r>
        <w:rPr>
          <w:rFonts w:ascii="IRNazanin" w:hAnsi="IRNazanin" w:eastAsia="IRNazanin"/>
          <w:color w:val="111111"/>
          <w:sz w:val="28"/>
          <w:sz w:val="28"/>
          <w:szCs w:val="28"/>
          <w:rtl w:val="true"/>
          <w:lang w:bidi="fa-IR"/>
        </w:rPr>
        <w:t xml:space="preserve"> أو خرب بناءً أو أتلف</w:t>
      </w:r>
    </w:p>
    <w:p>
      <w:pPr>
        <w:pStyle w:val="BookText"/>
        <w:rPr/>
      </w:pP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الاستثناء</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p>
    <w:p>
      <w:pPr>
        <w:pStyle w:val="BookText"/>
        <w:rPr/>
      </w:pP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كان الدهس بسبب المدهوس فقد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آخر أنه لا شيء على 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مسألة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المدعومة هي المقصّرة، كما ذكرناه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Style w:val="FootnoteAnchor"/>
          <w:rtl w:val="true"/>
        </w:rPr>
        <w:footnoteReference w:id="1038"/>
      </w:r>
      <w:bookmarkStart w:id="671" w:name="pg15710_226915"/>
    </w:p>
    <w:p>
      <w:pPr>
        <w:pStyle w:val="BookText"/>
        <w:rPr/>
      </w:pPr>
      <w:bookmarkEnd w:id="671"/>
      <w:r>
        <w:rPr>
          <w:rFonts w:ascii="Amiri" w:hAnsi="Amiri" w:eastAsia="Amiri" w:cs="Amiri"/>
          <w:color w:val="111111"/>
          <w:sz w:val="28"/>
          <w:sz w:val="28"/>
          <w:szCs w:val="28"/>
          <w:rtl w:val="true"/>
          <w:lang w:bidi="ar-SA"/>
        </w:rPr>
        <w:t>مالاً</w:t>
      </w:r>
      <w:r>
        <w:rPr>
          <w:rStyle w:val="FootnoteAnchor"/>
          <w:rtl w:val="true"/>
        </w:rPr>
        <w:footnoteReference w:id="1039"/>
      </w:r>
      <w:r>
        <w:rPr>
          <w:rFonts w:ascii="Amiri" w:hAnsi="Amiri" w:eastAsia="Amiri" w:cs="Amiri"/>
          <w:color w:val="111111"/>
          <w:sz w:val="28"/>
          <w:sz w:val="28"/>
          <w:szCs w:val="28"/>
          <w:rtl w:val="true"/>
          <w:lang w:bidi="ar-SA"/>
        </w:rPr>
        <w:t xml:space="preserve"> كان ضمانه عليه، وإن كان عن جهل أو خطأ أو غفلة أو ما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فرق هنا بين العمد وغيره،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2"/>
        <w:numPr>
          <w:ilvl w:val="1"/>
          <w:numId w:val="1"/>
        </w:numPr>
        <w:rPr/>
      </w:pPr>
      <w:bookmarkStart w:id="672" w:name="__RefHeading___Toc12184141_2142443653"/>
      <w:bookmarkStart w:id="673" w:name="_Toc251"/>
      <w:bookmarkEnd w:id="672"/>
      <w:r>
        <w:rPr>
          <w:rtl w:val="true"/>
        </w:rPr>
        <w:t>مستثنيات الدين وأحكامها</w:t>
      </w:r>
      <w:bookmarkEnd w:id="67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w:t>
      </w:r>
      <w:r>
        <w:rPr>
          <w:rStyle w:val="FootnoteAnchor"/>
          <w:rtl w:val="true"/>
        </w:rPr>
        <w:footnoteReference w:id="1040"/>
      </w:r>
      <w:r>
        <w:rPr>
          <w:rFonts w:ascii="Amiri" w:hAnsi="Amiri" w:eastAsia="Amiri" w:cs="Amiri"/>
          <w:color w:val="111111"/>
          <w:sz w:val="28"/>
          <w:sz w:val="28"/>
          <w:szCs w:val="28"/>
          <w:rtl w:val="true"/>
          <w:lang w:bidi="ar-SA"/>
        </w:rPr>
        <w:t xml:space="preserve"> للدائن مهما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يحجز على مستثنيات الدين المذكورة في كتاب الدين من فقه الإسلام</w:t>
      </w:r>
      <w:r>
        <w:rPr>
          <w:rStyle w:val="FootnoteAnchor"/>
          <w:rtl w:val="true"/>
        </w:rPr>
        <w:footnoteReference w:id="1041"/>
      </w:r>
      <w:r>
        <w:rPr>
          <w:rFonts w:ascii="Amiri" w:hAnsi="Amiri" w:eastAsia="Amiri" w:cs="Amiri"/>
          <w:color w:val="111111"/>
          <w:sz w:val="28"/>
          <w:sz w:val="28"/>
          <w:szCs w:val="28"/>
          <w:rtl w:val="true"/>
          <w:lang w:bidi="ar-SA"/>
        </w:rPr>
        <w:t>، ولا أن يبيع المستثنيات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بالشرط السابق</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يحق له أن يشترط عليه أن يكون وكيلاً عنه في بيع ذلك، كما تفعله البنوك الإسلامية فعلاً؟ يحتاج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أنه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مقتضى الكتاب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كذلك لو لم يشترط، أما مع الشرط فهل ككل شرط مخالف لمقتضى الإطلاق مثل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يتزوج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وَثُلاَثَ وَرُبَاعَ</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bookmarkStart w:id="674" w:name="pg15710_226916"/>
    </w:p>
    <w:p>
      <w:pPr>
        <w:pStyle w:val="BookText"/>
        <w:rPr/>
      </w:pPr>
      <w:bookmarkEnd w:id="67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اللازم الصبر، وإذا كان بيت المال أداه عنه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5" w:name="__RefHeading___Toc12184143_2142443653"/>
      <w:bookmarkStart w:id="676" w:name="_Toc252"/>
      <w:bookmarkEnd w:id="675"/>
      <w:r>
        <w:rPr>
          <w:rtl w:val="true"/>
        </w:rPr>
        <w:t>اصطدام القطار</w:t>
      </w:r>
      <w:bookmarkEnd w:id="67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دهس القطار إنساناً أو دابة أو أتلف مالاً كان على السائق</w:t>
      </w:r>
      <w:r>
        <w:rPr>
          <w:rStyle w:val="FootnoteAnchor"/>
          <w:rtl w:val="true"/>
        </w:rPr>
        <w:footnoteReference w:id="1046"/>
      </w:r>
      <w:r>
        <w:rPr>
          <w:rFonts w:ascii="Amiri" w:hAnsi="Amiri" w:eastAsia="Amiri" w:cs="Amiri"/>
          <w:color w:val="111111"/>
          <w:sz w:val="28"/>
          <w:sz w:val="28"/>
          <w:szCs w:val="28"/>
          <w:rtl w:val="true"/>
          <w:lang w:bidi="ar-SA"/>
        </w:rPr>
        <w:t xml:space="preserve"> الدية والضمان، وإن لم يكن السائق قادراً على إيقاف القطار، إلا أن يكون المدهوس هو السبب</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يأتي أيضاً العمد وشبهه والخطأ حسب موازين باب القصاص والديات</w:t>
      </w:r>
      <w:r>
        <w:rPr>
          <w:rFonts w:eastAsia="Amiri" w:cs="Amiri" w:ascii="Amiri" w:hAnsi="Amiri"/>
          <w:color w:val="111111"/>
          <w:sz w:val="28"/>
          <w:szCs w:val="28"/>
          <w:rtl w:val="true"/>
          <w:lang w:bidi="ar-SA"/>
        </w:rPr>
        <w:t>.</w:t>
      </w:r>
    </w:p>
    <w:p>
      <w:pPr>
        <w:pStyle w:val="BookText"/>
        <w:rPr/>
      </w:pP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وَالْغَارِمِينَ</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 وراجع السياسة والاقتصاد بحث بيت المال</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عرفاً فهو قاتل نفسه، إلاّ أن الظاهر أن الضابطة التي ذكروها </w:t>
      </w:r>
      <w:bookmarkStart w:id="677" w:name="pg15710_226917"/>
    </w:p>
    <w:p>
      <w:pPr>
        <w:pStyle w:val="Heading2"/>
        <w:numPr>
          <w:ilvl w:val="1"/>
          <w:numId w:val="1"/>
        </w:numPr>
        <w:rPr/>
      </w:pPr>
      <w:bookmarkStart w:id="678" w:name="__RefHeading___Toc12184145_2142443653"/>
      <w:bookmarkStart w:id="679" w:name="_Toc253"/>
      <w:bookmarkEnd w:id="677"/>
      <w:bookmarkEnd w:id="678"/>
      <w:r>
        <w:rPr>
          <w:rtl w:val="true"/>
        </w:rPr>
        <w:t>القتل بالاصطدام</w:t>
      </w:r>
      <w:bookmarkEnd w:id="67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السائق إنساناً خطأ فالدية كما ذكرت في كتاب الديات، ويجوز التصالح على 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الحق لا يعدوهما، والتصالح قد يكون بالزيادة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أو النقيصة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أو تغيير</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الدية إلى شيء آخر حسب موازين الصلح</w:t>
      </w:r>
      <w:r>
        <w:rPr>
          <w:rFonts w:eastAsia="Amiri" w:cs="Amiri" w:ascii="Amiri" w:hAnsi="Amiri"/>
          <w:color w:val="111111"/>
          <w:sz w:val="28"/>
          <w:szCs w:val="28"/>
          <w:rtl w:val="true"/>
          <w:lang w:bidi="ar-SA"/>
        </w:rPr>
        <w:t>.</w:t>
      </w:r>
    </w:p>
    <w:p>
      <w:pPr>
        <w:pStyle w:val="Heading2"/>
        <w:numPr>
          <w:ilvl w:val="1"/>
          <w:numId w:val="1"/>
        </w:numPr>
        <w:rPr/>
      </w:pPr>
      <w:bookmarkStart w:id="680" w:name="__RefHeading___Toc12184147_2142443653"/>
      <w:bookmarkStart w:id="681" w:name="_Toc254"/>
      <w:bookmarkEnd w:id="680"/>
      <w:r>
        <w:rPr>
          <w:rtl w:val="true"/>
        </w:rPr>
        <w:t>الأطفال وارتكاب المحرمات</w:t>
      </w:r>
      <w:bookmarkEnd w:id="68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0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الخطأ المحض</w:t>
      </w:r>
      <w:r>
        <w:rPr>
          <w:rFonts w:eastAsia="IRNazanin" w:cs="IRNazanin"/>
          <w:color w:val="111111"/>
          <w:sz w:val="28"/>
          <w:szCs w:val="28"/>
          <w:rtl w:val="true"/>
          <w:lang w:bidi="fa-IR"/>
        </w:rPr>
        <w:t>)</w:t>
      </w:r>
      <w:r>
        <w:rPr>
          <w:rStyle w:val="FootnoteAnchor"/>
          <w:rtl w:val="true"/>
        </w:rPr>
        <w:footnoteReference w:id="1055"/>
      </w:r>
      <w:r>
        <w:rPr>
          <w:rFonts w:ascii="Amiri" w:hAnsi="Amiri" w:eastAsia="Amiri" w:cs="Amiri"/>
          <w:color w:val="111111"/>
          <w:sz w:val="28"/>
          <w:sz w:val="28"/>
          <w:szCs w:val="28"/>
          <w:rtl w:val="true"/>
          <w:lang w:bidi="ar-SA"/>
        </w:rPr>
        <w:t xml:space="preserve">تنطبق عليه، وليس من زحزح نائماً فقتله بأولى بصدق القاتل عليه منه، مع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ذكر أنَّ النائم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تبرعاً</w:t>
      </w:r>
      <w:r>
        <w:rPr>
          <w:rFonts w:eastAsia="Amiri" w:cs="Amiri" w:ascii="Amiri" w:hAnsi="Amiri"/>
          <w:color w:val="111111"/>
          <w:sz w:val="28"/>
          <w:szCs w:val="28"/>
          <w:rtl w:val="true"/>
          <w:lang w:bidi="ar-SA"/>
        </w:rPr>
        <w:t>.</w:t>
      </w:r>
    </w:p>
    <w:p>
      <w:pPr>
        <w:pStyle w:val="BookText"/>
        <w:rPr/>
      </w:pP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إبراءً أو إسقاطاً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معاوضة، أو أن عنوان الصلح يشملها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يرتبط بمسألة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بعض المحرمات عُلم أن الشارع </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 الطفل أن يترك الطفل ليأتي بالمحرمات الشرعية، إلا بالنسبة</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علمنا من الشرع اختصاصه بالكبار،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للولي أن يترك الطفل ليلوط أو يشرب أو يزني أو يقتل أو يسرق أو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بلبس الولد الذهب لما دل</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حرمة لبس الذهب بالرجال دون الأطفال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الأدلة بصورة خاصة في بعض ذلك، بالإضافة إلى المركوز في أذهان المتشرعة، ورفع القلم أنّما هو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يريد وقوعها في الخارج مطلقاً، أو في خصوص الطفل، كالقتل، ولذا يمنع حتى الحيوان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يُعلم بعض ذلك من ارتكاز المتشرعة، كما سيشير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علمنا عمومه للطفل،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لا يريد وقوعه حتى من الطفل؛ إذ لا يجب الردع إلاّ عن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على عموم الحكم، أو وجوب الردع كما سبق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مطلبان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الولي الردع؟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الطفل مكلف في الجملة؟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مطلقاً، إلاّ أن تكليف الولي هو الردع، كردع الحيوان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لحديث الرفع إطلاق، وهو لا ظهور له في رفع المحرمات العقلية، مثل الشرك وعبادة الأصنام والقتل والسرقة، بل يرفع المحرمات الشرعيّة فقط؛ ولذا لا يجوز للطفل شرعاً أن يرتكب هذه؛ إذ قد يستطيع ارتكابها سراً بلا علم أحد، أو بلا استطاعة أحد من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تفصيل المطلب في أول المجلد الثاني من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القطع</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العقلية كافية في ردع الطفل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أنها لا تسبب استحقاق العقاب، فلا يبقى رادع للطفل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توجب الاستحقاق، كما ذكره صاحب الكفاية</w:t>
      </w:r>
      <w:r>
        <w:rPr>
          <w:rStyle w:val="FootnoteAnchor"/>
          <w:rtl w:val="true"/>
        </w:rPr>
        <w:footnoteReference w:id="1062"/>
      </w:r>
      <w:r>
        <w:rPr>
          <w:rFonts w:ascii="Amiri" w:hAnsi="Amiri" w:eastAsia="Amiri" w:cs="Amiri"/>
          <w:color w:val="111111"/>
          <w:sz w:val="28"/>
          <w:sz w:val="28"/>
          <w:szCs w:val="28"/>
          <w:rtl w:val="true"/>
          <w:lang w:bidi="ar-SA"/>
        </w:rPr>
        <w:t>في التجري، حيث إنه حرام عقلي يوجب الاستحقاق، وراجع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تفويت الملاك ونحوه</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bookmarkStart w:id="682" w:name="pg15710_226920"/>
    </w:p>
    <w:p>
      <w:pPr>
        <w:pStyle w:val="BookText"/>
        <w:rPr/>
      </w:pPr>
      <w:bookmarkEnd w:id="682"/>
      <w:r>
        <w:rPr>
          <w:rFonts w:ascii="Amiri" w:hAnsi="Amiri" w:eastAsia="Amiri" w:cs="Amiri"/>
          <w:color w:val="111111"/>
          <w:sz w:val="28"/>
          <w:sz w:val="28"/>
          <w:szCs w:val="28"/>
          <w:rtl w:val="true"/>
          <w:lang w:bidi="ar-SA"/>
        </w:rPr>
        <w:t>كما أنه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المستثنى منه والمستثنى بالنسبة إلى المجنون والسكران، وإن كان سكره لا عن اختياره، مثلاً</w:t>
      </w:r>
      <w:r>
        <w:rPr>
          <w:rFonts w:eastAsia="Amiri" w:cs="Amiri" w:ascii="Amiri" w:hAnsi="Amiri"/>
          <w:color w:val="111111"/>
          <w:sz w:val="28"/>
          <w:szCs w:val="28"/>
          <w:rtl w:val="true"/>
          <w:lang w:bidi="ar-SA"/>
        </w:rPr>
        <w:t>.</w:t>
      </w:r>
    </w:p>
    <w:p>
      <w:pPr>
        <w:pStyle w:val="Heading2"/>
        <w:numPr>
          <w:ilvl w:val="1"/>
          <w:numId w:val="1"/>
        </w:numPr>
        <w:rPr/>
      </w:pPr>
      <w:bookmarkStart w:id="683" w:name="__RefHeading___Toc12184149_2142443653"/>
      <w:bookmarkStart w:id="684" w:name="_Toc255"/>
      <w:bookmarkEnd w:id="683"/>
      <w:r>
        <w:rPr>
          <w:rtl w:val="true"/>
        </w:rPr>
        <w:t>من أحكام الغصب في الأموال العامة</w:t>
      </w:r>
      <w:bookmarkEnd w:id="68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غصبت السلطة الجائرة ملكاً أو وقفاً وجعلته شارعاً فالظاهر جواز المرور فيه؛ لأن الملكية والوقفية أنما يتحقق حكمها فيما إذا كان هناك اعتبار عقلائي</w:t>
      </w:r>
      <w:r>
        <w:rPr>
          <w:rStyle w:val="FootnoteAnchor"/>
          <w:rtl w:val="true"/>
        </w:rPr>
        <w:footnoteReference w:id="1064"/>
      </w:r>
      <w:r>
        <w:rPr>
          <w:rFonts w:ascii="Amiri" w:hAnsi="Amiri" w:eastAsia="Amiri" w:cs="Amiri"/>
          <w:color w:val="111111"/>
          <w:sz w:val="28"/>
          <w:sz w:val="28"/>
          <w:szCs w:val="28"/>
          <w:rtl w:val="true"/>
          <w:lang w:bidi="ar-SA"/>
        </w:rPr>
        <w:t xml:space="preserve">، وبعد صيرورة المحل شارعاً لا اعتبار عقلائي لكون أرض الشارع ملكاً لزيد أو وقفا لمسجد، مثلاً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المملوك لا يجوز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والملكية علقة بين المالك والمملوك لم يعينها الشارع، بل هي أمر عرفي، وأن تصرف فيه الشارع بالزيادة والنقيصة، وهذه العلقة تنقطع بينهما في ما نحن فيه،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المكان ملك فلان، بل كان ملك فلان، ولو منع المالك المرور وقال لا أرضى لم يسمع منه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ذكر في كتاب الخمس، حول مبحث الخمس في الكنز</w:t>
      </w:r>
      <w:r>
        <w:rPr>
          <w:rStyle w:val="FootnoteAnchor"/>
          <w:rtl w:val="true"/>
        </w:rPr>
        <w:footnoteReference w:id="1066"/>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لأحد أبناء بني العباس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الملوية ملكي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المال المُلقى في البحر مع اليأس من استخراجه، ولكن هذا لا يخلو من تأمل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مجهولة المالك ويلحقها حكمه، أو إنه يلحقها حكم العبور في الأراضي غير المسوّرة، أو إنه يضع قدمه على الاسمنت أو القير لا على نفس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المالك قد أعرض، أو إنه راضٍ بذلك بشاهد الحال، أو إنه مصلحة للمجتمع، وقد فصلها الروحاني في فقه المسائل المستحدثة </w:t>
      </w:r>
      <w:r>
        <w:rPr>
          <w:rStyle w:val="FootnoteAnchor"/>
          <w:rtl w:val="true"/>
        </w:rPr>
        <w:footnoteReference w:id="1067"/>
      </w:r>
      <w:r>
        <w:rPr>
          <w:rFonts w:ascii="Amiri" w:hAnsi="Amiri" w:eastAsia="Amiri" w:cs="Amiri"/>
          <w:color w:val="111111"/>
          <w:sz w:val="28"/>
          <w:sz w:val="28"/>
          <w:szCs w:val="28"/>
          <w:rtl w:val="true"/>
          <w:lang w:bidi="ar-SA"/>
        </w:rPr>
        <w:t>، واختار أن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الملكيّة لغو</w:t>
      </w:r>
      <w:r>
        <w:rPr>
          <w:rFonts w:eastAsia="Amiri" w:cs="Amiri" w:ascii="Amiri" w:hAnsi="Amiri"/>
          <w:color w:val="111111"/>
          <w:sz w:val="28"/>
          <w:szCs w:val="28"/>
          <w:rtl w:val="true"/>
          <w:lang w:bidi="ar-SA"/>
        </w:rPr>
        <w:t>!</w:t>
      </w:r>
      <w:r>
        <w:rPr>
          <w:rStyle w:val="FootnoteAnchor"/>
          <w:rtl w:val="true"/>
        </w:rPr>
        <w:footnoteReference w:id="1068"/>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والأولى أن يستدل بجريان السيرة على ذلك، لو ثبت مثل ذلك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عسر وحرج، لكنه شخصي لا نوعي،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العروة، في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المسجد مكاناً للزرع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الطهارة</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إن عدم العبور إخلال بالنظام، أو إنّه يلحقهما حكم جوائز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تعلم حراماً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 علمت كذلك، فتأمل</w:t>
      </w:r>
      <w:r>
        <w:rPr>
          <w:rFonts w:eastAsia="Amiri" w:cs="Amiri" w:ascii="Amiri" w:hAnsi="Amiri"/>
          <w:color w:val="111111"/>
          <w:sz w:val="28"/>
          <w:szCs w:val="28"/>
          <w:rtl w:val="true"/>
          <w:lang w:bidi="ar-SA"/>
        </w:rPr>
        <w:t xml:space="preserve">. </w:t>
      </w:r>
      <w:bookmarkStart w:id="685" w:name="pg15710_226922"/>
    </w:p>
    <w:p>
      <w:pPr>
        <w:pStyle w:val="BookText"/>
        <w:rPr/>
      </w:pPr>
      <w:bookmarkEnd w:id="68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فعل العادل ذلك للاحتياج من باب الأهم والمهم فالأمر أوضح</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6" w:name="__RefHeading___Toc12184151_2142443653"/>
      <w:bookmarkStart w:id="687" w:name="_Toc256"/>
      <w:bookmarkEnd w:id="686"/>
      <w:r>
        <w:rPr>
          <w:rtl w:val="true"/>
        </w:rPr>
        <w:t>فضاء المسجد وحدوده</w:t>
      </w:r>
      <w:bookmarkEnd w:id="68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الذي فوق المسجد إنما يعتبر تابعاً للمسجد بالمقدار المتعارف</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تبعيته له، فلو مكث إنسان جنب في طائرة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هيلوكبتر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فضاء مسجد يبعد ألف متر</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لا يكون ذلك من المكث في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إطلاق المسجد والمكث فيه لا يشمله عرفاً، وكذلك تحت المسجد بألف متر مثلاً</w:t>
      </w:r>
      <w:r>
        <w:rPr>
          <w:rFonts w:eastAsia="Amiri" w:cs="Amiri" w:ascii="Amiri" w:hAnsi="Amiri"/>
          <w:color w:val="111111"/>
          <w:sz w:val="28"/>
          <w:szCs w:val="28"/>
          <w:rtl w:val="true"/>
          <w:lang w:bidi="ar-SA"/>
        </w:rPr>
        <w:t>.</w:t>
      </w:r>
    </w:p>
    <w:p>
      <w:pPr>
        <w:pStyle w:val="Heading2"/>
        <w:numPr>
          <w:ilvl w:val="1"/>
          <w:numId w:val="1"/>
        </w:numPr>
        <w:rPr/>
      </w:pPr>
      <w:bookmarkStart w:id="688" w:name="__RefHeading___Toc12184153_2142443653"/>
      <w:bookmarkStart w:id="689" w:name="_Toc257"/>
      <w:bookmarkEnd w:id="688"/>
      <w:r>
        <w:rPr>
          <w:rtl w:val="true"/>
        </w:rPr>
        <w:t>التقاط صور العمارات والأبنية</w:t>
      </w:r>
      <w:bookmarkEnd w:id="68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تصوير بناية إنسان من بعيد بأن يسلط المصور عدسة كامرته على جهة البناء من بعيد ويلتقط صورته، أم لا يجوز إلا</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هنالك تلازم بين وظيفة الحاكم ووظيفة المارّ، أو أنّه من مستلزماته العرفية؟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التجويز له ملازم للتجويز للمارّة،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غير المسجدية، فحريم دار زيد حريم لها وليست داراً لزيد، وعلى هذا فلا يصح أن يبني فوق المسجد بمائة متر، لكن يصح المرور جُنباً ولا ملازمة بينهما،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النظر في الاستدلال، فتأمل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bookmarkStart w:id="690" w:name="pg15710_226923"/>
    </w:p>
    <w:p>
      <w:pPr>
        <w:pStyle w:val="BookText"/>
        <w:rPr/>
      </w:pPr>
      <w:bookmarkEnd w:id="690"/>
      <w:r>
        <w:rPr>
          <w:rFonts w:ascii="Amiri" w:hAnsi="Amiri" w:eastAsia="Amiri" w:cs="Amiri"/>
          <w:color w:val="111111"/>
          <w:sz w:val="28"/>
          <w:sz w:val="28"/>
          <w:szCs w:val="28"/>
          <w:rtl w:val="true"/>
          <w:lang w:bidi="ar-SA"/>
        </w:rPr>
        <w:t>برضاء صاحب البناية؟ الظاهر الجواز إذا لم يكن هناك محذور خارجي</w:t>
      </w:r>
      <w:r>
        <w:rPr>
          <w:rStyle w:val="FootnoteAnchor"/>
          <w:rtl w:val="true"/>
        </w:rPr>
        <w:footnoteReference w:id="1070"/>
      </w:r>
      <w:r>
        <w:rPr>
          <w:rFonts w:ascii="Amiri" w:hAnsi="Amiri" w:eastAsia="Amiri" w:cs="Amiri"/>
          <w:color w:val="111111"/>
          <w:sz w:val="28"/>
          <w:sz w:val="28"/>
          <w:szCs w:val="28"/>
          <w:rtl w:val="true"/>
          <w:lang w:bidi="ar-SA"/>
        </w:rPr>
        <w:t>؛ لأن التصوير ليس تصرفاً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يجوز إذا عُدّ ذلك حقاً عرفاً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فإنه إذا تحقق لدى العرف الموضوع تحقق الحكم، فإنه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يتوى حق</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امرئ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1" w:name="__RefHeading___Toc12184155_2142443653"/>
      <w:bookmarkStart w:id="692" w:name="_Toc258"/>
      <w:bookmarkEnd w:id="691"/>
      <w:r>
        <w:rPr>
          <w:rtl w:val="true"/>
        </w:rPr>
        <w:t>تصوير مواقع الجيش والسلاح</w:t>
      </w:r>
      <w:bookmarkEnd w:id="69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المحذور الخارجي الذي ذكر في المسألة السابقة تصوير مواقع الجيش والسلاح وما أشبه بسبب الطائرات التجسسية، فإن ذلك لا يجوز</w:t>
      </w:r>
      <w:r>
        <w:rPr>
          <w:rStyle w:val="FootnoteAnchor"/>
          <w:rtl w:val="true"/>
        </w:rPr>
        <w:footnoteReference w:id="1071"/>
      </w:r>
      <w:r>
        <w:rPr>
          <w:rFonts w:ascii="Amiri" w:hAnsi="Amiri" w:eastAsia="Amiri" w:cs="Amiri"/>
          <w:color w:val="111111"/>
          <w:sz w:val="28"/>
          <w:sz w:val="28"/>
          <w:szCs w:val="28"/>
          <w:rtl w:val="true"/>
          <w:lang w:bidi="ar-SA"/>
        </w:rPr>
        <w:t>؛ لأنه من كشف السر الذي لا يجوز إذا كان ذلك السر محترماً عند الشارع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غير المحترم كمواقع جيش الكفار المحاربين للمسلمين أو ما أشبه</w:t>
      </w:r>
      <w:r>
        <w:rPr>
          <w:rFonts w:eastAsia="Amiri" w:cs="Amiri" w:ascii="Amiri" w:hAnsi="Amiri"/>
          <w:color w:val="111111"/>
          <w:sz w:val="28"/>
          <w:szCs w:val="28"/>
          <w:rtl w:val="true"/>
          <w:lang w:bidi="ar-SA"/>
        </w:rPr>
        <w:t>.</w:t>
      </w:r>
    </w:p>
    <w:p>
      <w:pPr>
        <w:pStyle w:val="BookText"/>
        <w:rPr/>
      </w:pP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ككشف أسرار الجيش الإسلامي، أو الاطلاع على العورات المحرمة، وسيشير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في المسائل اللاحقة</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ابتكر شخص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كجسر في اليابان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ترضَ أن يصور مثله، فأنه حق عرفاً،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النص الخاص هو نوع من أنواع الظلم،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المحرمات</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 ولأنه إضرار</w:t>
      </w:r>
      <w:r>
        <w:rPr>
          <w:rFonts w:eastAsia="IRNazanin" w:cs="IRNazanin"/>
          <w:color w:val="111111"/>
          <w:sz w:val="28"/>
          <w:szCs w:val="28"/>
          <w:rtl w:val="true"/>
          <w:lang w:bidi="fa-IR"/>
        </w:rPr>
        <w:t xml:space="preserve">. </w:t>
      </w:r>
      <w:bookmarkStart w:id="693" w:name="pg15710_226924"/>
    </w:p>
    <w:p>
      <w:pPr>
        <w:pStyle w:val="Heading2"/>
        <w:numPr>
          <w:ilvl w:val="1"/>
          <w:numId w:val="1"/>
        </w:numPr>
        <w:rPr/>
      </w:pPr>
      <w:bookmarkStart w:id="694" w:name="__RefHeading___Toc12184157_2142443653"/>
      <w:bookmarkStart w:id="695" w:name="_Toc259"/>
      <w:bookmarkEnd w:id="693"/>
      <w:bookmarkEnd w:id="694"/>
      <w:r>
        <w:rPr>
          <w:rtl w:val="true"/>
        </w:rPr>
        <w:t>فضح المسلم المستور</w:t>
      </w:r>
      <w:bookmarkEnd w:id="69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المحذور الخارجي المذكور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فضح مسلم مستور</w:t>
      </w:r>
      <w:r>
        <w:rPr>
          <w:rStyle w:val="FootnoteAnchor"/>
          <w:rtl w:val="true"/>
        </w:rPr>
        <w:footnoteReference w:id="1078"/>
      </w:r>
      <w:r>
        <w:rPr>
          <w:rFonts w:ascii="Amiri" w:hAnsi="Amiri" w:eastAsia="Amiri" w:cs="Amiri"/>
          <w:color w:val="111111"/>
          <w:sz w:val="28"/>
          <w:sz w:val="28"/>
          <w:szCs w:val="28"/>
          <w:rtl w:val="true"/>
          <w:lang w:bidi="ar-SA"/>
        </w:rPr>
        <w:t>، كأن يلتقط بالأشعة صورة قنينة الخمر التي أخفاها في داره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روايات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أن ينكشف فترى منه شيئاً إنما هو أن تروي عليه أو تعيبه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 المؤمن يعرف حرمة ذلك</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6" w:name="__RefHeading___Toc12184159_2142443653"/>
      <w:bookmarkStart w:id="697" w:name="_Toc260"/>
      <w:bookmarkEnd w:id="696"/>
      <w:r>
        <w:rPr>
          <w:rtl w:val="true"/>
        </w:rPr>
        <w:t>كشف أموال الناس</w:t>
      </w:r>
      <w:bookmarkEnd w:id="69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المحذور الخارجي المذكور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كشف سرّ له، كأن يصور ماله الذي يحتفظ به في القاصة فيما إذا أراد إخفاءه، ولم يرضَ بكشفه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سره المحترم المشمول لأدلة حرمة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كشف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ذلك مقدمة للنهي عن المنكر أو الردع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أدلة الهتك، وإفشاء السرّ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سفليه،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هي إذاعة سره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الفقه، كتاب المحرمات</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bookmarkStart w:id="698" w:name="pg15710_226925"/>
    </w:p>
    <w:p>
      <w:pPr>
        <w:pStyle w:val="Heading2"/>
        <w:numPr>
          <w:ilvl w:val="1"/>
          <w:numId w:val="1"/>
        </w:numPr>
        <w:rPr/>
      </w:pPr>
      <w:bookmarkStart w:id="699" w:name="__RefHeading___Toc12184161_2142443653"/>
      <w:bookmarkStart w:id="700" w:name="_Toc261"/>
      <w:bookmarkEnd w:id="698"/>
      <w:bookmarkEnd w:id="699"/>
      <w:r>
        <w:rPr>
          <w:rtl w:val="true"/>
        </w:rPr>
        <w:t>فضاء الكعبة وحدوده</w:t>
      </w:r>
      <w:bookmarkEnd w:id="70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يجوز عبور الجنب في فضاء الكعبة في المسجد الحرام مهما كان بعيداً، كعشرة آلاف متر مثلاً؛ لأن الكعبة ممتدة إلى السماء، لكن المسألة بعد غير منقحة وتحتاج إلى مزيد من التأمل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انصراف الأدلة عن مثل ذلك، ولا يبعد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وإن صح التوجه في الصلاة إلى ذلك العمود الخيالي الممتد من تخوم الأرض إلى عنان السماء طرفي الكعبة؛ لعدم التلازم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بين الأمرين</w:t>
      </w:r>
      <w:r>
        <w:rPr>
          <w:rFonts w:eastAsia="Amiri" w:cs="Amiri" w:ascii="Amiri" w:hAnsi="Amiri"/>
          <w:color w:val="111111"/>
          <w:sz w:val="28"/>
          <w:szCs w:val="28"/>
          <w:rtl w:val="true"/>
          <w:lang w:bidi="ar-SA"/>
        </w:rPr>
        <w:t>.</w:t>
      </w:r>
    </w:p>
    <w:p>
      <w:pPr>
        <w:pStyle w:val="Heading2"/>
        <w:numPr>
          <w:ilvl w:val="1"/>
          <w:numId w:val="1"/>
        </w:numPr>
        <w:rPr/>
      </w:pPr>
      <w:bookmarkStart w:id="701" w:name="__RefHeading___Toc12184163_2142443653"/>
      <w:bookmarkStart w:id="702" w:name="_Toc262"/>
      <w:bookmarkEnd w:id="701"/>
      <w:r>
        <w:rPr>
          <w:rtl w:val="true"/>
        </w:rPr>
        <w:t>الاتصال بصلاة الجماعة عبر الراديو</w:t>
      </w:r>
      <w:bookmarkEnd w:id="70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الاتصال في صلاة الجماعة بسبب الراديو أو التلفزيون، وإن سمع الصوت ورأى الشخص، فتجويز بعض المسلمين لذلك خلاف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الجماعة لا تتحقق إلا بما ذكر في كتاب الصلاة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فالكعبة باعتبارها قبلة ممتدة لا في كلّ الأحكام؛ ولذا لا يصح الطواف في المسافة البعيدة،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صلاة النساء يغتفر ما لا يغتفر في صلاة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صلاتهن </w:t>
      </w:r>
      <w:bookmarkStart w:id="703" w:name="pg15710_226926"/>
    </w:p>
    <w:p>
      <w:pPr>
        <w:pStyle w:val="Heading2"/>
        <w:numPr>
          <w:ilvl w:val="1"/>
          <w:numId w:val="1"/>
        </w:numPr>
        <w:rPr/>
      </w:pPr>
      <w:bookmarkStart w:id="704" w:name="__RefHeading___Toc12184165_2142443653"/>
      <w:bookmarkStart w:id="705" w:name="_Toc263"/>
      <w:bookmarkEnd w:id="703"/>
      <w:bookmarkEnd w:id="704"/>
      <w:r>
        <w:rPr>
          <w:rtl w:val="true"/>
        </w:rPr>
        <w:t>من أحكام النقل الجوي</w:t>
      </w:r>
      <w:bookmarkEnd w:id="70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للطائرة أن تنزل في مطار لم يأذن بنزولها فيه صاحب المطار، وإن خالفت ونزلت ضمنت الأُجرة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حق صاحب المطار ذلك، بالإضافة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إلى أن فعله محرم؛ لأنه تصرف في ملك الغير بلا إذن منه فعليه التعزير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والمراد بالتعزير ما يشمل الغرامة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وما أشبه، إلا إذا كان مضطراً أو</w:t>
      </w:r>
    </w:p>
    <w:p>
      <w:pPr>
        <w:pStyle w:val="BookText"/>
        <w:rPr/>
      </w:pPr>
      <w:r>
        <w:rPr>
          <w:rFonts w:ascii="Amiri" w:hAnsi="Amiri" w:eastAsia="Amiri" w:cs="Amiri"/>
          <w:color w:val="111111"/>
          <w:sz w:val="28"/>
          <w:sz w:val="28"/>
          <w:szCs w:val="28"/>
          <w:rtl w:val="true"/>
          <w:lang w:bidi="ar-SA"/>
        </w:rPr>
        <w:t xml:space="preserve">خلف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صلاة الجماعة</w:t>
      </w:r>
      <w:r>
        <w:rPr>
          <w:rStyle w:val="FootnoteAnchor"/>
          <w:rtl w:val="true"/>
        </w:rPr>
        <w:footnoteReference w:id="1081"/>
      </w:r>
      <w:r>
        <w:rPr>
          <w:rFonts w:ascii="Amiri" w:hAnsi="Amiri" w:eastAsia="Amiri" w:cs="Amiri"/>
          <w:color w:val="111111"/>
          <w:sz w:val="28"/>
          <w:sz w:val="28"/>
          <w:szCs w:val="28"/>
          <w:rtl w:val="true"/>
          <w:lang w:bidi="ar-SA"/>
        </w:rPr>
        <w:t xml:space="preserve">، وكذا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ثلاثة 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الوضعي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جريانه في كلّ محرّم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المشهور، إلاّ أن يبنى على العناوين الثانوية</w:t>
      </w:r>
      <w:r>
        <w:rPr>
          <w:rFonts w:eastAsia="Amiri" w:cs="Amiri" w:ascii="Amiri" w:hAnsi="Amiri"/>
          <w:color w:val="111111"/>
          <w:sz w:val="28"/>
          <w:szCs w:val="28"/>
          <w:rtl w:val="true"/>
          <w:lang w:bidi="ar-SA"/>
        </w:rPr>
        <w:t xml:space="preserve">. </w:t>
      </w:r>
      <w:bookmarkStart w:id="706" w:name="pg15710_226927"/>
    </w:p>
    <w:p>
      <w:pPr>
        <w:pStyle w:val="BookText"/>
        <w:rPr/>
      </w:pPr>
      <w:bookmarkEnd w:id="706"/>
      <w:r>
        <w:rPr>
          <w:rFonts w:ascii="Amiri" w:hAnsi="Amiri" w:eastAsia="Amiri" w:cs="Amiri"/>
          <w:color w:val="111111"/>
          <w:sz w:val="28"/>
          <w:sz w:val="28"/>
          <w:szCs w:val="28"/>
          <w:rtl w:val="true"/>
          <w:lang w:bidi="ar-SA"/>
        </w:rPr>
        <w:t>مكرهاً فلا حرمة وإن ضمن</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أن يكون الضمان على مَنْ اضطره أو أكرهه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السبب 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2"/>
        <w:numPr>
          <w:ilvl w:val="1"/>
          <w:numId w:val="1"/>
        </w:numPr>
        <w:rPr/>
      </w:pPr>
      <w:bookmarkStart w:id="707" w:name="__RefHeading___Toc12184167_2142443653"/>
      <w:bookmarkStart w:id="708" w:name="_Toc264"/>
      <w:bookmarkEnd w:id="707"/>
      <w:r>
        <w:rPr>
          <w:rtl w:val="true"/>
        </w:rPr>
        <w:t>اختطاف الطائرات والسيارات</w:t>
      </w:r>
      <w:bookmarkEnd w:id="70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لإنسان أن يختطف الطائرة أو السيارة أو القطار أو الغواصة أو السفينة، إلا إذا كان ذلك لمصلحة أهم في نظر الشريعة من مصلحة الحرام الذي هو الاختطاف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والأهمية يلزم أن تعرف بنظر شورى الفقهاء إذا كان هناك فقهاء مراجع للتقليد، وبدونه فالفقيه المقلَّد؛ لأنه الحاكم الشرعي حينئذٍ، وأما ما تعارف اليوم من الاختطافات وأخذ الرهائن والأعمال الإرهابية فهو محرم</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ناقش في الضمان،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 في بحث شرائط الوضوء، الإباحة</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كالخاطف المهدد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جواز الرجوع إلى كلّ منهما، إلاّ أن قرار الضمان على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المكاسب</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bookmarkStart w:id="709" w:name="pg15710_226928"/>
    </w:p>
    <w:p>
      <w:pPr>
        <w:pStyle w:val="BookText"/>
        <w:rPr/>
      </w:pPr>
      <w:bookmarkEnd w:id="709"/>
      <w:r>
        <w:rPr>
          <w:rFonts w:ascii="Amiri" w:hAnsi="Amiri" w:eastAsia="Amiri" w:cs="Amiri"/>
          <w:color w:val="111111"/>
          <w:sz w:val="28"/>
          <w:sz w:val="28"/>
          <w:szCs w:val="28"/>
          <w:rtl w:val="true"/>
          <w:lang w:bidi="ar-SA"/>
        </w:rPr>
        <w:t>للأدلة الأولية</w:t>
      </w:r>
      <w:r>
        <w:rPr>
          <w:rStyle w:val="FootnoteAnchor"/>
          <w:rtl w:val="true"/>
        </w:rPr>
        <w:footnoteReference w:id="1085"/>
      </w:r>
      <w:r>
        <w:rPr>
          <w:rFonts w:ascii="Amiri" w:hAnsi="Amiri" w:eastAsia="Amiri" w:cs="Amiri"/>
          <w:color w:val="111111"/>
          <w:sz w:val="28"/>
          <w:sz w:val="28"/>
          <w:szCs w:val="28"/>
          <w:rtl w:val="true"/>
          <w:lang w:bidi="ar-SA"/>
        </w:rPr>
        <w:t>؛ ولأنه يوجب تشويه</w:t>
      </w:r>
      <w:r>
        <w:rPr>
          <w:rStyle w:val="FootnoteAnchor"/>
          <w:rtl w:val="true"/>
        </w:rPr>
        <w:footnoteReference w:id="1086"/>
      </w:r>
      <w:r>
        <w:rPr>
          <w:rFonts w:ascii="Amiri" w:hAnsi="Amiri" w:eastAsia="Amiri" w:cs="Amiri"/>
          <w:color w:val="111111"/>
          <w:sz w:val="28"/>
          <w:sz w:val="28"/>
          <w:szCs w:val="28"/>
          <w:rtl w:val="true"/>
          <w:lang w:bidi="ar-SA"/>
        </w:rPr>
        <w:t xml:space="preserve"> سمعة الإسلام والمسلمين</w:t>
      </w:r>
      <w:r>
        <w:rPr>
          <w:rFonts w:eastAsia="Amiri" w:cs="Amiri" w:ascii="Amiri" w:hAnsi="Amiri"/>
          <w:color w:val="111111"/>
          <w:sz w:val="28"/>
          <w:szCs w:val="28"/>
          <w:rtl w:val="true"/>
          <w:lang w:bidi="ar-SA"/>
        </w:rPr>
        <w:t>.</w:t>
      </w:r>
    </w:p>
    <w:p>
      <w:pPr>
        <w:pStyle w:val="Heading2"/>
        <w:numPr>
          <w:ilvl w:val="1"/>
          <w:numId w:val="1"/>
        </w:numPr>
        <w:rPr/>
      </w:pPr>
      <w:bookmarkStart w:id="710" w:name="__RefHeading___Toc12184169_2142443653"/>
      <w:bookmarkStart w:id="711" w:name="_Toc265"/>
      <w:bookmarkEnd w:id="710"/>
      <w:r>
        <w:rPr>
          <w:rtl w:val="true"/>
        </w:rPr>
        <w:t>تبديل الصفيف إلى الدفيف</w:t>
      </w:r>
      <w:bookmarkEnd w:id="71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زُرق</w:t>
      </w:r>
      <w:r>
        <w:rPr>
          <w:rStyle w:val="FootnoteAnchor"/>
          <w:rtl w:val="true"/>
        </w:rPr>
        <w:footnoteReference w:id="1087"/>
      </w:r>
      <w:r>
        <w:rPr>
          <w:rFonts w:ascii="Amiri" w:hAnsi="Amiri" w:eastAsia="Amiri" w:cs="Amiri"/>
          <w:color w:val="111111"/>
          <w:sz w:val="28"/>
          <w:sz w:val="28"/>
          <w:szCs w:val="28"/>
          <w:rtl w:val="true"/>
          <w:lang w:bidi="ar-SA"/>
        </w:rPr>
        <w:t xml:space="preserve"> جسم الطائر ذي الصفيف الأكثر حتى صار دفيفه أكثر لم يلحقه حكم ذي الدفيف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سرى</w:t>
      </w:r>
      <w:r>
        <w:rPr>
          <w:rStyle w:val="FootnoteAnchor"/>
          <w:rtl w:val="true"/>
        </w:rPr>
        <w:footnoteReference w:id="1088"/>
      </w:r>
      <w:r>
        <w:rPr>
          <w:rFonts w:ascii="Amiri" w:hAnsi="Amiri" w:eastAsia="Amiri" w:cs="Amiri"/>
          <w:color w:val="111111"/>
          <w:sz w:val="28"/>
          <w:sz w:val="28"/>
          <w:szCs w:val="28"/>
          <w:rtl w:val="true"/>
          <w:lang w:bidi="ar-SA"/>
        </w:rPr>
        <w:t xml:space="preserve"> ذلك إلى نسله حتى أصبح هذا القسم من الطائر ذا دفيف أكثر فالظاهر أنه يلحقه حكم ذي الدفيف</w:t>
      </w:r>
      <w:r>
        <w:rPr>
          <w:rFonts w:eastAsia="Amiri" w:cs="Amiri" w:ascii="Amiri" w:hAnsi="Amiri"/>
          <w:color w:val="111111"/>
          <w:sz w:val="28"/>
          <w:szCs w:val="28"/>
          <w:rtl w:val="true"/>
          <w:lang w:bidi="ar-SA"/>
        </w:rPr>
        <w:t>.</w:t>
      </w:r>
    </w:p>
    <w:p>
      <w:pPr>
        <w:pStyle w:val="BookText"/>
        <w:rPr/>
      </w:pP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ظلم وإيذاء وخلاف قانون السلطنة</w:t>
      </w:r>
      <w:r>
        <w:rPr>
          <w:rFonts w:eastAsia="Amiri" w:cs="Amiri" w:ascii="Amiri" w:hAnsi="Amiri"/>
          <w:color w:val="111111"/>
          <w:sz w:val="28"/>
          <w:szCs w:val="28"/>
          <w:rtl w:val="true"/>
          <w:lang w:bidi="ar-SA"/>
        </w:rPr>
        <w:t>.</w:t>
      </w:r>
    </w:p>
    <w:p>
      <w:pPr>
        <w:pStyle w:val="BookText"/>
        <w:rPr/>
      </w:pP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إتمام الحجة، وخلاف الإرشاد والتنبيه،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لضربت أعناق كثير</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p>
    <w:p>
      <w:pPr>
        <w:pStyle w:val="BookText"/>
        <w:rPr/>
      </w:pP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المسألة مرت سابقاً</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إذ يحتمل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الدفيف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مثله، فتأمل،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القضية الخارجية والحقيقية</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bookmarkStart w:id="712" w:name="pg15710_226929"/>
    </w:p>
    <w:p>
      <w:pPr>
        <w:pStyle w:val="BookText"/>
        <w:rPr/>
      </w:pPr>
      <w:bookmarkEnd w:id="71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تقدم أن المعيار في مثل ذلك الصدق العرفي</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3" w:name="__RefHeading___Toc12184171_2142443653"/>
      <w:bookmarkStart w:id="714" w:name="_Toc266"/>
      <w:bookmarkEnd w:id="713"/>
      <w:r>
        <w:rPr>
          <w:rtl w:val="true"/>
        </w:rPr>
        <w:t>تبديل الدفيف إلى الصفيف</w:t>
      </w:r>
      <w:bookmarkEnd w:id="71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زُرق جسم الطائر ذي الدفيف الأكثر حتى صار صفيفه أكثر لم يلحقه حكم ذي الصفيف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سرى ذلك إلى نسله حتى أصبح هذا القسم من الطائر ذا صفيف أكثر فالظاهر أنه يلحقه حكم ذي الصفيف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لما تقدم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في المسألة السابقة</w:t>
      </w:r>
      <w:r>
        <w:rPr>
          <w:rFonts w:eastAsia="Amiri" w:cs="Amiri" w:ascii="Amiri" w:hAnsi="Amiri"/>
          <w:color w:val="111111"/>
          <w:sz w:val="28"/>
          <w:szCs w:val="28"/>
          <w:rtl w:val="true"/>
          <w:lang w:bidi="ar-SA"/>
        </w:rPr>
        <w:t>.</w:t>
      </w:r>
    </w:p>
    <w:p>
      <w:pPr>
        <w:pStyle w:val="Heading2"/>
        <w:numPr>
          <w:ilvl w:val="1"/>
          <w:numId w:val="1"/>
        </w:numPr>
        <w:rPr/>
      </w:pPr>
      <w:bookmarkStart w:id="715" w:name="__RefHeading___Toc12184173_2142443653"/>
      <w:bookmarkStart w:id="716" w:name="_Toc267"/>
      <w:bookmarkEnd w:id="715"/>
      <w:r>
        <w:rPr>
          <w:rtl w:val="true"/>
        </w:rPr>
        <w:t>التصرف في القمر</w:t>
      </w:r>
      <w:bookmarkEnd w:id="71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تقريب القمر إلى الأرض عبر الوسائل العلمية، أو إبعاده عن الأرض مما أوجب اختلال النظام لم يجز؛ لأن ذلك تصرف</w:t>
      </w:r>
      <w:r>
        <w:rPr>
          <w:rStyle w:val="FootnoteAnchor"/>
          <w:rtl w:val="true"/>
        </w:rPr>
        <w:footnoteReference w:id="1096"/>
      </w:r>
      <w:r>
        <w:rPr>
          <w:rFonts w:ascii="Amiri" w:hAnsi="Amiri" w:eastAsia="Amiri" w:cs="Amiri"/>
          <w:color w:val="111111"/>
          <w:sz w:val="28"/>
          <w:sz w:val="28"/>
          <w:szCs w:val="28"/>
          <w:rtl w:val="true"/>
          <w:lang w:bidi="ar-SA"/>
        </w:rPr>
        <w:t xml:space="preserve"> في حياة الناس، وذلك غير جائز، بل لو رضي الناس فرضاً ففي الجواز أيضاً إشكال؛ لأنه حق كل الأجيال</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ذلك ملازم للسراية إلى نسله، أو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نجعل الملاك الصدق مطلقاً؟ وهل الملاك في الصدق كونه طبيعة ثابتة لا عارضاً مؤقتاً؟</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التعليق</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وإيذاء وإضرار، ولعله تغيير لخلق اللّه تعالى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تفصيله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ولعله سبقت الإشارة إليه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bookmarkStart w:id="717" w:name="pg15710_226930"/>
    </w:p>
    <w:p>
      <w:pPr>
        <w:pStyle w:val="BookText"/>
        <w:rPr/>
      </w:pPr>
      <w:bookmarkEnd w:id="71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 لأنه لا يحق لإنسان أن يتصرف في حق إنسان آخر، سواء كان ذلك الإنسان معاصراً أم مستقبلاً؛ وذلك لأن الأُمور مؤطرة بإطار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8" w:name="__RefHeading___Toc12184175_2142443653"/>
      <w:bookmarkStart w:id="719" w:name="_Toc268"/>
      <w:bookmarkEnd w:id="718"/>
      <w:r>
        <w:rPr>
          <w:rtl w:val="true"/>
        </w:rPr>
        <w:t>تنصيف القمر</w:t>
      </w:r>
      <w:bookmarkEnd w:id="71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تنصيف القمر إلى نصفين أو أكثر لكن مع بقائه في المدار المعين، فإن أثر ذلك على حياة الناس لم يجز كما تقدم، وإن لم يؤثر أو رضي الناس كلهم بذلك ففي الجواز إشكال</w:t>
      </w:r>
      <w:r>
        <w:rPr>
          <w:rStyle w:val="FootnoteAnchor"/>
          <w:rtl w:val="true"/>
        </w:rPr>
        <w:footnoteReference w:id="1105"/>
      </w:r>
      <w:r>
        <w:rPr>
          <w:rFonts w:ascii="IRNazanin" w:hAnsi="IRNazanin" w:eastAsia="IRNazanin"/>
          <w:color w:val="111111"/>
          <w:sz w:val="28"/>
          <w:sz w:val="28"/>
          <w:szCs w:val="28"/>
          <w:rtl w:val="true"/>
          <w:lang w:bidi="fa-IR"/>
        </w:rPr>
        <w:t xml:space="preserve"> على ما سبق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هنا كالأمر في المسألة السابقة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0" w:name="__RefHeading___Toc12184177_2142443653"/>
      <w:bookmarkStart w:id="721" w:name="_Toc269"/>
      <w:bookmarkEnd w:id="720"/>
      <w:r>
        <w:rPr>
          <w:rtl w:val="true"/>
        </w:rPr>
        <w:t>تمديد حمل الجنين</w:t>
      </w:r>
      <w:bookmarkEnd w:id="72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اُبقي الجنين في الرحم أكثر من القدر المعتاد بالوسائل العلمية، فهل الاعتبار في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خروجه من الرحم، أو يوم تأهله للخروج عادة؟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بقاء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فأبقاه سنة ونصفاً، فهل يدخل السادسة عشرة بعد خمس عشرة سنة ونصفاً أو بعد ست عشرة سنة؟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مقتضى الصناعة الاعتبار بوقت خروجه؛ لأن الحكم يتبع</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p>
    <w:p>
      <w:pPr>
        <w:pStyle w:val="BookText"/>
        <w:rPr/>
      </w:pP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هنا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خلق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الفرض السابق فيه ضرر وهنا لا ضرر، فتأمل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bookmarkStart w:id="722" w:name="pg15710_226931"/>
    </w:p>
    <w:p>
      <w:pPr>
        <w:pStyle w:val="BookText"/>
        <w:rPr/>
      </w:pPr>
      <w:bookmarkEnd w:id="722"/>
      <w:r>
        <w:rPr>
          <w:rFonts w:ascii="Amiri" w:hAnsi="Amiri" w:eastAsia="Amiri" w:cs="Amiri"/>
          <w:color w:val="111111"/>
          <w:sz w:val="28"/>
          <w:sz w:val="28"/>
          <w:szCs w:val="28"/>
          <w:rtl w:val="true"/>
          <w:lang w:bidi="ar-SA"/>
        </w:rPr>
        <w:t>موضوعه، إلا إذا كانت المدة طويلة</w:t>
      </w:r>
      <w:r>
        <w:rPr>
          <w:rStyle w:val="FootnoteAnchor"/>
          <w:rtl w:val="true"/>
        </w:rPr>
        <w:footnoteReference w:id="1107"/>
      </w:r>
      <w:r>
        <w:rPr>
          <w:rFonts w:ascii="Amiri" w:hAnsi="Amiri" w:eastAsia="Amiri" w:cs="Amiri"/>
          <w:color w:val="111111"/>
          <w:sz w:val="28"/>
          <w:sz w:val="28"/>
          <w:szCs w:val="28"/>
          <w:rtl w:val="true"/>
          <w:lang w:bidi="ar-SA"/>
        </w:rPr>
        <w:t xml:space="preserve"> جداً، كسنوات مثلاً، والاحتمال الآخر</w:t>
      </w:r>
      <w:r>
        <w:rPr>
          <w:rStyle w:val="FootnoteAnchor"/>
          <w:rtl w:val="true"/>
        </w:rPr>
        <w:footnoteReference w:id="1108"/>
      </w:r>
      <w:r>
        <w:rPr>
          <w:rFonts w:ascii="Amiri" w:hAnsi="Amiri" w:eastAsia="Amiri" w:cs="Amiri"/>
          <w:color w:val="111111"/>
          <w:sz w:val="28"/>
          <w:sz w:val="28"/>
          <w:szCs w:val="28"/>
          <w:rtl w:val="true"/>
          <w:lang w:bidi="ar-SA"/>
        </w:rPr>
        <w:t xml:space="preserve"> هو احتساب الزيادة من عمره؛ لأن بقاءه زائداً حاله حال بقائه في جهاز خارج الرحم</w:t>
      </w:r>
      <w:r>
        <w:rPr>
          <w:rFonts w:eastAsia="Amiri" w:cs="Amiri" w:ascii="Amiri" w:hAnsi="Amiri"/>
          <w:color w:val="111111"/>
          <w:sz w:val="28"/>
          <w:szCs w:val="28"/>
          <w:rtl w:val="true"/>
          <w:lang w:bidi="ar-SA"/>
        </w:rPr>
        <w:t>.</w:t>
      </w:r>
    </w:p>
    <w:p>
      <w:pPr>
        <w:pStyle w:val="Heading2"/>
        <w:numPr>
          <w:ilvl w:val="1"/>
          <w:numId w:val="1"/>
        </w:numPr>
        <w:rPr/>
      </w:pPr>
      <w:bookmarkStart w:id="723" w:name="__RefHeading___Toc12184179_2142443653"/>
      <w:bookmarkStart w:id="724" w:name="_Toc270"/>
      <w:bookmarkEnd w:id="723"/>
      <w:r>
        <w:rPr>
          <w:rtl w:val="true"/>
        </w:rPr>
        <w:t>تقليص حمل الجنين</w:t>
      </w:r>
      <w:bookmarkEnd w:id="72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اُبقي الجنين في الرحم أقل من المعتاد، كما لو أكمله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بالوسائل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أشهر وأخرجه، فهل الشهران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ستة أشهر المعتادة بقاء الجنين في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يحسبان من عمره حتى إذا صار عمره ست عشرة سنة مع هذين الشهرين يكون قد بلغ، أم لا يحسبان من عمره حتى يلزم أن يمر خمس عشرة سنة وشهران حتى يبلغ؟ احتمالان كما تقدم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الأقرب هنا أيضاً الاعتبار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بوقت خروجه لتحقق الموضوع فيتحقق الحكم</w:t>
      </w:r>
      <w:r>
        <w:rPr>
          <w:rFonts w:eastAsia="Amiri" w:cs="Amiri" w:ascii="Amiri" w:hAnsi="Amiri"/>
          <w:color w:val="111111"/>
          <w:sz w:val="28"/>
          <w:szCs w:val="28"/>
          <w:rtl w:val="true"/>
          <w:lang w:bidi="ar-SA"/>
        </w:rPr>
        <w:t>.</w:t>
      </w:r>
    </w:p>
    <w:p>
      <w:pPr>
        <w:pStyle w:val="BookText"/>
        <w:rPr/>
      </w:pP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نظيره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غير صحيح، والفارق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يوضع منذ الأوّل في الجهاز، وقد يوضع بعد مضي فترة كثلاثة أشهر والمسألة بحاجة للتأمل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مسألة </w:t>
      </w:r>
      <w:r>
        <w:rPr>
          <w:rFonts w:eastAsia="Amiri" w:cs="Amiri" w:ascii="Amiri" w:hAnsi="Amiri"/>
          <w:color w:val="111111"/>
          <w:sz w:val="28"/>
          <w:szCs w:val="28"/>
          <w:lang w:bidi="ar-SA"/>
        </w:rPr>
        <w:t>691</w:t>
      </w:r>
      <w:r>
        <w:rPr>
          <w:rStyle w:val="FootnoteAnchor"/>
          <w:rtl w:val="true"/>
        </w:rPr>
        <w:footnoteReference w:id="1112"/>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692</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وضع في الجهاز وهو نطفة مثلاً، فلا يعدّ ذلك من عمره، فتأمل</w:t>
      </w:r>
      <w:r>
        <w:rPr>
          <w:rFonts w:eastAsia="Amiri" w:cs="Amiri" w:ascii="Amiri" w:hAnsi="Amiri"/>
          <w:color w:val="111111"/>
          <w:sz w:val="28"/>
          <w:szCs w:val="28"/>
          <w:rtl w:val="true"/>
          <w:lang w:bidi="ar-SA"/>
        </w:rPr>
        <w:t xml:space="preserve">. </w:t>
      </w:r>
      <w:bookmarkStart w:id="725" w:name="pg15710_226932"/>
    </w:p>
    <w:p>
      <w:pPr>
        <w:pStyle w:val="Heading2"/>
        <w:numPr>
          <w:ilvl w:val="1"/>
          <w:numId w:val="1"/>
        </w:numPr>
        <w:rPr/>
      </w:pPr>
      <w:bookmarkStart w:id="726" w:name="__RefHeading___Toc12184181_2142443653"/>
      <w:bookmarkStart w:id="727" w:name="_Toc271"/>
      <w:bookmarkEnd w:id="725"/>
      <w:bookmarkEnd w:id="726"/>
      <w:r>
        <w:rPr>
          <w:rtl w:val="true"/>
        </w:rPr>
        <w:t>تربية الجنين خارج الرحم</w:t>
      </w:r>
      <w:bookmarkEnd w:id="72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رُبّي الجنين خارج الرحم فأول عمره يحسب من حين تكونه خارج جسم الإنسان، أو بعد مدة الجنينية المعتادة</w:t>
      </w: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 احتمالان، وإن كان الثاني أقرب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المعيار على ما يستفاد من الشرع، سواء كان في الرحم أم خارجها</w:t>
      </w:r>
      <w:r>
        <w:rPr>
          <w:rFonts w:eastAsia="Amiri" w:cs="Amiri" w:ascii="Amiri" w:hAnsi="Amiri"/>
          <w:color w:val="111111"/>
          <w:sz w:val="28"/>
          <w:szCs w:val="28"/>
          <w:rtl w:val="true"/>
          <w:lang w:bidi="ar-SA"/>
        </w:rPr>
        <w:t>.</w:t>
      </w:r>
    </w:p>
    <w:p>
      <w:pPr>
        <w:pStyle w:val="Heading2"/>
        <w:numPr>
          <w:ilvl w:val="1"/>
          <w:numId w:val="1"/>
        </w:numPr>
        <w:rPr/>
      </w:pPr>
      <w:bookmarkStart w:id="728" w:name="__RefHeading___Toc12184183_2142443653"/>
      <w:bookmarkStart w:id="729" w:name="_Toc272"/>
      <w:bookmarkEnd w:id="728"/>
      <w:r>
        <w:rPr>
          <w:rtl w:val="true"/>
        </w:rPr>
        <w:t>التركيب بين الحيوانات المحرمة والمحللة</w:t>
      </w:r>
      <w:bookmarkEnd w:id="72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جعلنا المحرمات جزءاً</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الحيوانات المحللة بالوسائل العلمية فالظاهر حليتها،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لحم الكلب أو الهر جزءاً من الدجاجة أو الشاة حتى انقلبت إلى جسمها صار حلالاً، سواء أدر الحيوان الحلال اللبن الأكثر بعد ذلك أم لا، أعطت الدجاجة البيض الأكثر أم لا، أثر في هزالهما وسمنهما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لتحقق الموضوع فيتحقق الحكم</w:t>
      </w:r>
      <w:r>
        <w:rPr>
          <w:rFonts w:eastAsia="Amiri" w:cs="Amiri" w:ascii="Amiri" w:hAnsi="Amiri"/>
          <w:color w:val="111111"/>
          <w:sz w:val="28"/>
          <w:szCs w:val="28"/>
          <w:rtl w:val="true"/>
          <w:lang w:bidi="ar-SA"/>
        </w:rPr>
        <w:t>.</w:t>
      </w:r>
    </w:p>
    <w:p>
      <w:pPr>
        <w:pStyle w:val="Heading2"/>
        <w:numPr>
          <w:ilvl w:val="1"/>
          <w:numId w:val="1"/>
        </w:numPr>
        <w:rPr/>
      </w:pPr>
      <w:bookmarkStart w:id="730" w:name="__RefHeading___Toc12184185_2142443653"/>
      <w:bookmarkStart w:id="731" w:name="_Toc273"/>
      <w:bookmarkEnd w:id="730"/>
      <w:r>
        <w:rPr>
          <w:rtl w:val="true"/>
        </w:rPr>
        <w:t>تسميم الأجواء</w:t>
      </w:r>
      <w:bookmarkEnd w:id="73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سببت المعامل بواسطة إفراز الغاز وما أشبه ضرر الناس وأذاهم جاز</w:t>
      </w:r>
      <w:r>
        <w:rPr>
          <w:rFonts w:eastAsia="Times New Roman" w:cs="Times New Roman" w:ascii="Times New Roman" w:hAnsi="Times New Roman"/>
          <w:color w:val="111111"/>
          <w:sz w:val="28"/>
          <w:szCs w:val="28"/>
          <w:lang w:val="en-US" w:bidi="en-US"/>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حوالي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أن ملاك الجزئية هو التفاعل أو العرف أو هما متلازمان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بالمعنى الأعم للجواز</w:t>
      </w:r>
      <w:r>
        <w:rPr>
          <w:rFonts w:eastAsia="IRNazanin" w:cs="IRNazanin"/>
          <w:color w:val="111111"/>
          <w:sz w:val="28"/>
          <w:szCs w:val="28"/>
          <w:rtl w:val="true"/>
          <w:lang w:bidi="fa-IR"/>
        </w:rPr>
        <w:t xml:space="preserve">. </w:t>
      </w:r>
      <w:bookmarkStart w:id="732" w:name="pg15710_226933"/>
    </w:p>
    <w:p>
      <w:pPr>
        <w:pStyle w:val="BookText"/>
        <w:rPr/>
      </w:pPr>
      <w:bookmarkEnd w:id="732"/>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للدولة العادلة إخراجها خارج البلد، بمعنى</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عن عملها داخل البلد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الحاكم على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 في كتاب إحياء الموات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3" w:name="__RefHeading___Toc12184187_2142443653"/>
      <w:bookmarkStart w:id="734" w:name="_Toc274"/>
      <w:bookmarkEnd w:id="733"/>
      <w:r>
        <w:rPr>
          <w:rtl w:val="true"/>
        </w:rPr>
        <w:t>أجهزة التنبيه المؤذية</w:t>
      </w:r>
      <w:bookmarkEnd w:id="73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للدولة العادلة أن تمنع</w:t>
      </w:r>
      <w:r>
        <w:rPr>
          <w:rStyle w:val="FootnoteAnchor"/>
          <w:rtl w:val="true"/>
        </w:rPr>
        <w:footnoteReference w:id="1115"/>
      </w:r>
      <w:r>
        <w:rPr>
          <w:rFonts w:ascii="Amiri" w:hAnsi="Amiri" w:eastAsia="Amiri" w:cs="Amiri"/>
          <w:color w:val="111111"/>
          <w:sz w:val="28"/>
          <w:sz w:val="28"/>
          <w:szCs w:val="28"/>
          <w:rtl w:val="true"/>
          <w:lang w:bidi="ar-SA"/>
        </w:rPr>
        <w:t xml:space="preserve"> السيارات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تنبه بصوت عالٍ مؤذٍ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استعمال جهاز التنبيه المؤذي</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البلاد؛ لأن الأذية ليست بجائزة فللدولة المنع</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لما تقدم، فإن الحرية محدودة بحرية الآخرين واحترامهم</w:t>
      </w:r>
      <w:r>
        <w:rPr>
          <w:rFonts w:eastAsia="Amiri" w:cs="Amiri" w:ascii="Amiri" w:hAnsi="Amiri"/>
          <w:color w:val="111111"/>
          <w:sz w:val="28"/>
          <w:szCs w:val="28"/>
          <w:rtl w:val="true"/>
          <w:lang w:bidi="ar-SA"/>
        </w:rPr>
        <w:t>.</w:t>
      </w:r>
    </w:p>
    <w:p>
      <w:pPr>
        <w:pStyle w:val="Heading2"/>
        <w:numPr>
          <w:ilvl w:val="1"/>
          <w:numId w:val="1"/>
        </w:numPr>
        <w:rPr/>
      </w:pPr>
      <w:bookmarkStart w:id="735" w:name="__RefHeading___Toc12184189_2142443653"/>
      <w:bookmarkStart w:id="736" w:name="_Toc275"/>
      <w:bookmarkEnd w:id="735"/>
      <w:r>
        <w:rPr>
          <w:rtl w:val="true"/>
        </w:rPr>
        <w:t>تغيير لون الدم</w:t>
      </w:r>
      <w:bookmarkEnd w:id="73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عالجنا الدم حتى صار</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فيما تعارف كما سبق الإشارة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يشمل الدفع والرفع لوحدة الملاك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منع من الإيذاء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BookText"/>
        <w:rPr/>
      </w:pP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فترة خاصة كمنتصف الليل أم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استثناء القدر المتعارف، فتأمل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 وقد سبق أن ردع المنكر والنهي عنه واجبان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bookmarkStart w:id="737" w:name="pg15710_226934"/>
    </w:p>
    <w:p>
      <w:pPr>
        <w:pStyle w:val="BookText"/>
        <w:rPr/>
      </w:pPr>
      <w:bookmarkEnd w:id="737"/>
      <w:r>
        <w:rPr>
          <w:rFonts w:ascii="Amiri" w:hAnsi="Amiri" w:eastAsia="Amiri" w:cs="Amiri"/>
          <w:color w:val="111111"/>
          <w:sz w:val="28"/>
          <w:sz w:val="28"/>
          <w:szCs w:val="28"/>
          <w:rtl w:val="true"/>
          <w:lang w:bidi="ar-SA"/>
        </w:rPr>
        <w:t>أبيض</w:t>
      </w:r>
      <w:r>
        <w:rPr>
          <w:rStyle w:val="FootnoteAnchor"/>
          <w:rtl w:val="true"/>
        </w:rPr>
        <w:footnoteReference w:id="1117"/>
      </w:r>
      <w:r>
        <w:rPr>
          <w:rFonts w:ascii="Amiri" w:hAnsi="Amiri" w:eastAsia="Amiri" w:cs="Amiri"/>
          <w:color w:val="111111"/>
          <w:sz w:val="28"/>
          <w:sz w:val="28"/>
          <w:szCs w:val="28"/>
          <w:rtl w:val="true"/>
          <w:lang w:bidi="ar-SA"/>
        </w:rPr>
        <w:t xml:space="preserve"> اللون، فإن تغير عن حقيقته فالظاهر طهارته؛ لأنه من قبيل الاستحالة، وإن لم يتغير عن حقيقته بقي على النجاسة؛ إذ مجرد تغيير اللون</w:t>
      </w:r>
      <w:r>
        <w:rPr>
          <w:rStyle w:val="FootnoteAnchor"/>
          <w:rtl w:val="true"/>
        </w:rPr>
        <w:footnoteReference w:id="1118"/>
      </w:r>
      <w:r>
        <w:rPr>
          <w:rFonts w:ascii="Amiri" w:hAnsi="Amiri" w:eastAsia="Amiri" w:cs="Amiri"/>
          <w:color w:val="111111"/>
          <w:sz w:val="28"/>
          <w:sz w:val="28"/>
          <w:szCs w:val="28"/>
          <w:rtl w:val="true"/>
          <w:lang w:bidi="ar-SA"/>
        </w:rPr>
        <w:t xml:space="preserve"> ليس من المطهرات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وحليته، كما قالوا بحلية الخمر المنقلب</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خلاً؛ وذلك لتغير الموضوع، فتأمل</w:t>
      </w:r>
      <w:r>
        <w:rPr>
          <w:rFonts w:eastAsia="Amiri" w:cs="Amiri" w:ascii="Amiri" w:hAnsi="Amiri"/>
          <w:color w:val="111111"/>
          <w:sz w:val="28"/>
          <w:szCs w:val="28"/>
          <w:rtl w:val="true"/>
          <w:lang w:bidi="ar-SA"/>
        </w:rPr>
        <w:t>.</w:t>
      </w:r>
    </w:p>
    <w:p>
      <w:pPr>
        <w:pStyle w:val="Heading2"/>
        <w:numPr>
          <w:ilvl w:val="1"/>
          <w:numId w:val="1"/>
        </w:numPr>
        <w:rPr/>
      </w:pPr>
      <w:bookmarkStart w:id="738" w:name="__RefHeading___Toc12184191_2142443653"/>
      <w:bookmarkStart w:id="739" w:name="_Toc276"/>
      <w:bookmarkEnd w:id="738"/>
      <w:r>
        <w:rPr>
          <w:rtl w:val="true"/>
        </w:rPr>
        <w:t>تحويل الدم إلى لبن</w:t>
      </w:r>
      <w:bookmarkEnd w:id="73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w:t>
      </w:r>
      <w:r>
        <w:rPr>
          <w:rStyle w:val="FootnoteAnchor"/>
          <w:rtl w:val="true"/>
        </w:rPr>
        <w:footnoteReference w:id="1119"/>
      </w:r>
      <w:r>
        <w:rPr>
          <w:rFonts w:ascii="Amiri" w:hAnsi="Amiri" w:eastAsia="Amiri" w:cs="Amiri"/>
          <w:color w:val="111111"/>
          <w:sz w:val="28"/>
          <w:sz w:val="28"/>
          <w:szCs w:val="28"/>
          <w:rtl w:val="true"/>
          <w:lang w:bidi="ar-SA"/>
        </w:rPr>
        <w:t xml:space="preserve"> إمكان تبديل الدم إلى اللبن حل وطهر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فرق في ذلك بين داخل البدن أو خارجه، فإنه من قبيل</w:t>
      </w:r>
    </w:p>
    <w:p>
      <w:pPr>
        <w:pStyle w:val="BookText"/>
        <w:rPr/>
      </w:pP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العروة، بحث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الأبيض</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تغيير لون الذهب، فإنه لا يجعله محلّلاً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الاستحالة والانقلاب، وما نحن فيه استحالة، أما الانقلاب فمطهريته تحتاج للنص، كما قرر في محله، فراجع</w:t>
      </w:r>
      <w:r>
        <w:rPr>
          <w:rStyle w:val="FootnoteAnchor"/>
          <w:rtl w:val="true"/>
        </w:rPr>
        <w:footnoteReference w:id="1123"/>
      </w:r>
      <w:r>
        <w:rPr>
          <w:rFonts w:ascii="Amiri" w:hAnsi="Amiri" w:eastAsia="Amiri" w:cs="Amiri"/>
          <w:color w:val="111111"/>
          <w:sz w:val="28"/>
          <w:sz w:val="28"/>
          <w:szCs w:val="28"/>
          <w:rtl w:val="true"/>
          <w:lang w:bidi="ar-SA"/>
        </w:rPr>
        <w:t xml:space="preserve">، ولعله أشير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ما يجري داخل البدن من استحالة دم الحيض لبناً</w:t>
      </w:r>
      <w:r>
        <w:rPr>
          <w:rFonts w:eastAsia="Amiri" w:cs="Amiri" w:ascii="Amiri" w:hAnsi="Amiri"/>
          <w:color w:val="111111"/>
          <w:sz w:val="28"/>
          <w:szCs w:val="28"/>
          <w:rtl w:val="true"/>
          <w:lang w:bidi="ar-SA"/>
        </w:rPr>
        <w:t xml:space="preserve">. </w:t>
      </w:r>
      <w:bookmarkStart w:id="740" w:name="pg15710_226935"/>
    </w:p>
    <w:p>
      <w:pPr>
        <w:pStyle w:val="BookText"/>
        <w:rPr/>
      </w:pPr>
      <w:bookmarkEnd w:id="740"/>
      <w:r>
        <w:rPr>
          <w:rFonts w:ascii="IRNazanin" w:hAnsi="IRNazanin" w:eastAsia="IRNazanin"/>
          <w:color w:val="111111"/>
          <w:sz w:val="28"/>
          <w:sz w:val="28"/>
          <w:szCs w:val="28"/>
          <w:rtl w:val="true"/>
          <w:lang w:bidi="fa-IR"/>
        </w:rPr>
        <w:t>انقلاب</w:t>
      </w:r>
      <w:r>
        <w:rPr>
          <w:rStyle w:val="FootnoteAnchor"/>
          <w:rtl w:val="true"/>
        </w:rPr>
        <w:footnoteReference w:id="1125"/>
      </w:r>
      <w:r>
        <w:rPr>
          <w:rFonts w:ascii="Amiri" w:hAnsi="Amiri" w:eastAsia="Amiri" w:cs="Amiri"/>
          <w:color w:val="111111"/>
          <w:sz w:val="28"/>
          <w:sz w:val="28"/>
          <w:szCs w:val="28"/>
          <w:rtl w:val="true"/>
          <w:lang w:bidi="ar-SA"/>
        </w:rPr>
        <w:t xml:space="preserve"> الخمر خلاً</w:t>
      </w:r>
      <w:r>
        <w:rPr>
          <w:rFonts w:eastAsia="Amiri" w:cs="Amiri" w:ascii="Amiri" w:hAnsi="Amiri"/>
          <w:color w:val="111111"/>
          <w:sz w:val="28"/>
          <w:szCs w:val="28"/>
          <w:rtl w:val="true"/>
          <w:lang w:bidi="ar-SA"/>
        </w:rPr>
        <w:t>.</w:t>
      </w:r>
    </w:p>
    <w:p>
      <w:pPr>
        <w:pStyle w:val="Heading2"/>
        <w:numPr>
          <w:ilvl w:val="1"/>
          <w:numId w:val="1"/>
        </w:numPr>
        <w:rPr/>
      </w:pPr>
      <w:bookmarkStart w:id="741" w:name="__RefHeading___Toc12184193_2142443653"/>
      <w:bookmarkStart w:id="742" w:name="_Toc277"/>
      <w:bookmarkEnd w:id="741"/>
      <w:r>
        <w:rPr>
          <w:rtl w:val="true"/>
        </w:rPr>
        <w:t>فصائل الحيوانات</w:t>
      </w:r>
      <w:bookmarkEnd w:id="74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بالوسائل العلمية تغيير حيوان حلال اللحم إلى حيوان حرام أو بالعكس، أو تغيير حيوان طاهر إلى حيوان نجس أو بالعكس، بحيث يدخل</w:t>
      </w:r>
      <w:r>
        <w:rPr>
          <w:rStyle w:val="FootnoteAnchor"/>
          <w:rtl w:val="true"/>
        </w:rPr>
        <w:footnoteReference w:id="1126"/>
      </w:r>
      <w:r>
        <w:rPr>
          <w:rFonts w:ascii="Amiri" w:hAnsi="Amiri" w:eastAsia="Amiri" w:cs="Amiri"/>
          <w:color w:val="111111"/>
          <w:sz w:val="28"/>
          <w:sz w:val="28"/>
          <w:szCs w:val="28"/>
          <w:rtl w:val="true"/>
          <w:lang w:bidi="ar-SA"/>
        </w:rPr>
        <w:t xml:space="preserve"> الحيوان في فصيلة الحيوان الثاني لحقه</w:t>
      </w:r>
      <w:r>
        <w:rPr>
          <w:rStyle w:val="FootnoteAnchor"/>
          <w:rtl w:val="true"/>
        </w:rPr>
        <w:footnoteReference w:id="1127"/>
      </w:r>
      <w:r>
        <w:rPr>
          <w:rFonts w:ascii="Amiri" w:hAnsi="Amiri" w:eastAsia="Amiri" w:cs="Amiri"/>
          <w:color w:val="111111"/>
          <w:sz w:val="28"/>
          <w:sz w:val="28"/>
          <w:szCs w:val="28"/>
          <w:rtl w:val="true"/>
          <w:lang w:bidi="ar-SA"/>
        </w:rPr>
        <w:t xml:space="preserve"> حكم المغيّر إليه؛ إذ الحكم تابع لموضوعه، وقد فرض تبدل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غير فرق في ذلك بين حيوانات البر أو البحر أو الجو</w:t>
      </w:r>
      <w:r>
        <w:rPr>
          <w:rFonts w:eastAsia="Amiri" w:cs="Amiri" w:ascii="Amiri" w:hAnsi="Amiri"/>
          <w:color w:val="111111"/>
          <w:sz w:val="28"/>
          <w:szCs w:val="28"/>
          <w:rtl w:val="true"/>
          <w:lang w:bidi="ar-SA"/>
        </w:rPr>
        <w:t>.</w:t>
      </w:r>
    </w:p>
    <w:p>
      <w:pPr>
        <w:pStyle w:val="Heading2"/>
        <w:numPr>
          <w:ilvl w:val="1"/>
          <w:numId w:val="1"/>
        </w:numPr>
        <w:rPr/>
      </w:pPr>
      <w:bookmarkStart w:id="743" w:name="__RefHeading___Toc12184195_2142443653"/>
      <w:bookmarkStart w:id="744" w:name="_Toc278"/>
      <w:bookmarkEnd w:id="743"/>
      <w:r>
        <w:rPr>
          <w:rtl w:val="true"/>
        </w:rPr>
        <w:t>تغيير الفأر طائراً</w:t>
      </w:r>
      <w:bookmarkEnd w:id="74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إمكان إيجاد الجناح اللحمي للفأر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صار طائراً، فهل يطهر خرؤه؛ لأنه يدخل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يطير لا بأس ببوله وخرئه</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 xml:space="preserve">أم لا؟ احتمالان، والكلام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وجد في بعض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في الفأر الطائر</w:t>
      </w:r>
      <w:r>
        <w:rPr>
          <w:rFonts w:eastAsia="Amiri" w:cs="Amiri" w:ascii="Amiri" w:hAnsi="Amiri"/>
          <w:color w:val="111111"/>
          <w:sz w:val="28"/>
          <w:szCs w:val="28"/>
          <w:rtl w:val="true"/>
          <w:lang w:bidi="ar-SA"/>
        </w:rPr>
        <w:t>.</w:t>
      </w:r>
    </w:p>
    <w:p>
      <w:pPr>
        <w:pStyle w:val="BookText"/>
        <w:rPr/>
      </w:pP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استحالة كما سبق</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p>
    <w:p>
      <w:pPr>
        <w:pStyle w:val="BookText"/>
        <w:rPr/>
      </w:pP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نظر العرف</w:t>
      </w:r>
      <w:r>
        <w:rPr>
          <w:rFonts w:eastAsia="Amiri" w:cs="Amiri" w:ascii="Amiri" w:hAnsi="Amiri"/>
          <w:color w:val="111111"/>
          <w:sz w:val="28"/>
          <w:szCs w:val="28"/>
          <w:rtl w:val="true"/>
          <w:lang w:bidi="ar-SA"/>
        </w:rPr>
        <w:t>.</w:t>
      </w:r>
    </w:p>
    <w:p>
      <w:pPr>
        <w:pStyle w:val="BookText"/>
        <w:rPr/>
      </w:pP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مسألة </w:t>
      </w:r>
      <w:r>
        <w:rPr>
          <w:rFonts w:eastAsia="Amiri" w:cs="Amiri" w:ascii="Amiri" w:hAnsi="Amiri"/>
          <w:color w:val="111111"/>
          <w:sz w:val="28"/>
          <w:szCs w:val="28"/>
          <w:lang w:bidi="ar-SA"/>
        </w:rPr>
        <w:t>686</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bookmarkStart w:id="745" w:name="pg15710_226936"/>
    </w:p>
    <w:p>
      <w:pPr>
        <w:pStyle w:val="BookText"/>
        <w:rPr/>
      </w:pPr>
      <w:bookmarkEnd w:id="7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يبعد الطهارة لما ذكر، فتأمل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6" w:name="__RefHeading___Toc12184197_2142443653"/>
      <w:bookmarkStart w:id="747" w:name="_Toc279"/>
      <w:bookmarkEnd w:id="746"/>
      <w:r>
        <w:rPr>
          <w:rtl w:val="true"/>
        </w:rPr>
        <w:t>الخفاش بلا جناح</w:t>
      </w:r>
      <w:bookmarkEnd w:id="74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إمكان استيلاد الخفاش بلا جناح حتى صار كالدواجن ينجس بوله أم لا؟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يبعد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النجاسة لقوة احتمال أن يكون الطيران سبب الطهارة، فتأمل</w:t>
      </w:r>
      <w:r>
        <w:rPr>
          <w:rFonts w:eastAsia="Amiri" w:cs="Amiri" w:ascii="Amiri" w:hAnsi="Amiri"/>
          <w:color w:val="111111"/>
          <w:sz w:val="28"/>
          <w:szCs w:val="28"/>
          <w:rtl w:val="true"/>
          <w:lang w:bidi="ar-SA"/>
        </w:rPr>
        <w:t>.</w:t>
      </w:r>
    </w:p>
    <w:p>
      <w:pPr>
        <w:pStyle w:val="Heading2"/>
        <w:numPr>
          <w:ilvl w:val="1"/>
          <w:numId w:val="1"/>
        </w:numPr>
        <w:rPr/>
      </w:pPr>
      <w:bookmarkStart w:id="748" w:name="__RefHeading___Toc12184199_2142443653"/>
      <w:bookmarkStart w:id="749" w:name="_Toc280"/>
      <w:bookmarkEnd w:id="748"/>
      <w:r>
        <w:rPr>
          <w:rtl w:val="true"/>
        </w:rPr>
        <w:t>من أحكام تغيير الحيوان</w:t>
      </w:r>
      <w:bookmarkEnd w:id="74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إذا لم تظهر فصيلة جديدة</w:t>
      </w:r>
      <w:r>
        <w:rPr>
          <w:rStyle w:val="FootnoteAnchor"/>
          <w:rtl w:val="true"/>
        </w:rPr>
        <w:footnoteReference w:id="1134"/>
      </w:r>
      <w:r>
        <w:rPr>
          <w:rFonts w:ascii="Amiri" w:hAnsi="Amiri" w:eastAsia="Amiri" w:cs="Amiri"/>
          <w:color w:val="111111"/>
          <w:sz w:val="28"/>
          <w:sz w:val="28"/>
          <w:szCs w:val="28"/>
          <w:rtl w:val="true"/>
          <w:lang w:bidi="ar-SA"/>
        </w:rPr>
        <w:t xml:space="preserve"> من نسل الحيوان المغيّر إليه، وإلا لم يستبعد لحوق الحكم المغيّر إليه بهذا الحيوان، ونسل الفأر الطائر يطهر بوله، ونسل الخفاش</w:t>
      </w:r>
    </w:p>
    <w:p>
      <w:pPr>
        <w:pStyle w:val="BookText"/>
        <w:rPr/>
      </w:pP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وجهه انصراف الأدلة عنه، وراجع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 ولاحظ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الحقيقية والخارجية في الأصول</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المسألة السابقة</w:t>
      </w:r>
      <w:r>
        <w:rPr>
          <w:rStyle w:val="FootnoteAnchor"/>
          <w:rtl w:val="true"/>
        </w:rPr>
        <w:footnoteReference w:id="1139"/>
      </w:r>
      <w:r>
        <w:rPr>
          <w:rFonts w:ascii="Amiri" w:hAnsi="Amiri" w:eastAsia="Amiri" w:cs="Amiri"/>
          <w:color w:val="111111"/>
          <w:sz w:val="28"/>
          <w:sz w:val="28"/>
          <w:szCs w:val="28"/>
          <w:rtl w:val="true"/>
          <w:lang w:bidi="ar-SA"/>
        </w:rPr>
        <w:t>، ولاحظ أن التغيير عرضي أو ذاتي،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جناح الطائر حتى لا يستطيع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المسألة اللاحقة</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 التغيير ذاتياً، فتأمل وراجع ما سبق</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bookmarkStart w:id="750" w:name="pg15710_226937"/>
    </w:p>
    <w:p>
      <w:pPr>
        <w:pStyle w:val="BookText"/>
        <w:rPr/>
      </w:pPr>
      <w:bookmarkEnd w:id="750"/>
      <w:r>
        <w:rPr>
          <w:rFonts w:ascii="IRNazanin" w:hAnsi="IRNazanin" w:eastAsia="IRNazanin"/>
          <w:color w:val="111111"/>
          <w:sz w:val="28"/>
          <w:sz w:val="28"/>
          <w:szCs w:val="28"/>
          <w:rtl w:val="true"/>
          <w:lang w:bidi="fa-IR"/>
        </w:rPr>
        <w:t>بلا جناح بوله نجس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عرفت من تبعية الحكم للموضوع</w:t>
      </w:r>
      <w:r>
        <w:rPr>
          <w:rFonts w:eastAsia="Amiri" w:cs="Amiri" w:ascii="Amiri" w:hAnsi="Amiri"/>
          <w:color w:val="111111"/>
          <w:sz w:val="28"/>
          <w:szCs w:val="28"/>
          <w:rtl w:val="true"/>
          <w:lang w:bidi="ar-SA"/>
        </w:rPr>
        <w:t>.</w:t>
      </w:r>
    </w:p>
    <w:p>
      <w:pPr>
        <w:pStyle w:val="Heading2"/>
        <w:numPr>
          <w:ilvl w:val="1"/>
          <w:numId w:val="1"/>
        </w:numPr>
        <w:rPr/>
      </w:pPr>
      <w:bookmarkStart w:id="751" w:name="__RefHeading___Toc12184201_2142443653"/>
      <w:bookmarkStart w:id="752" w:name="_Toc281"/>
      <w:bookmarkEnd w:id="751"/>
      <w:r>
        <w:rPr>
          <w:rtl w:val="true"/>
        </w:rPr>
        <w:t>شفافية جسد الإنسان</w:t>
      </w:r>
      <w:bookmarkEnd w:id="75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 للإنسان أن يستعمل دواءً يوجب شفافية جسده، بحيث يرى ما بداخله دائماً، ويكون حاله حال الزجاج، كما يوجد بعض الأسماك كذلك، أم لا؟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ذلك فالأصل الحل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الأحوط</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أنه من تغيير خلق اللّه تعالى</w:t>
      </w:r>
      <w:r>
        <w:rPr>
          <w:rFonts w:eastAsia="Amiri" w:cs="Amiri" w:ascii="Amiri" w:hAnsi="Amiri"/>
          <w:color w:val="111111"/>
          <w:sz w:val="28"/>
          <w:szCs w:val="28"/>
          <w:rtl w:val="true"/>
          <w:lang w:bidi="ar-SA"/>
        </w:rPr>
        <w:t>.</w:t>
      </w:r>
    </w:p>
    <w:p>
      <w:pPr>
        <w:pStyle w:val="Heading2"/>
        <w:numPr>
          <w:ilvl w:val="1"/>
          <w:numId w:val="1"/>
        </w:numPr>
        <w:rPr/>
      </w:pPr>
      <w:bookmarkStart w:id="753" w:name="__RefHeading___Toc12184203_2142443653"/>
      <w:bookmarkStart w:id="754" w:name="_Toc282"/>
      <w:bookmarkEnd w:id="753"/>
      <w:r>
        <w:rPr>
          <w:rtl w:val="true"/>
        </w:rPr>
        <w:t>شفافية جسد الحيوان</w:t>
      </w:r>
      <w:bookmarkEnd w:id="75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إشراب الحيوان دواءً يوجب شفافية جسده، وكذلك تزريق الشجر بذلك الدواء، وهكذا بالنسبة إلى الجماد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لا دليل في الحيوان وأخويه، وكونه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لانصراف</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الدليل عنه</w:t>
      </w:r>
      <w:r>
        <w:rPr>
          <w:rFonts w:eastAsia="Amiri" w:cs="Amiri" w:ascii="Amiri" w:hAnsi="Amiri"/>
          <w:color w:val="111111"/>
          <w:sz w:val="28"/>
          <w:szCs w:val="28"/>
          <w:rtl w:val="true"/>
          <w:lang w:bidi="ar-SA"/>
        </w:rPr>
        <w:t>.</w:t>
      </w:r>
    </w:p>
    <w:p>
      <w:pPr>
        <w:pStyle w:val="Heading2"/>
        <w:numPr>
          <w:ilvl w:val="1"/>
          <w:numId w:val="1"/>
        </w:numPr>
        <w:rPr/>
      </w:pPr>
      <w:bookmarkStart w:id="755" w:name="__RefHeading___Toc12184205_2142443653"/>
      <w:bookmarkStart w:id="756" w:name="_Toc283"/>
      <w:bookmarkEnd w:id="755"/>
      <w:r>
        <w:rPr>
          <w:rtl w:val="true"/>
        </w:rPr>
        <w:t>تحنيط الأموات لبقاء الجسد</w:t>
      </w:r>
      <w:bookmarkEnd w:id="75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تحنيط ميت الإنسان بما يوجب بقاء جسده، وكذلك</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التأمل فيه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تغيير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يناقش بأنّ اتّباع أمر الشيطان وإن كان مرجوحاً لكن لا دليل على كونه محرّماً دائماً،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الكريمة يدل على التحريم،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إلاّ أن يقال بجريان السيرة على تغيير ما عدا الإنسان، فتأمل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bookmarkStart w:id="757" w:name="pg15710_226938"/>
    </w:p>
    <w:p>
      <w:pPr>
        <w:pStyle w:val="BookText"/>
        <w:rPr/>
      </w:pPr>
      <w:bookmarkEnd w:id="757"/>
      <w:r>
        <w:rPr>
          <w:rFonts w:ascii="Amiri" w:hAnsi="Amiri" w:eastAsia="Amiri" w:cs="Amiri"/>
          <w:color w:val="111111"/>
          <w:sz w:val="28"/>
          <w:sz w:val="28"/>
          <w:szCs w:val="28"/>
          <w:rtl w:val="true"/>
          <w:lang w:bidi="ar-SA"/>
        </w:rPr>
        <w:t>تحنيط الطيور والدواب والأشجار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أن لا يكون من المثلة، وقد تقدم الكلام في ذلك، وبشرط أنْ لا يكون هتكاً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للميت المسلم، فإنَّ حرمته ميتاً كحرمته حياً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8" w:name="__RefHeading___Toc12184207_2142443653"/>
      <w:bookmarkStart w:id="759" w:name="_Toc284"/>
      <w:bookmarkEnd w:id="758"/>
      <w:r>
        <w:rPr>
          <w:rtl w:val="true"/>
        </w:rPr>
        <w:t>التحنيط لو أتلف الجسد</w:t>
      </w:r>
      <w:bookmarkEnd w:id="75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تحنيط ميت الإنسان بما يستلزم تفتته قبل المدة المعتادة،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تفتت جسد الإنسان وانعدامه إذا كانت سنة فهو يحنطه بما يفتته ويعدمه في ظرف شهر، أم لا يجوز ذلك؟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هتكاً له</w:t>
      </w:r>
      <w:r>
        <w:rPr>
          <w:rStyle w:val="FootnoteAnchor"/>
          <w:rtl w:val="true"/>
        </w:rPr>
        <w:footnoteReference w:id="1143"/>
      </w:r>
      <w:r>
        <w:rPr>
          <w:rFonts w:ascii="Amiri" w:hAnsi="Amiri" w:eastAsia="Amiri" w:cs="Amiri"/>
          <w:color w:val="111111"/>
          <w:sz w:val="28"/>
          <w:sz w:val="28"/>
          <w:szCs w:val="28"/>
          <w:rtl w:val="true"/>
          <w:lang w:bidi="ar-SA"/>
        </w:rPr>
        <w:t xml:space="preserve"> لم يجز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يبعد الإشكال في ذلك؛ لأنه خلاف الحرمة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حرمته ميتاً كحرمته وهو 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فحاله حال ما إذا اُلقي في التيزاب حيث يذاب في ساعات</w:t>
      </w:r>
      <w:r>
        <w:rPr>
          <w:rFonts w:eastAsia="Amiri" w:cs="Amiri" w:ascii="Amiri" w:hAnsi="Amiri"/>
          <w:color w:val="111111"/>
          <w:sz w:val="28"/>
          <w:szCs w:val="28"/>
          <w:rtl w:val="true"/>
          <w:lang w:bidi="ar-SA"/>
        </w:rPr>
        <w:t>.</w:t>
      </w:r>
    </w:p>
    <w:p>
      <w:pPr>
        <w:pStyle w:val="BookText"/>
        <w:rPr/>
      </w:pP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الشرط غير متحقق فعلاً</w:t>
      </w:r>
      <w:r>
        <w:rPr>
          <w:rFonts w:eastAsia="Amiri" w:cs="Amiri" w:ascii="Amiri" w:hAnsi="Amiri"/>
          <w:color w:val="111111"/>
          <w:sz w:val="28"/>
          <w:szCs w:val="28"/>
          <w:rtl w:val="true"/>
          <w:lang w:bidi="ar-SA"/>
        </w:rPr>
        <w:t>.</w:t>
      </w:r>
    </w:p>
    <w:p>
      <w:pPr>
        <w:pStyle w:val="BookText"/>
        <w:rPr/>
      </w:pP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أُلقيت عليه مواد توجب هتكه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p>
    <w:p>
      <w:pPr>
        <w:pStyle w:val="BookText"/>
        <w:rPr/>
      </w:pP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كالسابق</w:t>
      </w:r>
      <w:r>
        <w:rPr>
          <w:rStyle w:val="FootnoteAnchor"/>
          <w:rtl w:val="true"/>
        </w:rPr>
        <w:footnoteReference w:id="1147"/>
      </w:r>
      <w:r>
        <w:rPr>
          <w:rFonts w:ascii="Amiri" w:hAnsi="Amiri" w:eastAsia="Amiri" w:cs="Amiri"/>
          <w:color w:val="111111"/>
          <w:sz w:val="28"/>
          <w:sz w:val="28"/>
          <w:szCs w:val="28"/>
          <w:rtl w:val="true"/>
          <w:lang w:bidi="ar-SA"/>
        </w:rPr>
        <w:t>أو كإلقائه في حوض من التيزاب مثلاً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التفتت في مدة طويلة جداً، كأن يدفنه فوق الاسمنت، لو فرض أنه يسرع في إفناء البدن، فلا جزم بالحرمة، فتأمل</w:t>
      </w:r>
      <w:r>
        <w:rPr>
          <w:rFonts w:eastAsia="Amiri" w:cs="Amiri" w:ascii="Amiri" w:hAnsi="Amiri"/>
          <w:color w:val="111111"/>
          <w:sz w:val="28"/>
          <w:szCs w:val="28"/>
          <w:rtl w:val="true"/>
          <w:lang w:bidi="ar-SA"/>
        </w:rPr>
        <w:t xml:space="preserve">. </w:t>
      </w:r>
      <w:bookmarkStart w:id="760" w:name="pg15710_226939"/>
    </w:p>
    <w:p>
      <w:pPr>
        <w:pStyle w:val="Heading2"/>
        <w:numPr>
          <w:ilvl w:val="1"/>
          <w:numId w:val="1"/>
        </w:numPr>
        <w:rPr/>
      </w:pPr>
      <w:bookmarkStart w:id="761" w:name="__RefHeading___Toc12184209_2142443653"/>
      <w:bookmarkStart w:id="762" w:name="_Toc285"/>
      <w:bookmarkEnd w:id="760"/>
      <w:bookmarkEnd w:id="761"/>
      <w:r>
        <w:rPr>
          <w:rtl w:val="true"/>
        </w:rPr>
        <w:t>جوف الأُنثى</w:t>
      </w:r>
      <w:bookmarkEnd w:id="76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باطن المرأة عورة، فإذا شقت الدكتورة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المرأة لإجراء عملية جراحية، فهل يجوز للدكتور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المضطر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إلى أحشائها أم لا؟ احتمالان، والاحتياط بعدم النظر قوي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لإطلاق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يَغُضُّوا مِنْ أَبْصَارِهِمْ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3" w:name="__RefHeading___Toc12184211_2142443653"/>
      <w:bookmarkStart w:id="764" w:name="_Toc286"/>
      <w:bookmarkEnd w:id="763"/>
      <w:r>
        <w:rPr>
          <w:rtl w:val="true"/>
        </w:rPr>
        <w:t>جوف الرجل</w:t>
      </w:r>
      <w:bookmarkEnd w:id="76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باطن الرجل</w:t>
      </w:r>
      <w:r>
        <w:rPr>
          <w:rStyle w:val="FootnoteAnchor"/>
          <w:rtl w:val="true"/>
        </w:rPr>
        <w:footnoteReference w:id="1149"/>
      </w:r>
      <w:r>
        <w:rPr>
          <w:rFonts w:ascii="Amiri" w:hAnsi="Amiri" w:eastAsia="Amiri" w:cs="Amiri"/>
          <w:color w:val="111111"/>
          <w:sz w:val="28"/>
          <w:sz w:val="28"/>
          <w:szCs w:val="28"/>
          <w:rtl w:val="true"/>
          <w:lang w:bidi="ar-SA"/>
        </w:rPr>
        <w:t xml:space="preserve"> بالنسبة إلى المرأة كالكلام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p>
    <w:p>
      <w:pPr>
        <w:pStyle w:val="BookText"/>
        <w:rPr/>
      </w:pP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فهو 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ذلك كحال باطن الفم والعورة</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وراجع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للعضو المفصول</w:t>
      </w:r>
      <w:r>
        <w:rPr>
          <w:rStyle w:val="FootnoteAnchor"/>
          <w:rtl w:val="true"/>
        </w:rPr>
        <w:footnoteReference w:id="1152"/>
      </w:r>
      <w:r>
        <w:rPr>
          <w:rFonts w:ascii="Amiri" w:hAnsi="Amiri" w:eastAsia="Amiri" w:cs="Amiri"/>
          <w:color w:val="111111"/>
          <w:sz w:val="28"/>
          <w:sz w:val="28"/>
          <w:szCs w:val="28"/>
          <w:rtl w:val="true"/>
          <w:lang w:bidi="ar-SA"/>
        </w:rPr>
        <w:t>، لكن مثل باطن الفم والأسنان لا بأس به، بناءً على أن الوجه لا يجب ستره ويجوز النظر إليه،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بالقدر المتعارف لا الأعماق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هنالك بعض المستثنيات في الظاهر، كالوجه فالباطن كذلك، كما سبق</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bookmarkStart w:id="765" w:name="pg15710_226940"/>
    </w:p>
    <w:p>
      <w:pPr>
        <w:pStyle w:val="BookText"/>
        <w:rPr/>
      </w:pPr>
      <w:bookmarkEnd w:id="7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يَغْضُضْنَ مِنْ أَبْصَارِهِنَّ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6" w:name="__RefHeading___Toc12184213_2142443653"/>
      <w:bookmarkStart w:id="767" w:name="_Toc287"/>
      <w:bookmarkEnd w:id="766"/>
      <w:r>
        <w:rPr>
          <w:rtl w:val="true"/>
        </w:rPr>
        <w:t>الزنا قبل الزواج</w:t>
      </w:r>
      <w:bookmarkEnd w:id="76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زنى بامرأة وانعقدت</w:t>
      </w:r>
      <w:r>
        <w:rPr>
          <w:rStyle w:val="FootnoteAnchor"/>
          <w:rtl w:val="true"/>
        </w:rPr>
        <w:footnoteReference w:id="1155"/>
      </w:r>
      <w:r>
        <w:rPr>
          <w:rFonts w:ascii="Amiri" w:hAnsi="Amiri" w:eastAsia="Amiri" w:cs="Amiri"/>
          <w:color w:val="111111"/>
          <w:sz w:val="28"/>
          <w:sz w:val="28"/>
          <w:szCs w:val="28"/>
          <w:rtl w:val="true"/>
          <w:lang w:bidi="ar-SA"/>
        </w:rPr>
        <w:t xml:space="preserve"> النطفة ثم تزوجها كان الولد للزنا، ولم ينفع التزويج الطارئ، فيترتب عليه حكم ولد الزنا من عدم الإرث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بالإضافة إلى أنه مقتضى القاعدة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هو مورد رواية خاصة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8" w:name="__RefHeading___Toc12184215_2142443653"/>
      <w:bookmarkStart w:id="769" w:name="_Toc288"/>
      <w:bookmarkEnd w:id="768"/>
      <w:r>
        <w:rPr>
          <w:rtl w:val="true"/>
        </w:rPr>
        <w:t>الزنا بعد الطلاق</w:t>
      </w:r>
      <w:bookmarkEnd w:id="76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على امرأة وواقعها، ثم طلقها أو انقطعت مدتها وقد انعقدت النطفة، وبعد حرمتها عليه زنى بها كان الولد المنعقد في حال الحلية حلالاً</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الزنا اللاحق لا يوجب كون الولد المنعقد حلالاً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أن يتحول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يعلم أن النطفة انعقدت قبل أو بعد العقد فالظاهر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الغير والنفس،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ينقلب الشيء عما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pStyle w:val="BookText"/>
        <w:rPr/>
      </w:pP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المسألة السابقة</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فهل تجري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70" w:name="pg15710_226941"/>
    </w:p>
    <w:p>
      <w:pPr>
        <w:pStyle w:val="Heading2"/>
        <w:numPr>
          <w:ilvl w:val="1"/>
          <w:numId w:val="1"/>
        </w:numPr>
        <w:rPr/>
      </w:pPr>
      <w:bookmarkStart w:id="771" w:name="__RefHeading___Toc12184217_2142443653"/>
      <w:bookmarkStart w:id="772" w:name="_Toc289"/>
      <w:bookmarkEnd w:id="770"/>
      <w:bookmarkEnd w:id="771"/>
      <w:r>
        <w:rPr>
          <w:rtl w:val="true"/>
        </w:rPr>
        <w:t>تشبّه الرجل بالمرأة</w:t>
      </w:r>
      <w:bookmarkEnd w:id="77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للرجل أن يجعل نفسه كالمرأة بإطالة الشعر، ولبس خواص النساء من ملابس وما أشبه أم لا يجوز؟ احتمالان، قال بعض الفقهاء بالجواز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بعضهم بالحرمة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لحديث لعن</w:t>
      </w:r>
      <w:r>
        <w:rPr>
          <w:rStyle w:val="FootnoteAnchor"/>
          <w:rtl w:val="true"/>
        </w:rPr>
        <w:footnoteReference w:id="1162"/>
      </w:r>
      <w:r>
        <w:rPr>
          <w:rFonts w:ascii="IRNazanin" w:hAnsi="IRNazanin" w:eastAsia="IRNazanin"/>
          <w:color w:val="111111"/>
          <w:sz w:val="28"/>
          <w:sz w:val="28"/>
          <w:szCs w:val="28"/>
          <w:rtl w:val="true"/>
          <w:lang w:bidi="fa-IR"/>
        </w:rPr>
        <w:t xml:space="preserve"> المتشبه</w:t>
      </w:r>
      <w:r>
        <w:rPr>
          <w:rFonts w:eastAsia="IRNazanin" w:cs="IRNazanin"/>
          <w:color w:val="111111"/>
          <w:sz w:val="28"/>
          <w:szCs w:val="28"/>
          <w:rtl w:val="true"/>
          <w:lang w:bidi="fa-IR"/>
        </w:rPr>
        <w:t>»</w:t>
      </w:r>
      <w:r>
        <w:rPr>
          <w:rStyle w:val="FootnoteAnchor"/>
          <w:rtl w:val="true"/>
        </w:rPr>
        <w:footnoteReference w:id="1163"/>
      </w:r>
      <w:r>
        <w:rPr>
          <w:rFonts w:ascii="Amiri" w:hAnsi="Amiri" w:eastAsia="Amiri" w:cs="Amiri"/>
          <w:color w:val="111111"/>
          <w:sz w:val="28"/>
          <w:sz w:val="28"/>
          <w:szCs w:val="28"/>
          <w:rtl w:val="true"/>
          <w:lang w:bidi="ar-SA"/>
        </w:rPr>
        <w:t>هذا إذا لم يكن هناك محذور آخر، وإلا حرم بلا 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والحرمة هو مقتضى الصناعة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حيث إنه خلاف المركوز</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في أذهان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إلى أنَّ اللعن يدل على الحرمة إلاّ لو قامت قرينة، وراجع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حلق اللحية</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العروة</w:t>
      </w:r>
      <w:r>
        <w:rPr>
          <w:rStyle w:val="FootnoteAnchor"/>
          <w:rtl w:val="true"/>
        </w:rPr>
        <w:footnoteReference w:id="1167"/>
      </w:r>
      <w:r>
        <w:rPr>
          <w:rFonts w:ascii="Amiri" w:hAnsi="Amiri" w:eastAsia="Amiri" w:cs="Amiri"/>
          <w:color w:val="111111"/>
          <w:sz w:val="28"/>
          <w:sz w:val="28"/>
          <w:szCs w:val="28"/>
          <w:rtl w:val="true"/>
          <w:lang w:bidi="ar-SA"/>
        </w:rPr>
        <w:t>والحاشية</w:t>
      </w:r>
      <w:r>
        <w:rPr>
          <w:rStyle w:val="FootnoteAnchor"/>
          <w:rtl w:val="true"/>
        </w:rPr>
        <w:footnoteReference w:id="1168"/>
      </w:r>
      <w:r>
        <w:rPr>
          <w:rFonts w:ascii="Amiri" w:hAnsi="Amiri" w:eastAsia="Amiri" w:cs="Amiri"/>
          <w:color w:val="111111"/>
          <w:sz w:val="28"/>
          <w:sz w:val="28"/>
          <w:szCs w:val="28"/>
          <w:rtl w:val="true"/>
          <w:lang w:bidi="ar-SA"/>
        </w:rPr>
        <w:t>بين الدائم والمؤقت كالتشبيه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وللحديث السابق لو لم يناقش في دلالته بأن المراد التخنث، فتأمل</w:t>
      </w:r>
      <w:r>
        <w:rPr>
          <w:rFonts w:eastAsia="Amiri" w:cs="Amiri" w:ascii="Amiri" w:hAnsi="Amiri"/>
          <w:color w:val="111111"/>
          <w:sz w:val="28"/>
          <w:szCs w:val="28"/>
          <w:rtl w:val="true"/>
          <w:lang w:bidi="ar-SA"/>
        </w:rPr>
        <w:t xml:space="preserve">. </w:t>
      </w:r>
      <w:bookmarkStart w:id="773" w:name="pg15710_226942"/>
    </w:p>
    <w:p>
      <w:pPr>
        <w:pStyle w:val="Heading2"/>
        <w:numPr>
          <w:ilvl w:val="1"/>
          <w:numId w:val="1"/>
        </w:numPr>
        <w:rPr/>
      </w:pPr>
      <w:bookmarkStart w:id="774" w:name="__RefHeading___Toc12184219_2142443653"/>
      <w:bookmarkStart w:id="775" w:name="_Toc290"/>
      <w:bookmarkEnd w:id="773"/>
      <w:bookmarkEnd w:id="774"/>
      <w:r>
        <w:rPr>
          <w:rtl w:val="true"/>
        </w:rPr>
        <w:t>تشبّه المرأة بالرجل</w:t>
      </w:r>
      <w:bookmarkEnd w:id="77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تجعل نفسها كالرجل بتقصير الشعر، ولبس الملابس الخاصة بالرجال أم لا يجوز؟ احتمالان كما تقدم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أيضاً مقتضى الصناعة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Heading2"/>
        <w:numPr>
          <w:ilvl w:val="1"/>
          <w:numId w:val="1"/>
        </w:numPr>
        <w:rPr/>
      </w:pPr>
      <w:bookmarkStart w:id="776" w:name="__RefHeading___Toc12184221_2142443653"/>
      <w:bookmarkStart w:id="777" w:name="_Toc291"/>
      <w:bookmarkEnd w:id="776"/>
      <w:r>
        <w:rPr>
          <w:rtl w:val="true"/>
        </w:rPr>
        <w:t>إجراء الصيغة بالقلب</w:t>
      </w:r>
      <w:bookmarkEnd w:id="77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آلة كاشفة عمّا يعقد في القلب فقرأ الرجل والمرأة أو المتعاملان</w:t>
      </w:r>
      <w:r>
        <w:rPr>
          <w:rStyle w:val="FootnoteAnchor"/>
          <w:rtl w:val="true"/>
        </w:rPr>
        <w:footnoteReference w:id="1170"/>
      </w:r>
      <w:r>
        <w:rPr>
          <w:rFonts w:ascii="Amiri" w:hAnsi="Amiri" w:eastAsia="Amiri" w:cs="Amiri"/>
          <w:color w:val="111111"/>
          <w:sz w:val="28"/>
          <w:sz w:val="28"/>
          <w:szCs w:val="28"/>
          <w:rtl w:val="true"/>
          <w:lang w:bidi="ar-SA"/>
        </w:rPr>
        <w:t xml:space="preserve"> الصيغة في قلبيهما لم يفد،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 ويحرم الكلام</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يعقد في القلب ليس من الكلام، وقول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الكلام لفي الفؤاد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اللسان على الفؤاد دليلاً</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لا يقصد بذلك حقيقة</w:t>
      </w:r>
      <w:r>
        <w:rPr>
          <w:rStyle w:val="FootnoteAnchor"/>
          <w:rtl w:val="true"/>
        </w:rPr>
        <w:footnoteReference w:id="1173"/>
      </w:r>
      <w:r>
        <w:rPr>
          <w:rFonts w:ascii="Amiri" w:hAnsi="Amiri" w:eastAsia="Amiri" w:cs="Amiri"/>
          <w:color w:val="111111"/>
          <w:sz w:val="28"/>
          <w:sz w:val="28"/>
          <w:szCs w:val="28"/>
          <w:rtl w:val="true"/>
          <w:lang w:bidi="ar-SA"/>
        </w:rPr>
        <w:t>، مع أنه ليس حجة؛ ولذا لا يكفي القراءة في</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التفصيل السابق</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النكاح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لمظهر، والأدلة الكاشفة مظهر، فتأمل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قصد حقيقةً، فإن القلب هو المركز والقائد، والأعضاء خوادم</w:t>
      </w:r>
      <w:r>
        <w:rPr>
          <w:rFonts w:eastAsia="Amiri" w:cs="Amiri" w:ascii="Amiri" w:hAnsi="Amiri"/>
          <w:color w:val="111111"/>
          <w:sz w:val="28"/>
          <w:szCs w:val="28"/>
          <w:rtl w:val="true"/>
          <w:lang w:bidi="ar-SA"/>
        </w:rPr>
        <w:t xml:space="preserve">. </w:t>
      </w:r>
      <w:bookmarkStart w:id="778" w:name="pg15710_226943"/>
    </w:p>
    <w:p>
      <w:pPr>
        <w:pStyle w:val="BookText"/>
        <w:rPr/>
      </w:pPr>
      <w:bookmarkEnd w:id="778"/>
      <w:r>
        <w:rPr>
          <w:rFonts w:ascii="Amiri" w:hAnsi="Amiri" w:eastAsia="Amiri" w:cs="Amiri"/>
          <w:color w:val="111111"/>
          <w:sz w:val="28"/>
          <w:sz w:val="28"/>
          <w:szCs w:val="28"/>
          <w:rtl w:val="true"/>
          <w:lang w:bidi="ar-SA"/>
        </w:rPr>
        <w:t>الصلاة والتلبية بالقلب فقط</w:t>
      </w:r>
      <w:r>
        <w:rPr>
          <w:rFonts w:eastAsia="Amiri" w:cs="Amiri" w:ascii="Amiri" w:hAnsi="Amiri"/>
          <w:color w:val="111111"/>
          <w:sz w:val="28"/>
          <w:szCs w:val="28"/>
          <w:rtl w:val="true"/>
          <w:lang w:bidi="ar-SA"/>
        </w:rPr>
        <w:t>.</w:t>
      </w:r>
    </w:p>
    <w:p>
      <w:pPr>
        <w:pStyle w:val="Heading2"/>
        <w:numPr>
          <w:ilvl w:val="1"/>
          <w:numId w:val="1"/>
        </w:numPr>
        <w:rPr/>
      </w:pPr>
      <w:bookmarkStart w:id="779" w:name="__RefHeading___Toc12184223_2142443653"/>
      <w:bookmarkStart w:id="780" w:name="_Toc292"/>
      <w:bookmarkEnd w:id="779"/>
      <w:r>
        <w:rPr>
          <w:rtl w:val="true"/>
        </w:rPr>
        <w:t>جائزة نوبل</w:t>
      </w:r>
      <w:bookmarkEnd w:id="78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جائزة نوبل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الجوائز حلال وضعها وإعطاؤها وأخذها، إلا إذا كانت جهة محرمة خارجية</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الحلية لإطلاق</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أدلة حل كل شيء</w:t>
      </w:r>
      <w:r>
        <w:rPr>
          <w:rFonts w:eastAsia="Amiri" w:cs="Amiri" w:ascii="Amiri" w:hAnsi="Amiri"/>
          <w:color w:val="111111"/>
          <w:sz w:val="28"/>
          <w:szCs w:val="28"/>
          <w:rtl w:val="true"/>
          <w:lang w:bidi="ar-SA"/>
        </w:rPr>
        <w:t>.</w:t>
      </w:r>
    </w:p>
    <w:p>
      <w:pPr>
        <w:pStyle w:val="Heading2"/>
        <w:numPr>
          <w:ilvl w:val="1"/>
          <w:numId w:val="1"/>
        </w:numPr>
        <w:rPr/>
      </w:pPr>
      <w:bookmarkStart w:id="781" w:name="__RefHeading___Toc12184225_2142443653"/>
      <w:bookmarkStart w:id="782" w:name="_Toc293"/>
      <w:bookmarkEnd w:id="781"/>
      <w:r>
        <w:rPr>
          <w:rtl w:val="true"/>
        </w:rPr>
        <w:t>إجراء العقد بالآلة أو الحيوان</w:t>
      </w:r>
      <w:bookmarkEnd w:id="78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w:t>
      </w:r>
      <w:r>
        <w:rPr>
          <w:rStyle w:val="FootnoteAnchor"/>
          <w:rtl w:val="true"/>
        </w:rPr>
        <w:footnoteReference w:id="1179"/>
      </w:r>
      <w:r>
        <w:rPr>
          <w:rFonts w:ascii="Amiri" w:hAnsi="Amiri" w:eastAsia="Amiri" w:cs="Amiri"/>
          <w:color w:val="111111"/>
          <w:sz w:val="28"/>
          <w:sz w:val="28"/>
          <w:szCs w:val="28"/>
          <w:rtl w:val="true"/>
          <w:lang w:bidi="ar-SA"/>
        </w:rPr>
        <w:t xml:space="preserve"> بكلام المسجل وكلام الحيوان في العقد والإيقاع، فلو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الكاسكو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صيغة العقد لا يصح العقد الذي يجريه، وكذا لو قرأنا في المسجل ثم فتحناه عند إرادة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ذلك البسملة المسجلة في ذبح الحيوان؛ لانصراف</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الأدلة عن</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ترويج المؤسسات اليهودية المحاربة</w:t>
      </w:r>
      <w:r>
        <w:rPr>
          <w:rFonts w:eastAsia="Amiri" w:cs="Amiri" w:ascii="Amiri" w:hAnsi="Amiri"/>
          <w:color w:val="111111"/>
          <w:sz w:val="28"/>
          <w:szCs w:val="28"/>
          <w:rtl w:val="true"/>
          <w:lang w:bidi="ar-SA"/>
        </w:rPr>
        <w:t>.</w:t>
      </w:r>
    </w:p>
    <w:p>
      <w:pPr>
        <w:pStyle w:val="BookText"/>
        <w:rPr/>
      </w:pP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للأدلة الاجتهادية،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 الهبة والهدية والجعالة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نظيره أوائل الكتاب</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قرأ، راجع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في الوضوء</w:t>
      </w:r>
      <w:r>
        <w:rPr>
          <w:rStyle w:val="FootnoteAnchor"/>
          <w:rtl w:val="true"/>
        </w:rPr>
        <w:footnoteReference w:id="1185"/>
      </w:r>
      <w:r>
        <w:rPr>
          <w:rFonts w:ascii="IRNazanin" w:hAnsi="IRNazanin" w:eastAsia="IRNazanin"/>
          <w:color w:val="111111"/>
          <w:sz w:val="28"/>
          <w:sz w:val="28"/>
          <w:szCs w:val="28"/>
          <w:rtl w:val="true"/>
          <w:lang w:bidi="fa-IR"/>
        </w:rPr>
        <w:t xml:space="preserve">، وأن ظاهر </w:t>
      </w:r>
      <w:bookmarkStart w:id="783" w:name="pg15710_226944"/>
    </w:p>
    <w:p>
      <w:pPr>
        <w:pStyle w:val="BookText"/>
        <w:rPr/>
      </w:pPr>
      <w:bookmarkEnd w:id="783"/>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w:t>
      </w:r>
    </w:p>
    <w:p>
      <w:pPr>
        <w:pStyle w:val="Heading2"/>
        <w:numPr>
          <w:ilvl w:val="1"/>
          <w:numId w:val="1"/>
        </w:numPr>
        <w:rPr/>
      </w:pPr>
      <w:bookmarkStart w:id="784" w:name="__RefHeading___Toc12184227_2142443653"/>
      <w:bookmarkStart w:id="785" w:name="_Toc294"/>
      <w:bookmarkEnd w:id="784"/>
      <w:r>
        <w:rPr>
          <w:rtl w:val="true"/>
        </w:rPr>
        <w:t>الغش بالاستعطاف</w:t>
      </w:r>
      <w:bookmarkEnd w:id="78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186"/>
      </w:r>
      <w:r>
        <w:rPr>
          <w:rFonts w:ascii="Amiri" w:hAnsi="Amiri" w:eastAsia="Amiri" w:cs="Amiri"/>
          <w:color w:val="111111"/>
          <w:sz w:val="28"/>
          <w:sz w:val="28"/>
          <w:szCs w:val="28"/>
          <w:rtl w:val="true"/>
          <w:lang w:bidi="ar-SA"/>
        </w:rPr>
        <w:t xml:space="preserve"> الغش بتعليم الحيوان الاستعطاف والاستنفاع من وراء ذلك، كأن يعلم الببغاء في القفص أن يستعطف المارة بإطلاقه، فيشتريه المار، ويطلق سراحه ثم يعود إلى مكانه بعد أن يشير صاحبه بذهاب ذلك المارة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نوع من الغش والخداع وأكل أموال الناس بالباطل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6" w:name="__RefHeading___Toc12184229_2142443653"/>
      <w:bookmarkStart w:id="787" w:name="_Toc295"/>
      <w:bookmarkEnd w:id="786"/>
      <w:r>
        <w:rPr>
          <w:rtl w:val="true"/>
        </w:rPr>
        <w:t>الاستعطاف لأجل المريض</w:t>
      </w:r>
      <w:bookmarkEnd w:id="78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Style w:val="FootnoteAnchor"/>
          <w:rtl w:val="true"/>
        </w:rPr>
        <w:footnoteReference w:id="1187"/>
      </w:r>
      <w:r>
        <w:rPr>
          <w:rFonts w:ascii="Amiri" w:hAnsi="Amiri" w:eastAsia="Amiri" w:cs="Amiri"/>
          <w:color w:val="111111"/>
          <w:sz w:val="28"/>
          <w:sz w:val="28"/>
          <w:szCs w:val="28"/>
          <w:rtl w:val="true"/>
          <w:lang w:bidi="ar-SA"/>
        </w:rPr>
        <w:t xml:space="preserve"> ما تقدم في المسألة السابقة أن يعلّم الحيوان الاستعطاف لأجل مريض أو غريب أو ما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إذا كان صادقاً بأن كان عمله لأجل المريض الفقير واقعاً، وهكذا فإنه يكون حينئذٍ من خدمة الناس، والتعاون على الخير والبر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الألفاظ المباشرة لا التسبيب بخلاف الأمور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pStyle w:val="BookText"/>
        <w:rPr/>
      </w:pP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المحرمات</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المركوز في أذهان المتشرعة كونه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كذب، فتأمل</w:t>
      </w:r>
      <w:r>
        <w:rPr>
          <w:rFonts w:eastAsia="Amiri" w:cs="Amiri" w:ascii="Amiri" w:hAnsi="Amiri"/>
          <w:color w:val="111111"/>
          <w:sz w:val="28"/>
          <w:szCs w:val="28"/>
          <w:rtl w:val="true"/>
          <w:lang w:bidi="ar-SA"/>
        </w:rPr>
        <w:t xml:space="preserve">. </w:t>
      </w:r>
      <w:bookmarkStart w:id="788" w:name="pg15710_226945"/>
    </w:p>
    <w:p>
      <w:pPr>
        <w:pStyle w:val="Heading2"/>
        <w:numPr>
          <w:ilvl w:val="1"/>
          <w:numId w:val="1"/>
        </w:numPr>
        <w:rPr/>
      </w:pPr>
      <w:bookmarkStart w:id="789" w:name="__RefHeading___Toc12184231_2142443653"/>
      <w:bookmarkStart w:id="790" w:name="_Toc296"/>
      <w:bookmarkEnd w:id="788"/>
      <w:bookmarkEnd w:id="789"/>
      <w:r>
        <w:rPr>
          <w:rtl w:val="true"/>
        </w:rPr>
        <w:t>الاستنفاع بالحيوان مخادعة</w:t>
      </w:r>
      <w:bookmarkEnd w:id="79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يجوز أيضاً الاستنفاع بالحيوان، بإظهاره مريضاً وصاحبه لا يقدر على علاجه، أو إظهاره جائعاً وصاحبه لا يقدر على إطعامه، فيعطي المارة مالاً لأجل ذلك، والحال أن الحيوان ليس بمريض ولا جائع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غش كما تقدم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1" w:name="__RefHeading___Toc12184233_2142443653"/>
      <w:bookmarkStart w:id="792" w:name="_Toc297"/>
      <w:bookmarkEnd w:id="791"/>
      <w:r>
        <w:rPr>
          <w:rtl w:val="true"/>
        </w:rPr>
        <w:t>جرائم الشحاذين</w:t>
      </w:r>
      <w:bookmarkEnd w:id="79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أبشع أنواع الجرائم ما يفعله بعض الشحاذين، من إقلاع عين طفل أو طفلة لهم، أو مَنْ يلتقطونه ثم يجعلونه وسيلة الاستعطاء والاستعطاف، ومثل ذلك تنقيصه في جهة أُخرى من جسمه، ككسر رجله أو بتر يده أو ما أشبه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حرام مضاعف</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3" w:name="__RefHeading___Toc12184235_2142443653"/>
      <w:bookmarkStart w:id="794" w:name="_Toc298"/>
      <w:bookmarkEnd w:id="793"/>
      <w:r>
        <w:rPr>
          <w:rtl w:val="true"/>
        </w:rPr>
        <w:t>احتكار المرافق العامة</w:t>
      </w:r>
      <w:bookmarkEnd w:id="79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المرافق والمؤسسات العامة لا يجوز للإنسان</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بعض الوجوه الأُخر</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p>
    <w:p>
      <w:pPr>
        <w:pStyle w:val="BookText"/>
        <w:rPr/>
      </w:pP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إضرار أولاً، وكذب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إذ لا فقر واقعي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bookmarkStart w:id="795" w:name="pg15710_226946"/>
    </w:p>
    <w:p>
      <w:pPr>
        <w:pStyle w:val="BookText"/>
        <w:rPr/>
      </w:pPr>
      <w:bookmarkEnd w:id="795"/>
      <w:r>
        <w:rPr>
          <w:rFonts w:ascii="Amiri" w:hAnsi="Amiri" w:eastAsia="Amiri" w:cs="Amiri"/>
          <w:color w:val="111111"/>
          <w:sz w:val="28"/>
          <w:sz w:val="28"/>
          <w:szCs w:val="28"/>
          <w:rtl w:val="true"/>
          <w:lang w:bidi="ar-SA"/>
        </w:rPr>
        <w:t>استغلالها لنفسه أكثر من الحاجة</w:t>
      </w:r>
      <w:r>
        <w:rPr>
          <w:rStyle w:val="FootnoteAnchor"/>
          <w:rtl w:val="true"/>
        </w:rPr>
        <w:footnoteReference w:id="1194"/>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يشغل الهاتف العام أكثر من الحاجة المعتادة، والحال أن الناس ينتظرون فراغه،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الوقف أو التبرع من المتبرع لا يعطيه الحق في أكثر من حاجته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فيكون غاصباً لحقوق الآخرين، ولا يبعد ضمانه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بالنسبة إلى مَنْ بعده؛ إذ هو 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يتوى حق امرئ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6" w:name="__RefHeading___Toc12184237_2142443653"/>
      <w:bookmarkStart w:id="797" w:name="_Toc299"/>
      <w:bookmarkEnd w:id="796"/>
      <w:r>
        <w:rPr>
          <w:rtl w:val="true"/>
        </w:rPr>
        <w:t>الإسراف في الموقوفات</w:t>
      </w:r>
      <w:bookmarkEnd w:id="79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صرف الوقف بأكثر من الحاجة المعتادة،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ينير كل مصابيح الوقف نصف الليل، والحال أن الحاجة إنما تسد بمصباح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هو خلاف الوقف</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والكلام في الضمان هو الكلام في المسألة السابقة</w:t>
      </w:r>
      <w:r>
        <w:rPr>
          <w:rFonts w:eastAsia="Amiri" w:cs="Amiri" w:ascii="Amiri" w:hAnsi="Amiri"/>
          <w:color w:val="111111"/>
          <w:sz w:val="28"/>
          <w:szCs w:val="28"/>
          <w:rtl w:val="true"/>
          <w:lang w:bidi="ar-SA"/>
        </w:rPr>
        <w:t>.</w:t>
      </w:r>
    </w:p>
    <w:p>
      <w:pPr>
        <w:pStyle w:val="BookText"/>
        <w:rPr/>
      </w:pP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مع استلزامه تضييع حق الآخرين</w:t>
      </w:r>
      <w:r>
        <w:rPr>
          <w:rFonts w:eastAsia="Amiri" w:cs="Amiri" w:ascii="Amiri" w:hAnsi="Amiri"/>
          <w:color w:val="111111"/>
          <w:sz w:val="28"/>
          <w:szCs w:val="28"/>
          <w:rtl w:val="true"/>
          <w:lang w:bidi="ar-SA"/>
        </w:rPr>
        <w:t>.</w:t>
      </w:r>
    </w:p>
    <w:p>
      <w:pPr>
        <w:pStyle w:val="BookText"/>
        <w:rPr/>
      </w:pP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المتعارف كما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سبب ذلك خسارته في صفقة تجارية مثلاً، ودليله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ما وقفها أهلها</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 ولو فرض أنه لم يكن لفظ فالارتكاز يقتضي المتعارف</w:t>
      </w:r>
      <w:r>
        <w:rPr>
          <w:rFonts w:eastAsia="Amiri" w:cs="Amiri" w:ascii="Amiri" w:hAnsi="Amiri"/>
          <w:color w:val="111111"/>
          <w:sz w:val="28"/>
          <w:szCs w:val="28"/>
          <w:rtl w:val="true"/>
          <w:lang w:bidi="ar-SA"/>
        </w:rPr>
        <w:t xml:space="preserve">. </w:t>
      </w:r>
      <w:bookmarkStart w:id="798" w:name="pg15710_226947"/>
    </w:p>
    <w:p>
      <w:pPr>
        <w:pStyle w:val="Heading2"/>
        <w:numPr>
          <w:ilvl w:val="1"/>
          <w:numId w:val="1"/>
        </w:numPr>
        <w:rPr/>
      </w:pPr>
      <w:bookmarkStart w:id="799" w:name="__RefHeading___Toc12184239_2142443653"/>
      <w:bookmarkStart w:id="800" w:name="_Toc300"/>
      <w:bookmarkEnd w:id="798"/>
      <w:bookmarkEnd w:id="799"/>
      <w:r>
        <w:rPr>
          <w:rtl w:val="true"/>
        </w:rPr>
        <w:t>الاسترزاق عن طريق الغرائب</w:t>
      </w:r>
      <w:bookmarkEnd w:id="80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الاسترزاق بإراءة الغرائب الجائزة شرعاً لا بأس به، كما لو ولد له مولود ذو رأسين فيريه لمن يعطيه كمية من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لقاعدة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ما خرج وليس المقام من الاستثناء</w:t>
      </w:r>
      <w:r>
        <w:rPr>
          <w:rFonts w:eastAsia="Amiri" w:cs="Amiri" w:ascii="Amiri" w:hAnsi="Amiri"/>
          <w:color w:val="111111"/>
          <w:sz w:val="28"/>
          <w:szCs w:val="28"/>
          <w:rtl w:val="true"/>
          <w:lang w:bidi="ar-SA"/>
        </w:rPr>
        <w:t>.</w:t>
      </w:r>
    </w:p>
    <w:p>
      <w:pPr>
        <w:pStyle w:val="Heading2"/>
        <w:numPr>
          <w:ilvl w:val="1"/>
          <w:numId w:val="1"/>
        </w:numPr>
        <w:rPr/>
      </w:pPr>
      <w:bookmarkStart w:id="801" w:name="__RefHeading___Toc12184241_2142443653"/>
      <w:bookmarkStart w:id="802" w:name="_Toc301"/>
      <w:bookmarkEnd w:id="801"/>
      <w:r>
        <w:rPr>
          <w:rtl w:val="true"/>
        </w:rPr>
        <w:t>الخداع في الغرائب</w:t>
      </w:r>
      <w:bookmarkEnd w:id="80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الخداع</w:t>
      </w:r>
      <w:r>
        <w:rPr>
          <w:rStyle w:val="FootnoteAnchor"/>
          <w:rtl w:val="true"/>
        </w:rPr>
        <w:footnoteReference w:id="1199"/>
      </w:r>
      <w:r>
        <w:rPr>
          <w:rFonts w:ascii="Amiri" w:hAnsi="Amiri" w:eastAsia="Amiri" w:cs="Amiri"/>
          <w:color w:val="111111"/>
          <w:sz w:val="28"/>
          <w:sz w:val="28"/>
          <w:szCs w:val="28"/>
          <w:rtl w:val="true"/>
          <w:lang w:bidi="ar-SA"/>
        </w:rPr>
        <w:t xml:space="preserve"> في صنع الشيء الغريب لاستدرار أموال الناس لا يجوز،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رأساً مطاطياً إلى جانب الرأس الطبيعي للعجل ليُري الناس أنه عجل ذو رأسين، فيستدر أموالهم بهذا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p>
    <w:p>
      <w:pPr>
        <w:pStyle w:val="BookText"/>
        <w:rPr/>
      </w:pP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وقبلها الأدلة الاجتهادية، كالإجارة،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201"/>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المحرمات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r>
        <w:rPr>
          <w:rStyle w:val="FootnoteAnchor"/>
          <w:rtl w:val="true"/>
        </w:rPr>
        <w:footnoteReference w:id="120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الخداع</w:t>
      </w:r>
      <w:r>
        <w:rPr>
          <w:rFonts w:eastAsia="IRNazanin" w:cs="IRNazanin"/>
          <w:color w:val="111111"/>
          <w:sz w:val="28"/>
          <w:szCs w:val="28"/>
          <w:rtl w:val="true"/>
          <w:lang w:bidi="fa-IR"/>
        </w:rPr>
        <w:t>)</w:t>
      </w:r>
      <w:r>
        <w:rPr>
          <w:rStyle w:val="FootnoteAnchor"/>
          <w:rtl w:val="true"/>
        </w:rPr>
        <w:footnoteReference w:id="120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w:t>
      </w:r>
      <w:r>
        <w:rPr>
          <w:rFonts w:eastAsia="IRNazanin" w:cs="IRNazanin"/>
          <w:color w:val="111111"/>
          <w:sz w:val="28"/>
          <w:szCs w:val="28"/>
          <w:rtl w:val="true"/>
          <w:lang w:bidi="fa-IR"/>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bookmarkStart w:id="803" w:name="pg15710_226948"/>
    </w:p>
    <w:p>
      <w:pPr>
        <w:pStyle w:val="BookText"/>
        <w:rPr/>
      </w:pPr>
      <w:bookmarkEnd w:id="8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خداع وأكل لأموال الناس بالباطل</w:t>
      </w:r>
      <w:r>
        <w:rPr>
          <w:rFonts w:eastAsia="Amiri" w:cs="Amiri" w:ascii="Amiri" w:hAnsi="Amiri"/>
          <w:color w:val="111111"/>
          <w:sz w:val="28"/>
          <w:szCs w:val="28"/>
          <w:rtl w:val="true"/>
          <w:lang w:bidi="ar-SA"/>
        </w:rPr>
        <w:t>.</w:t>
      </w:r>
    </w:p>
    <w:p>
      <w:pPr>
        <w:pStyle w:val="Heading2"/>
        <w:numPr>
          <w:ilvl w:val="1"/>
          <w:numId w:val="1"/>
        </w:numPr>
        <w:rPr/>
      </w:pPr>
      <w:bookmarkStart w:id="804" w:name="__RefHeading___Toc12184243_2142443653"/>
      <w:bookmarkStart w:id="805" w:name="_Toc302"/>
      <w:bookmarkEnd w:id="804"/>
      <w:r>
        <w:rPr>
          <w:rtl w:val="true"/>
        </w:rPr>
        <w:t>التصرف في الشؤون العامة</w:t>
      </w:r>
      <w:bookmarkEnd w:id="80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الشؤون العامة بدون إجازة أصحاب الحق</w:t>
      </w:r>
      <w:r>
        <w:rPr>
          <w:rStyle w:val="FootnoteAnchor"/>
          <w:rtl w:val="true"/>
        </w:rPr>
        <w:footnoteReference w:id="1206"/>
      </w:r>
      <w:r>
        <w:rPr>
          <w:rFonts w:ascii="Amiri" w:hAnsi="Amiri" w:eastAsia="Amiri" w:cs="Amiri"/>
          <w:color w:val="111111"/>
          <w:sz w:val="28"/>
          <w:sz w:val="28"/>
          <w:szCs w:val="28"/>
          <w:rtl w:val="true"/>
          <w:lang w:bidi="ar-SA"/>
        </w:rPr>
        <w:t xml:space="preserve"> لا يجوز،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في النهر قنبلة توجب تجمد ماء النهر، أو يكسر سّداً فيجري الماء تحت أرض المدينة أو ما أشبه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بين إضرار محرم، وبين تصرف في حق الآخرين محرم أيضاً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إذ مثل النهر وما أشبه جعل للجميع،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ذكرناه في فقه الاقتصاد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6" w:name="__RefHeading___Toc12184245_2142443653"/>
      <w:bookmarkStart w:id="807" w:name="_Toc303"/>
      <w:bookmarkEnd w:id="806"/>
      <w:r>
        <w:rPr>
          <w:rtl w:val="true"/>
        </w:rPr>
        <w:t>إيذاء الناس مادياً</w:t>
      </w:r>
      <w:bookmarkEnd w:id="80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وصل شيء بأسلاك الكهرباء بحيث يوجب احتراق مصابيح الناس المتصلة بذلك الخط، ولو فعل ذلك ضمن الخسارة الواردة على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الضمان لصدق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أنه محرم في نفسه؛ لأنه تصرف في أموال الناس وإسراف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pStyle w:val="BookText"/>
        <w:rPr/>
      </w:pP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يشمل الأجيال الآتية لو استمر الأثر إليها،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الاقتصاد</w:t>
      </w:r>
      <w:r>
        <w:rPr>
          <w:rFonts w:eastAsia="Amiri" w:cs="Amiri" w:ascii="Amiri" w:hAnsi="Amiri"/>
          <w:color w:val="111111"/>
          <w:sz w:val="28"/>
          <w:szCs w:val="28"/>
          <w:rtl w:val="true"/>
          <w:lang w:bidi="ar-SA"/>
        </w:rPr>
        <w:t>.</w:t>
      </w:r>
    </w:p>
    <w:p>
      <w:pPr>
        <w:pStyle w:val="BookText"/>
        <w:rPr/>
      </w:pP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إسراف وتبذير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ولأدلة لا ضرر، بناءً على إثباتها الحكم</w:t>
      </w:r>
      <w:r>
        <w:rPr>
          <w:rFonts w:eastAsia="Amiri" w:cs="Amiri" w:ascii="Amiri" w:hAnsi="Amiri"/>
          <w:color w:val="111111"/>
          <w:sz w:val="28"/>
          <w:szCs w:val="28"/>
          <w:rtl w:val="true"/>
          <w:lang w:bidi="ar-SA"/>
        </w:rPr>
        <w:t xml:space="preserve">. </w:t>
      </w:r>
      <w:bookmarkStart w:id="808" w:name="pg15710_226949"/>
    </w:p>
    <w:p>
      <w:pPr>
        <w:pStyle w:val="Heading2"/>
        <w:numPr>
          <w:ilvl w:val="1"/>
          <w:numId w:val="1"/>
        </w:numPr>
        <w:rPr/>
      </w:pPr>
      <w:bookmarkStart w:id="809" w:name="__RefHeading___Toc12184247_2142443653"/>
      <w:bookmarkStart w:id="810" w:name="_Toc304"/>
      <w:bookmarkEnd w:id="808"/>
      <w:bookmarkEnd w:id="809"/>
      <w:r>
        <w:rPr>
          <w:rtl w:val="true"/>
        </w:rPr>
        <w:t>التصرف في ممتلكات الناس</w:t>
      </w:r>
      <w:bookmarkEnd w:id="81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لا يجوز قطع سلك الكهرباء أو الهاتف، أو تخريب ماكنة الماء أو الكهرباء، أو قطع خط القطار أو ما أشبه ذلك، إذا كانت هذه الأُمور ملكاً لإنسان محترم، أو لدولة محترمة أو كان إسرافاً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إن كان ضرراً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وهذا حرام واحد إذا لم يوجب تلفاً في مال أو نفس، وإلا كان حراماً متعدداً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كما إذا قطع خط القطار فأوجب هلاك أو جرح راكبيه، إلى غير ذلك، ويدل عليه الأدلة الكثيرة</w:t>
      </w:r>
      <w:r>
        <w:rPr>
          <w:rFonts w:eastAsia="Amiri" w:cs="Amiri" w:ascii="Amiri" w:hAnsi="Amiri"/>
          <w:color w:val="111111"/>
          <w:sz w:val="28"/>
          <w:szCs w:val="28"/>
          <w:rtl w:val="true"/>
          <w:lang w:bidi="ar-SA"/>
        </w:rPr>
        <w:t>.</w:t>
      </w:r>
    </w:p>
    <w:p>
      <w:pPr>
        <w:pStyle w:val="Heading2"/>
        <w:numPr>
          <w:ilvl w:val="1"/>
          <w:numId w:val="1"/>
        </w:numPr>
        <w:rPr/>
      </w:pPr>
      <w:bookmarkStart w:id="811" w:name="__RefHeading___Toc12184249_2142443653"/>
      <w:bookmarkStart w:id="812" w:name="_Toc305"/>
      <w:bookmarkEnd w:id="811"/>
      <w:r>
        <w:rPr>
          <w:rtl w:val="true"/>
        </w:rPr>
        <w:t>التصرف في ممتلكات الحكومة</w:t>
      </w:r>
      <w:bookmarkEnd w:id="81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الأُمور المذكورة في المسألة السابقة ملكاً لحكومة غير محترمة، كالكافر المحارب جاز تخريب أجهزتها، بشرط أن لا يتضرر</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ذلك الناس المحترمون شرعاً ضرراً محرّماً</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تخريب أجهزتها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المرتبطة بجهة الحرب</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إيذاءً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ينضم إلى ذلك تشويه سمعة الإسلام والمسلمين، كما في العمليات التخريبية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يتأذى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في قبال الأضرار المتعارفة التي جرت السيرة على وجودها ونحوها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الحربي مهدور الدم والمال، فلا مانع منه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الإسراف عنوان خارجي، ولعل ذكر القيد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إسراف عادة ما لم يرتبط بتضعيف العدو</w:t>
      </w:r>
      <w:r>
        <w:rPr>
          <w:rFonts w:eastAsia="Amiri" w:cs="Amiri" w:ascii="Amiri" w:hAnsi="Amiri"/>
          <w:color w:val="111111"/>
          <w:sz w:val="28"/>
          <w:szCs w:val="28"/>
          <w:rtl w:val="true"/>
          <w:lang w:bidi="ar-SA"/>
        </w:rPr>
        <w:t xml:space="preserve">. </w:t>
      </w:r>
      <w:bookmarkStart w:id="813" w:name="pg15710_226950"/>
    </w:p>
    <w:p>
      <w:pPr>
        <w:pStyle w:val="BookText"/>
        <w:rPr/>
      </w:pPr>
      <w:bookmarkEnd w:id="813"/>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يهدم بيته الذي في المدينة بدون أن يكون ذلك له مدخلية في انتصار المسلمين، وإنما كان تشفياً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والحكم في المستثنى منه والمستثنى حسب الأدلة</w:t>
      </w:r>
      <w:r>
        <w:rPr>
          <w:rFonts w:eastAsia="Amiri" w:cs="Amiri" w:ascii="Amiri" w:hAnsi="Amiri"/>
          <w:color w:val="111111"/>
          <w:sz w:val="28"/>
          <w:szCs w:val="28"/>
          <w:rtl w:val="true"/>
          <w:lang w:bidi="ar-SA"/>
        </w:rPr>
        <w:t>.</w:t>
      </w:r>
    </w:p>
    <w:p>
      <w:pPr>
        <w:pStyle w:val="Heading2"/>
        <w:numPr>
          <w:ilvl w:val="1"/>
          <w:numId w:val="1"/>
        </w:numPr>
        <w:rPr/>
      </w:pPr>
      <w:bookmarkStart w:id="814" w:name="__RefHeading___Toc12184251_2142443653"/>
      <w:bookmarkStart w:id="815" w:name="_Toc306"/>
      <w:bookmarkEnd w:id="814"/>
      <w:r>
        <w:rPr>
          <w:rtl w:val="true"/>
        </w:rPr>
        <w:t>تعارض المصلحتين</w:t>
      </w:r>
      <w:bookmarkEnd w:id="81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 ما ذكرناه في المسألة السابقة تضرر الناس المحترمين ضرراً</w:t>
      </w:r>
      <w:r>
        <w:rPr>
          <w:rStyle w:val="FootnoteAnchor"/>
          <w:rtl w:val="true"/>
        </w:rPr>
        <w:footnoteReference w:id="1210"/>
      </w:r>
      <w:r>
        <w:rPr>
          <w:rFonts w:ascii="Amiri" w:hAnsi="Amiri" w:eastAsia="Amiri" w:cs="Amiri"/>
          <w:color w:val="111111"/>
          <w:sz w:val="28"/>
          <w:sz w:val="28"/>
          <w:szCs w:val="28"/>
          <w:rtl w:val="true"/>
          <w:lang w:bidi="ar-SA"/>
        </w:rPr>
        <w:t xml:space="preserve"> محرَّماً، فإن كانت هناك مصلحة أهم</w:t>
      </w:r>
      <w:r>
        <w:rPr>
          <w:rStyle w:val="FootnoteAnchor"/>
          <w:rtl w:val="true"/>
        </w:rPr>
        <w:footnoteReference w:id="1211"/>
      </w:r>
      <w:r>
        <w:rPr>
          <w:rFonts w:ascii="Amiri" w:hAnsi="Amiri" w:eastAsia="Amiri" w:cs="Amiri"/>
          <w:color w:val="111111"/>
          <w:sz w:val="28"/>
          <w:sz w:val="28"/>
          <w:szCs w:val="28"/>
          <w:rtl w:val="true"/>
          <w:lang w:bidi="ar-SA"/>
        </w:rPr>
        <w:t xml:space="preserve"> جاز الإضرار من باب قاعدة الأهم والمهم، وإلا لم يجز الإضرار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صورة جواز الإضرار اللازم تداركه؛ إذ لا منافاة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بين الحكم</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ارتباطاً مباشراً كالأجهزة العسكرية، أم غير مباشر كالبنية الاقتصادية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 باعتبار أنه مهدور المال، ما لم ينطبق عليه عنوان خارجي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pStyle w:val="BookText"/>
        <w:rPr/>
      </w:pP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إيذاءً كما سبق</w:t>
      </w:r>
      <w:r>
        <w:rPr>
          <w:rStyle w:val="FootnoteAnchor"/>
          <w:rtl w:val="true"/>
        </w:rPr>
        <w:footnoteReference w:id="1213"/>
      </w:r>
      <w:r>
        <w:rPr>
          <w:rFonts w:ascii="IRNazanin" w:hAnsi="IRNazanin" w:eastAsia="IRNazanin"/>
          <w:color w:val="111111"/>
          <w:sz w:val="28"/>
          <w:sz w:val="28"/>
          <w:szCs w:val="28"/>
          <w:rtl w:val="true"/>
          <w:lang w:bidi="fa-IR"/>
        </w:rPr>
        <w:t>ونحوه الإسراف</w:t>
      </w:r>
      <w:r>
        <w:rPr>
          <w:rFonts w:eastAsia="IRNazanin" w:cs="IRNazanin"/>
          <w:color w:val="111111"/>
          <w:sz w:val="28"/>
          <w:szCs w:val="28"/>
          <w:rtl w:val="true"/>
          <w:lang w:bidi="fa-IR"/>
        </w:rPr>
        <w:t>.</w:t>
      </w:r>
    </w:p>
    <w:p>
      <w:pPr>
        <w:pStyle w:val="BookText"/>
        <w:rPr/>
      </w:pP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في ذلك سمعة الإسلام والمسلمين كما سبق</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الأمر والنهي والجهاد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الملازمة بينهما، ككسر أواني الخمر</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ونهياً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الجواز الشرعي التكليفي </w:t>
      </w:r>
    </w:p>
    <w:p>
      <w:pPr>
        <w:pStyle w:val="BookText"/>
        <w:rPr/>
      </w:pPr>
      <w:r>
        <w:rPr>
          <w:rFonts w:ascii="Amiri" w:hAnsi="Amiri" w:eastAsia="Amiri" w:cs="Amiri"/>
          <w:color w:val="111111"/>
          <w:sz w:val="28"/>
          <w:sz w:val="28"/>
          <w:szCs w:val="28"/>
          <w:rtl w:val="true"/>
          <w:lang w:bidi="ar-SA"/>
        </w:rPr>
        <w:t>الوضعي والتكليفي، لكن الظاهر أنه على بيت المال</w:t>
      </w:r>
      <w:r>
        <w:rPr>
          <w:rStyle w:val="FootnoteAnchor"/>
          <w:rtl w:val="true"/>
        </w:rPr>
        <w:footnoteReference w:id="1218"/>
      </w:r>
      <w:r>
        <w:rPr>
          <w:rFonts w:ascii="IRNazanin" w:hAnsi="IRNazanin" w:eastAsia="IRNazanin"/>
          <w:color w:val="111111"/>
          <w:sz w:val="28"/>
          <w:sz w:val="28"/>
          <w:szCs w:val="28"/>
          <w:rtl w:val="true"/>
          <w:lang w:bidi="fa-IR"/>
        </w:rPr>
        <w:t xml:space="preserve"> إذا كان العمل بأمر الحاكم الشرعي؛ ولذا أعطى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دية من قتلهم خالد دية لأنفسهم،</w:t>
      </w:r>
    </w:p>
    <w:p>
      <w:pPr>
        <w:pStyle w:val="BookText"/>
        <w:rPr/>
      </w:pPr>
      <w:r>
        <w:rPr>
          <w:rFonts w:ascii="Amiri" w:hAnsi="Amiri" w:eastAsia="Amiri" w:cs="Amiri"/>
          <w:color w:val="111111"/>
          <w:sz w:val="28"/>
          <w:sz w:val="28"/>
          <w:szCs w:val="28"/>
          <w:rtl w:val="true"/>
          <w:lang w:bidi="ar-SA"/>
        </w:rPr>
        <w:t>ملازم لعدم الضمان الوضعي، وراجع بحث لو تترس الكفار بالمسلمين</w:t>
      </w:r>
      <w:r>
        <w:rPr>
          <w:rStyle w:val="FootnoteAnchor"/>
          <w:rtl w:val="true"/>
        </w:rPr>
        <w:footnoteReference w:id="1219"/>
      </w:r>
      <w:r>
        <w:rPr>
          <w:rFonts w:ascii="Amiri" w:hAnsi="Amiri" w:eastAsia="Amiri" w:cs="Amiri"/>
          <w:color w:val="111111"/>
          <w:sz w:val="28"/>
          <w:sz w:val="28"/>
          <w:szCs w:val="28"/>
          <w:rtl w:val="true"/>
          <w:lang w:bidi="ar-SA"/>
        </w:rPr>
        <w:t>وأكل المخمصة</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نفس المباشر؛ لأنه أقوى من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ينسب عرفاً للآمر لا للمباشر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الذي خرّب، ولا يمشي عقلائياً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الجندي عليه الضمان، والضمانات أمور عقلائية،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إعطاء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فالفعل لا يدل على الوجوب، وكذا إعطاء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ينهض بإثبات مدّعانا، فلعله تبرّع، فتأمل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الأسوة تدل على اللزوم، إلاّ فيما خرج بالدليل،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القوانين</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واختاره السيد العم</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وأرشاً لأمتعتهم</w:t>
      </w:r>
      <w:r>
        <w:rPr>
          <w:rStyle w:val="FootnoteAnchor"/>
          <w:rtl w:val="true"/>
        </w:rPr>
        <w:footnoteReference w:id="1224"/>
      </w:r>
      <w:r>
        <w:rPr>
          <w:rFonts w:ascii="Amiri" w:hAnsi="Amiri" w:eastAsia="Amiri" w:cs="Amiri"/>
          <w:color w:val="111111"/>
          <w:sz w:val="28"/>
          <w:sz w:val="28"/>
          <w:szCs w:val="28"/>
          <w:rtl w:val="true"/>
          <w:lang w:bidi="ar-SA"/>
        </w:rPr>
        <w:t xml:space="preserve">، كما أعطى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من مات مرتاعاً من هجوم الناس في حرب البصرة</w:t>
      </w:r>
      <w:r>
        <w:rPr>
          <w:rStyle w:val="FootnoteAnchor"/>
          <w:rtl w:val="true"/>
        </w:rPr>
        <w:footnoteReference w:id="122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bookmarkStart w:id="816" w:name="pg15710_226953"/>
    </w:p>
    <w:p>
      <w:pPr>
        <w:pStyle w:val="Heading2"/>
        <w:numPr>
          <w:ilvl w:val="1"/>
          <w:numId w:val="1"/>
        </w:numPr>
        <w:rPr/>
      </w:pPr>
      <w:bookmarkStart w:id="817" w:name="__RefHeading___Toc12184253_2142443653"/>
      <w:bookmarkStart w:id="818" w:name="_Toc307"/>
      <w:bookmarkEnd w:id="816"/>
      <w:bookmarkEnd w:id="817"/>
      <w:r>
        <w:rPr>
          <w:rtl w:val="true"/>
        </w:rPr>
        <w:t>دورة المياه</w:t>
      </w:r>
      <w:bookmarkEnd w:id="81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المجاري التي تهيئها البلدية للمياه القذرة في الشوارع وما أشبه، هل يجوز أن يلقي الإنسان ماءه القذر في تلك المجاري بدون رضاية</w:t>
      </w:r>
      <w:r>
        <w:rPr>
          <w:rStyle w:val="FootnoteAnchor"/>
          <w:rtl w:val="true"/>
        </w:rPr>
        <w:footnoteReference w:id="1226"/>
      </w:r>
      <w:r>
        <w:rPr>
          <w:rFonts w:ascii="Amiri" w:hAnsi="Amiri" w:eastAsia="Amiri" w:cs="Amiri"/>
          <w:color w:val="111111"/>
          <w:sz w:val="28"/>
          <w:sz w:val="28"/>
          <w:szCs w:val="28"/>
          <w:rtl w:val="true"/>
          <w:lang w:bidi="ar-SA"/>
        </w:rPr>
        <w:t>البلدية أم لا؟ الظاهر أن الحكومة لو كانت محترمة شرعاً لم يجز، وإلا جاز</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الجواز بشرط أن لا يتضرر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الناس بذلك، وإلا لم يجز من جهة الضرر</w:t>
      </w:r>
      <w:r>
        <w:rPr>
          <w:rFonts w:eastAsia="Amiri" w:cs="Amiri" w:ascii="Amiri" w:hAnsi="Amiri"/>
          <w:color w:val="111111"/>
          <w:sz w:val="28"/>
          <w:szCs w:val="28"/>
          <w:rtl w:val="true"/>
          <w:lang w:bidi="ar-SA"/>
        </w:rPr>
        <w:t>.</w:t>
      </w:r>
    </w:p>
    <w:p>
      <w:pPr>
        <w:pStyle w:val="Heading2"/>
        <w:numPr>
          <w:ilvl w:val="1"/>
          <w:numId w:val="1"/>
        </w:numPr>
        <w:rPr/>
      </w:pPr>
      <w:bookmarkStart w:id="819" w:name="__RefHeading___Toc12184255_2142443653"/>
      <w:bookmarkStart w:id="820" w:name="_Toc308"/>
      <w:bookmarkEnd w:id="819"/>
      <w:r>
        <w:rPr>
          <w:rtl w:val="true"/>
        </w:rPr>
        <w:t>الحدائق العامة وأحكامها</w:t>
      </w:r>
      <w:bookmarkEnd w:id="82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العامة إذا كانت تابعة لجهة محترمة</w:t>
      </w:r>
      <w:r>
        <w:rPr>
          <w:rStyle w:val="FootnoteAnchor"/>
          <w:rtl w:val="true"/>
        </w:rPr>
        <w:footnoteReference w:id="1228"/>
      </w:r>
      <w:r>
        <w:rPr>
          <w:rFonts w:ascii="Amiri" w:hAnsi="Amiri" w:eastAsia="Amiri" w:cs="Amiri"/>
          <w:color w:val="111111"/>
          <w:sz w:val="28"/>
          <w:sz w:val="28"/>
          <w:szCs w:val="28"/>
          <w:rtl w:val="true"/>
          <w:lang w:bidi="ar-SA"/>
        </w:rPr>
        <w:t xml:space="preserve"> من إنسان أو هيئة أو دولة، ومنعت</w:t>
      </w:r>
      <w:r>
        <w:rPr>
          <w:rStyle w:val="FootnoteAnchor"/>
          <w:rtl w:val="true"/>
        </w:rPr>
        <w:footnoteReference w:id="1229"/>
      </w:r>
      <w:r>
        <w:rPr>
          <w:rFonts w:ascii="Amiri" w:hAnsi="Amiri" w:eastAsia="Amiri" w:cs="Amiri"/>
          <w:color w:val="111111"/>
          <w:sz w:val="28"/>
          <w:sz w:val="28"/>
          <w:szCs w:val="28"/>
          <w:rtl w:val="true"/>
          <w:lang w:bidi="ar-SA"/>
        </w:rPr>
        <w:t xml:space="preserve"> من اقتطاف أزهارها لم يجز الاقتطاف،</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خرق القوانين الوضعية أو لا؟</w:t>
      </w:r>
      <w:r>
        <w:rPr>
          <w:rStyle w:val="FootnoteAnchor"/>
          <w:rtl w:val="true"/>
        </w:rPr>
        <w:footnoteReference w:id="1231"/>
      </w:r>
    </w:p>
    <w:p>
      <w:pPr>
        <w:pStyle w:val="BookText"/>
        <w:rPr/>
      </w:pP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يتأذى، كما لو كانت لها رائحة مؤذية لم تجرِ العادة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مبني على الحكم فيما ذكرناه في الحاشية السابقة</w:t>
      </w:r>
      <w:r>
        <w:rPr>
          <w:rStyle w:val="FootnoteAnchor"/>
          <w:rtl w:val="true"/>
        </w:rPr>
        <w:footnoteReference w:id="1234"/>
      </w:r>
      <w:r>
        <w:rPr>
          <w:rFonts w:ascii="Amiri" w:hAnsi="Amiri" w:eastAsia="Amiri" w:cs="Amiri"/>
          <w:color w:val="111111"/>
          <w:sz w:val="28"/>
          <w:sz w:val="28"/>
          <w:szCs w:val="28"/>
          <w:rtl w:val="true"/>
          <w:lang w:bidi="ar-SA"/>
        </w:rPr>
        <w:t xml:space="preserve">، وسيأتي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bookmarkStart w:id="821" w:name="pg15710_226954"/>
    </w:p>
    <w:p>
      <w:pPr>
        <w:pStyle w:val="BookText"/>
        <w:rPr/>
      </w:pPr>
      <w:bookmarkEnd w:id="821"/>
      <w:r>
        <w:rPr>
          <w:rFonts w:ascii="Amiri" w:hAnsi="Amiri" w:eastAsia="Amiri" w:cs="Amiri"/>
          <w:color w:val="111111"/>
          <w:sz w:val="28"/>
          <w:sz w:val="28"/>
          <w:szCs w:val="28"/>
          <w:rtl w:val="true"/>
          <w:lang w:bidi="ar-SA"/>
        </w:rPr>
        <w:t>وإذا قطف الإنسان كان آثماً</w:t>
      </w:r>
      <w:r>
        <w:rPr>
          <w:rStyle w:val="FootnoteAnchor"/>
          <w:rtl w:val="true"/>
        </w:rPr>
        <w:footnoteReference w:id="1236"/>
      </w:r>
      <w:r>
        <w:rPr>
          <w:rFonts w:ascii="Amiri" w:hAnsi="Amiri" w:eastAsia="Amiri" w:cs="Amiri"/>
          <w:color w:val="111111"/>
          <w:sz w:val="28"/>
          <w:sz w:val="28"/>
          <w:szCs w:val="28"/>
          <w:rtl w:val="true"/>
          <w:lang w:bidi="ar-SA"/>
        </w:rPr>
        <w:t xml:space="preserve"> وضامناً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والضمان فيما إذا كانت لتلك الأزهار مالية</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2" w:name="__RefHeading___Toc12184257_2142443653"/>
      <w:bookmarkStart w:id="823" w:name="_Toc309"/>
      <w:bookmarkEnd w:id="822"/>
      <w:r>
        <w:rPr>
          <w:rtl w:val="true"/>
        </w:rPr>
        <w:t>قطف الزهور من الحدائق</w:t>
      </w:r>
      <w:bookmarkEnd w:id="82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الحديقة العامة تابعة لجهة محترمة جاز</w:t>
      </w:r>
      <w:r>
        <w:rPr>
          <w:rStyle w:val="FootnoteAnchor"/>
          <w:rtl w:val="true"/>
        </w:rPr>
        <w:footnoteReference w:id="1237"/>
      </w:r>
      <w:r>
        <w:rPr>
          <w:rFonts w:ascii="Amiri" w:hAnsi="Amiri" w:eastAsia="Amiri" w:cs="Amiri"/>
          <w:color w:val="111111"/>
          <w:sz w:val="28"/>
          <w:sz w:val="28"/>
          <w:szCs w:val="28"/>
          <w:rtl w:val="true"/>
          <w:lang w:bidi="ar-SA"/>
        </w:rPr>
        <w:t xml:space="preserve"> القطف إذا لم يكن إسرافاً، وإن منع القائم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كان إسرافاً حرم من جهته، وفيما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كان له مالية فأتلفه ضمن للحاكم الشرعي؛ لأنه من مجهول المالك</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4" w:name="__RefHeading___Toc12184259_2142443653"/>
      <w:bookmarkStart w:id="825" w:name="_Toc310"/>
      <w:bookmarkEnd w:id="824"/>
      <w:r>
        <w:rPr>
          <w:rtl w:val="true"/>
        </w:rPr>
        <w:t>توسيع الشوارع</w:t>
      </w:r>
      <w:bookmarkEnd w:id="82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توسيع الشوارع باسترضاء أهل الدور والبنايات لا إشكال</w:t>
      </w:r>
    </w:p>
    <w:p>
      <w:pPr>
        <w:pStyle w:val="BookText"/>
        <w:rPr/>
      </w:pP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شك في منعها وعدمه لأصالة الاحترام، راجع كتاب الخمس</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ظلم وتعدٍ وغصب وأكل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p>
    <w:p>
      <w:pPr>
        <w:pStyle w:val="BookText"/>
        <w:rPr/>
      </w:pP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ما ذكرناه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Style w:val="FootnoteAnchor"/>
          <w:rtl w:val="true"/>
        </w:rPr>
        <w:footnoteReference w:id="12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مرتبط بالمسألة السابقة</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مجهول المالك، ولم يعلم لا بالعلم التفصيلي ولا الإجمالي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حسنه</w:t>
      </w:r>
      <w:r>
        <w:rPr>
          <w:rStyle w:val="FootnoteAnchor"/>
          <w:rtl w:val="true"/>
        </w:rPr>
        <w:footnoteReference w:id="1247"/>
      </w:r>
      <w:r>
        <w:rPr>
          <w:rFonts w:ascii="Amiri" w:hAnsi="Amiri" w:eastAsia="Amiri" w:cs="Amiri"/>
          <w:color w:val="111111"/>
          <w:sz w:val="28"/>
          <w:sz w:val="28"/>
          <w:szCs w:val="28"/>
          <w:rtl w:val="true"/>
          <w:lang w:bidi="ar-SA"/>
        </w:rPr>
        <w:t>، أما التوسيع بدون إرضائهم فلا يجوز، وإذا كانت هناك مصلحة عامة أهم من هدم المسجد لأجل توسيع الشارع، أو كانت مصلحة أهم من عدم رضاية</w:t>
      </w:r>
      <w:r>
        <w:rPr>
          <w:rStyle w:val="FootnoteAnchor"/>
          <w:rtl w:val="true"/>
        </w:rPr>
        <w:footnoteReference w:id="1248"/>
      </w:r>
      <w:r>
        <w:rPr>
          <w:rFonts w:ascii="Amiri" w:hAnsi="Amiri" w:eastAsia="Amiri" w:cs="Amiri"/>
          <w:color w:val="111111"/>
          <w:sz w:val="28"/>
          <w:sz w:val="28"/>
          <w:szCs w:val="28"/>
          <w:rtl w:val="true"/>
          <w:lang w:bidi="ar-SA"/>
        </w:rPr>
        <w:t xml:space="preserve">صاحب البناية، الذي لا يرضى بكل صورة، فالمتبع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اللازم تبديل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المسجد بمسجد آخر، وهكذا سائر الأوقاف،</w:t>
      </w:r>
    </w:p>
    <w:p>
      <w:pPr>
        <w:pStyle w:val="BookText"/>
        <w:rPr/>
      </w:pP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نوع 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جميل يحب الجمال</w:t>
      </w:r>
      <w:r>
        <w:rPr>
          <w:rFonts w:eastAsia="Amiri" w:cs="Amiri" w:ascii="Amiri" w:hAnsi="Amiri"/>
          <w:color w:val="111111"/>
          <w:sz w:val="28"/>
          <w:szCs w:val="28"/>
          <w:rtl w:val="true"/>
          <w:lang w:bidi="ar-SA"/>
        </w:rPr>
        <w:t>»</w:t>
      </w:r>
      <w:r>
        <w:rPr>
          <w:rStyle w:val="FootnoteAnchor"/>
          <w:rtl w:val="true"/>
        </w:rPr>
        <w:footnoteReference w:id="1250"/>
      </w:r>
      <w:r>
        <w:rPr>
          <w:rFonts w:ascii="IRNazanin" w:hAnsi="IRNazanin" w:eastAsia="IRNazanin"/>
          <w:color w:val="111111"/>
          <w:sz w:val="28"/>
          <w:sz w:val="28"/>
          <w:szCs w:val="28"/>
          <w:rtl w:val="true"/>
          <w:lang w:bidi="fa-IR"/>
        </w:rPr>
        <w:t>، وحفظ للأوقات عن الإتلاف، وحفظ عن الحوادث المرورية، واقتداءً بما يفعله الإمام الحجة 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الثلاث الأُول</w:t>
      </w:r>
      <w:r>
        <w:rPr>
          <w:rStyle w:val="FootnoteAnchor"/>
          <w:rtl w:val="true"/>
        </w:rPr>
        <w:footnoteReference w:id="1251"/>
      </w:r>
      <w:r>
        <w:rPr>
          <w:rFonts w:ascii="Amiri" w:hAnsi="Amiri" w:eastAsia="Amiri" w:cs="Amiri"/>
          <w:color w:val="111111"/>
          <w:sz w:val="28"/>
          <w:sz w:val="28"/>
          <w:szCs w:val="28"/>
          <w:rtl w:val="true"/>
          <w:lang w:bidi="ar-SA"/>
        </w:rPr>
        <w:t>تثبت الحسن العقلي أو الشرعي أيضاً؟ وراجع بحث أن حسن الكلّي شرعاً هل يلازم حسن الحصة شرعاً أو لا؟</w:t>
      </w:r>
      <w:r>
        <w:rPr>
          <w:rStyle w:val="FootnoteAnchor"/>
          <w:rtl w:val="true"/>
        </w:rPr>
        <w:footnoteReference w:id="125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الوقوف على ما وقفها أهلها</w:t>
      </w:r>
      <w:r>
        <w:rPr>
          <w:rFonts w:eastAsia="IRNazanin" w:cs="IRNazanin"/>
          <w:color w:val="111111"/>
          <w:sz w:val="28"/>
          <w:szCs w:val="28"/>
          <w:rtl w:val="true"/>
          <w:lang w:bidi="fa-IR"/>
        </w:rPr>
        <w:t>»</w:t>
      </w:r>
      <w:r>
        <w:rPr>
          <w:rStyle w:val="FootnoteAnchor"/>
          <w:rtl w:val="true"/>
        </w:rPr>
        <w:footnoteReference w:id="1254"/>
      </w:r>
      <w:r>
        <w:rPr>
          <w:rFonts w:ascii="Amiri" w:hAnsi="Amiri" w:eastAsia="Amiri" w:cs="Amiri"/>
          <w:color w:val="111111"/>
          <w:sz w:val="28"/>
          <w:sz w:val="28"/>
          <w:szCs w:val="28"/>
          <w:rtl w:val="true"/>
          <w:lang w:bidi="ar-SA"/>
        </w:rPr>
        <w:t xml:space="preserve">، وارتكاز الواقف هو تعلق الوقف بأصل المسجد، وكونه في المكان الكذائي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إنّه يريد الثواب مثلاً، مع غرض في الحصّة، فإذا انتفى الفرد بقي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كتاب الوقف والنذر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المتبع ارتكاز الواقف</w:t>
      </w:r>
      <w:r>
        <w:rPr>
          <w:rStyle w:val="FootnoteAnchor"/>
          <w:rtl w:val="true"/>
        </w:rPr>
        <w:footnoteReference w:id="1255"/>
      </w:r>
      <w:r>
        <w:rPr>
          <w:rFonts w:ascii="IRNazanin" w:hAnsi="IRNazanin" w:eastAsia="IRNazanin"/>
          <w:color w:val="111111"/>
          <w:sz w:val="28"/>
          <w:sz w:val="28"/>
          <w:szCs w:val="28"/>
          <w:rtl w:val="true"/>
          <w:lang w:bidi="fa-IR"/>
        </w:rPr>
        <w:t>والناذر، وبحث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bookmarkStart w:id="826" w:name="pg15710_226956"/>
    </w:p>
    <w:p>
      <w:pPr>
        <w:pStyle w:val="BookText"/>
        <w:rPr/>
      </w:pPr>
      <w:bookmarkEnd w:id="826"/>
      <w:r>
        <w:rPr>
          <w:rFonts w:ascii="Amiri" w:hAnsi="Amiri" w:eastAsia="Amiri" w:cs="Amiri"/>
          <w:color w:val="111111"/>
          <w:sz w:val="28"/>
          <w:sz w:val="28"/>
          <w:szCs w:val="28"/>
          <w:rtl w:val="true"/>
          <w:lang w:bidi="ar-SA"/>
        </w:rPr>
        <w:t>وإعطاء أصحاب الأملاك ما يرضون</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ثمن أملاكهم المهدومة، وتعويض ما تضرروا</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بسببه، كما أنهم أحق بإنقاضها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2"/>
        <w:numPr>
          <w:ilvl w:val="1"/>
          <w:numId w:val="1"/>
        </w:numPr>
        <w:rPr/>
      </w:pPr>
      <w:bookmarkStart w:id="827" w:name="__RefHeading___Toc12184261_2142443653"/>
      <w:bookmarkStart w:id="828" w:name="_Toc311"/>
      <w:bookmarkEnd w:id="827"/>
      <w:r>
        <w:rPr>
          <w:rtl w:val="true"/>
        </w:rPr>
        <w:t>العبادة مع العمل في وسائل النقل</w:t>
      </w:r>
      <w:bookmarkEnd w:id="82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بالعمل في السفينة والقطار والطائرة وما أشبه، وإن كان ذلك يستلزم الإتيان بصلاة المضطر في بعض الأحيان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لتعارف ذلك منذ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وفي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w:t>
      </w:r>
    </w:p>
    <w:p>
      <w:pPr>
        <w:pStyle w:val="BookText"/>
        <w:rPr/>
      </w:pPr>
      <w:r>
        <w:rPr>
          <w:rFonts w:ascii="Amiri" w:hAnsi="Amiri" w:eastAsia="Amiri" w:cs="Amiri"/>
          <w:color w:val="111111"/>
          <w:sz w:val="28"/>
          <w:sz w:val="28"/>
          <w:szCs w:val="28"/>
          <w:rtl w:val="true"/>
          <w:lang w:bidi="ar-SA"/>
        </w:rPr>
        <w:t>اضطر إلى بيع الوقف الذري</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القيمة العادلة، فإنه لا حق لهم في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الهدم غير مندرج تحت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إرضاؤهم بكل صورة، لو أريد الهدم، ولو بدفع مئات أضعاف القيمة الواقعية، فإن للمالك رفض البيع إلاّ بما يرضيه حينئذٍ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أخذوها قد يقلل من القيمة العادلة لما يجب أن يدفع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عين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يردعوا عنه، وإلا لبان، وليس كلّ ذلك مندرجاً تحت عنوان الضرورة؛ لإمكان تبديل العمل لبعض الأفراد</w:t>
      </w:r>
      <w:r>
        <w:rPr>
          <w:rFonts w:eastAsia="Amiri" w:cs="Amiri" w:ascii="Amiri" w:hAnsi="Amiri"/>
          <w:color w:val="111111"/>
          <w:sz w:val="28"/>
          <w:szCs w:val="28"/>
          <w:rtl w:val="true"/>
          <w:lang w:bidi="ar-SA"/>
        </w:rPr>
        <w:t xml:space="preserve">. </w:t>
      </w:r>
      <w:bookmarkStart w:id="829" w:name="pg15710_226957"/>
    </w:p>
    <w:p>
      <w:pPr>
        <w:pStyle w:val="BookText"/>
        <w:rPr/>
      </w:pPr>
      <w:bookmarkEnd w:id="829"/>
      <w:r>
        <w:rPr>
          <w:rFonts w:ascii="Amiri" w:hAnsi="Amiri" w:eastAsia="Amiri" w:cs="Amiri"/>
          <w:color w:val="111111"/>
          <w:sz w:val="28"/>
          <w:sz w:val="28"/>
          <w:szCs w:val="28"/>
          <w:rtl w:val="true"/>
          <w:lang w:bidi="ar-SA"/>
        </w:rPr>
        <w:t xml:space="preserve">بصلاة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0" w:name="__RefHeading___Toc12184263_2142443653"/>
      <w:bookmarkStart w:id="831" w:name="_Toc312"/>
      <w:bookmarkEnd w:id="830"/>
      <w:r>
        <w:rPr>
          <w:rtl w:val="true"/>
        </w:rPr>
        <w:t>الهروب من السجن</w:t>
      </w:r>
      <w:bookmarkEnd w:id="83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الفرار من سجن الظالم</w:t>
      </w:r>
      <w:r>
        <w:rPr>
          <w:rStyle w:val="FootnoteAnchor"/>
          <w:rtl w:val="true"/>
        </w:rPr>
        <w:footnoteReference w:id="1260"/>
      </w:r>
      <w:r>
        <w:rPr>
          <w:rFonts w:ascii="Amiri" w:hAnsi="Amiri" w:eastAsia="Amiri" w:cs="Amiri"/>
          <w:color w:val="111111"/>
          <w:sz w:val="28"/>
          <w:sz w:val="28"/>
          <w:szCs w:val="28"/>
          <w:rtl w:val="true"/>
          <w:lang w:bidi="ar-SA"/>
        </w:rPr>
        <w:t>، أما سجن العادل فلا يجوز الفرار منه</w:t>
      </w:r>
      <w:r>
        <w:rPr>
          <w:rStyle w:val="FootnoteAnchor"/>
          <w:rtl w:val="true"/>
        </w:rPr>
        <w:footnoteReference w:id="1261"/>
      </w:r>
      <w:r>
        <w:rPr>
          <w:rFonts w:ascii="Amiri" w:hAnsi="Amiri" w:eastAsia="Amiri" w:cs="Amiri"/>
          <w:color w:val="111111"/>
          <w:sz w:val="28"/>
          <w:sz w:val="28"/>
          <w:szCs w:val="28"/>
          <w:rtl w:val="true"/>
          <w:lang w:bidi="ar-SA"/>
        </w:rPr>
        <w:t>، وكذلك الفرار من حكم الظالم وحكم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بصدق الاضطرار عرفاً، فإن ما يضطر إليه قد يفهم العرف أو ارتكاز المتشرعة أنه طولي أو عرضي،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مضطراً، واللازم ملاحظة سائر الروايات</w:t>
      </w:r>
      <w:r>
        <w:rPr>
          <w:rStyle w:val="FootnoteAnchor"/>
          <w:rtl w:val="true"/>
        </w:rPr>
        <w:footnoteReference w:id="1263"/>
      </w:r>
      <w:r>
        <w:rPr>
          <w:rFonts w:ascii="Amiri" w:hAnsi="Amiri" w:eastAsia="Amiri" w:cs="Amiri"/>
          <w:color w:val="111111"/>
          <w:sz w:val="28"/>
          <w:sz w:val="28"/>
          <w:szCs w:val="28"/>
          <w:rtl w:val="true"/>
          <w:lang w:bidi="ar-SA"/>
        </w:rPr>
        <w:t>، وصدر الرواية هذه</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BookText"/>
        <w:rPr/>
      </w:pP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سجنه بحق، فإنه لا يحق للظالم السجن، كما لو كان في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الواجد</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 xml:space="preserve">، فهو كبيع الدار التي لا يحق بيعها إلاّ لمالكها، كما سيشير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يجب على المرتد تعريض نفسه للقتل أو لا، وهل يفصل بين صدور الحكم أو لا؟</w:t>
      </w:r>
      <w:r>
        <w:rPr>
          <w:rStyle w:val="FootnoteAnchor"/>
          <w:rtl w:val="true"/>
        </w:rPr>
        <w:footnoteReference w:id="1268"/>
      </w:r>
      <w:r>
        <w:rPr>
          <w:rFonts w:ascii="Amiri" w:hAnsi="Amiri" w:eastAsia="Amiri" w:cs="Amiri"/>
          <w:color w:val="111111"/>
          <w:sz w:val="28"/>
          <w:sz w:val="28"/>
          <w:szCs w:val="28"/>
          <w:rtl w:val="true"/>
          <w:lang w:bidi="ar-SA"/>
        </w:rPr>
        <w:t>، وعلى كلّ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السجن وظيفة الحاكم، أما </w:t>
      </w:r>
      <w:bookmarkStart w:id="832" w:name="pg15710_226958"/>
    </w:p>
    <w:p>
      <w:pPr>
        <w:pStyle w:val="BookText"/>
        <w:rPr/>
      </w:pPr>
      <w:bookmarkEnd w:id="8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حكم الظالم غير نافذ وإن كان مطابقاً للشرع؛ إذ ليس له التنفيذ، أما حكم العادل فاللازم تنفيذه فيما إذا لم يعلم بأنه اشتباه، وأما مع العلم فلا</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3" w:name="__RefHeading___Toc12184265_2142443653"/>
      <w:bookmarkStart w:id="834" w:name="_Toc313"/>
      <w:bookmarkEnd w:id="833"/>
      <w:r>
        <w:rPr>
          <w:rtl w:val="true"/>
        </w:rPr>
        <w:t>من أحكام الضيافة</w:t>
      </w:r>
      <w:bookmarkEnd w:id="83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للضيف الأكل أكثر من الحق المقرر لكل ضيف في الضيافة، إلا إذا علم</w:t>
      </w:r>
      <w:r>
        <w:rPr>
          <w:rStyle w:val="FootnoteAnchor"/>
          <w:rtl w:val="true"/>
        </w:rPr>
        <w:footnoteReference w:id="1269"/>
      </w:r>
      <w:r>
        <w:rPr>
          <w:rFonts w:ascii="Amiri" w:hAnsi="Amiri" w:eastAsia="Amiri" w:cs="Amiri"/>
          <w:color w:val="111111"/>
          <w:sz w:val="28"/>
          <w:sz w:val="28"/>
          <w:szCs w:val="28"/>
          <w:rtl w:val="true"/>
          <w:lang w:bidi="ar-SA"/>
        </w:rPr>
        <w:t xml:space="preserve"> برضاية</w:t>
      </w:r>
      <w:r>
        <w:rPr>
          <w:rStyle w:val="FootnoteAnchor"/>
          <w:rtl w:val="true"/>
        </w:rPr>
        <w:footnoteReference w:id="1270"/>
      </w:r>
      <w:r>
        <w:rPr>
          <w:rFonts w:ascii="IRNazanin" w:hAnsi="IRNazanin" w:eastAsia="IRNazanin"/>
          <w:color w:val="111111"/>
          <w:sz w:val="28"/>
          <w:sz w:val="28"/>
          <w:szCs w:val="28"/>
          <w:rtl w:val="true"/>
          <w:lang w:bidi="fa-IR"/>
        </w:rPr>
        <w:t>صاحب الطعام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مال الناس فلا يجوز التصرف فيه إلا بقدر رضاهم، ولو أكل</w:t>
      </w:r>
    </w:p>
    <w:p>
      <w:pPr>
        <w:pStyle w:val="BookText"/>
        <w:rPr/>
      </w:pPr>
      <w:r>
        <w:rPr>
          <w:rFonts w:ascii="Amiri" w:hAnsi="Amiri" w:eastAsia="Amiri" w:cs="Amiri"/>
          <w:color w:val="111111"/>
          <w:sz w:val="28"/>
          <w:sz w:val="28"/>
          <w:szCs w:val="28"/>
          <w:rtl w:val="true"/>
          <w:lang w:bidi="ar-SA"/>
        </w:rPr>
        <w:t>القرار فيه فليس وظيفة المحكوم، إلاّ أن يقال بالملازمة العرفية بينهما،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الحكم خاص في حقوق الناس، أو يشمل حقوق اللّه أيضاً؟ ظاهر المتن الإطلاق</w:t>
      </w:r>
      <w:r>
        <w:rPr>
          <w:rFonts w:eastAsia="Amiri" w:cs="Amiri" w:ascii="Amiri" w:hAnsi="Amiri"/>
          <w:color w:val="111111"/>
          <w:sz w:val="28"/>
          <w:szCs w:val="28"/>
          <w:rtl w:val="true"/>
          <w:lang w:bidi="ar-SA"/>
        </w:rPr>
        <w:t>.</w:t>
      </w:r>
    </w:p>
    <w:p>
      <w:pPr>
        <w:pStyle w:val="BookText"/>
        <w:rPr/>
      </w:pP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الحاكم</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اطمأن فإنه مرتبة من مراتب العلم، وهل يكفي الظن؟ احتمل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ذهب في الأصول إلى حجية الظن مطلقاً إلاّ ما خرج، لبناء العقلاء على العمل بالظن وغير ذلك من الأدلة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العلم قد يكون بالإذن الصريح أو الفحوى أو شاهد الحال، راجع العروة، الوضوء</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 xml:space="preserve">. </w:t>
      </w:r>
      <w:bookmarkStart w:id="835" w:name="pg15710_226959"/>
    </w:p>
    <w:p>
      <w:pPr>
        <w:pStyle w:val="BookText"/>
        <w:rPr/>
      </w:pPr>
      <w:bookmarkEnd w:id="835"/>
      <w:r>
        <w:rPr>
          <w:rFonts w:ascii="Amiri" w:hAnsi="Amiri" w:eastAsia="Amiri" w:cs="Amiri"/>
          <w:color w:val="111111"/>
          <w:sz w:val="28"/>
          <w:sz w:val="28"/>
          <w:szCs w:val="28"/>
          <w:rtl w:val="true"/>
          <w:lang w:bidi="ar-SA"/>
        </w:rPr>
        <w:t>أزيد من المتعارف وكان من دون الرضا كان ضامناً</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6" w:name="__RefHeading___Toc12184267_2142443653"/>
      <w:bookmarkStart w:id="837" w:name="_Toc314"/>
      <w:bookmarkEnd w:id="836"/>
      <w:r>
        <w:rPr>
          <w:rtl w:val="true"/>
        </w:rPr>
        <w:t>التصرف في الأمكنة العامة</w:t>
      </w:r>
      <w:bookmarkEnd w:id="83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في أكثر من الحق في المشتركات، كأن يأخذ غرفتين من الحسينية المعدة لسكن الزوار، في حال أن شأن مثله أن لا يأخذ أكثر من غرفة، وكان هناك من الزائرين مَنْ هو محتاج</w:t>
      </w:r>
      <w:r>
        <w:rPr>
          <w:rStyle w:val="FootnoteAnchor"/>
          <w:rtl w:val="true"/>
        </w:rPr>
        <w:footnoteReference w:id="1276"/>
      </w:r>
      <w:r>
        <w:rPr>
          <w:rFonts w:ascii="Amiri" w:hAnsi="Amiri" w:eastAsia="Amiri" w:cs="Amiri"/>
          <w:color w:val="111111"/>
          <w:sz w:val="28"/>
          <w:sz w:val="28"/>
          <w:szCs w:val="28"/>
          <w:rtl w:val="true"/>
          <w:lang w:bidi="ar-SA"/>
        </w:rPr>
        <w:t xml:space="preserve"> إليها، وهكذا بالنسبة إلى مكان المسجد والمدرسة ونحوها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الوقف ونحوه ليس إلا لأن يكون لكل إنسان بقدر حقه لا أكثر منه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فالتصرف الأكثر حرام، وموجب للضمان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8" w:name="__RefHeading___Toc12184269_2142443653"/>
      <w:bookmarkStart w:id="839" w:name="_Toc315"/>
      <w:bookmarkEnd w:id="838"/>
      <w:r>
        <w:rPr>
          <w:rtl w:val="true"/>
        </w:rPr>
        <w:t>التستر بغير الثوب</w:t>
      </w:r>
      <w:bookmarkEnd w:id="83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ستر العورة المحرمة وستر جسد المرأة الحجب بالضوء القوي، أو الغاز الكثيف أو الضباب الكثير بحيث يحف</w:t>
      </w:r>
    </w:p>
    <w:p>
      <w:pPr>
        <w:pStyle w:val="BookText"/>
        <w:rPr/>
      </w:pP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مالية عرفية، كما سبق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BookText"/>
        <w:rPr/>
      </w:pP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سبب ذلك إضراراً بالوقف؛ إذ التصرف قد يسبب الإتلاف</w:t>
      </w:r>
      <w:r>
        <w:rPr>
          <w:rFonts w:eastAsia="Amiri" w:cs="Amiri" w:ascii="Amiri" w:hAnsi="Amiri"/>
          <w:color w:val="111111"/>
          <w:sz w:val="28"/>
          <w:szCs w:val="28"/>
          <w:rtl w:val="true"/>
          <w:lang w:bidi="ar-SA"/>
        </w:rPr>
        <w:t>.</w:t>
      </w:r>
    </w:p>
    <w:p>
      <w:pPr>
        <w:pStyle w:val="BookText"/>
        <w:rPr/>
      </w:pP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ما يقفها أهلها</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 ولو ارتكازاً</w:t>
      </w:r>
      <w:r>
        <w:rPr>
          <w:rFonts w:eastAsia="Amiri" w:cs="Amiri" w:ascii="Amiri" w:hAnsi="Amiri"/>
          <w:color w:val="111111"/>
          <w:sz w:val="28"/>
          <w:szCs w:val="28"/>
          <w:rtl w:val="true"/>
          <w:lang w:bidi="ar-SA"/>
        </w:rPr>
        <w:t>.</w:t>
      </w:r>
    </w:p>
    <w:p>
      <w:pPr>
        <w:pStyle w:val="BookText"/>
        <w:rPr/>
      </w:pP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له مالية عرفاً، كما سبق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bookmarkStart w:id="840" w:name="pg15710_226960"/>
    </w:p>
    <w:p>
      <w:pPr>
        <w:pStyle w:val="BookText"/>
        <w:rPr/>
      </w:pPr>
      <w:bookmarkEnd w:id="840"/>
      <w:r>
        <w:rPr>
          <w:rFonts w:ascii="IRNazanin" w:hAnsi="IRNazanin" w:eastAsia="IRNazanin"/>
          <w:color w:val="111111"/>
          <w:sz w:val="28"/>
          <w:sz w:val="28"/>
          <w:szCs w:val="28"/>
          <w:rtl w:val="true"/>
          <w:lang w:bidi="fa-IR"/>
        </w:rPr>
        <w:t>بالجسم والموضع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كل ما يحصل به الستر مؤدٍ للغرض</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ستر الصلاة لا يكفي إلا اللباس في عورتي الرجل وجسد المرأة للدليل الخاص</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1" w:name="__RefHeading___Toc12184271_2142443653"/>
      <w:bookmarkStart w:id="842" w:name="_Toc316"/>
      <w:bookmarkEnd w:id="841"/>
      <w:r>
        <w:rPr>
          <w:rtl w:val="true"/>
        </w:rPr>
        <w:t>رؤية المحرمات بالمرايا المعاكسة</w:t>
      </w:r>
      <w:bookmarkEnd w:id="84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 وجسد المرأة لا يجوز النظر إليهما ولو بسبب</w:t>
      </w:r>
      <w:r>
        <w:rPr>
          <w:rStyle w:val="FootnoteAnchor"/>
          <w:rtl w:val="true"/>
        </w:rPr>
        <w:footnoteReference w:id="1284"/>
      </w:r>
      <w:r>
        <w:rPr>
          <w:rFonts w:ascii="Amiri" w:hAnsi="Amiri" w:eastAsia="Amiri" w:cs="Amiri"/>
          <w:color w:val="111111"/>
          <w:sz w:val="28"/>
          <w:sz w:val="28"/>
          <w:szCs w:val="28"/>
          <w:rtl w:val="true"/>
          <w:lang w:bidi="ar-SA"/>
        </w:rPr>
        <w:t xml:space="preserve"> المرايا المعاكسة أو في التلفزيون أو ما أشبه</w:t>
      </w:r>
      <w:r>
        <w:rPr>
          <w:rFonts w:eastAsia="Amiri" w:cs="Amiri" w:ascii="Amiri" w:hAnsi="Amiri"/>
          <w:color w:val="111111"/>
          <w:sz w:val="28"/>
          <w:szCs w:val="28"/>
          <w:rtl w:val="true"/>
          <w:lang w:bidi="ar-SA"/>
        </w:rPr>
        <w:t>.</w:t>
      </w:r>
    </w:p>
    <w:p>
      <w:pPr>
        <w:pStyle w:val="BookText"/>
        <w:rPr/>
      </w:pP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يمتثل به الأمر بالستر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المراجعة، فإنه إن كان 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فالستر يصدق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الضباب الكثيف المحيط بخصوص الموضع، لا الضباب الذي يشمل كلّ جسد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كالطين، والثاني كالغرفة المحيطة،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p>
    <w:p>
      <w:pPr>
        <w:pStyle w:val="BookText"/>
        <w:rPr/>
      </w:pP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في ذلك محذور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التذاذ ولا كلام، وتارةً لا يكون، وحينئذٍ ففي صدق الدليل نظر؛ إذ القدر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النظر إلى جسده، لا إلى صورته الفتوغرافية أو التلفزيونية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مثل لا تنظر إلى رسالة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أن الملاك عدم الاطلاع على ستره، وهو مشترك بخلاف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للمرأة المسلمة أن تلبس من الخمر والدروع ما لا يواري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دليل الحرمة، بالإضافة إلى روايات باب النظر إلى جسد الخنثى</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 حيث أجازه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للمعالجة حال</w:t>
      </w:r>
    </w:p>
    <w:p>
      <w:pPr>
        <w:pStyle w:val="BookText"/>
        <w:rPr/>
      </w:pPr>
      <w:r>
        <w:rPr>
          <w:rFonts w:ascii="IRNazanin" w:hAnsi="IRNazanin" w:eastAsia="IRNazanin"/>
          <w:color w:val="111111"/>
          <w:sz w:val="28"/>
          <w:sz w:val="28"/>
          <w:szCs w:val="28"/>
          <w:rtl w:val="true"/>
          <w:lang w:bidi="fa-IR"/>
        </w:rPr>
        <w:t>المقام؛ إذ قد يكون النظر الی عدم الوقوع في الفساد، وهو غير ممكن بصرف النظر للصورة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يفصل بين صورة المرأة المعروفة والمجهولة؛ لشمول 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يُعْرَفْنَ فَلاَ يُؤْذَيْنَ</w:t>
      </w:r>
      <w:r>
        <w:rPr>
          <w:rFonts w:eastAsia="Amiri" w:cs="Amiri" w:ascii="Amiri" w:hAnsi="Amiri"/>
          <w:color w:val="111111"/>
          <w:sz w:val="28"/>
          <w:szCs w:val="28"/>
          <w:rtl w:val="true"/>
          <w:lang w:bidi="ar-SA"/>
        </w:rPr>
        <w:t>}</w:t>
      </w:r>
      <w:r>
        <w:rPr>
          <w:rStyle w:val="FootnoteAnchor"/>
          <w:rtl w:val="true"/>
        </w:rPr>
        <w:footnoteReference w:id="1287"/>
      </w:r>
      <w:r>
        <w:rPr>
          <w:rFonts w:ascii="Amiri" w:hAnsi="Amiri" w:eastAsia="Amiri" w:cs="Amiri"/>
          <w:color w:val="111111"/>
          <w:sz w:val="28"/>
          <w:sz w:val="28"/>
          <w:szCs w:val="28"/>
          <w:rtl w:val="true"/>
          <w:lang w:bidi="ar-SA"/>
        </w:rPr>
        <w:t>للأول؛ إذ تكون المعروفة في معرضية الإيذاء من قبل الفسقة والفجرة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حكمة، وقد يرد بأن الأصل العلية،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لا يفهم فرقاً بين النظر إلى الأصل وخصوص المرآة، فتأمل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العروة، النكاح، النظر</w:t>
      </w:r>
      <w:r>
        <w:rPr>
          <w:rStyle w:val="FootnoteAnchor"/>
          <w:rtl w:val="true"/>
        </w:rPr>
        <w:footnoteReference w:id="1289"/>
      </w:r>
      <w:r>
        <w:rPr>
          <w:rFonts w:ascii="Amiri" w:hAnsi="Amiri" w:eastAsia="Amiri" w:cs="Amiri"/>
          <w:color w:val="111111"/>
          <w:sz w:val="28"/>
          <w:sz w:val="28"/>
          <w:szCs w:val="28"/>
          <w:rtl w:val="true"/>
          <w:lang w:bidi="ar-SA"/>
        </w:rPr>
        <w:t>، المعالجة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الخنثى فلعل محلّه كتاب الإرث</w:t>
      </w:r>
      <w:r>
        <w:rPr>
          <w:rFonts w:eastAsia="Amiri" w:cs="Amiri" w:ascii="Amiri" w:hAnsi="Amiri"/>
          <w:color w:val="111111"/>
          <w:sz w:val="28"/>
          <w:szCs w:val="28"/>
          <w:rtl w:val="true"/>
          <w:lang w:bidi="ar-SA"/>
        </w:rPr>
        <w:t xml:space="preserve">. </w:t>
      </w:r>
      <w:bookmarkStart w:id="843" w:name="pg15710_226962"/>
    </w:p>
    <w:p>
      <w:pPr>
        <w:pStyle w:val="BookText"/>
        <w:rPr/>
      </w:pPr>
      <w:bookmarkEnd w:id="843"/>
      <w:r>
        <w:rPr>
          <w:rFonts w:ascii="IRNazanin" w:hAnsi="IRNazanin" w:eastAsia="IRNazanin"/>
          <w:color w:val="111111"/>
          <w:sz w:val="28"/>
          <w:sz w:val="28"/>
          <w:szCs w:val="28"/>
          <w:rtl w:val="true"/>
          <w:lang w:bidi="fa-IR"/>
        </w:rPr>
        <w:t>الاضطرار</w:t>
      </w:r>
      <w:r>
        <w:rPr>
          <w:rFonts w:eastAsia="Times New Roman" w:cs="Times New Roman" w:ascii="Times New Roman" w:hAnsi="Times New Roman"/>
          <w:color w:val="111111"/>
          <w:sz w:val="28"/>
          <w:szCs w:val="28"/>
          <w:lang w:val="en-US" w:bidi="en-US"/>
        </w:rPr>
        <w:t>3</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4" w:name="__RefHeading___Toc12184273_2142443653"/>
      <w:bookmarkStart w:id="845" w:name="_Toc317"/>
      <w:bookmarkEnd w:id="844"/>
      <w:r>
        <w:rPr>
          <w:rtl w:val="true"/>
        </w:rPr>
        <w:t>من أحكام النظر بواسطة الأجهزة</w:t>
      </w:r>
      <w:bookmarkEnd w:id="84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النظر بين أن يكبر الشيء المحرم بواسطة المجهر، أو أن يصغر بواسطة المرايا المصغرة، كما لا فرق بين أن يكون بلون مخالف للجسم، كأن يرى جسم المرأة أصفر</w:t>
      </w:r>
      <w:r>
        <w:rPr>
          <w:rStyle w:val="FootnoteAnchor"/>
          <w:rtl w:val="true"/>
        </w:rPr>
        <w:footnoteReference w:id="1291"/>
      </w:r>
      <w:r>
        <w:rPr>
          <w:rFonts w:ascii="Amiri" w:hAnsi="Amiri" w:eastAsia="Amiri" w:cs="Amiri"/>
          <w:color w:val="111111"/>
          <w:sz w:val="28"/>
          <w:sz w:val="28"/>
          <w:szCs w:val="28"/>
          <w:rtl w:val="true"/>
          <w:lang w:bidi="ar-SA"/>
        </w:rPr>
        <w:t xml:space="preserve"> والحال أنه أبيض، أو أن يرى بنفس لون الجسم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الدليل</w:t>
      </w:r>
      <w:r>
        <w:rPr>
          <w:rFonts w:eastAsia="Amiri" w:cs="Amiri" w:ascii="Amiri" w:hAnsi="Amiri"/>
          <w:color w:val="111111"/>
          <w:sz w:val="28"/>
          <w:szCs w:val="28"/>
          <w:rtl w:val="true"/>
          <w:lang w:bidi="ar-SA"/>
        </w:rPr>
        <w:t>.</w:t>
      </w:r>
    </w:p>
    <w:p>
      <w:pPr>
        <w:pStyle w:val="Heading2"/>
        <w:numPr>
          <w:ilvl w:val="1"/>
          <w:numId w:val="1"/>
        </w:numPr>
        <w:rPr/>
      </w:pPr>
      <w:bookmarkStart w:id="846" w:name="__RefHeading___Toc12184275_2142443653"/>
      <w:bookmarkStart w:id="847" w:name="_Toc318"/>
      <w:bookmarkEnd w:id="846"/>
      <w:r>
        <w:rPr>
          <w:rtl w:val="true"/>
        </w:rPr>
        <w:t>الرؤية المشوهة</w:t>
      </w:r>
      <w:bookmarkEnd w:id="84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يرى الجسم أو العورة مشوهاً</w:t>
      </w:r>
      <w:r>
        <w:rPr>
          <w:rStyle w:val="FootnoteAnchor"/>
          <w:rtl w:val="true"/>
        </w:rPr>
        <w:footnoteReference w:id="1292"/>
      </w:r>
      <w:r>
        <w:rPr>
          <w:rFonts w:ascii="Amiri" w:hAnsi="Amiri" w:eastAsia="Amiri" w:cs="Amiri"/>
          <w:color w:val="111111"/>
          <w:sz w:val="28"/>
          <w:sz w:val="28"/>
          <w:szCs w:val="28"/>
          <w:rtl w:val="true"/>
          <w:lang w:bidi="ar-SA"/>
        </w:rPr>
        <w:t xml:space="preserve"> فإن صدق عرفاً أنه ينظر إلى الجسم أو العورة لم يجز وإلا 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الروايات أنه لا يجوز النظر إلى الجسد مباشرة، بل عبر المرآة، وليس المفاد حرمة النظر في المرآة في سائر الأحوال،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p>
    <w:p>
      <w:pPr>
        <w:pStyle w:val="BookText"/>
        <w:rPr/>
      </w:pP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الصفرة ليست حائلاً، بخلاف الصبغ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غير مباشر كالمرآة أو المنظارة</w:t>
      </w:r>
      <w:r>
        <w:rPr>
          <w:rFonts w:eastAsia="Amiri" w:cs="Amiri" w:ascii="Amiri" w:hAnsi="Amiri"/>
          <w:color w:val="111111"/>
          <w:sz w:val="28"/>
          <w:szCs w:val="28"/>
          <w:rtl w:val="true"/>
          <w:lang w:bidi="ar-SA"/>
        </w:rPr>
        <w:t xml:space="preserve">. </w:t>
      </w:r>
      <w:bookmarkStart w:id="848" w:name="pg15710_226963"/>
    </w:p>
    <w:p>
      <w:pPr>
        <w:pStyle w:val="BookText"/>
        <w:rPr/>
      </w:pPr>
      <w:bookmarkEnd w:id="8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الجواز لأنه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النظر إلى الجسم أو العورة، كما إذا رأى العورة مثل الشجر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أو السلحفاة إلى غير ذلك</w:t>
      </w:r>
      <w:r>
        <w:rPr>
          <w:rFonts w:eastAsia="Amiri" w:cs="Amiri" w:ascii="Amiri" w:hAnsi="Amiri"/>
          <w:color w:val="111111"/>
          <w:sz w:val="28"/>
          <w:szCs w:val="28"/>
          <w:rtl w:val="true"/>
          <w:lang w:bidi="ar-SA"/>
        </w:rPr>
        <w:t>.</w:t>
      </w:r>
    </w:p>
    <w:p>
      <w:pPr>
        <w:pStyle w:val="Heading2"/>
        <w:numPr>
          <w:ilvl w:val="1"/>
          <w:numId w:val="1"/>
        </w:numPr>
        <w:rPr/>
      </w:pPr>
      <w:bookmarkStart w:id="849" w:name="__RefHeading___Toc12184277_2142443653"/>
      <w:bookmarkStart w:id="850" w:name="_Toc319"/>
      <w:bookmarkEnd w:id="849"/>
      <w:r>
        <w:rPr>
          <w:rtl w:val="true"/>
        </w:rPr>
        <w:t>اندراس المقابر</w:t>
      </w:r>
      <w:bookmarkEnd w:id="85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اندرست</w:t>
      </w:r>
      <w:r>
        <w:rPr>
          <w:rStyle w:val="FootnoteAnchor"/>
          <w:rtl w:val="true"/>
        </w:rPr>
        <w:footnoteReference w:id="1295"/>
      </w:r>
      <w:r>
        <w:rPr>
          <w:rFonts w:ascii="Amiri" w:hAnsi="Amiri" w:eastAsia="Amiri" w:cs="Amiri"/>
          <w:color w:val="111111"/>
          <w:sz w:val="28"/>
          <w:sz w:val="28"/>
          <w:szCs w:val="28"/>
          <w:rtl w:val="true"/>
          <w:lang w:bidi="ar-SA"/>
        </w:rPr>
        <w:t xml:space="preserve"> المقبرة وسقطت من الاسم عرفاً جاز جعلها مباني</w:t>
      </w:r>
      <w:r>
        <w:rPr>
          <w:rStyle w:val="FootnoteAnchor"/>
          <w:rtl w:val="true"/>
        </w:rPr>
        <w:footnoteReference w:id="1296"/>
      </w:r>
      <w:r>
        <w:rPr>
          <w:rFonts w:ascii="Amiri" w:hAnsi="Amiri" w:eastAsia="Amiri" w:cs="Amiri"/>
          <w:color w:val="111111"/>
          <w:sz w:val="28"/>
          <w:sz w:val="28"/>
          <w:szCs w:val="28"/>
          <w:rtl w:val="true"/>
          <w:lang w:bidi="ar-SA"/>
        </w:rPr>
        <w:t xml:space="preserve"> وشوارع وما أشبه، إذا لم يكن هناك قبر محترم، مثل كونه 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إنسان عظيم كالأولياء والعلماء</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أنه يراها بقدر الشجرة، بل مَنْ يراها يرى شكل شجرة أو سلحفاة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p>
    <w:p>
      <w:pPr>
        <w:pStyle w:val="BookText"/>
        <w:rPr/>
      </w:pPr>
      <w:r>
        <w:rPr>
          <w:rStyle w:val="FootnoteAnchor"/>
          <w:rtl w:val="true"/>
        </w:rPr>
        <w:footnoteReference w:id="1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لم تندرس فالظاهر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w:t>
      </w:r>
      <w:r>
        <w:rPr>
          <w:rFonts w:eastAsia="IRNazanin" w:cs="IRNazanin"/>
          <w:color w:val="111111"/>
          <w:sz w:val="28"/>
          <w:szCs w:val="28"/>
          <w:rtl w:val="true"/>
          <w:lang w:bidi="fa-IR"/>
        </w:rPr>
        <w:t>»</w:t>
      </w:r>
      <w:r>
        <w:rPr>
          <w:rStyle w:val="FootnoteAnchor"/>
          <w:rtl w:val="true"/>
        </w:rPr>
        <w:footnoteReference w:id="1300"/>
      </w:r>
      <w:r>
        <w:rPr>
          <w:rFonts w:ascii="Amiri" w:hAnsi="Amiri" w:eastAsia="Amiri" w:cs="Amiri"/>
          <w:color w:val="111111"/>
          <w:sz w:val="28"/>
          <w:sz w:val="28"/>
          <w:szCs w:val="28"/>
          <w:rtl w:val="true"/>
          <w:lang w:bidi="ar-SA"/>
        </w:rPr>
        <w:t>، ولا يختص السبق بداخل القبر، بل يشمل ظاهره أيضاً، فلا يصح بناء غرفة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1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خرب المسجد وجعل زرعاً</w:t>
      </w:r>
      <w:r>
        <w:rPr>
          <w:rFonts w:eastAsia="IRNazanin" w:cs="IRNazanin"/>
          <w:color w:val="111111"/>
          <w:sz w:val="28"/>
          <w:szCs w:val="28"/>
          <w:rtl w:val="true"/>
          <w:lang w:bidi="fa-IR"/>
        </w:rPr>
        <w:t>)</w:t>
      </w:r>
      <w:r>
        <w:rPr>
          <w:rStyle w:val="FootnoteAnchor"/>
          <w:rtl w:val="true"/>
        </w:rPr>
        <w:footnoteReference w:id="1302"/>
      </w:r>
      <w:r>
        <w:rPr>
          <w:rFonts w:ascii="Amiri" w:hAnsi="Amiri" w:eastAsia="Amiri" w:cs="Amiri"/>
          <w:color w:val="111111"/>
          <w:sz w:val="28"/>
          <w:sz w:val="28"/>
          <w:szCs w:val="28"/>
          <w:rtl w:val="true"/>
          <w:lang w:bidi="ar-SA"/>
        </w:rPr>
        <w:t xml:space="preserve">، ومسألة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الشوارع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المسائل المستحدثة</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يعد خلاف الاحترام</w:t>
      </w:r>
      <w:r>
        <w:rPr>
          <w:rFonts w:eastAsia="Amiri" w:cs="Amiri" w:ascii="Amiri" w:hAnsi="Amiri"/>
          <w:color w:val="111111"/>
          <w:sz w:val="28"/>
          <w:szCs w:val="28"/>
          <w:rtl w:val="true"/>
          <w:lang w:bidi="ar-SA"/>
        </w:rPr>
        <w:t xml:space="preserve">. </w:t>
      </w:r>
      <w:bookmarkStart w:id="851" w:name="pg15710_226964"/>
    </w:p>
    <w:p>
      <w:pPr>
        <w:pStyle w:val="BookText"/>
        <w:rPr/>
      </w:pPr>
      <w:bookmarkEnd w:id="8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الحرمة تابعة للصدق</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فإذا لم يصدق ولم يكن من قبيل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مما ذكر في المسألة رجع إلى الإباحة الأصلية</w:t>
      </w:r>
      <w:r>
        <w:rPr>
          <w:rFonts w:eastAsia="Amiri" w:cs="Amiri" w:ascii="Amiri" w:hAnsi="Amiri"/>
          <w:color w:val="111111"/>
          <w:sz w:val="28"/>
          <w:szCs w:val="28"/>
          <w:rtl w:val="true"/>
          <w:lang w:bidi="ar-SA"/>
        </w:rPr>
        <w:t>.</w:t>
      </w:r>
    </w:p>
    <w:p>
      <w:pPr>
        <w:pStyle w:val="Heading2"/>
        <w:numPr>
          <w:ilvl w:val="1"/>
          <w:numId w:val="1"/>
        </w:numPr>
        <w:rPr/>
      </w:pPr>
      <w:bookmarkStart w:id="852" w:name="__RefHeading___Toc12184279_2142443653"/>
      <w:bookmarkStart w:id="853" w:name="_Toc320"/>
      <w:bookmarkEnd w:id="852"/>
      <w:r>
        <w:rPr>
          <w:rtl w:val="true"/>
        </w:rPr>
        <w:t>تبديل المقبرة أو نقلها</w:t>
      </w:r>
      <w:bookmarkEnd w:id="85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هناك مصلحة أهم من مصلحة بقاء المقبرة جاز تبديل المقبرة بإدخالها في المباني والشوارع، وجعل المقبرة خارج البلد؛ وذلك تبعاً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التشخيص بيد الحاكم الشرعي أو شورى الفقهاء المراجع</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 وهذا في غير قبور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العروة، الخمس، خمس الكنوز</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حتى في الأوقاف، كالمساجد التي تحول إلى 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ما ذكره الروحاني من الوجوه في فقه المسائل المستحدثة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الوصول إليهم جاز لعدول المؤمنين،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ولاية </w:t>
      </w:r>
      <w:bookmarkStart w:id="854" w:name="pg15710_226965"/>
    </w:p>
    <w:p>
      <w:pPr>
        <w:pStyle w:val="BookText"/>
        <w:rPr/>
      </w:pPr>
      <w:bookmarkEnd w:id="854"/>
      <w:r>
        <w:rPr>
          <w:rFonts w:ascii="Amiri" w:hAnsi="Amiri" w:eastAsia="Amiri" w:cs="Amiri"/>
          <w:color w:val="111111"/>
          <w:sz w:val="28"/>
          <w:sz w:val="28"/>
          <w:szCs w:val="28"/>
          <w:rtl w:val="true"/>
          <w:lang w:bidi="ar-SA"/>
        </w:rPr>
        <w:t>والأولياء</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أشبه</w:t>
      </w:r>
      <w:r>
        <w:rPr>
          <w:rFonts w:eastAsia="Amiri" w:cs="Amiri" w:ascii="Amiri" w:hAnsi="Amiri"/>
          <w:color w:val="111111"/>
          <w:sz w:val="28"/>
          <w:szCs w:val="28"/>
          <w:rtl w:val="true"/>
          <w:lang w:bidi="ar-SA"/>
        </w:rPr>
        <w:t>.</w:t>
      </w:r>
    </w:p>
    <w:p>
      <w:pPr>
        <w:pStyle w:val="Heading2"/>
        <w:numPr>
          <w:ilvl w:val="1"/>
          <w:numId w:val="1"/>
        </w:numPr>
        <w:rPr/>
      </w:pPr>
      <w:bookmarkStart w:id="855" w:name="__RefHeading___Toc12184281_2142443653"/>
      <w:bookmarkStart w:id="856" w:name="_Toc321"/>
      <w:bookmarkEnd w:id="855"/>
      <w:r>
        <w:rPr>
          <w:rtl w:val="true"/>
        </w:rPr>
        <w:t>خروج الجثة من القبر</w:t>
      </w:r>
      <w:bookmarkEnd w:id="85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الميت من قبره بسبب غير طبيعي</w:t>
      </w:r>
      <w:r>
        <w:rPr>
          <w:rStyle w:val="FootnoteAnchor"/>
          <w:rtl w:val="true"/>
        </w:rPr>
        <w:footnoteReference w:id="1308"/>
      </w:r>
      <w:r>
        <w:rPr>
          <w:rFonts w:ascii="Amiri" w:hAnsi="Amiri" w:eastAsia="Amiri" w:cs="Amiri"/>
          <w:color w:val="111111"/>
          <w:sz w:val="28"/>
          <w:sz w:val="28"/>
          <w:szCs w:val="28"/>
          <w:rtl w:val="true"/>
          <w:lang w:bidi="ar-SA"/>
        </w:rPr>
        <w:t xml:space="preserve"> كالسيول أو بسبب حيوان أو ما أشبه، أو اُخرج من قبره إخراجاً جائزاً، لم يجب دفنه في قبره الأول، بل جاز أن يدفن في مكان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دليل على وجوب دفنه في قبره الأول، إلا أن تكون وصية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أو ما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شخّص المكلف الأهم لم يحتج للرجوع إلى الفقيه، فإنه قاطع والقطع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فوض الأمور العامة للفقيه، فلا يحق لغيره التصدي إلاّ بإذنه، فاللازم أن يستأذن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يأذن احتمل الجواز مع تشخيص الأهمية اللازمة،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طبيعي، كما لو أخرجه أحد عدواناً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ظاهرها التأبيد، ولو ارتكازاً</w:t>
      </w:r>
      <w:r>
        <w:rPr>
          <w:rFonts w:eastAsia="Amiri" w:cs="Amiri" w:ascii="Amiri" w:hAnsi="Amiri"/>
          <w:color w:val="111111"/>
          <w:sz w:val="28"/>
          <w:szCs w:val="28"/>
          <w:rtl w:val="true"/>
          <w:lang w:bidi="ar-SA"/>
        </w:rPr>
        <w:t xml:space="preserve">. </w:t>
      </w:r>
      <w:bookmarkStart w:id="857" w:name="pg15710_226966"/>
    </w:p>
    <w:p>
      <w:pPr>
        <w:pStyle w:val="Heading2"/>
        <w:numPr>
          <w:ilvl w:val="1"/>
          <w:numId w:val="1"/>
        </w:numPr>
        <w:rPr/>
      </w:pPr>
      <w:bookmarkStart w:id="858" w:name="__RefHeading___Toc12184283_2142443653"/>
      <w:bookmarkStart w:id="859" w:name="_Toc322"/>
      <w:bookmarkEnd w:id="857"/>
      <w:bookmarkEnd w:id="858"/>
      <w:r>
        <w:rPr>
          <w:rtl w:val="true"/>
        </w:rPr>
        <w:t>نقل القبر بالأجهزة الحديثة</w:t>
      </w:r>
      <w:bookmarkEnd w:id="85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نقل الميت مع قبره بواسطة التراكتورات الكبيرة، التي تقلع حوالي ثلاثة أمتار مكعبة مثلاً، حيث إنه لا يصدق</w:t>
      </w:r>
      <w:r>
        <w:rPr>
          <w:rStyle w:val="FootnoteAnchor"/>
          <w:rtl w:val="true"/>
        </w:rPr>
        <w:footnoteReference w:id="1311"/>
      </w:r>
      <w:r>
        <w:rPr>
          <w:rFonts w:ascii="Amiri" w:hAnsi="Amiri" w:eastAsia="Amiri" w:cs="Amiri"/>
          <w:color w:val="111111"/>
          <w:sz w:val="28"/>
          <w:sz w:val="28"/>
          <w:szCs w:val="28"/>
          <w:rtl w:val="true"/>
          <w:lang w:bidi="ar-SA"/>
        </w:rPr>
        <w:t xml:space="preserve"> عليه النبش؟ يمكن القول بالجواز وإن كانت المسألة تحتاج إلى التأمل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الجواز لأن هذا ليس من النبش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الاستثناء في المسألة السابقة آتٍ في المقام، ويشترط في ذلك أن لا يكون هتكاً للميت، ومثله تسييج أطراف القبر وتحته بالاسمنت، حتى يكون القبر في الصندوق الاسمنتي ثم رفعه بالأجهزة، وجعله في مكان آخر</w:t>
      </w:r>
      <w:r>
        <w:rPr>
          <w:rFonts w:eastAsia="Amiri" w:cs="Amiri" w:ascii="Amiri" w:hAnsi="Amiri"/>
          <w:color w:val="111111"/>
          <w:sz w:val="28"/>
          <w:szCs w:val="28"/>
          <w:rtl w:val="true"/>
          <w:lang w:bidi="ar-SA"/>
        </w:rPr>
        <w:t>.</w:t>
      </w:r>
    </w:p>
    <w:p>
      <w:pPr>
        <w:pStyle w:val="Heading2"/>
        <w:numPr>
          <w:ilvl w:val="1"/>
          <w:numId w:val="1"/>
        </w:numPr>
        <w:rPr/>
      </w:pPr>
      <w:bookmarkStart w:id="860" w:name="__RefHeading___Toc12184285_2142443653"/>
      <w:bookmarkStart w:id="861" w:name="_Toc323"/>
      <w:bookmarkEnd w:id="860"/>
      <w:r>
        <w:rPr>
          <w:rtl w:val="true"/>
        </w:rPr>
        <w:t>التيمم في السجن المغصوب</w:t>
      </w:r>
      <w:bookmarkEnd w:id="86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حبس الإنسان في مكان مغصوب ولا ماء له فهل يتيمم بأرض ذلك المكان أم لا؟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الجواز والقول بأنه تصرف زائد غير ظاهر الوجه بعد العرفية</w:t>
      </w:r>
      <w:r>
        <w:rPr>
          <w:rStyle w:val="FootnoteAnchor"/>
          <w:rtl w:val="true"/>
        </w:rPr>
        <w:footnoteReference w:id="1312"/>
      </w:r>
      <w:r>
        <w:rPr>
          <w:rFonts w:ascii="IRNazanin" w:hAnsi="IRNazanin" w:eastAsia="IRNazanin"/>
          <w:color w:val="111111"/>
          <w:sz w:val="28"/>
          <w:sz w:val="28"/>
          <w:szCs w:val="28"/>
          <w:rtl w:val="true"/>
          <w:lang w:bidi="fa-IR"/>
        </w:rPr>
        <w:t xml:space="preserve">، </w:t>
      </w:r>
      <w:r>
        <w:rPr>
          <w:rStyle w:val="FootnoteAnchor"/>
          <w:rtl w:val="true"/>
        </w:rPr>
        <w:footnoteReference w:id="1313"/>
      </w:r>
      <w:r>
        <w:rPr>
          <w:rFonts w:ascii="Amiri" w:hAnsi="Amiri" w:eastAsia="Amiri" w:cs="Amiri"/>
          <w:color w:val="111111"/>
          <w:sz w:val="28"/>
          <w:sz w:val="28"/>
          <w:szCs w:val="28"/>
          <w:rtl w:val="true"/>
          <w:lang w:bidi="ar-SA"/>
        </w:rPr>
        <w:t xml:space="preserve"> في الأدلة المستفادة من الشرع، وقد ذكرنا تفصيل المسألة في الأُصول</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صدق النبش فحيث إن دليله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pStyle w:val="BookText"/>
        <w:rPr/>
      </w:pP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ما ذكر في أول الكتاب في أنّ المرجع هو العرف</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كالمشي في السجن فهل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محرم؟ 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w:t>
      </w:r>
      <w:bookmarkStart w:id="862" w:name="pg15710_226967"/>
    </w:p>
    <w:p>
      <w:pPr>
        <w:pStyle w:val="Heading2"/>
        <w:numPr>
          <w:ilvl w:val="1"/>
          <w:numId w:val="1"/>
        </w:numPr>
        <w:rPr/>
      </w:pPr>
      <w:bookmarkStart w:id="863" w:name="__RefHeading___Toc12184287_2142443653"/>
      <w:bookmarkStart w:id="864" w:name="_Toc324"/>
      <w:bookmarkEnd w:id="862"/>
      <w:bookmarkEnd w:id="863"/>
      <w:r>
        <w:rPr>
          <w:rtl w:val="true"/>
        </w:rPr>
        <w:t>الفرار بنقب السجن</w:t>
      </w:r>
      <w:bookmarkEnd w:id="86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حبس الإنسان بغير حق</w:t>
      </w:r>
      <w:r>
        <w:rPr>
          <w:rStyle w:val="FootnoteAnchor"/>
          <w:rtl w:val="true"/>
        </w:rPr>
        <w:footnoteReference w:id="1319"/>
      </w:r>
      <w:r>
        <w:rPr>
          <w:rFonts w:ascii="Amiri" w:hAnsi="Amiri" w:eastAsia="Amiri" w:cs="Amiri"/>
          <w:color w:val="111111"/>
          <w:sz w:val="28"/>
          <w:sz w:val="28"/>
          <w:szCs w:val="28"/>
          <w:rtl w:val="true"/>
          <w:lang w:bidi="ar-SA"/>
        </w:rPr>
        <w:t>، جاز له أن يخرب البناء أو ينقب الأرض لخلاص نفسه، وهل يكون ضامناً أم لا؟ الظاهر أنه إن كان المحل للظالم فليس بضامن</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وإن كان لإنسان محترم أخذه الظالم منه قهراً ففي ضمانه لما خربه من المكان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والضمان أقرب</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إلى الصناعة،</w:t>
      </w:r>
    </w:p>
    <w:p>
      <w:pPr>
        <w:pStyle w:val="BookText"/>
        <w:rPr/>
      </w:pPr>
      <w:r>
        <w:rPr>
          <w:rFonts w:ascii="Amiri" w:hAnsi="Amiri" w:eastAsia="Amiri" w:cs="Amiri"/>
          <w:color w:val="111111"/>
          <w:sz w:val="28"/>
          <w:sz w:val="28"/>
          <w:szCs w:val="28"/>
          <w:rtl w:val="true"/>
          <w:lang w:bidi="ar-SA"/>
        </w:rPr>
        <w:t>بين ما يسبب استهلاك المكان وما لا يسبب، فالأول تصرف زائد ممنوع،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pStyle w:val="BookText"/>
        <w:rPr/>
      </w:pPr>
      <w:r>
        <w:rPr>
          <w:rStyle w:val="FootnoteAnchor"/>
          <w:rtl w:val="true"/>
        </w:rPr>
        <w:footnoteReference w:id="1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سجنه العادل اشتباهاً، راجع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حكم الحاكم وعلم أن عين ماله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خطأ مستنده</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السبب الأقوى عرفاً، ولإقدامه على ذلك، فهو كما لو قبض على إنسان فجرحه للفرار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المباشر؛ ولذا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الظالم هو السبب، فتأمل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المال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خرّبت كما يستطيع آكل الشاة أن يقول للآكل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مغروراً</w:t>
      </w:r>
      <w:r>
        <w:rPr>
          <w:rFonts w:eastAsia="Amiri" w:cs="Amiri" w:ascii="Amiri" w:hAnsi="Amiri"/>
          <w:color w:val="111111"/>
          <w:sz w:val="28"/>
          <w:szCs w:val="28"/>
          <w:rtl w:val="true"/>
          <w:lang w:bidi="ar-SA"/>
        </w:rPr>
        <w:t xml:space="preserve">. </w:t>
      </w:r>
      <w:bookmarkStart w:id="865" w:name="pg15710_226968"/>
    </w:p>
    <w:p>
      <w:pPr>
        <w:pStyle w:val="BookText"/>
        <w:rPr/>
      </w:pPr>
      <w:bookmarkEnd w:id="865"/>
      <w:r>
        <w:rPr>
          <w:rFonts w:ascii="Amiri" w:hAnsi="Amiri" w:eastAsia="Amiri" w:cs="Amiri"/>
          <w:color w:val="111111"/>
          <w:sz w:val="28"/>
          <w:sz w:val="28"/>
          <w:szCs w:val="28"/>
          <w:rtl w:val="true"/>
          <w:lang w:bidi="ar-SA"/>
        </w:rPr>
        <w:t>إذ لا منافاة</w:t>
      </w:r>
      <w:r>
        <w:rPr>
          <w:rStyle w:val="FootnoteAnchor"/>
          <w:rtl w:val="true"/>
        </w:rPr>
        <w:footnoteReference w:id="1322"/>
      </w:r>
      <w:r>
        <w:rPr>
          <w:rFonts w:ascii="Amiri" w:hAnsi="Amiri" w:eastAsia="Amiri" w:cs="Amiri"/>
          <w:color w:val="111111"/>
          <w:sz w:val="28"/>
          <w:sz w:val="28"/>
          <w:szCs w:val="28"/>
          <w:rtl w:val="true"/>
          <w:lang w:bidi="ar-SA"/>
        </w:rPr>
        <w:t xml:space="preserve"> بين الحكم الوضعي والتكليفي، لكن الظاهر أن قرار الضمان على الغاصب</w:t>
      </w:r>
      <w:r>
        <w:rPr>
          <w:rFonts w:eastAsia="Amiri" w:cs="Amiri" w:ascii="Amiri" w:hAnsi="Amiri"/>
          <w:color w:val="111111"/>
          <w:sz w:val="28"/>
          <w:szCs w:val="28"/>
          <w:rtl w:val="true"/>
          <w:lang w:bidi="ar-SA"/>
        </w:rPr>
        <w:t>.</w:t>
      </w:r>
    </w:p>
    <w:p>
      <w:pPr>
        <w:pStyle w:val="Heading2"/>
        <w:numPr>
          <w:ilvl w:val="1"/>
          <w:numId w:val="1"/>
        </w:numPr>
        <w:rPr/>
      </w:pPr>
      <w:bookmarkStart w:id="866" w:name="__RefHeading___Toc12184289_2142443653"/>
      <w:bookmarkStart w:id="867" w:name="_Toc325"/>
      <w:bookmarkEnd w:id="866"/>
      <w:r>
        <w:rPr>
          <w:rtl w:val="true"/>
        </w:rPr>
        <w:t>الهيروئين والمخدرات الأُخرى</w:t>
      </w:r>
      <w:bookmarkEnd w:id="86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استعمال الهيروئين والكوكائين وسائر المخدرات التي هي من هذا القبيل، فإنها توجب</w:t>
      </w:r>
      <w:r>
        <w:rPr>
          <w:rStyle w:val="FootnoteAnchor"/>
          <w:rtl w:val="true"/>
        </w:rPr>
        <w:footnoteReference w:id="1323"/>
      </w:r>
      <w:r>
        <w:rPr>
          <w:rFonts w:ascii="IRNazanin" w:hAnsi="IRNazanin" w:eastAsia="IRNazanin"/>
          <w:color w:val="111111"/>
          <w:sz w:val="28"/>
          <w:sz w:val="28"/>
          <w:szCs w:val="28"/>
          <w:rtl w:val="true"/>
          <w:lang w:bidi="fa-IR"/>
        </w:rPr>
        <w:t xml:space="preserve"> أشد أنحاء الضرر المحرم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فيشمله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الكلام</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p>
    <w:p>
      <w:pPr>
        <w:pStyle w:val="BookText"/>
        <w:rPr/>
      </w:pP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يستفاد من التعليلات المذكورة في الروايات</w:t>
      </w:r>
      <w:r>
        <w:rPr>
          <w:rStyle w:val="FootnoteAnchor"/>
          <w:rtl w:val="true"/>
        </w:rPr>
        <w:footnoteReference w:id="1327"/>
      </w:r>
      <w:r>
        <w:rPr>
          <w:rFonts w:ascii="Amiri" w:hAnsi="Amiri" w:eastAsia="Amiri" w:cs="Amiri"/>
          <w:color w:val="111111"/>
          <w:sz w:val="28"/>
          <w:sz w:val="28"/>
          <w:szCs w:val="28"/>
          <w:rtl w:val="true"/>
          <w:lang w:bidi="ar-SA"/>
        </w:rPr>
        <w:t>من حرمة الإضرار بالبدن وإفساده، وللتوالي الفاسدة التي تترتب عليه؛ ولأنّها إلقاء للنفس في التهلكة، فتأمل، وللأولوية عرفاً من بعض المحرمات الأُخر المعللة بالضرر، راجعها ولعل منها أكل الطين</w:t>
      </w:r>
      <w:r>
        <w:rPr>
          <w:rStyle w:val="FootnoteAnchor"/>
          <w:rtl w:val="true"/>
        </w:rPr>
        <w:footnoteReference w:id="1328"/>
      </w:r>
      <w:r>
        <w:rPr>
          <w:rFonts w:ascii="IRNazanin" w:hAnsi="IRNazanin" w:eastAsia="IRNazanin"/>
          <w:color w:val="111111"/>
          <w:sz w:val="28"/>
          <w:sz w:val="28"/>
          <w:szCs w:val="28"/>
          <w:rtl w:val="true"/>
          <w:lang w:bidi="fa-IR"/>
        </w:rPr>
        <w:t>، فتأمل</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نفياً</w:t>
      </w:r>
      <w:r>
        <w:rPr>
          <w:rFonts w:eastAsia="Amiri" w:cs="Amiri" w:ascii="Amiri" w:hAnsi="Amiri"/>
          <w:color w:val="111111"/>
          <w:sz w:val="28"/>
          <w:szCs w:val="28"/>
          <w:rtl w:val="true"/>
          <w:lang w:bidi="ar-SA"/>
        </w:rPr>
        <w:t xml:space="preserve">. </w:t>
      </w:r>
      <w:bookmarkStart w:id="868" w:name="pg15710_226969"/>
    </w:p>
    <w:p>
      <w:pPr>
        <w:pStyle w:val="Heading2"/>
        <w:numPr>
          <w:ilvl w:val="1"/>
          <w:numId w:val="1"/>
        </w:numPr>
        <w:rPr/>
      </w:pPr>
      <w:bookmarkStart w:id="869" w:name="__RefHeading___Toc12184291_2142443653"/>
      <w:bookmarkStart w:id="870" w:name="_Toc326"/>
      <w:bookmarkEnd w:id="868"/>
      <w:bookmarkEnd w:id="869"/>
      <w:r>
        <w:rPr>
          <w:rtl w:val="true"/>
        </w:rPr>
        <w:t>مهرب المخدرات</w:t>
      </w:r>
      <w:bookmarkEnd w:id="87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المهرب لهذه الأنواع من المخدرات حكمه التعزير إذا كان فعله حراماً</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كل حرام له التعزير على ما هو المشهور، وقد ذكرنا المسألة في الفقه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يخفى أن المراد بالتعزير ما هو أعم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من الغرامة والسجن وغير ذلك مما يراه الحاكم الشرعي، وقد أشرنا إليه سابقاً</w:t>
      </w:r>
      <w:r>
        <w:rPr>
          <w:rFonts w:eastAsia="Amiri" w:cs="Amiri" w:ascii="Amiri" w:hAnsi="Amiri"/>
          <w:color w:val="111111"/>
          <w:sz w:val="28"/>
          <w:szCs w:val="28"/>
          <w:rtl w:val="true"/>
          <w:lang w:bidi="ar-SA"/>
        </w:rPr>
        <w:t>.</w:t>
      </w:r>
    </w:p>
    <w:p>
      <w:pPr>
        <w:pStyle w:val="Heading2"/>
        <w:numPr>
          <w:ilvl w:val="1"/>
          <w:numId w:val="1"/>
        </w:numPr>
        <w:rPr/>
      </w:pPr>
      <w:bookmarkStart w:id="871" w:name="__RefHeading___Toc12184293_2142443653"/>
      <w:bookmarkStart w:id="872" w:name="_Toc327"/>
      <w:bookmarkEnd w:id="871"/>
      <w:r>
        <w:rPr>
          <w:rtl w:val="true"/>
        </w:rPr>
        <w:t>الكواكب الأُخرى وأول الشهر</w:t>
      </w:r>
      <w:bookmarkEnd w:id="87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أول الشهر في القمر وفي سائر الكواكب القريبة التي لا أقمار لها</w:t>
      </w:r>
      <w:r>
        <w:rPr>
          <w:rStyle w:val="FootnoteAnchor"/>
          <w:rtl w:val="true"/>
        </w:rPr>
        <w:footnoteReference w:id="1332"/>
      </w:r>
      <w:r>
        <w:rPr>
          <w:rFonts w:ascii="Amiri" w:hAnsi="Amiri" w:eastAsia="Amiri" w:cs="Amiri"/>
          <w:color w:val="111111"/>
          <w:sz w:val="28"/>
          <w:sz w:val="28"/>
          <w:szCs w:val="28"/>
          <w:rtl w:val="true"/>
          <w:lang w:bidi="ar-SA"/>
        </w:rPr>
        <w:t xml:space="preserve"> تابع لأول الشهر في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لأنها من توابع</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الأرض فإطلاق الأدلة يشملها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BookText"/>
        <w:rPr/>
      </w:pP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هرّب مقداراً منه للعلاج اللازم، فتأمل</w:t>
      </w:r>
      <w:r>
        <w:rPr>
          <w:rFonts w:eastAsia="IRNazanin" w:cs="IRNazanin"/>
          <w:color w:val="111111"/>
          <w:sz w:val="28"/>
          <w:szCs w:val="28"/>
          <w:rtl w:val="true"/>
          <w:lang w:bidi="fa-IR"/>
        </w:rPr>
        <w:t>.</w:t>
      </w:r>
    </w:p>
    <w:p>
      <w:pPr>
        <w:pStyle w:val="BookText"/>
        <w:rPr/>
      </w:pP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ذلك من الروايات وكلمات الفقهاء كما سبق</w:t>
      </w:r>
      <w:r>
        <w:rPr>
          <w:rStyle w:val="FootnoteAnchor"/>
          <w:rtl w:val="true"/>
        </w:rPr>
        <w:footnoteReference w:id="1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به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 والمهم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pStyle w:val="BookText"/>
        <w:rPr/>
      </w:pP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لها قمر وكان غير خارج عن المتعارف فهو المتبع، ولو تساوت نسبته إليها مع نسبة قمرنا إليها كانوا مخيرين، فتأمل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بأنَّ الآفاق غير المتعارفة ترجع للآفاق المتعارفة، كما </w:t>
      </w:r>
      <w:bookmarkStart w:id="873" w:name="pg15710_226970"/>
    </w:p>
    <w:p>
      <w:pPr>
        <w:pStyle w:val="Heading2"/>
        <w:numPr>
          <w:ilvl w:val="1"/>
          <w:numId w:val="1"/>
        </w:numPr>
        <w:rPr/>
      </w:pPr>
      <w:bookmarkStart w:id="874" w:name="__RefHeading___Toc12184295_2142443653"/>
      <w:bookmarkStart w:id="875" w:name="_Toc328"/>
      <w:bookmarkEnd w:id="873"/>
      <w:bookmarkEnd w:id="874"/>
      <w:r>
        <w:rPr>
          <w:rtl w:val="true"/>
        </w:rPr>
        <w:t>التاريخ في الكواكب الأُخرى</w:t>
      </w:r>
      <w:bookmarkEnd w:id="87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أيام الأُسبوع وأيام السنة والأشهر أيضاً كما ذكر</w:t>
      </w:r>
      <w:r>
        <w:rPr>
          <w:rStyle w:val="FootnoteAnchor"/>
          <w:rtl w:val="true"/>
        </w:rPr>
        <w:footnoteReference w:id="1338"/>
      </w:r>
      <w:r>
        <w:rPr>
          <w:rFonts w:ascii="Amiri" w:hAnsi="Amiri" w:eastAsia="Amiri" w:cs="Amiri"/>
          <w:color w:val="111111"/>
          <w:sz w:val="28"/>
          <w:sz w:val="28"/>
          <w:szCs w:val="28"/>
          <w:rtl w:val="true"/>
          <w:lang w:bidi="ar-SA"/>
        </w:rPr>
        <w:t xml:space="preserve"> في في المسألة السابقة، فيوم الجمعة عندنا هو يوم الجمعة في القمر، وشهر رمضان عندنا هو شهر رمضان في القمر، وعام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هو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تقدم في المسألة السابقة</w:t>
      </w:r>
      <w:r>
        <w:rPr>
          <w:rFonts w:eastAsia="Amiri" w:cs="Amiri" w:ascii="Amiri" w:hAnsi="Amiri"/>
          <w:color w:val="111111"/>
          <w:sz w:val="28"/>
          <w:szCs w:val="28"/>
          <w:rtl w:val="true"/>
          <w:lang w:bidi="ar-SA"/>
        </w:rPr>
        <w:t>.</w:t>
      </w:r>
    </w:p>
    <w:p>
      <w:pPr>
        <w:pStyle w:val="Heading2"/>
        <w:numPr>
          <w:ilvl w:val="1"/>
          <w:numId w:val="1"/>
        </w:numPr>
        <w:rPr/>
      </w:pPr>
      <w:bookmarkStart w:id="876" w:name="__RefHeading___Toc12184297_2142443653"/>
      <w:bookmarkStart w:id="877" w:name="_Toc329"/>
      <w:bookmarkEnd w:id="876"/>
      <w:r>
        <w:rPr>
          <w:rtl w:val="true"/>
        </w:rPr>
        <w:t>اختلاف أول الشهر</w:t>
      </w:r>
      <w:bookmarkEnd w:id="87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أول الشهر في الأرض، بأن رُؤي الهلال في بعض الآفاق دون بعض، فالمتبع في القمر هو أول الشهر في مكة المكرمة احتياطاً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لأنها محل نزول الوحي</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وهي من الآفاق المعتدلة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وقد تقدم</w:t>
      </w:r>
    </w:p>
    <w:p>
      <w:pPr>
        <w:pStyle w:val="BookText"/>
        <w:rPr/>
      </w:pPr>
      <w:r>
        <w:rPr>
          <w:rFonts w:ascii="Amiri" w:hAnsi="Amiri" w:eastAsia="Amiri" w:cs="Amiri"/>
          <w:color w:val="111111"/>
          <w:sz w:val="28"/>
          <w:sz w:val="28"/>
          <w:szCs w:val="28"/>
          <w:rtl w:val="true"/>
          <w:lang w:bidi="ar-SA"/>
        </w:rPr>
        <w:t xml:space="preserve">ذكر في القطبين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العروة، الصوم</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التبعية في المقام فلم يظهر لها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p>
    <w:p>
      <w:pPr>
        <w:pStyle w:val="BookText"/>
        <w:rPr/>
      </w:pP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التعليق</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بالمدينة، فأنها محل نزول التشريع للصلاة والصوم ونحوها</w:t>
      </w:r>
      <w:r>
        <w:rPr>
          <w:rFonts w:eastAsia="Amiri" w:cs="Amiri" w:ascii="Amiri" w:hAnsi="Amiri"/>
          <w:color w:val="111111"/>
          <w:sz w:val="28"/>
          <w:szCs w:val="28"/>
          <w:rtl w:val="true"/>
          <w:lang w:bidi="ar-SA"/>
        </w:rPr>
        <w:t xml:space="preserve">. </w:t>
      </w:r>
      <w:bookmarkStart w:id="878" w:name="pg15710_226971"/>
    </w:p>
    <w:p>
      <w:pPr>
        <w:pStyle w:val="BookText"/>
        <w:rPr/>
      </w:pPr>
      <w:bookmarkEnd w:id="878"/>
      <w:r>
        <w:rPr>
          <w:rFonts w:ascii="Amiri" w:hAnsi="Amiri" w:eastAsia="Amiri" w:cs="Amiri"/>
          <w:color w:val="111111"/>
          <w:sz w:val="28"/>
          <w:sz w:val="28"/>
          <w:szCs w:val="28"/>
          <w:rtl w:val="true"/>
          <w:lang w:bidi="ar-SA"/>
        </w:rPr>
        <w:t>ما يدل على أن الاعتبار بالأماكن المعتدلة</w:t>
      </w:r>
      <w:r>
        <w:rPr>
          <w:rFonts w:eastAsia="Amiri" w:cs="Amiri" w:ascii="Amiri" w:hAnsi="Amiri"/>
          <w:color w:val="111111"/>
          <w:sz w:val="28"/>
          <w:szCs w:val="28"/>
          <w:rtl w:val="true"/>
          <w:lang w:bidi="ar-SA"/>
        </w:rPr>
        <w:t>.</w:t>
      </w:r>
    </w:p>
    <w:p>
      <w:pPr>
        <w:pStyle w:val="Heading2"/>
        <w:numPr>
          <w:ilvl w:val="1"/>
          <w:numId w:val="1"/>
        </w:numPr>
        <w:rPr/>
      </w:pPr>
      <w:bookmarkStart w:id="879" w:name="__RefHeading___Toc12184299_2142443653"/>
      <w:bookmarkStart w:id="880" w:name="_Toc330"/>
      <w:bookmarkEnd w:id="879"/>
      <w:r>
        <w:rPr>
          <w:rtl w:val="true"/>
        </w:rPr>
        <w:t>حكم الإعدام في الإسلام</w:t>
      </w:r>
      <w:bookmarkEnd w:id="88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الإعدام في الإسلام قليل</w:t>
      </w:r>
      <w:r>
        <w:rPr>
          <w:rStyle w:val="FootnoteAnchor"/>
          <w:rtl w:val="true"/>
        </w:rPr>
        <w:footnoteReference w:id="1343"/>
      </w:r>
      <w:r>
        <w:rPr>
          <w:rFonts w:ascii="Amiri" w:hAnsi="Amiri" w:eastAsia="Amiri" w:cs="Amiri"/>
          <w:color w:val="111111"/>
          <w:sz w:val="28"/>
          <w:sz w:val="28"/>
          <w:szCs w:val="28"/>
          <w:rtl w:val="true"/>
          <w:lang w:bidi="ar-SA"/>
        </w:rPr>
        <w:t xml:space="preserve"> جداً جداً، بخلاف غالب القوانين التي يغلب فيها حكم الإعدام على جنايات كثيرة، وتلك الجنايات القانونية بنظر الإسلام تنقسم إلى ما ليس بجناية أصلاً</w:t>
      </w:r>
      <w:r>
        <w:rPr>
          <w:rStyle w:val="FootnoteAnchor"/>
          <w:rtl w:val="true"/>
        </w:rPr>
        <w:footnoteReference w:id="1344"/>
      </w:r>
      <w:r>
        <w:rPr>
          <w:rFonts w:ascii="Amiri" w:hAnsi="Amiri" w:eastAsia="Amiri" w:cs="Amiri"/>
          <w:color w:val="111111"/>
          <w:sz w:val="28"/>
          <w:sz w:val="28"/>
          <w:szCs w:val="28"/>
          <w:rtl w:val="true"/>
          <w:lang w:bidi="ar-SA"/>
        </w:rPr>
        <w:t>، وإلى ما هو جناية ولكن حكمها طفيف</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الإعدام، فمن الضروري المكافحة لأجل سيادة حكم الإسلام، وإنقاذ الناس من هذه الإعدامات بدون المبرر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الإعدام من أشد المحرمات،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أما الموارد القليلة التي حكمها الإعدام ففيه للحاكم الشرعي تبديل الإعدام بشيء أخف</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كما ذكرناه في الفقه</w:t>
      </w:r>
      <w:r>
        <w:rPr>
          <w:rFonts w:eastAsia="Amiri" w:cs="Amiri" w:ascii="Amiri" w:hAnsi="Amiri"/>
          <w:color w:val="111111"/>
          <w:sz w:val="28"/>
          <w:szCs w:val="28"/>
          <w:rtl w:val="true"/>
          <w:lang w:bidi="ar-SA"/>
        </w:rPr>
        <w:t>.</w:t>
      </w:r>
    </w:p>
    <w:p>
      <w:pPr>
        <w:pStyle w:val="BookText"/>
        <w:rPr/>
      </w:pP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 أي أفق معتدل لا خصوص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قلة العناوين الذي يتبعه قلة الأفراد</w:t>
      </w:r>
      <w:r>
        <w:rPr>
          <w:rFonts w:eastAsia="Amiri" w:cs="Amiri" w:ascii="Amiri" w:hAnsi="Amiri"/>
          <w:color w:val="111111"/>
          <w:sz w:val="28"/>
          <w:szCs w:val="28"/>
          <w:rtl w:val="true"/>
          <w:lang w:bidi="ar-SA"/>
        </w:rPr>
        <w:t>.</w:t>
      </w:r>
    </w:p>
    <w:p>
      <w:pPr>
        <w:pStyle w:val="BookText"/>
        <w:rPr/>
      </w:pP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كسبت رئيس الدولة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كتهريب المخدرات، فتأمل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وهبتك لسورة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وقصة الذي قبّل امرأة وقال لتقتص مني فعفى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وعفوه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الذين فروا من الحروب، وعفو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bookmarkStart w:id="881" w:name="pg15710_226972"/>
    </w:p>
    <w:p>
      <w:pPr>
        <w:pStyle w:val="Heading2"/>
        <w:numPr>
          <w:ilvl w:val="1"/>
          <w:numId w:val="1"/>
        </w:numPr>
        <w:rPr/>
      </w:pPr>
      <w:bookmarkStart w:id="882" w:name="__RefHeading___Toc12184301_2142443653"/>
      <w:bookmarkStart w:id="883" w:name="_Toc331"/>
      <w:bookmarkEnd w:id="881"/>
      <w:bookmarkEnd w:id="882"/>
      <w:r>
        <w:rPr>
          <w:rtl w:val="true"/>
        </w:rPr>
        <w:t>الكسوف المرئي في القمر</w:t>
      </w:r>
      <w:bookmarkEnd w:id="88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حالت الأرض أو كوكب آخر بين الشمس والقمر حتى حصل كسوف مرئي في القمر وجبت صلاة الكسوف على ساكن القمر، أما الخسوف فلا مفهوم له</w:t>
      </w:r>
      <w:r>
        <w:rPr>
          <w:rStyle w:val="FootnoteAnchor"/>
          <w:rtl w:val="true"/>
        </w:rPr>
        <w:footnoteReference w:id="1349"/>
      </w:r>
      <w:r>
        <w:rPr>
          <w:rFonts w:ascii="Amiri" w:hAnsi="Amiri" w:eastAsia="Amiri" w:cs="Amiri"/>
          <w:color w:val="111111"/>
          <w:sz w:val="28"/>
          <w:sz w:val="28"/>
          <w:szCs w:val="28"/>
          <w:rtl w:val="true"/>
          <w:lang w:bidi="ar-SA"/>
        </w:rPr>
        <w:t xml:space="preserve"> لساكن القمر، ولو فرض أن انخساف الأرض مرئي عند ساكني القمر فالظاهر عدم وجوب صلاة الآيات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في الكسوف لإطلاق الأدلة، وعدم وجوب الخسوف لأنه لا دليل على أن خسوف غير القمر يوجب الآيات، فالأصل البراءة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4" w:name="__RefHeading___Toc12184303_2142443653"/>
      <w:bookmarkStart w:id="885" w:name="_Toc332"/>
      <w:bookmarkEnd w:id="884"/>
      <w:r>
        <w:rPr>
          <w:rtl w:val="true"/>
        </w:rPr>
        <w:t>ظهور الآيات في الكواكب الأُخرى</w:t>
      </w:r>
      <w:bookmarkEnd w:id="88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لبعض الكواكب خسوف</w:t>
      </w:r>
      <w:r>
        <w:rPr>
          <w:rStyle w:val="FootnoteAnchor"/>
          <w:rtl w:val="true"/>
        </w:rPr>
        <w:footnoteReference w:id="1350"/>
      </w:r>
      <w:r>
        <w:rPr>
          <w:rFonts w:ascii="Amiri" w:hAnsi="Amiri" w:eastAsia="Amiri" w:cs="Amiri"/>
          <w:color w:val="111111"/>
          <w:sz w:val="28"/>
          <w:sz w:val="28"/>
          <w:szCs w:val="28"/>
          <w:rtl w:val="true"/>
          <w:lang w:bidi="ar-SA"/>
        </w:rPr>
        <w:t xml:space="preserve"> أو كسوف أو زلزلة أو ما أشبه مما له صلاة الآيات وجبت إقامتها، كما تجب إقامتها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خرجوا عليه، هذا هو العفو في الإطار العام، وأما في خصوص القتل فراجع أمثلته في الفقه</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BookText"/>
        <w:rPr/>
      </w:pP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يحتمل أن يتبع الأرض في ذلك؛ لأن الأفق غير المتعارف يرجع للمتعارف؟ فيه بعد، كما لو كانت بقعة في الأرض لا يحصل فيها خسوف أبداً، أو يحصل نادراً فتأمل؛ إذ لعل التعليلات تشمله،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آية سماوية فلو خاف الأكثر وجب،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قمرهم مطلقاً أو المتعارف،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الكسوف</w:t>
      </w:r>
      <w:r>
        <w:rPr>
          <w:rFonts w:eastAsia="Amiri" w:cs="Amiri" w:ascii="Amiri" w:hAnsi="Amiri"/>
          <w:color w:val="111111"/>
          <w:sz w:val="28"/>
          <w:szCs w:val="28"/>
          <w:rtl w:val="true"/>
          <w:lang w:bidi="ar-SA"/>
        </w:rPr>
        <w:t xml:space="preserve">. </w:t>
      </w:r>
      <w:bookmarkStart w:id="886" w:name="pg15710_226973"/>
    </w:p>
    <w:p>
      <w:pPr>
        <w:pStyle w:val="BookText"/>
        <w:rPr/>
      </w:pPr>
      <w:bookmarkEnd w:id="8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أدلتها الشامل للخسوف والكسوف والزلزلة في كل مكان، والقول بانصرافها إلى الأرض غير تام؛ لأنه على فرضه بدوي</w:t>
      </w:r>
      <w:r>
        <w:rPr>
          <w:rFonts w:eastAsia="Amiri" w:cs="Amiri" w:ascii="Amiri" w:hAnsi="Amiri"/>
          <w:color w:val="111111"/>
          <w:sz w:val="28"/>
          <w:szCs w:val="28"/>
          <w:rtl w:val="true"/>
          <w:lang w:bidi="ar-SA"/>
        </w:rPr>
        <w:t>.</w:t>
      </w:r>
    </w:p>
    <w:p>
      <w:pPr>
        <w:pStyle w:val="Heading2"/>
        <w:numPr>
          <w:ilvl w:val="1"/>
          <w:numId w:val="1"/>
        </w:numPr>
        <w:rPr/>
      </w:pPr>
      <w:bookmarkStart w:id="887" w:name="__RefHeading___Toc12184305_2142443653"/>
      <w:bookmarkStart w:id="888" w:name="_Toc333"/>
      <w:bookmarkEnd w:id="887"/>
      <w:r>
        <w:rPr>
          <w:rtl w:val="true"/>
        </w:rPr>
        <w:t>الأعياد في القمر</w:t>
      </w:r>
      <w:bookmarkEnd w:id="88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والأضحى في الفضاء</w:t>
      </w:r>
      <w:r>
        <w:rPr>
          <w:rStyle w:val="FootnoteAnchor"/>
          <w:rtl w:val="true"/>
        </w:rPr>
        <w:footnoteReference w:id="1354"/>
      </w:r>
      <w:r>
        <w:rPr>
          <w:rFonts w:ascii="Amiri" w:hAnsi="Amiri" w:eastAsia="Amiri" w:cs="Amiri"/>
          <w:color w:val="111111"/>
          <w:sz w:val="28"/>
          <w:sz w:val="28"/>
          <w:szCs w:val="28"/>
          <w:rtl w:val="true"/>
          <w:lang w:bidi="ar-SA"/>
        </w:rPr>
        <w:t xml:space="preserve"> القريب أو القمر تابع</w:t>
      </w:r>
      <w:r>
        <w:rPr>
          <w:rStyle w:val="FootnoteAnchor"/>
          <w:rtl w:val="true"/>
        </w:rPr>
        <w:footnoteReference w:id="1355"/>
      </w:r>
      <w:r>
        <w:rPr>
          <w:rFonts w:ascii="Amiri" w:hAnsi="Amiri" w:eastAsia="Amiri" w:cs="Amiri"/>
          <w:color w:val="111111"/>
          <w:sz w:val="28"/>
          <w:sz w:val="28"/>
          <w:szCs w:val="28"/>
          <w:rtl w:val="true"/>
          <w:lang w:bidi="ar-SA"/>
        </w:rPr>
        <w:t xml:space="preserve"> للأرض، أما في الفضاء البعيد والكواكب الاُخر التي لها أقمار أو شموس آخر</w:t>
      </w:r>
      <w:r>
        <w:rPr>
          <w:rStyle w:val="FootnoteAnchor"/>
          <w:rtl w:val="true"/>
        </w:rPr>
        <w:footnoteReference w:id="1356"/>
      </w:r>
      <w:r>
        <w:rPr>
          <w:rFonts w:ascii="Amiri" w:hAnsi="Amiri" w:eastAsia="Amiri" w:cs="Amiri"/>
          <w:color w:val="111111"/>
          <w:sz w:val="28"/>
          <w:sz w:val="28"/>
          <w:szCs w:val="28"/>
          <w:rtl w:val="true"/>
          <w:lang w:bidi="ar-SA"/>
        </w:rPr>
        <w:t xml:space="preserve"> فلا يبعد أنهما تابعان للحالة هناك، وكذلك شهر رمضان وليالي الإحياء وما أشبه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أدلة الأرض لا تشمل</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تلك الأماكن، مع وجود إطلاق الأدلة في العيد ونحوه</w:t>
      </w:r>
      <w:r>
        <w:rPr>
          <w:rFonts w:eastAsia="Amiri" w:cs="Amiri" w:ascii="Amiri" w:hAnsi="Amiri"/>
          <w:color w:val="111111"/>
          <w:sz w:val="28"/>
          <w:szCs w:val="28"/>
          <w:rtl w:val="true"/>
          <w:lang w:bidi="ar-SA"/>
        </w:rPr>
        <w:t>.</w:t>
      </w:r>
    </w:p>
    <w:p>
      <w:pPr>
        <w:pStyle w:val="Heading2"/>
        <w:numPr>
          <w:ilvl w:val="1"/>
          <w:numId w:val="1"/>
        </w:numPr>
        <w:rPr/>
      </w:pPr>
      <w:bookmarkStart w:id="889" w:name="__RefHeading___Toc12184307_2142443653"/>
      <w:bookmarkStart w:id="890" w:name="_Toc334"/>
      <w:bookmarkEnd w:id="889"/>
      <w:r>
        <w:rPr>
          <w:rtl w:val="true"/>
        </w:rPr>
        <w:t>التوقيت في الكواكب البعيدة</w:t>
      </w:r>
      <w:bookmarkEnd w:id="89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أول تقريرنا للشهر والأُسبوع والسنة في الفضاء</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تابع لنفسه لو كان له أفق مستقل</w:t>
      </w:r>
      <w:r>
        <w:rPr>
          <w:rFonts w:eastAsia="Amiri" w:cs="Amiri" w:ascii="Amiri" w:hAnsi="Amiri"/>
          <w:color w:val="111111"/>
          <w:sz w:val="28"/>
          <w:szCs w:val="28"/>
          <w:rtl w:val="true"/>
          <w:lang w:bidi="ar-SA"/>
        </w:rPr>
        <w:t>.</w:t>
      </w:r>
    </w:p>
    <w:p>
      <w:pPr>
        <w:pStyle w:val="BookText"/>
        <w:rPr/>
      </w:pP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كونها متعارفة كما سبق</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لو كانت غير متعارفة، أو كانت متساوية النسبة كما سبق</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البعيد، أو الكواكب البعيدة يكون تابعاً</w:t>
      </w:r>
      <w:r>
        <w:rPr>
          <w:rStyle w:val="FootnoteAnchor"/>
          <w:rtl w:val="true"/>
        </w:rPr>
        <w:footnoteReference w:id="1363"/>
      </w:r>
      <w:r>
        <w:rPr>
          <w:rFonts w:ascii="Amiri" w:hAnsi="Amiri" w:eastAsia="Amiri" w:cs="Amiri"/>
          <w:color w:val="111111"/>
          <w:sz w:val="28"/>
          <w:sz w:val="28"/>
          <w:szCs w:val="28"/>
          <w:rtl w:val="true"/>
          <w:lang w:bidi="ar-SA"/>
        </w:rPr>
        <w:t xml:space="preserve"> لمعلوماتنا عن الأرض، وإذا جهلنا ذلك يكون الحال كما لو غُمّت</w:t>
      </w:r>
      <w:r>
        <w:rPr>
          <w:rStyle w:val="FootnoteAnchor"/>
          <w:rtl w:val="true"/>
        </w:rPr>
        <w:footnoteReference w:id="1364"/>
      </w:r>
      <w:r>
        <w:rPr>
          <w:rFonts w:ascii="IRNazanin" w:hAnsi="IRNazanin" w:eastAsia="IRNazanin"/>
          <w:color w:val="111111"/>
          <w:sz w:val="28"/>
          <w:sz w:val="28"/>
          <w:szCs w:val="28"/>
          <w:rtl w:val="true"/>
          <w:lang w:bidi="fa-IR"/>
        </w:rPr>
        <w:t xml:space="preserve"> الشهور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الاستظهار من باب الانسداد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واحتمال أن يكون الجعل بيد الإنسان الساكن هناك بعيد جداً، وإلا فيسأل أي إنسان عن الإنسان الذي ذهب أولاً</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أو يفعل كل إنسان كما يشاء أو غير ذلك، فإذا كان كل ذلك بعيداً فيكون ما ذكرناه هو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يكون لها قمر متعارف</w:t>
      </w:r>
      <w:r>
        <w:rPr>
          <w:rFonts w:eastAsia="Amiri" w:cs="Amiri" w:ascii="Amiri" w:hAnsi="Amiri"/>
          <w:color w:val="111111"/>
          <w:sz w:val="28"/>
          <w:szCs w:val="28"/>
          <w:rtl w:val="true"/>
          <w:lang w:bidi="ar-SA"/>
        </w:rPr>
        <w:t>.</w:t>
      </w:r>
    </w:p>
    <w:p>
      <w:pPr>
        <w:pStyle w:val="BookText"/>
        <w:rPr/>
      </w:pPr>
      <w:r>
        <w:rPr>
          <w:rStyle w:val="FootnoteAnchor"/>
          <w:rtl w:val="true"/>
        </w:rPr>
        <w:footnoteReference w:id="1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يستصحب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جهل مطلقاً عوّل على الظن، كما في المحبوس راجع صوم العروة</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 بالظن في ما لم يكن استصحاب، ولعله توجد روايات خاصة في المقام، فراجع</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ومَنْ لا يحضره الفقيه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زرارة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المتحير أبداً أينما توجه إذا لم يعلم أين وجه القبلة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فيقلده فيما قرر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المسألة في صوم السجين</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bookmarkStart w:id="891" w:name="pg15710_226975"/>
    </w:p>
    <w:p>
      <w:pPr>
        <w:pStyle w:val="Heading2"/>
        <w:numPr>
          <w:ilvl w:val="1"/>
          <w:numId w:val="1"/>
        </w:numPr>
        <w:rPr/>
      </w:pPr>
      <w:bookmarkStart w:id="892" w:name="__RefHeading___Toc12184309_2142443653"/>
      <w:bookmarkStart w:id="893" w:name="_Toc335"/>
      <w:bookmarkEnd w:id="891"/>
      <w:bookmarkEnd w:id="892"/>
      <w:r>
        <w:rPr>
          <w:rtl w:val="true"/>
        </w:rPr>
        <w:t>لو كان للكواكب توقيت</w:t>
      </w:r>
      <w:bookmarkEnd w:id="89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المسألة السابقة إنما هو فيما إذا لم يكن للكوكب بشر</w:t>
      </w:r>
      <w:r>
        <w:rPr>
          <w:rStyle w:val="FootnoteAnchor"/>
          <w:rtl w:val="true"/>
        </w:rPr>
        <w:footnoteReference w:id="1371"/>
      </w:r>
      <w:r>
        <w:rPr>
          <w:rFonts w:ascii="Amiri" w:hAnsi="Amiri" w:eastAsia="Amiri" w:cs="Amiri"/>
          <w:color w:val="111111"/>
          <w:sz w:val="28"/>
          <w:sz w:val="28"/>
          <w:szCs w:val="28"/>
          <w:rtl w:val="true"/>
          <w:lang w:bidi="ar-SA"/>
        </w:rPr>
        <w:t xml:space="preserve"> وحساب، وإلا كان المتبع اُولئك البشر وذلك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عرف هناك، والشرع في الموضوعات تابع</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للعرف،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بِلِسَانِ قَوْمِهِ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Heading2"/>
        <w:numPr>
          <w:ilvl w:val="1"/>
          <w:numId w:val="1"/>
        </w:numPr>
        <w:rPr/>
      </w:pPr>
      <w:bookmarkStart w:id="894" w:name="__RefHeading___Toc12184311_2142443653"/>
      <w:bookmarkStart w:id="895" w:name="_Toc336"/>
      <w:bookmarkEnd w:id="894"/>
      <w:r>
        <w:rPr>
          <w:rtl w:val="true"/>
        </w:rPr>
        <w:t>الإقامة في المحطات الفضائية</w:t>
      </w:r>
      <w:bookmarkEnd w:id="89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مرتاد الفضاء الإقامة في إحدى المحطات الفضائية</w:t>
      </w:r>
      <w:r>
        <w:rPr>
          <w:rStyle w:val="FootnoteAnchor"/>
          <w:rtl w:val="true"/>
        </w:rPr>
        <w:footnoteReference w:id="1372"/>
      </w:r>
      <w:r>
        <w:rPr>
          <w:rFonts w:ascii="Amiri" w:hAnsi="Amiri" w:eastAsia="Amiri" w:cs="Amiri"/>
          <w:color w:val="111111"/>
          <w:sz w:val="28"/>
          <w:sz w:val="28"/>
          <w:szCs w:val="28"/>
          <w:rtl w:val="true"/>
          <w:lang w:bidi="ar-SA"/>
        </w:rPr>
        <w:t>، أو في القمر أو في كوكب آخر، يكون حاله كحال المقيم في الأرض في الصلاة والصيام 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أدلة السفر والإقامة والوطن وما أشبه، مما يصدق بالنسبة إلى تلك الأماكن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مدخلية لهم، بل الملاك الأفق المتعارف لهم،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أين يُعلم الحساب إذا لم يكن بشر، أي من أين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هذا الشهر أول رمضان أو أول شوال؟</w:t>
      </w:r>
    </w:p>
    <w:p>
      <w:pPr>
        <w:pStyle w:val="BookText"/>
        <w:rPr/>
      </w:pP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أول مسألة في هذا الكتاب</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لا المتحركة</w:t>
      </w:r>
      <w:r>
        <w:rPr>
          <w:rFonts w:eastAsia="Amiri" w:cs="Amiri" w:ascii="Amiri" w:hAnsi="Amiri"/>
          <w:color w:val="111111"/>
          <w:sz w:val="28"/>
          <w:szCs w:val="28"/>
          <w:rtl w:val="true"/>
          <w:lang w:bidi="ar-SA"/>
        </w:rPr>
        <w:t xml:space="preserve">. </w:t>
      </w:r>
      <w:bookmarkStart w:id="896" w:name="pg15710_226976"/>
    </w:p>
    <w:p>
      <w:pPr>
        <w:pStyle w:val="Heading2"/>
        <w:numPr>
          <w:ilvl w:val="1"/>
          <w:numId w:val="1"/>
        </w:numPr>
        <w:rPr/>
      </w:pPr>
      <w:bookmarkStart w:id="897" w:name="__RefHeading___Toc12184313_2142443653"/>
      <w:bookmarkStart w:id="898" w:name="_Toc337"/>
      <w:bookmarkEnd w:id="896"/>
      <w:bookmarkEnd w:id="897"/>
      <w:r>
        <w:rPr>
          <w:rtl w:val="true"/>
        </w:rPr>
        <w:t>نفقات ارتياد الفضاء</w:t>
      </w:r>
      <w:bookmarkEnd w:id="89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المال الذي يصرف في ارتياد الفضاء من المؤونة إذا كان الارتياد من شأن</w:t>
      </w:r>
      <w:r>
        <w:rPr>
          <w:rStyle w:val="FootnoteAnchor"/>
          <w:rtl w:val="true"/>
        </w:rPr>
        <w:footnoteReference w:id="1377"/>
      </w:r>
      <w:r>
        <w:rPr>
          <w:rFonts w:ascii="Amiri" w:hAnsi="Amiri" w:eastAsia="Amiri" w:cs="Amiri"/>
          <w:color w:val="111111"/>
          <w:sz w:val="28"/>
          <w:sz w:val="28"/>
          <w:szCs w:val="28"/>
          <w:rtl w:val="true"/>
          <w:lang w:bidi="ar-SA"/>
        </w:rPr>
        <w:t xml:space="preserve"> المرتاد، فلا خمس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أدلة خروج المؤونة وشمولها لمثل ذلك أيضاً</w:t>
      </w:r>
      <w:r>
        <w:rPr>
          <w:rFonts w:eastAsia="Amiri" w:cs="Amiri" w:ascii="Amiri" w:hAnsi="Amiri"/>
          <w:color w:val="111111"/>
          <w:sz w:val="28"/>
          <w:szCs w:val="28"/>
          <w:rtl w:val="true"/>
          <w:lang w:bidi="ar-SA"/>
        </w:rPr>
        <w:t>.</w:t>
      </w:r>
    </w:p>
    <w:p>
      <w:pPr>
        <w:pStyle w:val="Heading2"/>
        <w:numPr>
          <w:ilvl w:val="1"/>
          <w:numId w:val="1"/>
        </w:numPr>
        <w:rPr/>
      </w:pPr>
      <w:bookmarkStart w:id="899" w:name="__RefHeading___Toc12184315_2142443653"/>
      <w:bookmarkStart w:id="900" w:name="_Toc338"/>
      <w:bookmarkEnd w:id="899"/>
      <w:r>
        <w:rPr>
          <w:rtl w:val="true"/>
        </w:rPr>
        <w:t>الموت في القمر</w:t>
      </w:r>
      <w:bookmarkEnd w:id="90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إنسان في القمر جاز الإقبار فيه، وجاز نقله</w:t>
      </w:r>
      <w:r>
        <w:rPr>
          <w:rStyle w:val="FootnoteAnchor"/>
          <w:rtl w:val="true"/>
        </w:rPr>
        <w:footnoteReference w:id="1378"/>
      </w:r>
      <w:r>
        <w:rPr>
          <w:rFonts w:ascii="IRNazanin" w:hAnsi="IRNazanin" w:eastAsia="IRNazanin"/>
          <w:color w:val="111111"/>
          <w:sz w:val="28"/>
          <w:sz w:val="28"/>
          <w:szCs w:val="28"/>
          <w:rtl w:val="true"/>
          <w:lang w:bidi="fa-IR"/>
        </w:rPr>
        <w:t xml:space="preserve"> إلى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وجاز نقله إلى كوكب آخر، لإطلاق أدلة الدفن، ولا يجوز</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تركه في الفضاء وإن لم يكن هناك سبع يخشى منه عليه، ولا ينتشر ريحه لأجل الفضاء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يشترط في ذلك أن لا يستغرق مدة زمنية كبيرة؟ وراجع مسألة ما لو استلزم نقله إلى العتبات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أو الهتك، في العروة</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الدفن</w:t>
      </w:r>
      <w:r>
        <w:rPr>
          <w:rFonts w:eastAsia="IRNazanin" w:cs="IRNazanin"/>
          <w:color w:val="111111"/>
          <w:sz w:val="28"/>
          <w:szCs w:val="28"/>
          <w:rtl w:val="true"/>
          <w:lang w:bidi="fa-IR"/>
        </w:rPr>
        <w:t xml:space="preserve">. </w:t>
      </w:r>
      <w:bookmarkStart w:id="901" w:name="pg15710_226977"/>
    </w:p>
    <w:p>
      <w:pPr>
        <w:pStyle w:val="Heading2"/>
        <w:numPr>
          <w:ilvl w:val="1"/>
          <w:numId w:val="1"/>
        </w:numPr>
        <w:rPr/>
      </w:pPr>
      <w:bookmarkStart w:id="902" w:name="__RefHeading___Toc12184317_2142443653"/>
      <w:bookmarkStart w:id="903" w:name="_Toc339"/>
      <w:bookmarkEnd w:id="901"/>
      <w:bookmarkEnd w:id="902"/>
      <w:r>
        <w:rPr>
          <w:rtl w:val="true"/>
        </w:rPr>
        <w:t>الموت في المحطات الفضائية</w:t>
      </w:r>
      <w:bookmarkEnd w:id="90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إنسان في المحطة الفضائية فهل يجوز تركه في الفضاء، أم يجب نقله إلى الأرض أو القمر للإقبار؟ احتمالان وإن كان الاحتياط في النقل</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لوجوب الدفن إلا اضطراراً</w:t>
      </w:r>
      <w:r>
        <w:rPr>
          <w:rFonts w:eastAsia="Amiri" w:cs="Amiri" w:ascii="Amiri" w:hAnsi="Amiri"/>
          <w:color w:val="111111"/>
          <w:sz w:val="28"/>
          <w:szCs w:val="28"/>
          <w:rtl w:val="true"/>
          <w:lang w:bidi="ar-SA"/>
        </w:rPr>
        <w:t>.</w:t>
      </w:r>
    </w:p>
    <w:p>
      <w:pPr>
        <w:pStyle w:val="Heading2"/>
        <w:numPr>
          <w:ilvl w:val="1"/>
          <w:numId w:val="1"/>
        </w:numPr>
        <w:rPr/>
      </w:pPr>
      <w:bookmarkStart w:id="904" w:name="__RefHeading___Toc12184319_2142443653"/>
      <w:bookmarkStart w:id="905" w:name="_Toc340"/>
      <w:bookmarkEnd w:id="904"/>
      <w:r>
        <w:rPr>
          <w:rtl w:val="true"/>
        </w:rPr>
        <w:t>الاعتكاف في الفضاء</w:t>
      </w:r>
      <w:bookmarkEnd w:id="90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يشرع الاعتكاف في الجو، في فضاء المساجد الأربعة، كأن يعتكف في طائرة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هليكوبتر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الظاهر المشروعية في الفضاء القريب؛ لصدق كونه في المسجد</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الفضاء البعيد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أنه مسجد كذا، عليه عرفاً</w:t>
      </w:r>
      <w:r>
        <w:rPr>
          <w:rFonts w:eastAsia="Amiri" w:cs="Amiri" w:ascii="Amiri" w:hAnsi="Amiri"/>
          <w:color w:val="111111"/>
          <w:sz w:val="28"/>
          <w:szCs w:val="28"/>
          <w:rtl w:val="true"/>
          <w:lang w:bidi="ar-SA"/>
        </w:rPr>
        <w:t>.</w:t>
      </w:r>
    </w:p>
    <w:p>
      <w:pPr>
        <w:pStyle w:val="Heading2"/>
        <w:numPr>
          <w:ilvl w:val="1"/>
          <w:numId w:val="1"/>
        </w:numPr>
        <w:rPr/>
      </w:pPr>
      <w:bookmarkStart w:id="906" w:name="__RefHeading___Toc12184321_2142443653"/>
      <w:bookmarkStart w:id="907" w:name="_Toc341"/>
      <w:bookmarkEnd w:id="906"/>
      <w:r>
        <w:rPr>
          <w:rtl w:val="true"/>
        </w:rPr>
        <w:t>التمركز خارج الجاذبية</w:t>
      </w:r>
      <w:bookmarkEnd w:id="90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ارتفع عن الأرض وتمكن من إيقاف نفسه حتى مرت الأرض من تحته بمقدار المسافة، فهل يعد مسافراً أم لا؟ احتمالان، والأقرب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يصدق الدفن على وضعه في أسفل المحطة، كما لا يصدق الدفن لو وضع أسفل الطائرة أو السفينة، إلاّ أن تكون كبيرة جداً بحيث يصدق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بيت زيد خمسة أمتار ففي المتر السادس هذا حريم بيت زيد لا نفسه، فتأمل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bookmarkStart w:id="908" w:name="pg15710_226978"/>
    </w:p>
    <w:p>
      <w:pPr>
        <w:pStyle w:val="BookText"/>
        <w:rPr/>
      </w:pPr>
      <w:bookmarkEnd w:id="908"/>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بمسافر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عرفاً، أما لو صدق السفر عليه، كما لو تمكن العلم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من طريقة جديدة للسفر، وذلك بالارتفاع والوقوف حتى تمر الأرض وينزل في المقصد، فالظاهر أنه بحكم المسافر، فإن الأحكام تابعة لموضوعاتها، ومنه يعلم حكم طي الأرض ونحو ذلك</w:t>
      </w:r>
      <w:r>
        <w:rPr>
          <w:rFonts w:eastAsia="Amiri" w:cs="Amiri" w:ascii="Amiri" w:hAnsi="Amiri"/>
          <w:color w:val="111111"/>
          <w:sz w:val="28"/>
          <w:szCs w:val="28"/>
          <w:rtl w:val="true"/>
          <w:lang w:bidi="ar-SA"/>
        </w:rPr>
        <w:t>.</w:t>
      </w:r>
    </w:p>
    <w:p>
      <w:pPr>
        <w:pStyle w:val="Heading2"/>
        <w:numPr>
          <w:ilvl w:val="1"/>
          <w:numId w:val="1"/>
        </w:numPr>
        <w:rPr/>
      </w:pPr>
      <w:bookmarkStart w:id="909" w:name="__RefHeading___Toc12184323_2142443653"/>
      <w:bookmarkStart w:id="910" w:name="_Toc342"/>
      <w:bookmarkEnd w:id="909"/>
      <w:r>
        <w:rPr>
          <w:rtl w:val="true"/>
        </w:rPr>
        <w:t>ائتلاف الأفراد بالزكاة</w:t>
      </w:r>
      <w:bookmarkEnd w:id="91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اشتراء</w:t>
      </w:r>
      <w:r>
        <w:rPr>
          <w:rStyle w:val="FootnoteAnchor"/>
          <w:rtl w:val="true"/>
        </w:rPr>
        <w:footnoteReference w:id="1381"/>
      </w:r>
      <w:r>
        <w:rPr>
          <w:rFonts w:ascii="Amiri" w:hAnsi="Amiri" w:eastAsia="Amiri" w:cs="Amiri"/>
          <w:color w:val="111111"/>
          <w:sz w:val="28"/>
          <w:sz w:val="28"/>
          <w:szCs w:val="28"/>
          <w:rtl w:val="true"/>
          <w:lang w:bidi="ar-SA"/>
        </w:rPr>
        <w:t xml:space="preserve"> الأفراد والأحزاب والمنظمات والصحف بالزكاة لخدمة الإسلام، وهذا في الحقيقة هو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سموه اليوم بشراء الضمائر والأقلام، فإن اشتراء الضمير للخير والإصلاح حسن</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وإنّما الاشتراء القبيح هو ما كان للشر والفساد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ودليل الأمرين واضح، بل قد يجب</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الائتلاف إذا كان مقدمة واجب</w:t>
      </w:r>
      <w:r>
        <w:rPr>
          <w:rFonts w:eastAsia="Amiri" w:cs="Amiri" w:ascii="Amiri" w:hAnsi="Amiri"/>
          <w:color w:val="111111"/>
          <w:sz w:val="28"/>
          <w:szCs w:val="28"/>
          <w:rtl w:val="true"/>
          <w:lang w:bidi="ar-SA"/>
        </w:rPr>
        <w:t>.</w:t>
      </w:r>
    </w:p>
    <w:p>
      <w:pPr>
        <w:pStyle w:val="BookText"/>
        <w:rPr/>
      </w:pP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صدق السفر عرفاً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الفرق بينه وبين سابقه</w:t>
      </w:r>
      <w:r>
        <w:rPr>
          <w:rStyle w:val="FootnoteAnchor"/>
          <w:rtl w:val="true"/>
        </w:rPr>
        <w:footnoteReference w:id="1383"/>
      </w: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المسألة شخصية وهذه مسألة علمية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ينطبق عليه عنوان محرم كتشويه سمعة الإسلام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كتبه كذب؛ إذ الكذب مخالفة الواقع لا مخالفة المعتقد، لو كان له معتقد</w:t>
      </w:r>
      <w:r>
        <w:rPr>
          <w:rFonts w:eastAsia="Amiri" w:cs="Amiri" w:ascii="Amiri" w:hAnsi="Amiri"/>
          <w:color w:val="111111"/>
          <w:sz w:val="28"/>
          <w:szCs w:val="28"/>
          <w:rtl w:val="true"/>
          <w:lang w:bidi="ar-SA"/>
        </w:rPr>
        <w:t>.</w:t>
      </w:r>
      <w:bookmarkStart w:id="911" w:name="pg15710_226979"/>
    </w:p>
    <w:p>
      <w:pPr>
        <w:pStyle w:val="Heading2"/>
        <w:numPr>
          <w:ilvl w:val="1"/>
          <w:numId w:val="1"/>
        </w:numPr>
        <w:rPr/>
      </w:pPr>
      <w:bookmarkStart w:id="912" w:name="__RefHeading___Toc12184325_2142443653"/>
      <w:bookmarkStart w:id="913" w:name="_Toc343"/>
      <w:bookmarkEnd w:id="911"/>
      <w:bookmarkEnd w:id="912"/>
      <w:r>
        <w:rPr>
          <w:rtl w:val="true"/>
        </w:rPr>
        <w:t>الزكاة للبعثات العلمية</w:t>
      </w:r>
      <w:bookmarkEnd w:id="91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لإيفاد الطلاب إلى الخارج لتحصيل العلوم الجديدة؛ لأجل ترفيع مستوى المسلمين، وعدم تخلفهم في مجال الصناعة والعلوم الدنيوية</w:t>
      </w:r>
      <w:r>
        <w:rPr>
          <w:rStyle w:val="FootnoteAnchor"/>
          <w:rtl w:val="true"/>
        </w:rPr>
        <w:footnoteReference w:id="1385"/>
      </w:r>
      <w:r>
        <w:rPr>
          <w:rFonts w:ascii="Amiri" w:hAnsi="Amiri" w:eastAsia="Amiri" w:cs="Amiri"/>
          <w:color w:val="111111"/>
          <w:sz w:val="28"/>
          <w:sz w:val="28"/>
          <w:szCs w:val="28"/>
          <w:rtl w:val="true"/>
          <w:lang w:bidi="ar-SA"/>
        </w:rPr>
        <w:t>، لكن من المعلوم لزوم توفر شرائط الزكاة المذكورة في كتاب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يجب</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إذا توقف الواجب عليه</w:t>
      </w:r>
      <w:r>
        <w:rPr>
          <w:rFonts w:eastAsia="Amiri" w:cs="Amiri" w:ascii="Amiri" w:hAnsi="Amiri"/>
          <w:color w:val="111111"/>
          <w:sz w:val="28"/>
          <w:szCs w:val="28"/>
          <w:rtl w:val="true"/>
          <w:lang w:bidi="ar-SA"/>
        </w:rPr>
        <w:t>.</w:t>
      </w:r>
    </w:p>
    <w:p>
      <w:pPr>
        <w:pStyle w:val="Heading2"/>
        <w:numPr>
          <w:ilvl w:val="1"/>
          <w:numId w:val="1"/>
        </w:numPr>
        <w:rPr/>
      </w:pPr>
      <w:bookmarkStart w:id="914" w:name="__RefHeading___Toc12184327_2142443653"/>
      <w:bookmarkStart w:id="915" w:name="_Toc344"/>
      <w:bookmarkEnd w:id="914"/>
      <w:r>
        <w:rPr>
          <w:rtl w:val="true"/>
        </w:rPr>
        <w:t>ضمان المتظاهرين للمتلفات</w:t>
      </w:r>
      <w:bookmarkEnd w:id="91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استلزم الاحتجاج ضد وضع قائم منحرف التظاهر، وإغلاق الدكاكين وكسر زجاجات البيوت والمحلات، وكان المظاهرة أهم بنظر الإسلام من أمثال هذه التصرفات جاز، وفي ضمان المتلفات والخسائر لمن أتى بها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الصناعة الضمان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لعدم الفرق في الضمان بين جواز</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الأَعْلَوْنَ</w:t>
      </w:r>
      <w:r>
        <w:rPr>
          <w:rFonts w:eastAsia="Amiri" w:cs="Amiri" w:ascii="Amiri" w:hAnsi="Amiri"/>
          <w:color w:val="111111"/>
          <w:sz w:val="28"/>
          <w:szCs w:val="28"/>
          <w:rtl w:val="true"/>
          <w:lang w:bidi="ar-SA"/>
        </w:rPr>
        <w:t>}</w:t>
      </w:r>
      <w:r>
        <w:rPr>
          <w:rStyle w:val="FootnoteAnchor"/>
          <w:rtl w:val="true"/>
        </w:rPr>
        <w:footnoteReference w:id="138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كما لو كان مقدمة للهداية، فإنَّ الناس اتباع الأقوياء، أو مقدمة للدفاع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يضمن الشخص أو الحاكم الآمر؟ سبق</w:t>
      </w:r>
      <w:r>
        <w:rPr>
          <w:rStyle w:val="FootnoteAnchor"/>
          <w:rtl w:val="true"/>
        </w:rPr>
        <w:footnoteReference w:id="1391"/>
      </w:r>
      <w:r>
        <w:rPr>
          <w:rFonts w:ascii="Amiri" w:hAnsi="Amiri" w:eastAsia="Amiri" w:cs="Amiri"/>
          <w:color w:val="111111"/>
          <w:sz w:val="28"/>
          <w:sz w:val="28"/>
          <w:szCs w:val="28"/>
          <w:rtl w:val="true"/>
          <w:lang w:bidi="ar-SA"/>
        </w:rPr>
        <w:t>الكلام فيه</w:t>
      </w:r>
      <w:r>
        <w:rPr>
          <w:rFonts w:eastAsia="Amiri" w:cs="Amiri" w:ascii="Amiri" w:hAnsi="Amiri"/>
          <w:color w:val="111111"/>
          <w:sz w:val="28"/>
          <w:szCs w:val="28"/>
          <w:rtl w:val="true"/>
          <w:lang w:bidi="ar-SA"/>
        </w:rPr>
        <w:t xml:space="preserve">. </w:t>
      </w:r>
      <w:bookmarkStart w:id="916" w:name="pg15710_226980"/>
    </w:p>
    <w:p>
      <w:pPr>
        <w:pStyle w:val="BookText"/>
        <w:rPr/>
      </w:pPr>
      <w:bookmarkEnd w:id="916"/>
      <w:r>
        <w:rPr>
          <w:rFonts w:ascii="Amiri" w:hAnsi="Amiri" w:eastAsia="Amiri" w:cs="Amiri"/>
          <w:color w:val="111111"/>
          <w:sz w:val="28"/>
          <w:sz w:val="28"/>
          <w:szCs w:val="28"/>
          <w:rtl w:val="true"/>
          <w:lang w:bidi="ar-SA"/>
        </w:rPr>
        <w:t>العمل أو عدم جوازه، فإنه لا منافاة</w:t>
      </w:r>
      <w:r>
        <w:rPr>
          <w:rStyle w:val="FootnoteAnchor"/>
          <w:rtl w:val="true"/>
        </w:rPr>
        <w:footnoteReference w:id="1392"/>
      </w:r>
      <w:r>
        <w:rPr>
          <w:rFonts w:ascii="Amiri" w:hAnsi="Amiri" w:eastAsia="Amiri" w:cs="Amiri"/>
          <w:color w:val="111111"/>
          <w:sz w:val="28"/>
          <w:sz w:val="28"/>
          <w:szCs w:val="28"/>
          <w:rtl w:val="true"/>
          <w:lang w:bidi="ar-SA"/>
        </w:rPr>
        <w:t xml:space="preserve"> بين الحكم التكليفي والوضعي كما اُشير إليه سابقاً، ولا يخفى أنه يجب أن تكون المظاهرة سلمية، فإنه لا عنف في الإسلام، إلا في الموارد الاضطرارية، كما لا حق لإجازة مثل هذه الأُمور إلا لشورى المراجع</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7" w:name="__RefHeading___Toc12184329_2142443653"/>
      <w:bookmarkStart w:id="918" w:name="_Toc345"/>
      <w:bookmarkEnd w:id="917"/>
      <w:r>
        <w:rPr>
          <w:rtl w:val="true"/>
        </w:rPr>
        <w:t>موارد جديدة لصرف الزكاة</w:t>
      </w:r>
      <w:bookmarkEnd w:id="91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صرف الزكاة في تأسيس البنوك الإسلامية، وتشييد المدارس، ودور العجزة، والأيتام، والمستوصفات وسائر المؤسسات التي تكون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الكلام فيه، وراجع كتاب الأمر بالمعروف من الفقه</w:t>
      </w:r>
      <w:r>
        <w:rPr>
          <w:rStyle w:val="FootnoteAnchor"/>
          <w:rtl w:val="true"/>
        </w:rPr>
        <w:footnoteReference w:id="1395"/>
      </w:r>
      <w:r>
        <w:rPr>
          <w:rFonts w:ascii="Amiri" w:hAnsi="Amiri" w:eastAsia="Amiri" w:cs="Amiri"/>
          <w:color w:val="111111"/>
          <w:sz w:val="28"/>
          <w:sz w:val="28"/>
          <w:szCs w:val="28"/>
          <w:rtl w:val="true"/>
          <w:lang w:bidi="ar-SA"/>
        </w:rPr>
        <w:t>وأكل المخمصة</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يجز، أو لم يمكن الوصول إليه جاز للقاطع العمل بقطعه، فإن الشأن العام يرجع للفقهاء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الحوادث الواقعة </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bookmarkStart w:id="919" w:name="pg15710_226981"/>
    </w:p>
    <w:p>
      <w:pPr>
        <w:pStyle w:val="BookText"/>
        <w:rPr/>
      </w:pPr>
      <w:bookmarkEnd w:id="91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لا فرق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كان سابقاً أو ما حدث حالاً، كسائر الكليات المنطبقة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على المصاديق السابقة والحديثة</w:t>
      </w:r>
      <w:r>
        <w:rPr>
          <w:rFonts w:eastAsia="Amiri" w:cs="Amiri" w:ascii="Amiri" w:hAnsi="Amiri"/>
          <w:color w:val="111111"/>
          <w:sz w:val="28"/>
          <w:szCs w:val="28"/>
          <w:rtl w:val="true"/>
          <w:lang w:bidi="ar-SA"/>
        </w:rPr>
        <w:t>.</w:t>
      </w:r>
    </w:p>
    <w:p>
      <w:pPr>
        <w:pStyle w:val="Heading2"/>
        <w:numPr>
          <w:ilvl w:val="1"/>
          <w:numId w:val="1"/>
        </w:numPr>
        <w:rPr/>
      </w:pPr>
      <w:bookmarkStart w:id="920" w:name="__RefHeading___Toc12184331_2142443653"/>
      <w:bookmarkStart w:id="921" w:name="_Toc346"/>
      <w:bookmarkEnd w:id="920"/>
      <w:r>
        <w:rPr>
          <w:rtl w:val="true"/>
        </w:rPr>
        <w:t>الخمس في أحجار الفضاء</w:t>
      </w:r>
      <w:bookmarkEnd w:id="92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الأحجار التي تقذف نحو الأرض إذا علمنا</w:t>
      </w:r>
      <w:r>
        <w:rPr>
          <w:rStyle w:val="FootnoteAnchor"/>
          <w:rtl w:val="true"/>
        </w:rPr>
        <w:footnoteReference w:id="1399"/>
      </w:r>
      <w:r>
        <w:rPr>
          <w:rFonts w:ascii="Amiri" w:hAnsi="Amiri" w:eastAsia="Amiri" w:cs="Amiri"/>
          <w:color w:val="111111"/>
          <w:sz w:val="28"/>
          <w:sz w:val="28"/>
          <w:szCs w:val="28"/>
          <w:rtl w:val="true"/>
          <w:lang w:bidi="ar-SA"/>
        </w:rPr>
        <w:t xml:space="preserve"> بأنها من بعض الكواكب، وكانت تلك الأحجار من المعادن وجب فيها الخمس، وإلا فلا حتى إن كانت كجنس</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عندنا مثل الحديد وما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أدلة الخمس في المعدن، اللّهم إلا أن يقال بالانصراف، فتأمل</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2" w:name="__RefHeading___Toc12184333_2142443653"/>
      <w:bookmarkStart w:id="923" w:name="_Toc347"/>
      <w:bookmarkEnd w:id="922"/>
      <w:r>
        <w:rPr>
          <w:rtl w:val="true"/>
        </w:rPr>
        <w:t>الكوكب إذا كان معدناً</w:t>
      </w:r>
      <w:bookmarkEnd w:id="92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كوكب كله معدنا فهل يجب فيما أخذنا منه الخمس أم لا؟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مقتضى الصناعة عدم الخمس للانصراف</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إذ لا يسمى ذلك</w:t>
      </w:r>
    </w:p>
    <w:p>
      <w:pPr>
        <w:pStyle w:val="BookText"/>
        <w:rPr/>
      </w:pP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الشعائر</w:t>
      </w:r>
      <w:r>
        <w:rPr>
          <w:rFonts w:eastAsia="Amiri" w:cs="Amiri" w:ascii="Amiri" w:hAnsi="Amiri"/>
          <w:color w:val="111111"/>
          <w:sz w:val="28"/>
          <w:szCs w:val="28"/>
          <w:rtl w:val="true"/>
          <w:lang w:bidi="ar-SA"/>
        </w:rPr>
        <w:t>)</w:t>
      </w:r>
      <w:r>
        <w:rPr>
          <w:rStyle w:val="FootnoteAnchor"/>
          <w:rtl w:val="true"/>
        </w:rPr>
        <w:footnoteReference w:id="1401"/>
      </w:r>
      <w:r>
        <w:rPr>
          <w:rFonts w:ascii="Amiri" w:hAnsi="Amiri" w:eastAsia="Amiri" w:cs="Amiri"/>
          <w:color w:val="111111"/>
          <w:sz w:val="28"/>
          <w:sz w:val="28"/>
          <w:szCs w:val="28"/>
          <w:rtl w:val="true"/>
          <w:lang w:bidi="ar-SA"/>
        </w:rPr>
        <w:t>للفرق بين التجدد في طرف الحكم أو الموضوع، وأنه في الثاني حكم أولي لا 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p>
    <w:p>
      <w:pPr>
        <w:pStyle w:val="BookText"/>
        <w:rPr/>
      </w:pP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وجه لهذا القيد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موضوع المعدن وجب، وإلا فلا فلم يظهر وجه للتفصيل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لأنّ الانصراف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وجهه، فلو كان كوكب ذهباً كله فهل لا يصدق المعدن عليه </w:t>
      </w:r>
      <w:bookmarkStart w:id="924" w:name="pg15710_226982"/>
    </w:p>
    <w:p>
      <w:pPr>
        <w:pStyle w:val="BookText"/>
        <w:rPr/>
      </w:pPr>
      <w:bookmarkEnd w:id="924"/>
      <w:r>
        <w:rPr>
          <w:rFonts w:ascii="Amiri" w:hAnsi="Amiri" w:eastAsia="Amiri" w:cs="Amiri"/>
          <w:color w:val="111111"/>
          <w:sz w:val="28"/>
          <w:sz w:val="28"/>
          <w:szCs w:val="28"/>
          <w:rtl w:val="true"/>
          <w:lang w:bidi="ar-SA"/>
        </w:rPr>
        <w:t>عرفاً</w:t>
      </w:r>
    </w:p>
    <w:p>
      <w:pPr>
        <w:pStyle w:val="BookText"/>
        <w:rPr/>
      </w:pPr>
      <w:r>
        <w:rPr>
          <w:rFonts w:ascii="Amiri" w:hAnsi="Amiri" w:eastAsia="Amiri" w:cs="Amiri"/>
          <w:color w:val="111111"/>
          <w:sz w:val="28"/>
          <w:sz w:val="28"/>
          <w:szCs w:val="28"/>
          <w:rtl w:val="true"/>
          <w:lang w:bidi="ar-SA"/>
        </w:rPr>
        <w:t>معدناً حينئذٍ، وإن أشبه المعدن كاملاً كالنحاس والحديد وما أشبه، بينما إذا وصلنا إلى باطن الأرض بسبب ثقبة ونحوها فاستخرجنا منه المواد المعدنية وجب الخمس؛ لعدم الانصراف بعد شمول الأدلة لمثل ذلك</w:t>
      </w:r>
      <w:r>
        <w:rPr>
          <w:rFonts w:eastAsia="Amiri" w:cs="Amiri" w:ascii="Amiri" w:hAnsi="Amiri"/>
          <w:color w:val="111111"/>
          <w:sz w:val="28"/>
          <w:szCs w:val="28"/>
          <w:rtl w:val="true"/>
          <w:lang w:bidi="ar-SA"/>
        </w:rPr>
        <w:t>.</w:t>
      </w:r>
    </w:p>
    <w:p>
      <w:pPr>
        <w:pStyle w:val="Heading2"/>
        <w:numPr>
          <w:ilvl w:val="1"/>
          <w:numId w:val="1"/>
        </w:numPr>
        <w:rPr/>
      </w:pPr>
      <w:bookmarkStart w:id="925" w:name="__RefHeading___Toc12184335_2142443653"/>
      <w:bookmarkStart w:id="926" w:name="_Toc348"/>
      <w:bookmarkEnd w:id="925"/>
      <w:r>
        <w:rPr>
          <w:rtl w:val="true"/>
        </w:rPr>
        <w:t>المستخرجات من البحر</w:t>
      </w:r>
      <w:bookmarkEnd w:id="92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خمس في السفن والغواصات والطائرات والذخائر وما أشبه، التي تغرق في البحر إذا استخرجناها؛ لأنها لا تعد من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الجواهر الغارقة</w:t>
      </w:r>
      <w:r>
        <w:rPr>
          <w:rStyle w:val="FootnoteAnchor"/>
          <w:rtl w:val="true"/>
        </w:rPr>
        <w:footnoteReference w:id="1404"/>
      </w:r>
      <w:r>
        <w:rPr>
          <w:rFonts w:ascii="Amiri" w:hAnsi="Amiri" w:eastAsia="Amiri" w:cs="Amiri"/>
          <w:color w:val="111111"/>
          <w:sz w:val="28"/>
          <w:sz w:val="28"/>
          <w:szCs w:val="28"/>
          <w:rtl w:val="true"/>
          <w:lang w:bidi="ar-SA"/>
        </w:rPr>
        <w:t xml:space="preserve"> في البحر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الأحوط هو الخمس لصدق الغوص على احتمال قريب</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عرفاً؟ ولو أخذ منه مقداراً وجاء به إلى الأرض ألا يصدق المعدن؟</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p>
    <w:p>
      <w:pPr>
        <w:pStyle w:val="BookText"/>
        <w:rPr/>
      </w:pP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الملاك هو انقطاع العلقة عرفاً بينها وبين مالكها، أو بمجرد الغرق تنقطع العلقة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الخمس</w:t>
      </w:r>
      <w:r>
        <w:rPr>
          <w:rStyle w:val="FootnoteAnchor"/>
          <w:rtl w:val="true"/>
        </w:rPr>
        <w:footnoteReference w:id="1406"/>
      </w:r>
      <w:r>
        <w:rPr>
          <w:rFonts w:ascii="Amiri" w:hAnsi="Amiri" w:eastAsia="Amiri" w:cs="Amiri"/>
          <w:color w:val="111111"/>
          <w:sz w:val="28"/>
          <w:sz w:val="28"/>
          <w:szCs w:val="28"/>
          <w:rtl w:val="true"/>
          <w:lang w:bidi="ar-SA"/>
        </w:rPr>
        <w:t>والرواية</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فرض عدم الانقطاع عرفاً وشرعاً تجري عليه أحكام مجهول المالك؟</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العروة في أنَّ استخراج السمك لا يعد غوصاً بخلاف المجوهرات</w:t>
      </w:r>
      <w:r>
        <w:rPr>
          <w:rStyle w:val="FootnoteAnchor"/>
          <w:rtl w:val="true"/>
        </w:rPr>
        <w:footnoteReference w:id="1409"/>
      </w:r>
      <w:r>
        <w:rPr>
          <w:rFonts w:ascii="IRNazanin" w:hAnsi="IRNazanin" w:eastAsia="IRNazanin"/>
          <w:color w:val="111111"/>
          <w:sz w:val="28"/>
          <w:sz w:val="28"/>
          <w:szCs w:val="28"/>
          <w:rtl w:val="true"/>
          <w:lang w:bidi="fa-IR"/>
        </w:rPr>
        <w:t xml:space="preserve">، </w:t>
      </w:r>
      <w:bookmarkStart w:id="927" w:name="pg15710_226983"/>
    </w:p>
    <w:p>
      <w:pPr>
        <w:pStyle w:val="Heading2"/>
        <w:numPr>
          <w:ilvl w:val="1"/>
          <w:numId w:val="1"/>
        </w:numPr>
        <w:rPr/>
      </w:pPr>
      <w:bookmarkStart w:id="928" w:name="__RefHeading___Toc12184337_2142443653"/>
      <w:bookmarkStart w:id="929" w:name="_Toc349"/>
      <w:bookmarkEnd w:id="927"/>
      <w:bookmarkEnd w:id="928"/>
      <w:r>
        <w:rPr>
          <w:rtl w:val="true"/>
        </w:rPr>
        <w:t>لو اجتازت الطائرة بالمواقيت</w:t>
      </w:r>
      <w:bookmarkEnd w:id="92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الإحرام لراكب الطائرة القاصدة إلى مكان آخر، أو القمر الصناعي إذا اجتازت من الميقات أم لا؟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الأقرب عدم الوجوب لانصراف الأدلة عن مثله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0" w:name="__RefHeading___Toc12184339_2142443653"/>
      <w:bookmarkStart w:id="931" w:name="_Toc350"/>
      <w:bookmarkEnd w:id="930"/>
      <w:r>
        <w:rPr>
          <w:rtl w:val="true"/>
        </w:rPr>
        <w:t>المدارس العلمية المغتصبة</w:t>
      </w:r>
      <w:bookmarkEnd w:id="93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ظالم مدرسة علمية فهل يجوز للطلاب البقاء فيها أم لا؟ الظاهر أنه لو كان في البقاء تأييد للظلم أو للظالم لم يجز وإلا جاز، إلا إذا كانت هناك جهة خارجية توجب البقاء أو الخروج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الجواز لما دل على حرمة تأييد الظلم والظالم، والجواز لفرض أنه وقف لهم، فلا فرق في استفادتهم بين كون واضع اليد عادلاً أو غاصباً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ولاحظ روايات المقام</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p>
    <w:p>
      <w:pPr>
        <w:pStyle w:val="BookText"/>
        <w:rPr/>
      </w:pP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القريب والبعيد كما سبق</w:t>
      </w:r>
      <w:r>
        <w:rPr>
          <w:rStyle w:val="FootnoteAnchor"/>
          <w:rtl w:val="true"/>
        </w:rPr>
        <w:footnoteReference w:id="1412"/>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هنا بحثاً وهو أنه هل يجب استئذان المتولي؟ وهل لو منع يجب عليهم اتباعه؟ </w:t>
      </w:r>
      <w:bookmarkStart w:id="932" w:name="pg15710_226984"/>
    </w:p>
    <w:p>
      <w:pPr>
        <w:pStyle w:val="Heading2"/>
        <w:numPr>
          <w:ilvl w:val="1"/>
          <w:numId w:val="1"/>
        </w:numPr>
        <w:rPr/>
      </w:pPr>
      <w:bookmarkStart w:id="933" w:name="__RefHeading___Toc12184341_2142443653"/>
      <w:bookmarkStart w:id="934" w:name="_Toc351"/>
      <w:bookmarkEnd w:id="932"/>
      <w:bookmarkEnd w:id="933"/>
      <w:r>
        <w:rPr>
          <w:rtl w:val="true"/>
        </w:rPr>
        <w:t>الوباء في مكة والمواقف</w:t>
      </w:r>
      <w:bookmarkEnd w:id="93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اجتاح مكة المكرمة أو المواقف وباء ونحوه يكون حكم المحرم حكم المحصور الذي ذكر في باب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حينئذٍ محصور ولو بالملاك</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5" w:name="__RefHeading___Toc12184343_2142443653"/>
      <w:bookmarkStart w:id="936" w:name="_Toc352"/>
      <w:bookmarkEnd w:id="935"/>
      <w:r>
        <w:rPr>
          <w:rtl w:val="true"/>
        </w:rPr>
        <w:t>من واجب العلماء إزاء البدعة</w:t>
      </w:r>
      <w:bookmarkEnd w:id="93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بدعة في بلاد الإسلام وجب على العلماء الإنكار وإظهار أنها بدعة، وإن علموا أن إظهار كونها بدعة وإنكارها لا يوجب دفعاً ولا رفعاً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ظهرت البدع فعلى العالم أن يظهر علمه، وإلا فعليه لعنة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إضافة إلى أن مجرد الإنكار وإظهار أنها</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pStyle w:val="BookText"/>
        <w:rPr/>
      </w:pP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بين أن يمنعه عدوّ بشري أو ميكروب مجهري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لما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أو تحديدي بأن يحدد المنكر ولا يوسع دائرته، ولا يخفى أنّ كل هذه أقسام التأثير، وكلها داخلة في عموم الأدلة، والإنكار إما قلبي وإما يدي وإما لساني، والأول واجب مطلقاً حتى إذا علم بعدم التأثير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احتمال التأثير شرط فراجع،</w:t>
      </w:r>
      <w:bookmarkStart w:id="937" w:name="pg15710_226985"/>
    </w:p>
    <w:p>
      <w:pPr>
        <w:pStyle w:val="BookText"/>
        <w:rPr/>
      </w:pPr>
      <w:bookmarkEnd w:id="937"/>
      <w:r>
        <w:rPr>
          <w:rFonts w:ascii="Amiri" w:hAnsi="Amiri" w:eastAsia="Amiri" w:cs="Amiri"/>
          <w:color w:val="111111"/>
          <w:sz w:val="28"/>
          <w:sz w:val="28"/>
          <w:szCs w:val="28"/>
          <w:rtl w:val="true"/>
          <w:lang w:bidi="ar-SA"/>
        </w:rPr>
        <w:t>بدعة يوجب بيان الحق والباطل</w:t>
      </w:r>
      <w:r>
        <w:rPr>
          <w:rStyle w:val="FootnoteAnchor"/>
          <w:rtl w:val="true"/>
        </w:rPr>
        <w:footnoteReference w:id="14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8" w:name="__RefHeading___Toc12184345_2142443653"/>
      <w:bookmarkStart w:id="939" w:name="_Toc353"/>
      <w:bookmarkEnd w:id="938"/>
      <w:r>
        <w:rPr>
          <w:rtl w:val="true"/>
        </w:rPr>
        <w:t>سكوت العلماء</w:t>
      </w:r>
      <w:bookmarkEnd w:id="93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سكوت علماء الدين على الظَلَمَة ومرتكبي المنكرات موجباً لوهن الدين، وضعف عقيدة المسلمين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الناس يرون العالم رمزا للإسلام، فإذا سكت نسبوا الدين إلى أنه يداهن الظالم وأن الإسلام لا يحل مشكلة الناس، ولا يرفع الظلم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العالم التكلم وإن علم بعدم فائدة الكلام في دفع المنكر أو رفعه أو تقليله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سبحانه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الآية، إلى غيرها من</w:t>
      </w:r>
    </w:p>
    <w:p>
      <w:pPr>
        <w:pStyle w:val="BookText"/>
        <w:rPr/>
      </w:pPr>
      <w:r>
        <w:rPr>
          <w:rFonts w:ascii="Amiri" w:hAnsi="Amiri" w:eastAsia="Amiri" w:cs="Amiri"/>
          <w:color w:val="111111"/>
          <w:sz w:val="28"/>
          <w:sz w:val="28"/>
          <w:szCs w:val="28"/>
          <w:rtl w:val="true"/>
          <w:lang w:bidi="ar-SA"/>
        </w:rPr>
        <w:t xml:space="preserve">لكن ينافيه ما سيأتي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من الآية الكريمة</w:t>
      </w:r>
      <w:r>
        <w:rPr>
          <w:rFonts w:eastAsia="Amiri" w:cs="Amiri" w:ascii="Amiri" w:hAnsi="Amiri"/>
          <w:color w:val="111111"/>
          <w:sz w:val="28"/>
          <w:szCs w:val="28"/>
          <w:rtl w:val="true"/>
          <w:lang w:bidi="ar-SA"/>
        </w:rPr>
        <w:t>.</w:t>
      </w:r>
    </w:p>
    <w:p>
      <w:pPr>
        <w:pStyle w:val="BookText"/>
        <w:rPr/>
      </w:pP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يُبرئ ساحة العلماء من ممالأة المنحرفين أو نحو ذلك، كما سيأتي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الكريمة الوجوب ولو لم يترتب عليه أي أثر،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 هذا إطاعةً لأمر والدي ولعله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ظاهر الواو هنا أن كلاً منهما علة مستقلة، لا أن كلاً منهما جزء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الأمر في شرطية احتمال التأثير</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bookmarkStart w:id="940" w:name="pg15710_226986"/>
    </w:p>
    <w:p>
      <w:pPr>
        <w:pStyle w:val="BookText"/>
        <w:rPr/>
      </w:pPr>
      <w:bookmarkEnd w:id="940"/>
      <w:r>
        <w:rPr>
          <w:rFonts w:ascii="Amiri" w:hAnsi="Amiri" w:eastAsia="Amiri" w:cs="Amiri"/>
          <w:color w:val="111111"/>
          <w:sz w:val="28"/>
          <w:sz w:val="28"/>
          <w:szCs w:val="28"/>
          <w:rtl w:val="true"/>
          <w:lang w:bidi="ar-SA"/>
        </w:rPr>
        <w:t>الآيات والروايات والسيرة</w:t>
      </w:r>
      <w:r>
        <w:rPr>
          <w:rStyle w:val="FootnoteAnchor"/>
          <w:rtl w:val="true"/>
        </w:rPr>
        <w:footnoteReference w:id="1423"/>
      </w:r>
      <w:r>
        <w:rPr>
          <w:rFonts w:ascii="Amiri" w:hAnsi="Amiri" w:eastAsia="Amiri" w:cs="Amiri"/>
          <w:color w:val="111111"/>
          <w:sz w:val="28"/>
          <w:sz w:val="28"/>
          <w:szCs w:val="28"/>
          <w:rtl w:val="true"/>
          <w:lang w:bidi="ar-SA"/>
        </w:rPr>
        <w:t xml:space="preserve">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بالإضافة إلى أنه مقتضى القاعدة</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وأنه إتمام للحجة</w:t>
      </w:r>
      <w:r>
        <w:rPr>
          <w:rFonts w:eastAsia="Amiri" w:cs="Amiri" w:ascii="Amiri" w:hAnsi="Amiri"/>
          <w:color w:val="111111"/>
          <w:sz w:val="28"/>
          <w:szCs w:val="28"/>
          <w:rtl w:val="true"/>
          <w:lang w:bidi="ar-SA"/>
        </w:rPr>
        <w:t>.</w:t>
      </w:r>
    </w:p>
    <w:p>
      <w:pPr>
        <w:pStyle w:val="Heading2"/>
        <w:numPr>
          <w:ilvl w:val="1"/>
          <w:numId w:val="1"/>
        </w:numPr>
        <w:rPr/>
      </w:pPr>
      <w:bookmarkStart w:id="941" w:name="__RefHeading___Toc12184347_2142443653"/>
      <w:bookmarkStart w:id="942" w:name="_Toc354"/>
      <w:bookmarkEnd w:id="941"/>
      <w:r>
        <w:rPr>
          <w:rtl w:val="true"/>
        </w:rPr>
        <w:t>الأُمور العامة للمسلمين</w:t>
      </w:r>
      <w:bookmarkEnd w:id="942"/>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الأُمور العامة للمسلمين سواء كانت سياسية أم قضائية أم مالية أم عسكرية أم غير ذلك راجعة إلى اللّه تعالى، ثم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نائبه الخاص والعام، وإذا فرض عدم وجود</w:t>
      </w:r>
      <w:r>
        <w:rPr>
          <w:rStyle w:val="FootnoteAnchor"/>
          <w:rtl w:val="true"/>
        </w:rPr>
        <w:footnoteReference w:id="1424"/>
      </w:r>
      <w:r>
        <w:rPr>
          <w:rFonts w:ascii="IRNazanin" w:hAnsi="IRNazanin" w:eastAsia="IRNazanin"/>
          <w:color w:val="111111"/>
          <w:sz w:val="28"/>
          <w:sz w:val="28"/>
          <w:szCs w:val="28"/>
          <w:rtl w:val="true"/>
          <w:lang w:bidi="fa-IR"/>
        </w:rPr>
        <w:t xml:space="preserve"> النائب العام</w:t>
      </w:r>
      <w:r>
        <w:rPr>
          <w:rStyle w:val="FootnoteAnchor"/>
          <w:rtl w:val="true"/>
        </w:rPr>
        <w:footnoteReference w:id="1425"/>
      </w:r>
      <w:r>
        <w:rPr>
          <w:rFonts w:ascii="Amiri" w:hAnsi="Amiri" w:eastAsia="Amiri" w:cs="Amiri"/>
          <w:color w:val="111111"/>
          <w:sz w:val="28"/>
          <w:sz w:val="28"/>
          <w:szCs w:val="28"/>
          <w:rtl w:val="true"/>
          <w:lang w:bidi="ar-SA"/>
        </w:rPr>
        <w:t xml:space="preserve"> ولا وكيله فالتصدي يكون بيد عدول</w:t>
      </w:r>
    </w:p>
    <w:p>
      <w:pPr>
        <w:pStyle w:val="BookText"/>
        <w:rPr/>
      </w:pP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دليل لبي لا إطلاق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مقدمة للهداية ولردع المنكر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BookText"/>
        <w:rPr/>
      </w:pP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الوصول إليه، أو عدم إذنه مع القطع بلزوم الفعل، فإن القطع حجة عقلاً،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ولاية الفقيه في المكاسب</w:t>
      </w:r>
      <w:r>
        <w:rPr>
          <w:rStyle w:val="FootnoteAnchor"/>
          <w:rtl w:val="true"/>
        </w:rPr>
        <w:footnoteReference w:id="1429"/>
      </w:r>
      <w:r>
        <w:rPr>
          <w:rFonts w:ascii="Amiri" w:hAnsi="Amiri" w:eastAsia="Amiri" w:cs="Amiri"/>
          <w:color w:val="111111"/>
          <w:sz w:val="28"/>
          <w:sz w:val="28"/>
          <w:szCs w:val="28"/>
          <w:rtl w:val="true"/>
          <w:lang w:bidi="ar-SA"/>
        </w:rPr>
        <w:t>، وهل الولاية للفقيه أو الفقهاء؟ راجع نظرية الشورى</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وكتاب الدولة الإسلامية</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الأصل عدم الولاية مطلقاً، أو الولاية مطلقاً أو التفضيل،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إذ وجه لولاية أحد على أحد إلا في مكان اختياره على نفسه يوجب عدم استقامة معاش الناس ومعادهم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الحكم في الإسلام</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الإمام يأتي دور الفقيه الجامع للشرائط في الولاية، والضرورة قامت على ولايته في الجملة في أُمور الحسبة، التي يؤتى بها قربة إلى اللّه سبحانه؛ ولذا سميت بالحسبة، من الاحتساب له سبحانه رجاء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الكلام في ولايته العامة في باب التنفيذ، كولاية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الأصل العموم إلا ما خرج، أو أنّ الفقيه لا ولاية عامة له إلا ما دل الدليل على حقه في التولي، والظاهر الأول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3" w:name="pg15710_226987"/>
    </w:p>
    <w:p>
      <w:pPr>
        <w:pStyle w:val="BookText"/>
        <w:rPr/>
      </w:pPr>
      <w:bookmarkEnd w:id="943"/>
      <w:r>
        <w:rPr>
          <w:rFonts w:ascii="Amiri" w:hAnsi="Amiri" w:eastAsia="Amiri" w:cs="Amiri"/>
          <w:color w:val="111111"/>
          <w:sz w:val="28"/>
          <w:sz w:val="28"/>
          <w:szCs w:val="28"/>
          <w:rtl w:val="true"/>
          <w:lang w:bidi="ar-SA"/>
        </w:rPr>
        <w:t>المؤمنين</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تفصيله في الفقه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الآية، إلى غيرها من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عدول المؤمنين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لَوْلاَ يَنْهَاهُمُ الرَّبَّانِيُّونَ وَالأَحْبَارُ</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 xml:space="preserve">، فالرباني هو المربوط باللّه غير العالم، أما العالم فهو الحبر، 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Style w:val="FootnoteAnchor"/>
          <w:rtl w:val="true"/>
        </w:rPr>
        <w:footnoteReference w:id="1433"/>
      </w:r>
      <w:r>
        <w:rPr>
          <w:rFonts w:ascii="Amiri" w:hAnsi="Amiri" w:eastAsia="Amiri" w:cs="Amiri"/>
          <w:color w:val="111111"/>
          <w:sz w:val="28"/>
          <w:sz w:val="28"/>
          <w:szCs w:val="28"/>
          <w:rtl w:val="true"/>
          <w:lang w:bidi="ar-SA"/>
        </w:rPr>
        <w:t>استصحاب الشرائع السابقة، بالإضافة إلى أنّه إجماعي</w:t>
      </w:r>
      <w:r>
        <w:rPr>
          <w:rStyle w:val="FootnoteAnchor"/>
          <w:rtl w:val="true"/>
        </w:rPr>
        <w:footnoteReference w:id="1434"/>
      </w:r>
      <w:r>
        <w:rPr>
          <w:rFonts w:ascii="Amiri" w:hAnsi="Amiri" w:eastAsia="Amiri" w:cs="Amiri"/>
          <w:color w:val="111111"/>
          <w:sz w:val="28"/>
          <w:sz w:val="28"/>
          <w:szCs w:val="28"/>
          <w:rtl w:val="true"/>
          <w:lang w:bidi="ar-SA"/>
        </w:rPr>
        <w:t xml:space="preserve"> وعقلي</w:t>
      </w:r>
      <w:r>
        <w:rPr>
          <w:rFonts w:eastAsia="Amiri" w:cs="Amiri" w:ascii="Amiri" w:hAnsi="Amiri"/>
          <w:color w:val="111111"/>
          <w:sz w:val="28"/>
          <w:szCs w:val="28"/>
          <w:rtl w:val="true"/>
          <w:lang w:bidi="ar-SA"/>
        </w:rPr>
        <w:t>.</w:t>
      </w:r>
    </w:p>
    <w:p>
      <w:pPr>
        <w:pStyle w:val="Heading2"/>
        <w:numPr>
          <w:ilvl w:val="1"/>
          <w:numId w:val="1"/>
        </w:numPr>
        <w:rPr/>
      </w:pPr>
      <w:bookmarkStart w:id="944" w:name="__RefHeading___Toc12184349_2142443653"/>
      <w:bookmarkStart w:id="945" w:name="_Toc355"/>
      <w:bookmarkEnd w:id="944"/>
      <w:r>
        <w:rPr>
          <w:rtl w:val="true"/>
        </w:rPr>
        <w:t>المعاهدات الدولية مع الكفار</w:t>
      </w:r>
      <w:bookmarkEnd w:id="94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المسلم إلى مصادقة الكفار لأجل ترفيع مستوى المسلمين، حتى لا يتخلفوا</w:t>
      </w:r>
      <w:r>
        <w:rPr>
          <w:rStyle w:val="FootnoteAnchor"/>
          <w:rtl w:val="true"/>
        </w:rPr>
        <w:footnoteReference w:id="1435"/>
      </w:r>
      <w:r>
        <w:rPr>
          <w:rFonts w:ascii="Amiri" w:hAnsi="Amiri" w:eastAsia="Amiri" w:cs="Amiri"/>
          <w:color w:val="111111"/>
          <w:sz w:val="28"/>
          <w:sz w:val="28"/>
          <w:szCs w:val="28"/>
          <w:rtl w:val="true"/>
          <w:lang w:bidi="ar-SA"/>
        </w:rPr>
        <w:t xml:space="preserve"> عن مواكبة العالم، وحتى</w:t>
      </w:r>
    </w:p>
    <w:p>
      <w:pPr>
        <w:pStyle w:val="BookText"/>
        <w:rPr/>
      </w:pP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عدمهم بيد فساقهم</w:t>
      </w:r>
      <w:r>
        <w:rPr>
          <w:rFonts w:eastAsia="Amiri" w:cs="Amiri" w:ascii="Amiri" w:hAnsi="Amiri"/>
          <w:color w:val="111111"/>
          <w:sz w:val="28"/>
          <w:szCs w:val="28"/>
          <w:rtl w:val="true"/>
          <w:lang w:bidi="ar-SA"/>
        </w:rPr>
        <w:t>.</w:t>
      </w:r>
    </w:p>
    <w:p>
      <w:pPr>
        <w:pStyle w:val="BookText"/>
        <w:rPr/>
      </w:pP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يسوّغ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المصادقة الضارة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محل الكلام؟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التزاحم، فيلاحظ الأهم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يعلو</w:t>
      </w:r>
      <w:r>
        <w:rPr>
          <w:rStyle w:val="FootnoteAnchor"/>
          <w:rtl w:val="true"/>
        </w:rPr>
        <w:footnoteReference w:id="1439"/>
      </w:r>
      <w:r>
        <w:rPr>
          <w:rFonts w:ascii="Amiri" w:hAnsi="Amiri" w:eastAsia="Amiri" w:cs="Amiri"/>
          <w:color w:val="111111"/>
          <w:sz w:val="28"/>
          <w:sz w:val="28"/>
          <w:szCs w:val="28"/>
          <w:rtl w:val="true"/>
          <w:lang w:bidi="ar-SA"/>
        </w:rPr>
        <w:t xml:space="preserve"> عليهم سائر الاُمم، أو اضطر المسلمون للمصادقة لأجل مساندتهم ضد كافر غازي مهاجم، فاللازم مصادقة الكفار الذين هم أقل ضرراً وأبعد طمعاً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الضرورات تقدر بقدرها كماً وكيفاً، وهذا التحديد في المصادقة الضارة، وأما إذا لم يكن هناك محذور فلا إشكال</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في إيجاد الصداقات</w:t>
      </w:r>
    </w:p>
    <w:p>
      <w:pPr>
        <w:pStyle w:val="BookText"/>
        <w:rPr/>
      </w:pP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المطلوب علو المسلمين،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الأَعْلَوْنَ</w:t>
      </w:r>
      <w:r>
        <w:rPr>
          <w:rFonts w:eastAsia="Amiri" w:cs="Amiri" w:ascii="Amiri" w:hAnsi="Amiri"/>
          <w:color w:val="111111"/>
          <w:sz w:val="28"/>
          <w:szCs w:val="28"/>
          <w:rtl w:val="true"/>
          <w:lang w:bidi="ar-SA"/>
        </w:rPr>
        <w:t>}</w:t>
      </w:r>
      <w:r>
        <w:rPr>
          <w:rStyle w:val="FootnoteAnchor"/>
          <w:rtl w:val="true"/>
        </w:rPr>
        <w:footnoteReference w:id="1441"/>
      </w:r>
      <w:r>
        <w:rPr>
          <w:rFonts w:ascii="Amiri" w:hAnsi="Amiri" w:eastAsia="Amiri" w:cs="Amiri"/>
          <w:color w:val="111111"/>
          <w:sz w:val="28"/>
          <w:sz w:val="28"/>
          <w:szCs w:val="28"/>
          <w:rtl w:val="true"/>
          <w:lang w:bidi="ar-SA"/>
        </w:rPr>
        <w:t xml:space="preserve">،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w:t>
      </w:r>
      <w:r>
        <w:rPr>
          <w:rFonts w:eastAsia="Amiri" w:cs="Amiri" w:ascii="Amiri" w:hAnsi="Amiri"/>
          <w:color w:val="111111"/>
          <w:sz w:val="28"/>
          <w:szCs w:val="28"/>
          <w:rtl w:val="true"/>
          <w:lang w:bidi="ar-SA"/>
        </w:rPr>
        <w:t>»</w:t>
      </w:r>
      <w:r>
        <w:rPr>
          <w:rStyle w:val="FootnoteAnchor"/>
          <w:rtl w:val="true"/>
        </w:rPr>
        <w:footnoteReference w:id="1442"/>
      </w:r>
      <w:r>
        <w:rPr>
          <w:rFonts w:ascii="Amiri" w:hAnsi="Amiri" w:eastAsia="Amiri" w:cs="Amiri"/>
          <w:color w:val="111111"/>
          <w:sz w:val="28"/>
          <w:sz w:val="28"/>
          <w:szCs w:val="28"/>
          <w:rtl w:val="true"/>
          <w:lang w:bidi="ar-SA"/>
        </w:rPr>
        <w:t xml:space="preserve">، هذا مضافاً إلى أن عدم علو المسلمين يستلزم محرمات 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حراماً بالعنوان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الأوّل بأنه جملة خبرية،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في المسلمين، والحديث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الأعلى وحجته هي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علو الحجة وعلو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له في الإطلاق، لا أقل من الإجمال،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سند الحديث فهو بحاجة إلى 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استقبالية، أي في عهد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المضارع يشمل الحال وجميع الأزمنة المستقبلية، فتأمل</w:t>
      </w:r>
      <w:r>
        <w:rPr>
          <w:rFonts w:eastAsia="Amiri" w:cs="Amiri" w:ascii="Amiri" w:hAnsi="Amiri"/>
          <w:color w:val="111111"/>
          <w:sz w:val="28"/>
          <w:szCs w:val="28"/>
          <w:rtl w:val="true"/>
          <w:lang w:bidi="ar-SA"/>
        </w:rPr>
        <w:t>.</w:t>
      </w:r>
    </w:p>
    <w:p>
      <w:pPr>
        <w:pStyle w:val="BookText"/>
        <w:rPr/>
      </w:pP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الكريمة الناهية عن اتخاذهم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المحرمات مادة اتخاذ الكفار أولياء</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غير الصديق،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للشؤون، فتأمل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اتخاذ البطانة غير الصداقة، مع أنها معللة، فلاحظ</w:t>
      </w:r>
      <w:r>
        <w:rPr>
          <w:rFonts w:eastAsia="Amiri" w:cs="Amiri" w:ascii="Amiri" w:hAnsi="Amiri"/>
          <w:color w:val="111111"/>
          <w:sz w:val="28"/>
          <w:szCs w:val="28"/>
          <w:rtl w:val="true"/>
          <w:lang w:bidi="ar-SA"/>
        </w:rPr>
        <w:t xml:space="preserve">. </w:t>
      </w:r>
      <w:bookmarkStart w:id="946" w:name="pg15710_226989"/>
    </w:p>
    <w:p>
      <w:pPr>
        <w:pStyle w:val="BookText"/>
        <w:rPr/>
      </w:pPr>
      <w:bookmarkEnd w:id="946"/>
      <w:r>
        <w:rPr>
          <w:rFonts w:ascii="Amiri" w:hAnsi="Amiri" w:eastAsia="Amiri" w:cs="Amiri"/>
          <w:color w:val="111111"/>
          <w:sz w:val="28"/>
          <w:sz w:val="28"/>
          <w:szCs w:val="28"/>
          <w:rtl w:val="true"/>
          <w:lang w:bidi="ar-SA"/>
        </w:rPr>
        <w:t>والمعاهدات الدولية مع الكفار، لقوله تعالى</w:t>
      </w:r>
      <w:r>
        <w:rPr>
          <w:rStyle w:val="FootnoteAnchor"/>
          <w:rtl w:val="true"/>
        </w:rPr>
        <w:footnoteReference w:id="14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7" w:name="__RefHeading___Toc12184351_2142443653"/>
      <w:bookmarkStart w:id="948" w:name="_Toc356"/>
      <w:bookmarkEnd w:id="947"/>
      <w:r>
        <w:rPr>
          <w:rtl w:val="true"/>
        </w:rPr>
        <w:t>الاستعمار السياسي والاقتصادي</w:t>
      </w:r>
      <w:bookmarkEnd w:id="94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على المسلمين أن يدفعوا الكفار إذا أرادوا الاستيلاء عليهم استيلاءً عسكرياً، كذلك يجب عليهم الدفاع إذا أراد الكفار الاستيلاء عليهم استيلاءً سياسياً أو اقتصادياً أو ما أشبه، فإنه</w:t>
      </w:r>
      <w:r>
        <w:rPr>
          <w:rStyle w:val="FootnoteAnchor"/>
          <w:rtl w:val="true"/>
        </w:rPr>
        <w:footnoteReference w:id="14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الإسلام يعلو ولا يعلى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والقسط يغايران الصداقة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p>
    <w:p>
      <w:pPr>
        <w:pStyle w:val="BookText"/>
        <w:rPr/>
      </w:pP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حول البحث في الآية الكريمة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العبد المسلم للكافر، وبيع المصحف الشريف له</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التأمل فيه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bookmarkStart w:id="949" w:name="pg15710_226990"/>
    </w:p>
    <w:p>
      <w:pPr>
        <w:pStyle w:val="BookText"/>
        <w:rPr/>
      </w:pPr>
      <w:bookmarkEnd w:id="949"/>
      <w:r>
        <w:rPr>
          <w:rFonts w:ascii="Amiri" w:hAnsi="Amiri" w:eastAsia="Amiri" w:cs="Amiri"/>
          <w:color w:val="111111"/>
          <w:sz w:val="28"/>
          <w:sz w:val="28"/>
          <w:szCs w:val="28"/>
          <w:rtl w:val="true"/>
          <w:lang w:bidi="ar-SA"/>
        </w:rPr>
        <w:t>وغيره</w:t>
      </w:r>
      <w:r>
        <w:rPr>
          <w:rStyle w:val="FootnoteAnchor"/>
          <w:rtl w:val="true"/>
        </w:rPr>
        <w:footnoteReference w:id="1454"/>
      </w:r>
      <w:r>
        <w:rPr>
          <w:rFonts w:ascii="Amiri" w:hAnsi="Amiri" w:eastAsia="Amiri" w:cs="Amiri"/>
          <w:color w:val="111111"/>
          <w:sz w:val="28"/>
          <w:sz w:val="28"/>
          <w:szCs w:val="28"/>
          <w:rtl w:val="true"/>
          <w:lang w:bidi="ar-SA"/>
        </w:rPr>
        <w:t xml:space="preserve"> من الأدلة</w:t>
      </w:r>
      <w:r>
        <w:rPr>
          <w:rFonts w:eastAsia="Amiri" w:cs="Amiri" w:ascii="Amiri" w:hAnsi="Amiri"/>
          <w:color w:val="111111"/>
          <w:sz w:val="28"/>
          <w:szCs w:val="28"/>
          <w:rtl w:val="true"/>
          <w:lang w:bidi="ar-SA"/>
        </w:rPr>
        <w:t>.</w:t>
      </w:r>
    </w:p>
    <w:p>
      <w:pPr>
        <w:pStyle w:val="Heading2"/>
        <w:numPr>
          <w:ilvl w:val="1"/>
          <w:numId w:val="1"/>
        </w:numPr>
        <w:rPr/>
      </w:pPr>
      <w:bookmarkStart w:id="950" w:name="__RefHeading___Toc12184353_2142443653"/>
      <w:bookmarkStart w:id="951" w:name="_Toc357"/>
      <w:bookmarkEnd w:id="950"/>
      <w:r>
        <w:rPr>
          <w:rtl w:val="true"/>
        </w:rPr>
        <w:t>المعاهدات الاقتصادية مع الأجانب</w:t>
      </w:r>
      <w:bookmarkEnd w:id="95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الاتصال التجاري ببعض بلاد الكفار منفذاً لاستيلائهم تجارياً أو سياسياً أو اقتصادياً أو ما أشبه على بلاد الإسلام حرم الاتصال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لأنها مقدمة الحرام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حينئذٍ، وهي محرمة عقلاً</w:t>
      </w:r>
      <w:r>
        <w:rPr>
          <w:rFonts w:eastAsia="Amiri" w:cs="Amiri" w:ascii="Amiri" w:hAnsi="Amiri"/>
          <w:color w:val="111111"/>
          <w:sz w:val="28"/>
          <w:szCs w:val="28"/>
          <w:rtl w:val="true"/>
          <w:lang w:bidi="ar-SA"/>
        </w:rPr>
        <w:t>.</w:t>
      </w:r>
    </w:p>
    <w:p>
      <w:pPr>
        <w:pStyle w:val="Heading2"/>
        <w:numPr>
          <w:ilvl w:val="1"/>
          <w:numId w:val="1"/>
        </w:numPr>
        <w:rPr/>
      </w:pPr>
      <w:bookmarkStart w:id="952" w:name="__RefHeading___Toc12184355_2142443653"/>
      <w:bookmarkStart w:id="953" w:name="_Toc358"/>
      <w:bookmarkEnd w:id="952"/>
      <w:r>
        <w:rPr>
          <w:rtl w:val="true"/>
        </w:rPr>
        <w:t>الشركات الاستعمارية</w:t>
      </w:r>
      <w:bookmarkEnd w:id="95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الشركات الكافرة التي يخشى فيها على بلاد الإسلام بأن تكون منفذا للاستيلاء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الشركة</w:t>
      </w:r>
      <w:r>
        <w:rPr>
          <w:rStyle w:val="FootnoteAnchor"/>
          <w:rtl w:val="true"/>
        </w:rPr>
        <w:footnoteReference w:id="1455"/>
      </w:r>
      <w:r>
        <w:rPr>
          <w:rFonts w:ascii="Amiri" w:hAnsi="Amiri" w:eastAsia="Amiri" w:cs="Amiri"/>
          <w:color w:val="111111"/>
          <w:sz w:val="28"/>
          <w:sz w:val="28"/>
          <w:szCs w:val="28"/>
          <w:rtl w:val="true"/>
          <w:lang w:bidi="ar-SA"/>
        </w:rPr>
        <w:t xml:space="preserve"> الهندية الشرقية، التي أسسها الأجانب في الهند قبل قرون وآل أمرها إلى الاستيلاء على تلك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w:t>
      </w:r>
      <w:r>
        <w:rPr>
          <w:rStyle w:val="FootnoteAnchor"/>
          <w:rtl w:val="true"/>
        </w:rPr>
        <w:footnoteReference w:id="1456"/>
      </w:r>
      <w:r>
        <w:rPr>
          <w:rFonts w:ascii="Amiri" w:hAnsi="Amiri" w:eastAsia="Amiri" w:cs="Amiri"/>
          <w:color w:val="111111"/>
          <w:sz w:val="28"/>
          <w:sz w:val="28"/>
          <w:szCs w:val="28"/>
          <w:rtl w:val="true"/>
          <w:lang w:bidi="ar-SA"/>
        </w:rPr>
        <w:t xml:space="preserve"> لحكومة المسلمين منحها الإجازة، وإذا فتحت الشركة يجب</w:t>
      </w:r>
    </w:p>
    <w:p>
      <w:pPr>
        <w:pStyle w:val="BookText"/>
        <w:rPr/>
      </w:pP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سبق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Style w:val="FootnoteAnchor"/>
          <w:rtl w:val="true"/>
        </w:rPr>
        <w:footnoteReference w:id="1458"/>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الأَعْلَوْنَ</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p>
    <w:p>
      <w:pPr>
        <w:pStyle w:val="BookText"/>
        <w:rPr/>
      </w:pP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سبق بيانه في المسألتين الماضيتين</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p>
    <w:p>
      <w:pPr>
        <w:pStyle w:val="BookText"/>
        <w:rPr/>
      </w:pPr>
      <w:r>
        <w:rPr>
          <w:rStyle w:val="FootnoteAnchor"/>
          <w:rtl w:val="true"/>
        </w:rPr>
        <w:footnoteReference w:id="1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شركة التبغ في إيران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دفع مثل هذا الضرر العظيم وإن كان محتملاً فأنه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w:t>
      </w:r>
      <w:bookmarkStart w:id="954" w:name="pg15710_226991"/>
    </w:p>
    <w:p>
      <w:pPr>
        <w:pStyle w:val="BookText"/>
        <w:rPr/>
      </w:pPr>
      <w:bookmarkEnd w:id="954"/>
      <w:r>
        <w:rPr>
          <w:rFonts w:ascii="Amiri" w:hAnsi="Amiri" w:eastAsia="Amiri" w:cs="Amiri"/>
          <w:color w:val="111111"/>
          <w:sz w:val="28"/>
          <w:sz w:val="28"/>
          <w:szCs w:val="28"/>
          <w:rtl w:val="true"/>
          <w:lang w:bidi="ar-SA"/>
        </w:rPr>
        <w:t>على المسلمين غلقها</w:t>
      </w:r>
      <w:r>
        <w:rPr>
          <w:rStyle w:val="FootnoteAnchor"/>
          <w:rtl w:val="true"/>
        </w:rPr>
        <w:footnoteReference w:id="1464"/>
      </w:r>
      <w:r>
        <w:rPr>
          <w:rFonts w:ascii="Amiri" w:hAnsi="Amiri" w:eastAsia="Amiri" w:cs="Amiri"/>
          <w:color w:val="111111"/>
          <w:sz w:val="28"/>
          <w:sz w:val="28"/>
          <w:szCs w:val="28"/>
          <w:rtl w:val="true"/>
          <w:lang w:bidi="ar-SA"/>
        </w:rPr>
        <w:t xml:space="preserve"> وإبعادها، وإن لم يتمكنوا من ذلك يجب عليهم مقاطعتها وعدم التعامل معها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حسب مراتب دفع المنكر</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والنهي عنه</w:t>
      </w:r>
      <w:r>
        <w:rPr>
          <w:rFonts w:eastAsia="Amiri" w:cs="Amiri" w:ascii="Amiri" w:hAnsi="Amiri"/>
          <w:color w:val="111111"/>
          <w:sz w:val="28"/>
          <w:szCs w:val="28"/>
          <w:rtl w:val="true"/>
          <w:lang w:bidi="ar-SA"/>
        </w:rPr>
        <w:t>.</w:t>
      </w:r>
    </w:p>
    <w:p>
      <w:pPr>
        <w:pStyle w:val="Heading2"/>
        <w:numPr>
          <w:ilvl w:val="1"/>
          <w:numId w:val="1"/>
        </w:numPr>
        <w:rPr/>
      </w:pPr>
      <w:bookmarkStart w:id="955" w:name="__RefHeading___Toc12184357_2142443653"/>
      <w:bookmarkStart w:id="956" w:name="_Toc359"/>
      <w:bookmarkEnd w:id="955"/>
      <w:r>
        <w:rPr>
          <w:rtl w:val="true"/>
        </w:rPr>
        <w:t>الشركات المساهمة مع الكفار</w:t>
      </w:r>
      <w:bookmarkEnd w:id="95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الشركات التي تجعل حصة من أرباحها لنفع الكافر المحارب ونحوه لا يجوز</w:t>
      </w:r>
      <w:r>
        <w:rPr>
          <w:rStyle w:val="FootnoteAnchor"/>
          <w:rtl w:val="true"/>
        </w:rPr>
        <w:footnoteReference w:id="1465"/>
      </w:r>
      <w:r>
        <w:rPr>
          <w:rFonts w:ascii="IRNazanin" w:hAnsi="IRNazanin" w:eastAsia="IRNazanin"/>
          <w:color w:val="111111"/>
          <w:sz w:val="28"/>
          <w:sz w:val="28"/>
          <w:szCs w:val="28"/>
          <w:rtl w:val="true"/>
          <w:lang w:bidi="fa-IR"/>
        </w:rPr>
        <w:t xml:space="preserve"> التعامل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التقليد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w:t>
      </w:r>
      <w:r>
        <w:rPr>
          <w:rStyle w:val="FootnoteAnchor"/>
          <w:rtl w:val="true"/>
        </w:rPr>
        <w:footnoteReference w:id="1466"/>
      </w:r>
      <w:r>
        <w:rPr>
          <w:rFonts w:ascii="IRNazanin" w:hAnsi="IRNazanin" w:eastAsia="IRNazanin"/>
          <w:color w:val="111111"/>
          <w:sz w:val="28"/>
          <w:sz w:val="28"/>
          <w:szCs w:val="28"/>
          <w:rtl w:val="true"/>
          <w:lang w:bidi="fa-IR"/>
        </w:rPr>
        <w:t>ومباحث الانسداد</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ذلك تصفيتها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ستأتي الإشارة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Style w:val="FootnoteAnchor"/>
          <w:rtl w:val="true"/>
        </w:rPr>
        <w:footnoteReference w:id="1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وفى ذلك بالغرض</w:t>
      </w:r>
      <w:r>
        <w:rPr>
          <w:rFonts w:eastAsia="Amiri" w:cs="Amiri" w:ascii="Amiri" w:hAnsi="Amiri"/>
          <w:color w:val="111111"/>
          <w:sz w:val="28"/>
          <w:szCs w:val="28"/>
          <w:rtl w:val="true"/>
          <w:lang w:bidi="ar-SA"/>
        </w:rPr>
        <w:t>.</w:t>
      </w:r>
    </w:p>
    <w:p>
      <w:pPr>
        <w:pStyle w:val="BookText"/>
        <w:rPr/>
      </w:pP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العنب ممن يعمله خمراً، ومسألة الإعانة على الإثم</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إطلاقه نظر؛ إذ قد تنفعه في تبليط شوارعه مثلاً، أو في خدماته </w:t>
      </w:r>
      <w:bookmarkStart w:id="957" w:name="pg15710_226992"/>
    </w:p>
    <w:p>
      <w:pPr>
        <w:pStyle w:val="BookText"/>
        <w:rPr/>
      </w:pPr>
      <w:bookmarkEnd w:id="9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لأنها تصب</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في كيس المحارب للمسلمين</w:t>
      </w:r>
      <w:r>
        <w:rPr>
          <w:rFonts w:eastAsia="Amiri" w:cs="Amiri" w:ascii="Amiri" w:hAnsi="Amiri"/>
          <w:color w:val="111111"/>
          <w:sz w:val="28"/>
          <w:szCs w:val="28"/>
          <w:rtl w:val="true"/>
          <w:lang w:bidi="ar-SA"/>
        </w:rPr>
        <w:t>.</w:t>
      </w:r>
    </w:p>
    <w:p>
      <w:pPr>
        <w:pStyle w:val="Heading2"/>
        <w:numPr>
          <w:ilvl w:val="1"/>
          <w:numId w:val="1"/>
        </w:numPr>
        <w:rPr/>
      </w:pPr>
      <w:bookmarkStart w:id="958" w:name="__RefHeading___Toc12184359_2142443653"/>
      <w:bookmarkStart w:id="959" w:name="_Toc360"/>
      <w:bookmarkEnd w:id="958"/>
      <w:r>
        <w:rPr>
          <w:rtl w:val="true"/>
        </w:rPr>
        <w:t>تطهير مظاهر الخمور والفجور</w:t>
      </w:r>
      <w:bookmarkEnd w:id="95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أهل بلد أو قرية الاهتمام لغلق المحلات المحرمة، وتصفيتها</w:t>
      </w:r>
      <w:r>
        <w:rPr>
          <w:rStyle w:val="FootnoteAnchor"/>
          <w:rtl w:val="true"/>
        </w:rPr>
        <w:footnoteReference w:id="1473"/>
      </w:r>
      <w:r>
        <w:rPr>
          <w:rFonts w:ascii="Amiri" w:hAnsi="Amiri" w:eastAsia="Amiri" w:cs="Amiri"/>
          <w:color w:val="111111"/>
          <w:sz w:val="28"/>
          <w:sz w:val="28"/>
          <w:szCs w:val="28"/>
          <w:rtl w:val="true"/>
          <w:lang w:bidi="ar-SA"/>
        </w:rPr>
        <w:t xml:space="preserve"> عن الحرام، كغلق حوانيت الخمور والبغي، وكتصفية المدارس والأحواض المختلطة عن 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الإنسانية، فلا وجه لعدم الجواز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المصرف فالظاهر أنه حيث إن المحتمل خطر كبير يجب التجنب</w:t>
      </w:r>
      <w:r>
        <w:rPr>
          <w:rFonts w:eastAsia="Amiri" w:cs="Amiri" w:ascii="Amiri" w:hAnsi="Amiri"/>
          <w:color w:val="111111"/>
          <w:sz w:val="28"/>
          <w:szCs w:val="28"/>
          <w:rtl w:val="true"/>
          <w:lang w:bidi="ar-SA"/>
        </w:rPr>
        <w:t>.</w:t>
      </w:r>
    </w:p>
    <w:p>
      <w:pPr>
        <w:pStyle w:val="BookText"/>
        <w:rPr/>
      </w:pP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إعانة على الإثم، وخلاف المركوز في أذهان المتشرعة، هذا وراجع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السلاح لأعداء الدين والتفاصيل المذكورة هنالك</w:t>
      </w:r>
      <w:r>
        <w:rPr>
          <w:rFonts w:eastAsia="Amiri" w:cs="Amiri" w:ascii="Amiri" w:hAnsi="Amiri"/>
          <w:color w:val="111111"/>
          <w:sz w:val="28"/>
          <w:szCs w:val="28"/>
          <w:rtl w:val="true"/>
          <w:lang w:bidi="ar-SA"/>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Style w:val="FootnoteAnchor"/>
          <w:rtl w:val="true"/>
        </w:rPr>
        <w:footnoteReference w:id="1477"/>
      </w:r>
      <w:r>
        <w:rPr>
          <w:rFonts w:ascii="Amiri" w:hAnsi="Amiri" w:eastAsia="Amiri" w:cs="Amiri"/>
          <w:color w:val="111111"/>
          <w:sz w:val="28"/>
          <w:sz w:val="28"/>
          <w:szCs w:val="28"/>
          <w:rtl w:val="true"/>
          <w:lang w:bidi="ar-SA"/>
        </w:rPr>
        <w:t>أنَّ التصفية مقدمة على الإغلاق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أيضاً مسألة عزل الوصي أو الضم إليه</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 xml:space="preserve">. </w:t>
      </w:r>
      <w:bookmarkStart w:id="960" w:name="pg15710_226993"/>
    </w:p>
    <w:p>
      <w:pPr>
        <w:pStyle w:val="BookText"/>
        <w:rPr/>
      </w:pPr>
      <w:bookmarkEnd w:id="9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لوجوب النهي عن المنكر ودفعه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والغلق والتصفية من مصاديقهما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ذكرنا بأهل البلد والقرية من باب أنهم القادرون غالباً، وإلا فالوجوب على الجميع</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w:t>
      </w:r>
    </w:p>
    <w:p>
      <w:pPr>
        <w:pStyle w:val="Heading2"/>
        <w:numPr>
          <w:ilvl w:val="1"/>
          <w:numId w:val="1"/>
        </w:numPr>
        <w:rPr/>
      </w:pPr>
      <w:bookmarkStart w:id="961" w:name="__RefHeading___Toc12184361_2142443653"/>
      <w:bookmarkStart w:id="962" w:name="_Toc361"/>
      <w:bookmarkEnd w:id="961"/>
      <w:r>
        <w:rPr>
          <w:rtl w:val="true"/>
        </w:rPr>
        <w:t>من واجب الدول الإسلامية تجاه الدول الأُخرى</w:t>
      </w:r>
      <w:bookmarkEnd w:id="96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جميع الدول الإسلامية إنقاذ دولة إسلامية، أو فئة مسلمة وقعت تحت أسر الكفار سياسياً أو اقتصادياً أو عسكرياً أو 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ذلك الأدلة الأربعة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 بالإضافة إلى أنه من أوضح الضروريات،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سمع رجلاً ينادي يا للمسلمين فلم يجبه فليس بمسلم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الكلام فيه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الأَعْلَوْنَ</w:t>
      </w:r>
      <w:r>
        <w:rPr>
          <w:rFonts w:eastAsia="Amiri" w:cs="Amiri" w:ascii="Amiri" w:hAnsi="Amiri"/>
          <w:color w:val="111111"/>
          <w:sz w:val="28"/>
          <w:szCs w:val="28"/>
          <w:rtl w:val="true"/>
          <w:lang w:bidi="ar-SA"/>
        </w:rPr>
        <w:t>}</w:t>
      </w:r>
      <w:r>
        <w:rPr>
          <w:rStyle w:val="FootnoteAnchor"/>
          <w:rtl w:val="true"/>
        </w:rPr>
        <w:footnoteReference w:id="148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مُّسْتَضْعَفُونَ فِي الأَرْضِ</w:t>
      </w:r>
      <w:r>
        <w:rPr>
          <w:rFonts w:eastAsia="Amiri" w:cs="Amiri" w:ascii="Amiri" w:hAnsi="Amiri"/>
          <w:color w:val="111111"/>
          <w:sz w:val="28"/>
          <w:szCs w:val="28"/>
          <w:rtl w:val="true"/>
          <w:lang w:bidi="ar-SA"/>
        </w:rPr>
        <w:t>}</w:t>
      </w:r>
      <w:r>
        <w:rPr>
          <w:rStyle w:val="FootnoteAnchor"/>
          <w:rtl w:val="true"/>
        </w:rPr>
        <w:footnoteReference w:id="1483"/>
      </w:r>
      <w:r>
        <w:rPr>
          <w:rFonts w:ascii="Amiri" w:hAnsi="Amiri" w:eastAsia="Amiri" w:cs="Amiri"/>
          <w:color w:val="111111"/>
          <w:sz w:val="28"/>
          <w:sz w:val="28"/>
          <w:szCs w:val="28"/>
          <w:rtl w:val="true"/>
          <w:lang w:bidi="ar-SA"/>
        </w:rPr>
        <w:t xml:space="preserve">، وآيات الأمر والنهي،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w:t>
      </w:r>
      <w:r>
        <w:rPr>
          <w:rStyle w:val="FootnoteAnchor"/>
          <w:rtl w:val="true"/>
        </w:rPr>
        <w:footnoteReference w:id="1484"/>
      </w:r>
      <w:r>
        <w:rPr>
          <w:rFonts w:ascii="Amiri" w:hAnsi="Amiri" w:eastAsia="Amiri" w:cs="Amiri"/>
          <w:color w:val="111111"/>
          <w:sz w:val="28"/>
          <w:sz w:val="28"/>
          <w:szCs w:val="28"/>
          <w:rtl w:val="true"/>
          <w:lang w:bidi="ar-SA"/>
        </w:rPr>
        <w:t xml:space="preserve">والروايات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w:t>
      </w:r>
      <w:r>
        <w:rPr>
          <w:rFonts w:eastAsia="Amiri" w:cs="Amiri" w:ascii="Amiri" w:hAnsi="Amiri"/>
          <w:color w:val="111111"/>
          <w:sz w:val="28"/>
          <w:szCs w:val="28"/>
          <w:rtl w:val="true"/>
          <w:lang w:bidi="ar-SA"/>
        </w:rPr>
        <w:t>»</w:t>
      </w:r>
      <w:r>
        <w:rPr>
          <w:rStyle w:val="FootnoteAnchor"/>
          <w:rtl w:val="true"/>
        </w:rPr>
        <w:footnoteReference w:id="1485"/>
      </w:r>
      <w:r>
        <w:rPr>
          <w:rFonts w:ascii="Amiri" w:hAnsi="Amiri" w:eastAsia="Amiri" w:cs="Amiri"/>
          <w:color w:val="111111"/>
          <w:sz w:val="28"/>
          <w:sz w:val="28"/>
          <w:szCs w:val="28"/>
          <w:rtl w:val="true"/>
          <w:lang w:bidi="ar-SA"/>
        </w:rPr>
        <w:t>وغيرها، وقد سبق بعض الكلام في بعض ما ذكر</w:t>
      </w:r>
      <w:r>
        <w:rPr>
          <w:rFonts w:eastAsia="Amiri" w:cs="Amiri" w:ascii="Amiri" w:hAnsi="Amiri"/>
          <w:color w:val="111111"/>
          <w:sz w:val="28"/>
          <w:szCs w:val="28"/>
          <w:rtl w:val="true"/>
          <w:lang w:bidi="ar-SA"/>
        </w:rPr>
        <w:t xml:space="preserve">. </w:t>
      </w:r>
      <w:bookmarkStart w:id="963" w:name="pg15710_226994"/>
    </w:p>
    <w:p>
      <w:pPr>
        <w:pStyle w:val="Heading2"/>
        <w:numPr>
          <w:ilvl w:val="1"/>
          <w:numId w:val="1"/>
        </w:numPr>
        <w:rPr/>
      </w:pPr>
      <w:bookmarkStart w:id="964" w:name="__RefHeading___Toc12184363_2142443653"/>
      <w:bookmarkStart w:id="965" w:name="_Toc362"/>
      <w:bookmarkEnd w:id="963"/>
      <w:bookmarkEnd w:id="964"/>
      <w:r>
        <w:rPr>
          <w:rtl w:val="true"/>
        </w:rPr>
        <w:t>دعم الفئات والدول الإسلامية</w:t>
      </w:r>
      <w:bookmarkEnd w:id="96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خيف على دولة إسلامية أو فئة مسلمة أن تقع فريسة للكفار وجب على جميع الدول الإسلامية درء الخطر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دفع الضرر المحتمل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واجب فكيف بمثل ذلك؟</w:t>
      </w:r>
    </w:p>
    <w:p>
      <w:pPr>
        <w:pStyle w:val="BookText"/>
        <w:rPr/>
      </w:pPr>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966" w:name="__RefHeading___Toc12184365_2142443653"/>
      <w:bookmarkStart w:id="967" w:name="_Toc363"/>
      <w:bookmarkEnd w:id="966"/>
      <w:r>
        <w:rPr>
          <w:rtl w:val="true"/>
        </w:rPr>
        <w:t>وجوب الإنقاذ عيني وكفائي</w:t>
      </w:r>
      <w:bookmarkEnd w:id="96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المذكور في المسألة السابقة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عيني إذا لم يمكن الإنقاذ والدرء إلا بجميع دول الإسلام، وكفائي إذا أمكن الإنقاذ والدرء ببعضها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وذكرنا دول الإسلام من باب أنها المصداق في زماننا، وإلا فاللازم أن يكون المسلمون اُمة واحدة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ولهم دولة واحدة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التقليد ودليل الانسداد والبراءة</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أعظم الأضرار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p>
    <w:p>
      <w:pPr>
        <w:pStyle w:val="BookText"/>
        <w:rPr/>
      </w:pP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إذ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 فتأمل</w:t>
      </w:r>
      <w:r>
        <w:rPr>
          <w:rFonts w:eastAsia="Amiri" w:cs="Amiri" w:ascii="Amiri" w:hAnsi="Amiri"/>
          <w:color w:val="111111"/>
          <w:sz w:val="28"/>
          <w:szCs w:val="28"/>
          <w:rtl w:val="true"/>
          <w:lang w:bidi="ar-SA"/>
        </w:rPr>
        <w:t xml:space="preserve">. </w:t>
      </w:r>
      <w:bookmarkStart w:id="968" w:name="pg15710_226995"/>
    </w:p>
    <w:p>
      <w:pPr>
        <w:pStyle w:val="BookText"/>
        <w:rPr/>
      </w:pPr>
      <w:bookmarkEnd w:id="968"/>
      <w:r>
        <w:rPr>
          <w:rFonts w:ascii="IRNazanin" w:hAnsi="IRNazanin" w:eastAsia="IRNazanin"/>
          <w:color w:val="111111"/>
          <w:sz w:val="28"/>
          <w:sz w:val="28"/>
          <w:szCs w:val="28"/>
          <w:rtl w:val="true"/>
          <w:lang w:bidi="fa-IR"/>
        </w:rPr>
        <w:t xml:space="preserve">كما في زماني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ذكرنا تفصيل الدولة والدول في الفقه</w:t>
      </w:r>
      <w:r>
        <w:rPr>
          <w:rFonts w:eastAsia="IRNazanin" w:cs="IRNazanin"/>
          <w:color w:val="111111"/>
          <w:sz w:val="28"/>
          <w:szCs w:val="28"/>
          <w:rtl w:val="true"/>
          <w:lang w:bidi="fa-IR"/>
        </w:rPr>
        <w:t>.</w:t>
      </w:r>
    </w:p>
    <w:p>
      <w:pPr>
        <w:pStyle w:val="Heading2"/>
        <w:numPr>
          <w:ilvl w:val="1"/>
          <w:numId w:val="1"/>
        </w:numPr>
        <w:rPr/>
      </w:pPr>
      <w:bookmarkStart w:id="969" w:name="__RefHeading___Toc12184367_2142443653"/>
      <w:bookmarkStart w:id="970" w:name="_Toc364"/>
      <w:bookmarkEnd w:id="969"/>
      <w:r>
        <w:rPr>
          <w:rtl w:val="true"/>
        </w:rPr>
        <w:t>المؤسسات والمنظمات المندسة</w:t>
      </w:r>
      <w:bookmarkEnd w:id="97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صارت مؤسسة</w:t>
      </w:r>
      <w:r>
        <w:rPr>
          <w:rStyle w:val="FootnoteAnchor"/>
          <w:rtl w:val="true"/>
        </w:rPr>
        <w:footnoteReference w:id="1493"/>
      </w:r>
      <w:r>
        <w:rPr>
          <w:rFonts w:ascii="Amiri" w:hAnsi="Amiri" w:eastAsia="Amiri" w:cs="Amiri"/>
          <w:color w:val="111111"/>
          <w:sz w:val="28"/>
          <w:sz w:val="28"/>
          <w:szCs w:val="28"/>
          <w:rtl w:val="true"/>
          <w:lang w:bidi="ar-SA"/>
        </w:rPr>
        <w:t xml:space="preserve"> أو شركة أو جمعية أو ما أشبه منفذاً</w:t>
      </w:r>
      <w:r>
        <w:rPr>
          <w:rStyle w:val="FootnoteAnchor"/>
          <w:rtl w:val="true"/>
        </w:rPr>
        <w:footnoteReference w:id="1494"/>
      </w:r>
      <w:r>
        <w:rPr>
          <w:rFonts w:ascii="Amiri" w:hAnsi="Amiri" w:eastAsia="Amiri" w:cs="Amiri"/>
          <w:color w:val="111111"/>
          <w:sz w:val="28"/>
          <w:sz w:val="28"/>
          <w:szCs w:val="28"/>
          <w:rtl w:val="true"/>
          <w:lang w:bidi="ar-SA"/>
        </w:rPr>
        <w:t xml:space="preserve"> للكفار إلى بلاد الإسلام وجب غلقها، أو تنظيفها عن الخطر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أمكن التنظيف قدم</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فالأمة العربية أمة واحدة، مع أنّها تحكمها دول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والأوربيون أمم متعددة مع أنّها تحكمها دول شبه واحدة، فإنها تسير تدريجياً نحو الوحدة،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لا يدل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بعض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وجود دول متعددة يلازم عادةً محرمات، ويضاد عادةً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والجمارك والتمايز وما أشبه،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pStyle w:val="BookText"/>
        <w:rPr/>
      </w:pP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مسألة </w:t>
      </w:r>
      <w:r>
        <w:rPr>
          <w:rFonts w:eastAsia="Amiri" w:cs="Amiri" w:ascii="Amiri" w:hAnsi="Amiri"/>
          <w:color w:val="111111"/>
          <w:sz w:val="28"/>
          <w:szCs w:val="28"/>
          <w:lang w:bidi="ar-SA"/>
        </w:rPr>
        <w:t>778</w:t>
      </w:r>
      <w:r>
        <w:rPr>
          <w:rStyle w:val="FootnoteAnchor"/>
          <w:rtl w:val="true"/>
        </w:rPr>
        <w:footnoteReference w:id="1496"/>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779</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كشركة التبغ في إيران كما سبق</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المسألة </w:t>
      </w:r>
      <w:r>
        <w:rPr>
          <w:rFonts w:eastAsia="Amiri" w:cs="Amiri" w:ascii="Amiri" w:hAnsi="Amiri"/>
          <w:color w:val="111111"/>
          <w:sz w:val="28"/>
          <w:szCs w:val="28"/>
          <w:lang w:bidi="ar-SA"/>
        </w:rPr>
        <w:t>781</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 xml:space="preserve">. </w:t>
      </w:r>
      <w:bookmarkStart w:id="971" w:name="pg15710_226996"/>
    </w:p>
    <w:p>
      <w:pPr>
        <w:pStyle w:val="BookText"/>
        <w:rPr/>
      </w:pPr>
      <w:bookmarkEnd w:id="971"/>
      <w:r>
        <w:rPr>
          <w:rFonts w:ascii="Amiri" w:hAnsi="Amiri" w:eastAsia="Amiri" w:cs="Amiri"/>
          <w:color w:val="111111"/>
          <w:sz w:val="28"/>
          <w:sz w:val="28"/>
          <w:szCs w:val="28"/>
          <w:rtl w:val="true"/>
          <w:lang w:bidi="ar-SA"/>
        </w:rPr>
        <w:t>لأنه لا يجوز سلب</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الحريات أكثر من القدر اللازم، وإن لم يمكن التنظيف وجب الغلق؛ لأنه الدافع للمنكر والرافع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Heading2"/>
        <w:numPr>
          <w:ilvl w:val="1"/>
          <w:numId w:val="1"/>
        </w:numPr>
        <w:rPr/>
      </w:pPr>
      <w:bookmarkStart w:id="972" w:name="__RefHeading___Toc12184369_2142443653"/>
      <w:bookmarkStart w:id="973" w:name="_Toc365"/>
      <w:bookmarkEnd w:id="972"/>
      <w:r>
        <w:rPr>
          <w:rtl w:val="true"/>
        </w:rPr>
        <w:t>مقاطعة المؤسسات الاستعمارية</w:t>
      </w:r>
      <w:bookmarkEnd w:id="97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الإقصاء والغلق بالنسبة إلى ما ذكر في المسألة السابقة يجب على المسلمين مقاطعة ذلك الشخص وتلك المؤسسة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سبحانه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عَدُوِّي وَعَدُوَّكُمْ 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الروايات مقاطعة فاعل المنكر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إلى غير ذلك مما لا يخفى</w:t>
      </w:r>
      <w:r>
        <w:rPr>
          <w:rFonts w:eastAsia="Amiri" w:cs="Amiri" w:ascii="Amiri" w:hAnsi="Amiri"/>
          <w:color w:val="111111"/>
          <w:sz w:val="28"/>
          <w:szCs w:val="28"/>
          <w:rtl w:val="true"/>
          <w:lang w:bidi="ar-SA"/>
        </w:rPr>
        <w:t>.</w:t>
      </w:r>
    </w:p>
    <w:p>
      <w:pPr>
        <w:pStyle w:val="Heading2"/>
        <w:numPr>
          <w:ilvl w:val="1"/>
          <w:numId w:val="1"/>
        </w:numPr>
        <w:rPr/>
      </w:pPr>
      <w:bookmarkStart w:id="974" w:name="__RefHeading___Toc12184371_2142443653"/>
      <w:bookmarkStart w:id="975" w:name="_Toc366"/>
      <w:bookmarkEnd w:id="974"/>
      <w:r>
        <w:rPr>
          <w:rtl w:val="true"/>
        </w:rPr>
        <w:t>التطلع على عورات الناس</w:t>
      </w:r>
      <w:bookmarkEnd w:id="97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إنسان مرآة أو نحوها في داره أو محل آخر،</w:t>
      </w:r>
    </w:p>
    <w:p>
      <w:pPr>
        <w:pStyle w:val="BookText"/>
        <w:rPr/>
      </w:pP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الضرورات تقدر بقدرها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الكلام فيه</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ترتبط بالهيمنة لا بمطلق النفوذ، فتأمل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وأخذ يشرف منها على عورة رجل أو جسم امرأة وجب على الإنسان التحفظ</w:t>
      </w:r>
      <w:r>
        <w:rPr>
          <w:rStyle w:val="FootnoteAnchor"/>
          <w:rtl w:val="true"/>
        </w:rPr>
        <w:footnoteReference w:id="1503"/>
      </w:r>
      <w:r>
        <w:rPr>
          <w:rFonts w:ascii="Amiri" w:hAnsi="Amiri" w:eastAsia="Amiri" w:cs="Amiri"/>
          <w:color w:val="111111"/>
          <w:sz w:val="28"/>
          <w:sz w:val="28"/>
          <w:szCs w:val="28"/>
          <w:rtl w:val="true"/>
          <w:lang w:bidi="ar-SA"/>
        </w:rPr>
        <w:t xml:space="preserve"> منه ويجب زجره</w:t>
      </w:r>
      <w:r>
        <w:rPr>
          <w:rStyle w:val="FootnoteAnchor"/>
          <w:rtl w:val="true"/>
        </w:rPr>
        <w:footnoteReference w:id="1504"/>
      </w:r>
      <w:r>
        <w:rPr>
          <w:rFonts w:ascii="Amiri" w:hAnsi="Amiri" w:eastAsia="Amiri" w:cs="Amiri"/>
          <w:color w:val="111111"/>
          <w:sz w:val="28"/>
          <w:sz w:val="28"/>
          <w:szCs w:val="28"/>
          <w:rtl w:val="true"/>
          <w:lang w:bidi="ar-SA"/>
        </w:rPr>
        <w:t>، فإن لم ينزجر يجوز رميه بما يصرفه، فإن تلف أو عطب فهدر، لكن مع مراعاة الأقل خطراً فالأقل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ذكروا في كتاب الحدود 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ينظر من شق الباب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المقام بملاك ذلك</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بالإضافة إلى إطلاقات</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الأدلة، ولا يخفى أن ما يوجب التلف أو العطب وحتى الأقل من ذلك يحتاج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إذن الحاكم الشرعي</w:t>
      </w:r>
      <w:r>
        <w:rPr>
          <w:rFonts w:eastAsia="Amiri" w:cs="Amiri" w:ascii="Amiri" w:hAnsi="Amiri"/>
          <w:color w:val="111111"/>
          <w:sz w:val="28"/>
          <w:szCs w:val="28"/>
          <w:rtl w:val="true"/>
          <w:lang w:bidi="ar-SA"/>
        </w:rPr>
        <w:t>.</w:t>
      </w:r>
    </w:p>
    <w:p>
      <w:pPr>
        <w:pStyle w:val="BookText"/>
        <w:rPr/>
      </w:pP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نهي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 النظر من شق الباب تعدٍ على الحريم، مضافاً إلى كونه منكراً في حدّ ذاته بخلاف المقام،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النهي عن المنكر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مراجعة الأدلة</w:t>
      </w:r>
      <w:r>
        <w:rPr>
          <w:rFonts w:eastAsia="Amiri" w:cs="Amiri" w:ascii="Amiri" w:hAnsi="Amiri"/>
          <w:color w:val="111111"/>
          <w:sz w:val="28"/>
          <w:szCs w:val="28"/>
          <w:rtl w:val="true"/>
          <w:lang w:bidi="ar-SA"/>
        </w:rPr>
        <w:t xml:space="preserve">. </w:t>
      </w:r>
      <w:bookmarkStart w:id="976" w:name="pg15710_226998"/>
    </w:p>
    <w:p>
      <w:pPr>
        <w:pStyle w:val="Heading2"/>
        <w:numPr>
          <w:ilvl w:val="1"/>
          <w:numId w:val="1"/>
        </w:numPr>
        <w:rPr/>
      </w:pPr>
      <w:bookmarkStart w:id="977" w:name="__RefHeading___Toc12184373_2142443653"/>
      <w:bookmarkStart w:id="978" w:name="_Toc367"/>
      <w:bookmarkEnd w:id="976"/>
      <w:bookmarkEnd w:id="977"/>
      <w:r>
        <w:rPr>
          <w:rtl w:val="true"/>
        </w:rPr>
        <w:t>المحلات التجارية واستخدام الفتيات</w:t>
      </w:r>
      <w:bookmarkEnd w:id="97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508"/>
      </w:r>
      <w:r>
        <w:rPr>
          <w:rFonts w:ascii="IRNazanin" w:hAnsi="IRNazanin" w:eastAsia="IRNazanin"/>
          <w:color w:val="111111"/>
          <w:sz w:val="28"/>
          <w:sz w:val="28"/>
          <w:szCs w:val="28"/>
          <w:rtl w:val="true"/>
          <w:lang w:bidi="fa-IR"/>
        </w:rPr>
        <w:t xml:space="preserve">، </w:t>
      </w:r>
      <w:r>
        <w:rPr>
          <w:rStyle w:val="FootnoteAnchor"/>
          <w:rtl w:val="true"/>
        </w:rPr>
        <w:footnoteReference w:id="1509"/>
      </w:r>
      <w:r>
        <w:rPr>
          <w:rFonts w:ascii="Amiri" w:hAnsi="Amiri" w:eastAsia="Amiri" w:cs="Amiri"/>
          <w:color w:val="111111"/>
          <w:sz w:val="28"/>
          <w:sz w:val="28"/>
          <w:szCs w:val="28"/>
          <w:rtl w:val="true"/>
          <w:lang w:bidi="ar-SA"/>
        </w:rPr>
        <w:t xml:space="preserve"> استخدام الفتيات</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جلب</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وترويج البضاعة، أما إذا فعل ذلك حراماً لم يكن الثمن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الجواز لأنه موجب لمنكرات ومحرمات، وحلية الثمن لأنه لا منافاة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الحرمة التكليفية والحلية الوضعية، وكذلك بالنسبة إلى</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للحرام كما أشير إليه؛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إعانة على الإثم؛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منكر في ارتكاز المتشرعة</w:t>
      </w:r>
      <w:r>
        <w:rPr>
          <w:rFonts w:eastAsia="Amiri" w:cs="Amiri" w:ascii="Amiri" w:hAnsi="Amiri"/>
          <w:color w:val="111111"/>
          <w:sz w:val="28"/>
          <w:szCs w:val="28"/>
          <w:rtl w:val="true"/>
          <w:lang w:bidi="ar-SA"/>
        </w:rPr>
        <w:t>.</w:t>
      </w:r>
    </w:p>
    <w:p>
      <w:pPr>
        <w:pStyle w:val="BookText"/>
        <w:rPr/>
      </w:pP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مقدمياً بمقتضى دليل الماتن فتأمل، ونفسياً بمقتضى الدليلين الآخرين،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العبارة العموم ولو كنَّ محجبات، ولعله لعموم الأدلة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استخدام الفتاة المحجبة لا لأجل ذلك، بل لأنها أرخص ثمناً فلا 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كالنظر المحرم وإثارة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الجلب لأنها أقدر على الإقناع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المعاملة، وأما أجرة نفس المرأة فهي حرام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حرم اللّه شيئاً حرم ثمنه</w:t>
      </w:r>
      <w:r>
        <w:rPr>
          <w:rFonts w:eastAsia="Amiri" w:cs="Amiri" w:ascii="Amiri" w:hAnsi="Amiri"/>
          <w:color w:val="111111"/>
          <w:sz w:val="28"/>
          <w:szCs w:val="28"/>
          <w:rtl w:val="true"/>
          <w:lang w:bidi="ar-SA"/>
        </w:rPr>
        <w:t>»</w:t>
      </w:r>
      <w:r>
        <w:rPr>
          <w:rStyle w:val="FootnoteAnchor"/>
          <w:rtl w:val="true"/>
        </w:rPr>
        <w:footnoteReference w:id="1512"/>
      </w:r>
      <w:r>
        <w:rPr>
          <w:rFonts w:ascii="Amiri" w:hAnsi="Amiri" w:eastAsia="Amiri" w:cs="Amiri"/>
          <w:color w:val="111111"/>
          <w:sz w:val="28"/>
          <w:sz w:val="28"/>
          <w:szCs w:val="28"/>
          <w:rtl w:val="true"/>
          <w:lang w:bidi="ar-SA"/>
        </w:rPr>
        <w:t xml:space="preserve">، 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للمال بالباطل</w:t>
      </w:r>
      <w:r>
        <w:rPr>
          <w:rFonts w:eastAsia="Amiri" w:cs="Amiri" w:ascii="Amiri" w:hAnsi="Amiri"/>
          <w:color w:val="111111"/>
          <w:sz w:val="28"/>
          <w:szCs w:val="28"/>
          <w:rtl w:val="true"/>
          <w:lang w:bidi="ar-SA"/>
        </w:rPr>
        <w:t>»</w:t>
      </w:r>
      <w:r>
        <w:rPr>
          <w:rStyle w:val="FootnoteAnchor"/>
          <w:rtl w:val="true"/>
        </w:rPr>
        <w:footnoteReference w:id="1513"/>
      </w:r>
      <w:r>
        <w:rPr>
          <w:rFonts w:ascii="Amiri" w:hAnsi="Amiri" w:eastAsia="Amiri" w:cs="Amiri"/>
          <w:color w:val="111111"/>
          <w:sz w:val="28"/>
          <w:sz w:val="28"/>
          <w:szCs w:val="28"/>
          <w:rtl w:val="true"/>
          <w:lang w:bidi="ar-SA"/>
        </w:rPr>
        <w:t>وإنما أطلق الثمن لأن المنصرف إليه هو ثمن البيع، وما يدفع للمرأة أجرة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الموضوعان مختلفان، وهذه العبارة تستخدم عادة فيما لو كان الموضوع متحداً، كالبيع وقت النداء</w:t>
      </w:r>
      <w:r>
        <w:rPr>
          <w:rFonts w:eastAsia="Amiri" w:cs="Amiri" w:ascii="Amiri" w:hAnsi="Amiri"/>
          <w:color w:val="111111"/>
          <w:sz w:val="28"/>
          <w:szCs w:val="28"/>
          <w:rtl w:val="true"/>
          <w:lang w:bidi="ar-SA"/>
        </w:rPr>
        <w:t xml:space="preserve">. </w:t>
      </w:r>
      <w:bookmarkStart w:id="979" w:name="pg15710_226999"/>
    </w:p>
    <w:p>
      <w:pPr>
        <w:pStyle w:val="BookText"/>
        <w:rPr/>
      </w:pPr>
      <w:bookmarkEnd w:id="979"/>
      <w:r>
        <w:rPr>
          <w:rFonts w:ascii="Amiri" w:hAnsi="Amiri" w:eastAsia="Amiri" w:cs="Amiri"/>
          <w:color w:val="111111"/>
          <w:sz w:val="28"/>
          <w:sz w:val="28"/>
          <w:szCs w:val="28"/>
          <w:rtl w:val="true"/>
          <w:lang w:bidi="ar-SA"/>
        </w:rPr>
        <w:t>المثمن وسائر المعاملات المحللة</w:t>
      </w:r>
      <w:r>
        <w:rPr>
          <w:rFonts w:eastAsia="Amiri" w:cs="Amiri" w:ascii="Amiri" w:hAnsi="Amiri"/>
          <w:color w:val="111111"/>
          <w:sz w:val="28"/>
          <w:szCs w:val="28"/>
          <w:rtl w:val="true"/>
          <w:lang w:bidi="ar-SA"/>
        </w:rPr>
        <w:t>.</w:t>
      </w:r>
    </w:p>
    <w:p>
      <w:pPr>
        <w:pStyle w:val="Heading2"/>
        <w:numPr>
          <w:ilvl w:val="1"/>
          <w:numId w:val="1"/>
        </w:numPr>
        <w:rPr/>
      </w:pPr>
      <w:bookmarkStart w:id="980" w:name="__RefHeading___Toc12184375_2142443653"/>
      <w:bookmarkStart w:id="981" w:name="_Toc368"/>
      <w:bookmarkEnd w:id="980"/>
      <w:r>
        <w:rPr>
          <w:rtl w:val="true"/>
        </w:rPr>
        <w:t>المحلات التجارية واستخدام الفتيان</w:t>
      </w:r>
      <w:bookmarkEnd w:id="98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514"/>
      </w:r>
      <w:r>
        <w:rPr>
          <w:rFonts w:ascii="Amiri" w:hAnsi="Amiri" w:eastAsia="Amiri" w:cs="Amiri"/>
          <w:color w:val="111111"/>
          <w:sz w:val="28"/>
          <w:sz w:val="28"/>
          <w:szCs w:val="28"/>
          <w:rtl w:val="true"/>
          <w:lang w:bidi="ar-SA"/>
        </w:rPr>
        <w:t xml:space="preserve"> استخدام الأمرد الجميل من الفتيان لأجل جلب المشتري، وحال الثمن كما تقدم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في الحكمين التكليفي والوضعي كما ذكر في المسألة السابقة</w:t>
      </w:r>
      <w:r>
        <w:rPr>
          <w:rFonts w:eastAsia="Amiri" w:cs="Amiri" w:ascii="Amiri" w:hAnsi="Amiri"/>
          <w:color w:val="111111"/>
          <w:sz w:val="28"/>
          <w:szCs w:val="28"/>
          <w:rtl w:val="true"/>
          <w:lang w:bidi="ar-SA"/>
        </w:rPr>
        <w:t>.</w:t>
      </w:r>
    </w:p>
    <w:p>
      <w:pPr>
        <w:pStyle w:val="Heading2"/>
        <w:numPr>
          <w:ilvl w:val="1"/>
          <w:numId w:val="1"/>
        </w:numPr>
        <w:rPr/>
      </w:pPr>
      <w:bookmarkStart w:id="982" w:name="__RefHeading___Toc12184377_2142443653"/>
      <w:bookmarkStart w:id="983" w:name="_Toc369"/>
      <w:bookmarkEnd w:id="982"/>
      <w:r>
        <w:rPr>
          <w:rtl w:val="true"/>
        </w:rPr>
        <w:t>السياقة للنساء</w:t>
      </w:r>
      <w:bookmarkEnd w:id="98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سياقة النساء المكشفات للسيارة من جهة أن التكشف حرام، ولعل تسليم السيارة إليهن يزيد في الحرمة، إذا كان في ذلك خوف</w:t>
      </w:r>
      <w:r>
        <w:rPr>
          <w:rStyle w:val="FootnoteAnchor"/>
          <w:rtl w:val="true"/>
        </w:rPr>
        <w:footnoteReference w:id="1515"/>
      </w:r>
      <w:r>
        <w:rPr>
          <w:rFonts w:ascii="Amiri" w:hAnsi="Amiri" w:eastAsia="Amiri" w:cs="Amiri"/>
          <w:color w:val="111111"/>
          <w:sz w:val="28"/>
          <w:sz w:val="28"/>
          <w:szCs w:val="28"/>
          <w:rtl w:val="true"/>
          <w:lang w:bidi="ar-SA"/>
        </w:rPr>
        <w:t xml:space="preserve"> الانزلاق والفتنة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السيارة والدابة التي كن النساء يركبنها في السابق أن السيارة لسرعة حركتها توجب الفتنة والغرور والخطر، الذي لم يكن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في الدابة، أما إذا لم تكن المرأة مكشفة ولا محظور، فحال السيارة حال</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p>
    <w:p>
      <w:pPr>
        <w:pStyle w:val="BookText"/>
        <w:rPr/>
      </w:pP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التعليقات في المسألة السابقة</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p>
    <w:p>
      <w:pPr>
        <w:pStyle w:val="BookText"/>
        <w:rPr/>
      </w:pP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محرماً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للمقدمية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الضرر المحتمل الخطير واجب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فإنَّ المدن كانت صغيرة والوصول بالدابة سهلاً، مع أنَّ ركوب الدابة فيه من التهييج ما ليس في ركوب السيارة، فتأمل</w:t>
      </w:r>
      <w:r>
        <w:rPr>
          <w:rFonts w:eastAsia="Amiri" w:cs="Amiri" w:ascii="Amiri" w:hAnsi="Amiri"/>
          <w:color w:val="111111"/>
          <w:sz w:val="28"/>
          <w:szCs w:val="28"/>
          <w:rtl w:val="true"/>
          <w:lang w:bidi="ar-SA"/>
        </w:rPr>
        <w:t xml:space="preserve">. </w:t>
      </w:r>
      <w:bookmarkStart w:id="984" w:name="pg15710_227000"/>
    </w:p>
    <w:p>
      <w:pPr>
        <w:pStyle w:val="BookText"/>
        <w:rPr/>
      </w:pPr>
      <w:bookmarkEnd w:id="984"/>
      <w:r>
        <w:rPr>
          <w:rFonts w:ascii="Amiri" w:hAnsi="Amiri" w:eastAsia="Amiri" w:cs="Amiri"/>
          <w:color w:val="111111"/>
          <w:sz w:val="28"/>
          <w:sz w:val="28"/>
          <w:szCs w:val="28"/>
          <w:rtl w:val="true"/>
          <w:lang w:bidi="ar-SA"/>
        </w:rPr>
        <w:t>الدابة في الجواز</w:t>
      </w:r>
      <w:r>
        <w:rPr>
          <w:rFonts w:eastAsia="Amiri" w:cs="Amiri" w:ascii="Amiri" w:hAnsi="Amiri"/>
          <w:color w:val="111111"/>
          <w:sz w:val="28"/>
          <w:szCs w:val="28"/>
          <w:rtl w:val="true"/>
          <w:lang w:bidi="ar-SA"/>
        </w:rPr>
        <w:t>.</w:t>
      </w:r>
    </w:p>
    <w:p>
      <w:pPr>
        <w:pStyle w:val="Heading2"/>
        <w:numPr>
          <w:ilvl w:val="1"/>
          <w:numId w:val="1"/>
        </w:numPr>
        <w:rPr/>
      </w:pPr>
      <w:bookmarkStart w:id="985" w:name="__RefHeading___Toc12184379_2142443653"/>
      <w:bookmarkStart w:id="986" w:name="_Toc370"/>
      <w:bookmarkEnd w:id="985"/>
      <w:r>
        <w:rPr>
          <w:rtl w:val="true"/>
        </w:rPr>
        <w:t>استخدام السائق غير الأمين</w:t>
      </w:r>
      <w:bookmarkEnd w:id="98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519"/>
      </w:r>
      <w:r>
        <w:rPr>
          <w:rFonts w:ascii="Amiri" w:hAnsi="Amiri" w:eastAsia="Amiri" w:cs="Amiri"/>
          <w:color w:val="111111"/>
          <w:sz w:val="28"/>
          <w:sz w:val="28"/>
          <w:szCs w:val="28"/>
          <w:rtl w:val="true"/>
          <w:lang w:bidi="ar-SA"/>
        </w:rPr>
        <w:t xml:space="preserve"> استخدام السائق الذي لا يؤمن منه على العرض بركوب النساء والفتيات معه، مما يكون معرضاً للفتنة والجريمة والانزلاق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حال العكس باستخدام السائقة مما تسوق الرجال والأولاد لوحدة الدليل</w:t>
      </w:r>
      <w:r>
        <w:rPr>
          <w:rFonts w:eastAsia="Amiri" w:cs="Amiri" w:ascii="Amiri" w:hAnsi="Amiri"/>
          <w:color w:val="111111"/>
          <w:sz w:val="28"/>
          <w:szCs w:val="28"/>
          <w:rtl w:val="true"/>
          <w:lang w:bidi="ar-SA"/>
        </w:rPr>
        <w:t>.</w:t>
      </w:r>
    </w:p>
    <w:p>
      <w:pPr>
        <w:pStyle w:val="Heading2"/>
        <w:numPr>
          <w:ilvl w:val="1"/>
          <w:numId w:val="1"/>
        </w:numPr>
        <w:rPr/>
      </w:pPr>
      <w:bookmarkStart w:id="987" w:name="__RefHeading___Toc12184381_2142443653"/>
      <w:bookmarkStart w:id="988" w:name="_Toc371"/>
      <w:bookmarkEnd w:id="987"/>
      <w:r>
        <w:rPr>
          <w:rtl w:val="true"/>
        </w:rPr>
        <w:t>استخدام الكافر للطبخ والغسل</w:t>
      </w:r>
      <w:bookmarkEnd w:id="98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520"/>
      </w:r>
      <w:r>
        <w:rPr>
          <w:rFonts w:ascii="Amiri" w:hAnsi="Amiri" w:eastAsia="Amiri" w:cs="Amiri"/>
          <w:color w:val="111111"/>
          <w:sz w:val="28"/>
          <w:sz w:val="28"/>
          <w:szCs w:val="28"/>
          <w:rtl w:val="true"/>
          <w:lang w:bidi="ar-SA"/>
        </w:rPr>
        <w:t xml:space="preserve"> استخدام الكافر في البيت يباشر الطبخ والغسل مما يوجب النجاسة، فيكون مأكل الإنسان ومشربه، وماء وضوئه ومحل سجوده وما أشبه نجساً، وليس بذاته حراماً، وإنما هو وسيلة طبيعية للحرام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لم يتورع</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عن المحرمات كالخمر والخنزير والبول، أما إذا تورع وكان من أهل الكتاب فقد ذهب جمع من الفقهاء بعدم نجاسته</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Style w:val="FootnoteAnchor"/>
          <w:rtl w:val="true"/>
        </w:rPr>
        <w:footnoteReference w:id="1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790</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كانت أصالة الطهارة محكمة، والعلم بالنجاسة يدفعه العلم بالطهارة أيضاً، فيجري الاستصحابان ويتساقطان أو لا يجريان، وتصل النوبة لأصالة الطهارة على المبنى الأوّل، وتحكم ابتداءً على المبنى الثاني</w:t>
      </w:r>
      <w:r>
        <w:rPr>
          <w:rFonts w:eastAsia="Amiri" w:cs="Amiri" w:ascii="Amiri" w:hAnsi="Amiri"/>
          <w:color w:val="111111"/>
          <w:sz w:val="28"/>
          <w:szCs w:val="28"/>
          <w:rtl w:val="true"/>
          <w:lang w:bidi="ar-SA"/>
        </w:rPr>
        <w:t xml:space="preserve">. </w:t>
      </w:r>
      <w:bookmarkStart w:id="989" w:name="pg15710_227001"/>
    </w:p>
    <w:p>
      <w:pPr>
        <w:pStyle w:val="BookText"/>
        <w:rPr/>
      </w:pPr>
      <w:bookmarkEnd w:id="989"/>
      <w:r>
        <w:rPr>
          <w:rFonts w:ascii="Amiri" w:hAnsi="Amiri" w:eastAsia="Amiri" w:cs="Amiri"/>
          <w:color w:val="111111"/>
          <w:sz w:val="28"/>
          <w:sz w:val="28"/>
          <w:szCs w:val="28"/>
          <w:rtl w:val="true"/>
          <w:lang w:bidi="ar-SA"/>
        </w:rPr>
        <w:t>الذاتية</w:t>
      </w:r>
      <w:r>
        <w:rPr>
          <w:rStyle w:val="FootnoteAnchor"/>
          <w:rtl w:val="true"/>
        </w:rPr>
        <w:footnoteReference w:id="1523"/>
      </w:r>
      <w:r>
        <w:rPr>
          <w:rFonts w:ascii="Amiri" w:hAnsi="Amiri" w:eastAsia="Amiri" w:cs="Amiri"/>
          <w:color w:val="111111"/>
          <w:sz w:val="28"/>
          <w:sz w:val="28"/>
          <w:szCs w:val="28"/>
          <w:rtl w:val="true"/>
          <w:lang w:bidi="ar-SA"/>
        </w:rPr>
        <w:t>، كما في جملة من الروايات، ولا يبعد ذلك</w:t>
      </w:r>
      <w:r>
        <w:rPr>
          <w:rFonts w:eastAsia="Amiri" w:cs="Amiri" w:ascii="Amiri" w:hAnsi="Amiri"/>
          <w:color w:val="111111"/>
          <w:sz w:val="28"/>
          <w:szCs w:val="28"/>
          <w:rtl w:val="true"/>
          <w:lang w:bidi="ar-SA"/>
        </w:rPr>
        <w:t>.</w:t>
      </w:r>
    </w:p>
    <w:p>
      <w:pPr>
        <w:pStyle w:val="Heading2"/>
        <w:numPr>
          <w:ilvl w:val="1"/>
          <w:numId w:val="1"/>
        </w:numPr>
        <w:rPr/>
      </w:pPr>
      <w:bookmarkStart w:id="990" w:name="__RefHeading___Toc12184383_2142443653"/>
      <w:bookmarkStart w:id="991" w:name="_Toc372"/>
      <w:bookmarkEnd w:id="990"/>
      <w:r>
        <w:rPr>
          <w:rtl w:val="true"/>
        </w:rPr>
        <w:t>ترك المرأة وحدها مع الأجنبي</w:t>
      </w:r>
      <w:bookmarkEnd w:id="99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ترك الرجل الأجنبي مع المرأة الواحدة، أو النساء، في الدار أو المحل، مما يكون معرضاً</w:t>
      </w:r>
      <w:r>
        <w:rPr>
          <w:rStyle w:val="FootnoteAnchor"/>
          <w:rtl w:val="true"/>
        </w:rPr>
        <w:footnoteReference w:id="1524"/>
      </w:r>
      <w:r>
        <w:rPr>
          <w:rFonts w:ascii="Amiri" w:hAnsi="Amiri" w:eastAsia="Amiri" w:cs="Amiri"/>
          <w:color w:val="111111"/>
          <w:sz w:val="28"/>
          <w:sz w:val="28"/>
          <w:szCs w:val="28"/>
          <w:rtl w:val="true"/>
          <w:lang w:bidi="ar-SA"/>
        </w:rPr>
        <w:t xml:space="preserve"> للفساد والانزلاق، كما يعتاد عند بعض الناس أن يستخدموا لخدمة الدار شاباً، ويتركونه مع زوجتهم الشابة، أو بنتهم الشابة في الدار من دون مبالاة وتحفظ، فإن نفس الاستخدام ولو لم يكن حراماً في بعض الصور، إلا أنه حيث صار معرضاً ومقدمة للحرام غالباً لزم الاجتناب</w:t>
      </w:r>
      <w:r>
        <w:rPr>
          <w:rStyle w:val="FootnoteAnchor"/>
          <w:rtl w:val="true"/>
        </w:rPr>
        <w:footnoteReference w:id="1525"/>
      </w:r>
      <w:r>
        <w:rPr>
          <w:rFonts w:ascii="Amiri" w:hAnsi="Amiri" w:eastAsia="Amiri" w:cs="Amiri"/>
          <w:color w:val="111111"/>
          <w:sz w:val="28"/>
          <w:sz w:val="28"/>
          <w:szCs w:val="28"/>
          <w:rtl w:val="true"/>
          <w:lang w:bidi="ar-SA"/>
        </w:rPr>
        <w:t xml:space="preserve"> عنه، أما صورة اجتماع الأجنبي والأجنبية فواضح التحريم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فواضح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بعض الروايات المذكورة في الفقه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lang w:bidi="ar-SA"/>
        </w:rPr>
        <w:t>790</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لو علم بعدم المعرضية في مورد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ذهب البعض إلى عدم الحرمة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النكاح، الخلوة بالأجنبية</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 xml:space="preserve">. </w:t>
      </w:r>
      <w:bookmarkStart w:id="992" w:name="pg15710_227002"/>
    </w:p>
    <w:p>
      <w:pPr>
        <w:pStyle w:val="Heading2"/>
        <w:numPr>
          <w:ilvl w:val="1"/>
          <w:numId w:val="1"/>
        </w:numPr>
        <w:rPr/>
      </w:pPr>
      <w:bookmarkStart w:id="993" w:name="__RefHeading___Toc12184385_2142443653"/>
      <w:bookmarkStart w:id="994" w:name="_Toc373"/>
      <w:bookmarkEnd w:id="992"/>
      <w:bookmarkEnd w:id="993"/>
      <w:r>
        <w:rPr>
          <w:rtl w:val="true"/>
        </w:rPr>
        <w:t>استخدام الفتيات في البيت</w:t>
      </w:r>
      <w:bookmarkEnd w:id="99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531"/>
      </w:r>
      <w:r>
        <w:rPr>
          <w:rFonts w:ascii="Amiri" w:hAnsi="Amiri" w:eastAsia="Amiri" w:cs="Amiri"/>
          <w:color w:val="111111"/>
          <w:sz w:val="28"/>
          <w:sz w:val="28"/>
          <w:szCs w:val="28"/>
          <w:rtl w:val="true"/>
          <w:lang w:bidi="ar-SA"/>
        </w:rPr>
        <w:t xml:space="preserve"> استخدام النساء والفتيات المكشفات في الدور تأتي بالشاي وما أشبه للرجال الأجانب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فالاستخدام الذي هو مقدمة للحرام محرم</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ويكون من التعاون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على الإثم</w:t>
      </w:r>
      <w:r>
        <w:rPr>
          <w:rFonts w:eastAsia="IRNazanin" w:cs="IRNazanin"/>
          <w:color w:val="111111"/>
          <w:sz w:val="28"/>
          <w:szCs w:val="28"/>
          <w:rtl w:val="true"/>
          <w:lang w:bidi="fa-IR"/>
        </w:rPr>
        <w:t>.</w:t>
      </w:r>
    </w:p>
    <w:p>
      <w:pPr>
        <w:pStyle w:val="Heading2"/>
        <w:numPr>
          <w:ilvl w:val="1"/>
          <w:numId w:val="1"/>
        </w:numPr>
        <w:rPr/>
      </w:pPr>
      <w:bookmarkStart w:id="995" w:name="__RefHeading___Toc12184387_2142443653"/>
      <w:bookmarkStart w:id="996" w:name="_Toc374"/>
      <w:bookmarkEnd w:id="995"/>
      <w:r>
        <w:rPr>
          <w:rtl w:val="true"/>
        </w:rPr>
        <w:t>السكرتيرة المكشفة</w:t>
      </w:r>
      <w:bookmarkEnd w:id="99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Style w:val="FootnoteAnchor"/>
          <w:rtl w:val="true"/>
        </w:rPr>
        <w:footnoteReference w:id="1532"/>
      </w:r>
      <w:r>
        <w:rPr>
          <w:rFonts w:ascii="Amiri" w:hAnsi="Amiri" w:eastAsia="Amiri" w:cs="Amiri"/>
          <w:color w:val="111111"/>
          <w:sz w:val="28"/>
          <w:sz w:val="28"/>
          <w:szCs w:val="28"/>
          <w:rtl w:val="true"/>
          <w:lang w:bidi="ar-SA"/>
        </w:rPr>
        <w:t xml:space="preserve"> اتخاذ الرجل سكرتيرة مكشفة، ولا يجوز للمرأة اتخاذ سكرتير تتكشف أمامه، كما هو المعتاد عند الكفار والأُناس الذي لا يبالون بالحرام والحلال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تقدم في المسألة السابقة</w:t>
      </w:r>
      <w:r>
        <w:rPr>
          <w:rFonts w:eastAsia="Amiri" w:cs="Amiri" w:ascii="Amiri" w:hAnsi="Amiri"/>
          <w:color w:val="111111"/>
          <w:sz w:val="28"/>
          <w:szCs w:val="28"/>
          <w:rtl w:val="true"/>
          <w:lang w:bidi="ar-SA"/>
        </w:rPr>
        <w:t>.</w:t>
      </w:r>
    </w:p>
    <w:p>
      <w:pPr>
        <w:pStyle w:val="Heading2"/>
        <w:numPr>
          <w:ilvl w:val="1"/>
          <w:numId w:val="1"/>
        </w:numPr>
        <w:rPr/>
      </w:pPr>
      <w:bookmarkStart w:id="997" w:name="__RefHeading___Toc12184389_2142443653"/>
      <w:bookmarkStart w:id="998" w:name="_Toc375"/>
      <w:bookmarkEnd w:id="997"/>
      <w:r>
        <w:rPr>
          <w:rtl w:val="true"/>
        </w:rPr>
        <w:t>خياطة الرجل للنساء</w:t>
      </w:r>
      <w:bookmarkEnd w:id="99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p>
    <w:p>
      <w:pPr>
        <w:pStyle w:val="BookText"/>
        <w:rPr/>
      </w:pPr>
      <w:r>
        <w:rPr>
          <w:rStyle w:val="FootnoteAnchor"/>
          <w:rtl w:val="true"/>
        </w:rPr>
        <w:footnoteReference w:id="1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lang w:bidi="ar-SA"/>
        </w:rPr>
        <w:t>788</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الإعانة على الإثم</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p>
    <w:p>
      <w:pPr>
        <w:pStyle w:val="BookText"/>
        <w:rPr/>
      </w:pP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lang w:bidi="ar-SA"/>
        </w:rPr>
        <w:t>794</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bookmarkStart w:id="999" w:name="pg15710_227003"/>
    </w:p>
    <w:p>
      <w:pPr>
        <w:pStyle w:val="BookText"/>
        <w:rPr/>
      </w:pPr>
      <w:bookmarkEnd w:id="999"/>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تقدير جسم المرأة باللمس لأجل خياطة الثوب لها، أو صنع الذهب ليدها أو رجلها، فإن لمس</w:t>
      </w:r>
      <w:r>
        <w:rPr>
          <w:rStyle w:val="FootnoteAnchor"/>
          <w:rtl w:val="true"/>
        </w:rPr>
        <w:footnoteReference w:id="1539"/>
      </w:r>
      <w:r>
        <w:rPr>
          <w:rFonts w:ascii="Amiri" w:hAnsi="Amiri" w:eastAsia="Amiri" w:cs="Amiri"/>
          <w:color w:val="111111"/>
          <w:sz w:val="28"/>
          <w:sz w:val="28"/>
          <w:szCs w:val="28"/>
          <w:rtl w:val="true"/>
          <w:lang w:bidi="ar-SA"/>
        </w:rPr>
        <w:t xml:space="preserve"> الأجنبي حرام، بالإضافة إلى أنه معرض للفتنة والانزلاق</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إذا كان اللامس محرماً عليها ولم يُخف الفتنة</w:t>
      </w:r>
      <w:r>
        <w:rPr>
          <w:rFonts w:eastAsia="Amiri" w:cs="Amiri" w:ascii="Amiri" w:hAnsi="Amiri"/>
          <w:color w:val="111111"/>
          <w:sz w:val="28"/>
          <w:szCs w:val="28"/>
          <w:rtl w:val="true"/>
          <w:lang w:bidi="ar-SA"/>
        </w:rPr>
        <w:t>.</w:t>
      </w:r>
    </w:p>
    <w:p>
      <w:pPr>
        <w:pStyle w:val="Heading2"/>
        <w:numPr>
          <w:ilvl w:val="1"/>
          <w:numId w:val="1"/>
        </w:numPr>
        <w:rPr/>
      </w:pPr>
      <w:bookmarkStart w:id="1000" w:name="__RefHeading___Toc12184391_2142443653"/>
      <w:bookmarkStart w:id="1001" w:name="_Toc376"/>
      <w:bookmarkEnd w:id="1000"/>
      <w:r>
        <w:rPr>
          <w:rtl w:val="true"/>
        </w:rPr>
        <w:t>المنازع النسائية في المحلات</w:t>
      </w:r>
      <w:bookmarkEnd w:id="100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w:t>
      </w:r>
      <w:r>
        <w:rPr>
          <w:rStyle w:val="FootnoteAnchor"/>
          <w:rtl w:val="true"/>
        </w:rPr>
        <w:footnoteReference w:id="1540"/>
      </w:r>
      <w:r>
        <w:rPr>
          <w:rFonts w:ascii="Amiri" w:hAnsi="Amiri" w:eastAsia="Amiri" w:cs="Amiri"/>
          <w:color w:val="111111"/>
          <w:sz w:val="28"/>
          <w:sz w:val="28"/>
          <w:szCs w:val="28"/>
          <w:rtl w:val="true"/>
          <w:lang w:bidi="ar-SA"/>
        </w:rPr>
        <w:t xml:space="preserve"> عدم اتخاذ مخادع للدكاكين والمحلات، حيث تذهب المشترية إليها لأجل اشتراء لباس أو ذهب أو كماليات أو ما أشبه، فإن هذه المخادع غالباً مثار فتنة وانزلاق، أما اجتماع الأجنبي</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بالأجنبية فيها أو ارتكابهما لأمر غير مشروع فذلك الحرام</w:t>
      </w:r>
      <w:r>
        <w:rPr>
          <w:rFonts w:eastAsia="Amiri" w:cs="Amiri" w:ascii="Amiri" w:hAnsi="Amiri"/>
          <w:color w:val="111111"/>
          <w:sz w:val="28"/>
          <w:szCs w:val="28"/>
          <w:rtl w:val="true"/>
          <w:lang w:bidi="ar-SA"/>
        </w:rPr>
        <w:t>.</w:t>
      </w:r>
    </w:p>
    <w:p>
      <w:pPr>
        <w:pStyle w:val="BookText"/>
        <w:rPr/>
      </w:pP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المباشر، وأما لو كان من وراء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حرمة نفسية،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تكون له حرمة مقدمية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استلزام الخلوة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p>
    <w:p>
      <w:pPr>
        <w:pStyle w:val="BookText"/>
        <w:rPr/>
      </w:pPr>
      <w:r>
        <w:rPr>
          <w:rStyle w:val="FootnoteAnchor"/>
          <w:rtl w:val="true"/>
        </w:rPr>
        <w:footnoteReference w:id="1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يستلزم اللبس أمام الأجانب، وفيه محذور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صنع مخادع على نحو لا يكون معرضاً للفتنة، فتأمل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الخلوة، بناءً على حرمتها</w:t>
      </w:r>
      <w:r>
        <w:rPr>
          <w:rFonts w:eastAsia="Amiri" w:cs="Amiri" w:ascii="Amiri" w:hAnsi="Amiri"/>
          <w:color w:val="111111"/>
          <w:sz w:val="28"/>
          <w:szCs w:val="28"/>
          <w:rtl w:val="true"/>
          <w:lang w:bidi="ar-SA"/>
        </w:rPr>
        <w:t xml:space="preserve">. </w:t>
      </w:r>
      <w:bookmarkStart w:id="1002" w:name="pg15710_227004"/>
    </w:p>
    <w:p>
      <w:pPr>
        <w:pStyle w:val="BookText"/>
        <w:rPr/>
      </w:pPr>
      <w:bookmarkEnd w:id="10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أنه ينبغي عدم اتخاذه فلأنه غالباً مقدمة</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الحرام كما تقدم</w:t>
      </w:r>
      <w:r>
        <w:rPr>
          <w:rFonts w:eastAsia="Amiri" w:cs="Amiri" w:ascii="Amiri" w:hAnsi="Amiri"/>
          <w:color w:val="111111"/>
          <w:sz w:val="28"/>
          <w:szCs w:val="28"/>
          <w:rtl w:val="true"/>
          <w:lang w:bidi="ar-SA"/>
        </w:rPr>
        <w:t>.</w:t>
      </w:r>
    </w:p>
    <w:p>
      <w:pPr>
        <w:pStyle w:val="Heading2"/>
        <w:numPr>
          <w:ilvl w:val="1"/>
          <w:numId w:val="1"/>
        </w:numPr>
        <w:rPr/>
      </w:pPr>
      <w:bookmarkStart w:id="1003" w:name="__RefHeading___Toc12184393_2142443653"/>
      <w:bookmarkStart w:id="1004" w:name="_Toc377"/>
      <w:bookmarkEnd w:id="1003"/>
      <w:r>
        <w:rPr>
          <w:rtl w:val="true"/>
        </w:rPr>
        <w:t>في محلات المصورين</w:t>
      </w:r>
      <w:bookmarkEnd w:id="100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الرجل للمرأة أو المرأة للرجل مما يلازم النظر</w:t>
      </w:r>
      <w:r>
        <w:rPr>
          <w:rStyle w:val="FootnoteAnchor"/>
          <w:rtl w:val="true"/>
        </w:rPr>
        <w:footnoteReference w:id="1544"/>
      </w:r>
      <w:r>
        <w:rPr>
          <w:rFonts w:ascii="Amiri" w:hAnsi="Amiri" w:eastAsia="Amiri" w:cs="Amiri"/>
          <w:color w:val="111111"/>
          <w:sz w:val="28"/>
          <w:sz w:val="28"/>
          <w:szCs w:val="28"/>
          <w:rtl w:val="true"/>
          <w:lang w:bidi="ar-SA"/>
        </w:rPr>
        <w:t xml:space="preserve"> وما أشبه لا يجوز، فكيف</w:t>
      </w:r>
      <w:r>
        <w:rPr>
          <w:rStyle w:val="FootnoteAnchor"/>
          <w:rtl w:val="true"/>
        </w:rPr>
        <w:footnoteReference w:id="1545"/>
      </w:r>
      <w:r>
        <w:rPr>
          <w:rFonts w:ascii="Amiri" w:hAnsi="Amiri" w:eastAsia="Amiri" w:cs="Amiri"/>
          <w:color w:val="111111"/>
          <w:sz w:val="28"/>
          <w:sz w:val="28"/>
          <w:szCs w:val="28"/>
          <w:rtl w:val="true"/>
          <w:lang w:bidi="ar-SA"/>
        </w:rPr>
        <w:t xml:space="preserve"> بذهابها إلى المخدع وانفراد الأجنبي مع الأجنبية؟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التصوير فلأنه مستلزم للنظر المحرم، وأما الانفراد بالأجنبية فهو حرام مستقل، كما في الخبر المنصوص</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5" w:name="__RefHeading___Toc12184395_2142443653"/>
      <w:bookmarkStart w:id="1006" w:name="_Toc378"/>
      <w:bookmarkEnd w:id="1005"/>
      <w:r>
        <w:rPr>
          <w:rtl w:val="true"/>
        </w:rPr>
        <w:t>إشعال الفتن بين الكفار</w:t>
      </w:r>
      <w:bookmarkEnd w:id="100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إلقاء الفتنة بين الكفار الذين يحاربون المسلمين، وكذلك بين المسلمين الذين انسلخوا عن مبادئ الإسلام، وارتبطوا بالأجانب، وصاروا منافذ لسيطرة الكفار على بلاد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محرماً عقلاً، وعليه فاللازم الفتوى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p>
    <w:p>
      <w:pPr>
        <w:pStyle w:val="BookText"/>
        <w:rPr/>
      </w:pPr>
      <w:r>
        <w:rPr>
          <w:rStyle w:val="FootnoteAnchor"/>
          <w:rtl w:val="true"/>
        </w:rPr>
        <w:footnoteReference w:id="1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كما سيأتي في التعليق</w:t>
      </w:r>
      <w:r>
        <w:rPr>
          <w:rFonts w:eastAsia="Amiri" w:cs="Amiri" w:ascii="Amiri" w:hAnsi="Amiri"/>
          <w:color w:val="111111"/>
          <w:sz w:val="28"/>
          <w:szCs w:val="28"/>
          <w:rtl w:val="true"/>
          <w:lang w:bidi="ar-SA"/>
        </w:rPr>
        <w:t>.</w:t>
      </w:r>
    </w:p>
    <w:p>
      <w:pPr>
        <w:pStyle w:val="BookText"/>
        <w:rPr/>
      </w:pP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حرمة الخلوة، أو استلزامها للحرام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الخلوة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بين المشركين واليهود بتقرير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استجماعه لشرائط التقرير</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 xml:space="preserve">. </w:t>
      </w:r>
      <w:bookmarkStart w:id="1007" w:name="pg15710_227006"/>
    </w:p>
    <w:p>
      <w:pPr>
        <w:pStyle w:val="Heading2"/>
        <w:numPr>
          <w:ilvl w:val="1"/>
          <w:numId w:val="1"/>
        </w:numPr>
        <w:rPr/>
      </w:pPr>
      <w:bookmarkStart w:id="1008" w:name="__RefHeading___Toc12184397_2142443653"/>
      <w:bookmarkStart w:id="1009" w:name="_Toc379"/>
      <w:bookmarkEnd w:id="1007"/>
      <w:bookmarkEnd w:id="1008"/>
      <w:r>
        <w:rPr>
          <w:rtl w:val="true"/>
        </w:rPr>
        <w:t>حدود إلقاء الفتن</w:t>
      </w:r>
      <w:bookmarkEnd w:id="100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المسألة السابقة إنما يجوز فيما إذا لم تكن الفتنة منجرة إلى ما لا يرضاه الإسلام، كإراقة الدماء وما أشبه</w:t>
      </w:r>
      <w:r>
        <w:rPr>
          <w:rStyle w:val="FootnoteAnchor"/>
          <w:rtl w:val="true"/>
        </w:rPr>
        <w:footnoteReference w:id="1551"/>
      </w:r>
      <w:r>
        <w:rPr>
          <w:rFonts w:ascii="Amiri" w:hAnsi="Amiri" w:eastAsia="Amiri" w:cs="Amiri"/>
          <w:color w:val="111111"/>
          <w:sz w:val="28"/>
          <w:sz w:val="28"/>
          <w:szCs w:val="28"/>
          <w:rtl w:val="true"/>
          <w:lang w:bidi="ar-SA"/>
        </w:rPr>
        <w:t xml:space="preserve">، وإلا لزم أن تلاحظ الأهمية بين المحرمين الذين لابد من أحدهما، كما هي القاعدة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يعلم أهمية أحدهما تخير، إلا أن يكون أحدهما أقرب</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إلى الاحتياط فيقدم</w:t>
      </w:r>
      <w:r>
        <w:rPr>
          <w:rFonts w:eastAsia="Amiri" w:cs="Amiri" w:ascii="Amiri" w:hAnsi="Amiri"/>
          <w:color w:val="111111"/>
          <w:sz w:val="28"/>
          <w:szCs w:val="28"/>
          <w:rtl w:val="true"/>
          <w:lang w:bidi="ar-SA"/>
        </w:rPr>
        <w:t>.</w:t>
      </w:r>
    </w:p>
    <w:p>
      <w:pPr>
        <w:pStyle w:val="Heading2"/>
        <w:numPr>
          <w:ilvl w:val="1"/>
          <w:numId w:val="1"/>
        </w:numPr>
        <w:rPr/>
      </w:pPr>
      <w:bookmarkStart w:id="1010" w:name="__RefHeading___Toc12184399_2142443653"/>
      <w:bookmarkStart w:id="1011" w:name="_Toc380"/>
      <w:bookmarkEnd w:id="1010"/>
      <w:r>
        <w:rPr>
          <w:rtl w:val="true"/>
        </w:rPr>
        <w:t>عدم جواز إيذاء أبناء الكفار</w:t>
      </w:r>
      <w:bookmarkEnd w:id="101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إيذاء أبناء الكفار مقابل أن الكفار يؤذون أبناء المسلمين،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اليهود يأخذون أطفال المسلمين ويؤذونهم حقداً وضغناً، فإنه لا يجوز للمسلمين أن يأخذوا أطفال اليهود ويؤذونهم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لقوله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وقد 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حنين عن ذلك، حيث أراد بعض المسلمين أن يؤذي</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p>
    <w:p>
      <w:pPr>
        <w:pStyle w:val="BookText"/>
        <w:rPr/>
      </w:pP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تشويه سمعة المسلمين، أو استلزام ذلك لرد فعل عنيف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دار بين تشويه سمعة الإسلام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ظاهراً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الرجوع إلى المرجحات المذكورة في باب التزاحم، فإن لم تكن تخير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ظلم بلا مبرر عقلي أو شرعي</w:t>
      </w:r>
      <w:r>
        <w:rPr>
          <w:rFonts w:eastAsia="Amiri" w:cs="Amiri" w:ascii="Amiri" w:hAnsi="Amiri"/>
          <w:color w:val="111111"/>
          <w:sz w:val="28"/>
          <w:szCs w:val="28"/>
          <w:rtl w:val="true"/>
          <w:lang w:bidi="ar-SA"/>
        </w:rPr>
        <w:t xml:space="preserve">. </w:t>
      </w:r>
      <w:bookmarkStart w:id="1012" w:name="pg15710_227007"/>
    </w:p>
    <w:p>
      <w:pPr>
        <w:pStyle w:val="BookText"/>
        <w:rPr/>
      </w:pPr>
      <w:bookmarkEnd w:id="1012"/>
      <w:r>
        <w:rPr>
          <w:rFonts w:ascii="Amiri" w:hAnsi="Amiri" w:eastAsia="Amiri" w:cs="Amiri"/>
          <w:color w:val="111111"/>
          <w:sz w:val="28"/>
          <w:sz w:val="28"/>
          <w:szCs w:val="28"/>
          <w:rtl w:val="true"/>
          <w:lang w:bidi="ar-SA"/>
        </w:rPr>
        <w:t>أولاد الكفار والمحاربين</w:t>
      </w:r>
      <w:r>
        <w:rPr>
          <w:rFonts w:eastAsia="Amiri" w:cs="Amiri" w:ascii="Amiri" w:hAnsi="Amiri"/>
          <w:color w:val="111111"/>
          <w:sz w:val="28"/>
          <w:szCs w:val="28"/>
          <w:rtl w:val="true"/>
          <w:lang w:bidi="ar-SA"/>
        </w:rPr>
        <w:t>.</w:t>
      </w:r>
    </w:p>
    <w:p>
      <w:pPr>
        <w:pStyle w:val="Heading2"/>
        <w:numPr>
          <w:ilvl w:val="1"/>
          <w:numId w:val="1"/>
        </w:numPr>
        <w:rPr/>
      </w:pPr>
      <w:bookmarkStart w:id="1013" w:name="__RefHeading___Toc12184401_2142443653"/>
      <w:bookmarkStart w:id="1014" w:name="_Toc381"/>
      <w:bookmarkEnd w:id="1013"/>
      <w:r>
        <w:rPr>
          <w:rtl w:val="true"/>
        </w:rPr>
        <w:t>إيذاء الأسرى</w:t>
      </w:r>
      <w:bookmarkEnd w:id="101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إيذاء أسرى الكفار في مقابل أن الكفار يؤذون أسرى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تقدم في المسألة السابقة، بالإضافة إلى ما أُمر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به من الرفق بالأسرى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5" w:name="__RefHeading___Toc12184403_2142443653"/>
      <w:bookmarkStart w:id="1016" w:name="_Toc382"/>
      <w:bookmarkEnd w:id="1015"/>
      <w:r>
        <w:rPr>
          <w:rtl w:val="true"/>
        </w:rPr>
        <w:t>المقابلة بالمثل</w:t>
      </w:r>
      <w:bookmarkEnd w:id="101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المسألتين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هو لو ارتدع الكفار عن أذى أبناء المسلمين وأسراهم بغير ذلك، وإلا بأن توقف ردعهم به فهل يجوز ذلك أم لا؟ احتمالان، ولو قيل بالجواز فالواجب أن يكون بأقل قدر ممكن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ويكون ذلك من قبيل تترس</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الكفار بالمسلمين، كما ذكروا في كتاب الجهاد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p>
    <w:p>
      <w:pPr>
        <w:pStyle w:val="BookText"/>
        <w:rPr/>
      </w:pPr>
      <w:r>
        <w:rPr>
          <w:rStyle w:val="FootnoteAnchor"/>
          <w:rtl w:val="true"/>
        </w:rPr>
        <w:footnoteReference w:id="1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على نحو الوجوب أو الندب؟</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فتحكم موازين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في الأهمية سمعة الإسلام والمسلمين</w:t>
      </w:r>
      <w:r>
        <w:rPr>
          <w:rFonts w:eastAsia="Amiri" w:cs="Amiri" w:ascii="Amiri" w:hAnsi="Amiri"/>
          <w:color w:val="111111"/>
          <w:sz w:val="28"/>
          <w:szCs w:val="28"/>
          <w:rtl w:val="true"/>
          <w:lang w:bidi="ar-SA"/>
        </w:rPr>
        <w:t xml:space="preserve">. </w:t>
      </w:r>
      <w:bookmarkStart w:id="1017" w:name="pg15710_227008"/>
    </w:p>
    <w:p>
      <w:pPr>
        <w:pStyle w:val="BookText"/>
        <w:rPr/>
      </w:pPr>
      <w:bookmarkEnd w:id="1017"/>
      <w:r>
        <w:rPr>
          <w:rFonts w:ascii="Amiri" w:hAnsi="Amiri" w:eastAsia="Amiri" w:cs="Amiri"/>
          <w:color w:val="111111"/>
          <w:sz w:val="28"/>
          <w:sz w:val="28"/>
          <w:szCs w:val="28"/>
          <w:rtl w:val="true"/>
          <w:lang w:bidi="ar-SA"/>
        </w:rPr>
        <w:t>ثم إنّ اللازم أن يكون بإذن</w:t>
      </w:r>
      <w:r>
        <w:rPr>
          <w:rStyle w:val="FootnoteAnchor"/>
          <w:rtl w:val="true"/>
        </w:rPr>
        <w:footnoteReference w:id="1556"/>
      </w:r>
      <w:r>
        <w:rPr>
          <w:rFonts w:ascii="Amiri" w:hAnsi="Amiri" w:eastAsia="Amiri" w:cs="Amiri"/>
          <w:color w:val="111111"/>
          <w:sz w:val="28"/>
          <w:sz w:val="28"/>
          <w:szCs w:val="28"/>
          <w:rtl w:val="true"/>
          <w:lang w:bidi="ar-SA"/>
        </w:rPr>
        <w:t xml:space="preserve"> شورى الفقهاء المراجع؛ لأنه مما يرتبط بعامة المسلمين، وبسمعة الإسلام</w:t>
      </w:r>
      <w:r>
        <w:rPr>
          <w:rFonts w:eastAsia="Amiri" w:cs="Amiri" w:ascii="Amiri" w:hAnsi="Amiri"/>
          <w:color w:val="111111"/>
          <w:sz w:val="28"/>
          <w:szCs w:val="28"/>
          <w:rtl w:val="true"/>
          <w:lang w:bidi="ar-SA"/>
        </w:rPr>
        <w:t>.</w:t>
      </w:r>
    </w:p>
    <w:p>
      <w:pPr>
        <w:pStyle w:val="Heading2"/>
        <w:numPr>
          <w:ilvl w:val="1"/>
          <w:numId w:val="1"/>
        </w:numPr>
        <w:rPr/>
      </w:pPr>
      <w:bookmarkStart w:id="1018" w:name="__RefHeading___Toc12184405_2142443653"/>
      <w:bookmarkStart w:id="1019" w:name="_Toc383"/>
      <w:bookmarkEnd w:id="1018"/>
      <w:r>
        <w:rPr>
          <w:rtl w:val="true"/>
        </w:rPr>
        <w:t>خطف الأبرياء وتعذيبهم</w:t>
      </w:r>
      <w:bookmarkEnd w:id="101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اختطاف أُُناس أبرياء وتعذيبهم أو سجنهم لأجل استجابة الحكومة، أو الشخص المرتبط بالمخطوف المطاليب الشرعية للمختطف، فإنّه</w:t>
      </w:r>
      <w:r>
        <w:rPr>
          <w:rStyle w:val="FootnoteAnchor"/>
          <w:rtl w:val="true"/>
        </w:rPr>
        <w:footnoteReference w:id="15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غير فرق بين أن يكون المختطف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 أو مسلماً، وكذا أخذ الرهينة، فإنه من المحرمات ومما يشوه سمعة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الإسلام والمسلمين</w:t>
      </w:r>
      <w:r>
        <w:rPr>
          <w:rFonts w:eastAsia="Amiri" w:cs="Amiri" w:ascii="Amiri" w:hAnsi="Amiri"/>
          <w:color w:val="111111"/>
          <w:sz w:val="28"/>
          <w:szCs w:val="28"/>
          <w:rtl w:val="true"/>
          <w:lang w:bidi="ar-SA"/>
        </w:rPr>
        <w:t>.</w:t>
      </w:r>
    </w:p>
    <w:p>
      <w:pPr>
        <w:pStyle w:val="Heading2"/>
        <w:numPr>
          <w:ilvl w:val="1"/>
          <w:numId w:val="1"/>
        </w:numPr>
        <w:rPr/>
      </w:pPr>
      <w:bookmarkStart w:id="1020" w:name="__RefHeading___Toc12184407_2142443653"/>
      <w:bookmarkStart w:id="1021" w:name="_Toc384"/>
      <w:bookmarkEnd w:id="1020"/>
      <w:r>
        <w:rPr>
          <w:rtl w:val="true"/>
        </w:rPr>
        <w:t>الاختطاف لأجل حق مشروع</w:t>
      </w:r>
      <w:bookmarkEnd w:id="102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أمر بمعروف أو نهي عن منكر أو وفاء حق</w:t>
      </w:r>
    </w:p>
    <w:p>
      <w:pPr>
        <w:pStyle w:val="BookText"/>
        <w:rPr/>
      </w:pPr>
      <w:r>
        <w:rPr>
          <w:rStyle w:val="FootnoteAnchor"/>
          <w:rtl w:val="true"/>
        </w:rPr>
        <w:footnoteReference w:id="1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w:t>
      </w:r>
      <w:r>
        <w:rPr>
          <w:rStyle w:val="FootnoteAnchor"/>
          <w:rtl w:val="true"/>
        </w:rPr>
        <w:footnoteReference w:id="1560"/>
      </w:r>
      <w:r>
        <w:rPr>
          <w:rFonts w:ascii="Amiri" w:hAnsi="Amiri" w:eastAsia="Amiri" w:cs="Amiri"/>
          <w:color w:val="111111"/>
          <w:sz w:val="28"/>
          <w:sz w:val="28"/>
          <w:szCs w:val="28"/>
          <w:rtl w:val="true"/>
          <w:lang w:bidi="ar-SA"/>
        </w:rPr>
        <w:t>أنه إن كان الوصول إليهم ممكناً وأجازوا، وإلا فالقطع الحاصل للمكلف محكّم،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p>
    <w:p>
      <w:pPr>
        <w:pStyle w:val="BookText"/>
        <w:rPr/>
      </w:pPr>
      <w:r>
        <w:rPr>
          <w:rStyle w:val="FootnoteAnchor"/>
          <w:rtl w:val="true"/>
        </w:rPr>
        <w:footnoteReference w:id="1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ظلم بلا مبرر كما سبق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والاحتفاظ بها مهم جداً، كما سبق دليله</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bookmarkStart w:id="1022" w:name="pg15710_227009"/>
    </w:p>
    <w:p>
      <w:pPr>
        <w:pStyle w:val="BookText"/>
        <w:rPr/>
      </w:pPr>
      <w:bookmarkEnd w:id="1022"/>
      <w:r>
        <w:rPr>
          <w:rFonts w:ascii="Amiri" w:hAnsi="Amiri" w:eastAsia="Amiri" w:cs="Amiri"/>
          <w:color w:val="111111"/>
          <w:sz w:val="28"/>
          <w:sz w:val="28"/>
          <w:szCs w:val="28"/>
          <w:rtl w:val="true"/>
          <w:lang w:bidi="ar-SA"/>
        </w:rPr>
        <w:t>مشروع على الاختطاف لزم أن يلاحظ الأهمية</w:t>
      </w:r>
      <w:r>
        <w:rPr>
          <w:rStyle w:val="FootnoteAnchor"/>
          <w:rtl w:val="true"/>
        </w:rPr>
        <w:footnoteReference w:id="1565"/>
      </w:r>
      <w:r>
        <w:rPr>
          <w:rFonts w:ascii="Amiri" w:hAnsi="Amiri" w:eastAsia="Amiri" w:cs="Amiri"/>
          <w:color w:val="111111"/>
          <w:sz w:val="28"/>
          <w:sz w:val="28"/>
          <w:szCs w:val="28"/>
          <w:rtl w:val="true"/>
          <w:lang w:bidi="ar-SA"/>
        </w:rPr>
        <w:t>، فيقدم الأهم،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دولة كافرة ألف مسلم بريء وسجنتهم، وكان طريق خلاصهم أن يختطف المسلمون أحد وزرائها جاز ذلك في سبيل إنقاذ أُولئك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بالشرط</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الذي ذكرناه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Heading2"/>
        <w:numPr>
          <w:ilvl w:val="1"/>
          <w:numId w:val="1"/>
        </w:numPr>
        <w:rPr/>
      </w:pPr>
      <w:bookmarkStart w:id="1023" w:name="__RefHeading___Toc12184409_2142443653"/>
      <w:bookmarkStart w:id="1024" w:name="_Toc385"/>
      <w:bookmarkEnd w:id="1023"/>
      <w:r>
        <w:rPr>
          <w:rtl w:val="true"/>
        </w:rPr>
        <w:t>مخادعة الحيوان</w:t>
      </w:r>
      <w:bookmarkEnd w:id="102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806</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يجوز خداع الحيوان لأجل الاستفادة منه، كأن يمُلأ جلد ولد الناقة بالتبن ويقدم أمامها لتظن أنه ولدها فتدر باللبن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الأصل الحلية بعد أنه لا دليل على الحرمة</w:t>
      </w:r>
      <w:r>
        <w:rPr>
          <w:rFonts w:eastAsia="Amiri" w:cs="Amiri" w:ascii="Amiri" w:hAnsi="Amiri"/>
          <w:color w:val="111111"/>
          <w:sz w:val="28"/>
          <w:szCs w:val="28"/>
          <w:rtl w:val="true"/>
          <w:lang w:bidi="ar-SA"/>
        </w:rPr>
        <w:t>.</w:t>
      </w:r>
    </w:p>
    <w:p>
      <w:pPr>
        <w:pStyle w:val="Heading2"/>
        <w:numPr>
          <w:ilvl w:val="1"/>
          <w:numId w:val="1"/>
        </w:numPr>
        <w:rPr/>
      </w:pPr>
      <w:bookmarkStart w:id="1025" w:name="__RefHeading___Toc12184411_2142443653"/>
      <w:bookmarkStart w:id="1026" w:name="_Toc386"/>
      <w:bookmarkEnd w:id="1025"/>
      <w:r>
        <w:rPr>
          <w:rtl w:val="true"/>
        </w:rPr>
        <w:t>استمناء الحيوان للعلاج</w:t>
      </w:r>
      <w:bookmarkEnd w:id="102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باستمناء الحيوان بآلة ونحوها لأجل أخذ منيه المفيد لدواء ونحوه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لأصالة الحلية بعد عدم الدليل على الحرمة</w:t>
      </w:r>
      <w:r>
        <w:rPr>
          <w:rFonts w:eastAsia="Amiri" w:cs="Amiri" w:ascii="Amiri" w:hAnsi="Amiri"/>
          <w:color w:val="111111"/>
          <w:sz w:val="28"/>
          <w:szCs w:val="28"/>
          <w:rtl w:val="true"/>
          <w:lang w:bidi="ar-SA"/>
        </w:rPr>
        <w:t>.</w:t>
      </w:r>
    </w:p>
    <w:p>
      <w:pPr>
        <w:pStyle w:val="BookText"/>
        <w:rPr/>
      </w:pP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تشخيصها سمعة الإسلام والمسلمين، كما سبق</w:t>
      </w:r>
      <w:r>
        <w:rPr>
          <w:rStyle w:val="FootnoteAnchor"/>
          <w:rtl w:val="true"/>
        </w:rPr>
        <w:footnoteReference w:id="1568"/>
      </w:r>
      <w:r>
        <w:rPr>
          <w:rFonts w:ascii="Amiri" w:hAnsi="Amiri" w:eastAsia="Amiri" w:cs="Amiri"/>
          <w:color w:val="111111"/>
          <w:sz w:val="28"/>
          <w:sz w:val="28"/>
          <w:szCs w:val="28"/>
          <w:rtl w:val="true"/>
          <w:lang w:bidi="ar-SA"/>
        </w:rPr>
        <w:t>، وردّ الفعل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التعليق عليه</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 xml:space="preserve">. </w:t>
      </w:r>
      <w:bookmarkStart w:id="1027" w:name="pg15710_227010"/>
    </w:p>
    <w:p>
      <w:pPr>
        <w:pStyle w:val="Heading2"/>
        <w:numPr>
          <w:ilvl w:val="1"/>
          <w:numId w:val="1"/>
        </w:numPr>
        <w:rPr/>
      </w:pPr>
      <w:bookmarkStart w:id="1028" w:name="__RefHeading___Toc12184413_2142443653"/>
      <w:bookmarkStart w:id="1029" w:name="_Toc387"/>
      <w:bookmarkEnd w:id="1027"/>
      <w:bookmarkEnd w:id="1028"/>
      <w:r>
        <w:rPr>
          <w:rtl w:val="true"/>
        </w:rPr>
        <w:t>نزو الحيوانات فيما بينها</w:t>
      </w:r>
      <w:bookmarkEnd w:id="102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منع حيوان ينزو على حيوان آخر، وإن لم يكن من جنسه ونوعه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تقدم في المسألة السابقة، وحتى إذا كان الحيوان له بعض الشعور كالقرد ونحوه</w:t>
      </w:r>
      <w:r>
        <w:rPr>
          <w:rFonts w:eastAsia="Amiri" w:cs="Amiri" w:ascii="Amiri" w:hAnsi="Amiri"/>
          <w:color w:val="111111"/>
          <w:sz w:val="28"/>
          <w:szCs w:val="28"/>
          <w:rtl w:val="true"/>
          <w:lang w:bidi="ar-SA"/>
        </w:rPr>
        <w:t>.</w:t>
      </w:r>
    </w:p>
    <w:p>
      <w:pPr>
        <w:pStyle w:val="Heading2"/>
        <w:numPr>
          <w:ilvl w:val="1"/>
          <w:numId w:val="1"/>
        </w:numPr>
        <w:rPr/>
      </w:pPr>
      <w:bookmarkStart w:id="1030" w:name="__RefHeading___Toc12184415_2142443653"/>
      <w:bookmarkStart w:id="1031" w:name="_Toc388"/>
      <w:bookmarkEnd w:id="1030"/>
      <w:r>
        <w:rPr>
          <w:rtl w:val="true"/>
        </w:rPr>
        <w:t>تسجيل الأملاك بأسماء بديلة</w:t>
      </w:r>
      <w:bookmarkEnd w:id="103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بتسجيل الدار والدكان وما أشبه باسم إنسان آخر، لأجل أن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تقرر ملكية المالك الحقيقي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ذلك من الكذب المحرم، بالإضافة إلى أنه نوع من الاضطرار</w:t>
      </w:r>
      <w:r>
        <w:rPr>
          <w:rFonts w:eastAsia="Amiri" w:cs="Amiri" w:ascii="Amiri" w:hAnsi="Amiri"/>
          <w:color w:val="111111"/>
          <w:sz w:val="28"/>
          <w:szCs w:val="28"/>
          <w:rtl w:val="true"/>
          <w:lang w:bidi="ar-SA"/>
        </w:rPr>
        <w:t>.</w:t>
      </w:r>
    </w:p>
    <w:p>
      <w:pPr>
        <w:pStyle w:val="Heading2"/>
        <w:numPr>
          <w:ilvl w:val="1"/>
          <w:numId w:val="1"/>
        </w:numPr>
        <w:rPr/>
      </w:pPr>
      <w:bookmarkStart w:id="1032" w:name="__RefHeading___Toc12184417_2142443653"/>
      <w:bookmarkStart w:id="1033" w:name="_Toc389"/>
      <w:bookmarkEnd w:id="1032"/>
      <w:r>
        <w:rPr>
          <w:rtl w:val="true"/>
        </w:rPr>
        <w:t>اختطاف أولاد التجار</w:t>
      </w:r>
      <w:bookmarkEnd w:id="103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اختطاف أبناء التجار أو الموظفين الكبار أو ما أشبه لأجل استدرار أموالهم، أو قيامهم بأعمال للمختطف لا يجوز شرعاً، بل هو حرام مضاعف، حيث إنه تصرف في ما لا ولاية للمختطف على التصرف فيه؛ وإيذاءً لأقربائه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اختطاف أي ولد أو بنت أو قريب للغير، لأجل غاية يجعل الاختطاف وسيلة إليها، من غير فرق بين أن يكون المختطف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كبيراً أو صغيراً مسلماً أو كافراً محترماً</w:t>
      </w:r>
      <w:r>
        <w:rPr>
          <w:rFonts w:eastAsia="Amiri" w:cs="Amiri" w:ascii="Amiri" w:hAnsi="Amiri"/>
          <w:color w:val="111111"/>
          <w:sz w:val="28"/>
          <w:szCs w:val="28"/>
          <w:rtl w:val="true"/>
          <w:lang w:bidi="ar-SA"/>
        </w:rPr>
        <w:t>.</w:t>
      </w:r>
    </w:p>
    <w:p>
      <w:pPr>
        <w:pStyle w:val="Heading2"/>
        <w:numPr>
          <w:ilvl w:val="1"/>
          <w:numId w:val="1"/>
        </w:numPr>
        <w:rPr/>
      </w:pPr>
      <w:bookmarkStart w:id="1034" w:name="__RefHeading___Toc12184419_2142443653"/>
      <w:bookmarkStart w:id="1035" w:name="_Toc390"/>
      <w:bookmarkEnd w:id="1034"/>
      <w:r>
        <w:rPr>
          <w:rtl w:val="true"/>
        </w:rPr>
        <w:t>الإسلام تقدمي</w:t>
      </w:r>
      <w:bookmarkEnd w:id="103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وحده هو الدين التقدمي الذي يسير بالبشرية نحو الأمام إلى آخر الشوط، ولا يعتقد بالوقوف، بل 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bookmarkStart w:id="1036" w:name="pg15710_227011"/>
    </w:p>
    <w:p>
      <w:pPr>
        <w:pStyle w:val="BookText"/>
        <w:rPr/>
      </w:pPr>
      <w:bookmarkEnd w:id="1036"/>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w:t>
      </w:r>
      <w:r>
        <w:rPr>
          <w:rStyle w:val="FootnoteAnchor"/>
          <w:rtl w:val="true"/>
        </w:rPr>
        <w:footnoteReference w:id="157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ساوى يوماه فهو مغبون</w:t>
      </w:r>
      <w:r>
        <w:rPr>
          <w:rFonts w:eastAsia="Amiri" w:cs="Amiri" w:ascii="Amiri" w:hAnsi="Amiri"/>
          <w:color w:val="111111"/>
          <w:sz w:val="28"/>
          <w:szCs w:val="28"/>
          <w:rtl w:val="true"/>
          <w:lang w:bidi="ar-SA"/>
        </w:rPr>
        <w:t>»</w:t>
      </w:r>
      <w:r>
        <w:rPr>
          <w:rStyle w:val="FootnoteAnchor"/>
          <w:rtl w:val="true"/>
        </w:rPr>
        <w:footnoteReference w:id="1572"/>
      </w:r>
      <w:r>
        <w:rPr>
          <w:rFonts w:ascii="Amiri" w:hAnsi="Amiri" w:eastAsia="Amiri" w:cs="Amiri"/>
          <w:color w:val="111111"/>
          <w:sz w:val="28"/>
          <w:sz w:val="28"/>
          <w:szCs w:val="28"/>
          <w:rtl w:val="true"/>
          <w:lang w:bidi="ar-SA"/>
        </w:rPr>
        <w:t>، أما سائر الأديان والأنظمة فليست كذلك، ولذا لا يجوز وصف الإسلام بأنه دين رجعي أو ما أشبه، كما لا يجوز تفضيل غير الإسلام على الإسلام، وادعاء أن غير الإسلام تقدمي، أو أن غير الإسلام هو الذي يعطي حاجات البشر، أو يحل مشكلاته أو يأخذ بيد البشر إلى التقدم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والإيمان بالنسبة إلى الإسلام له نفس النسبة؛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واحدة ناجية والباقون في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ولا يخفى أنه أشار إلى الفرد الأكمل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النجاة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ففي الدنيا أيضاً نفس الشيء؛ لأن الإنسان إذا انحرف عن قوانين اللّه سبحانه لابد وأن يصطدم في الدنيا بالمشاكل</w:t>
      </w:r>
      <w:r>
        <w:rPr>
          <w:rFonts w:eastAsia="Amiri" w:cs="Amiri" w:ascii="Amiri" w:hAnsi="Amiri"/>
          <w:color w:val="111111"/>
          <w:sz w:val="28"/>
          <w:szCs w:val="28"/>
          <w:rtl w:val="true"/>
          <w:lang w:bidi="ar-SA"/>
        </w:rPr>
        <w:t>.</w:t>
      </w:r>
    </w:p>
    <w:p>
      <w:pPr>
        <w:pStyle w:val="Heading2"/>
        <w:numPr>
          <w:ilvl w:val="1"/>
          <w:numId w:val="1"/>
        </w:numPr>
        <w:rPr/>
      </w:pPr>
      <w:bookmarkStart w:id="1037" w:name="__RefHeading___Toc12184421_2142443653"/>
      <w:bookmarkStart w:id="1038" w:name="_Toc391"/>
      <w:bookmarkEnd w:id="1037"/>
      <w:r>
        <w:rPr>
          <w:rtl w:val="true"/>
        </w:rPr>
        <w:t>ذبح الحيوانات في الشوارع</w:t>
      </w:r>
      <w:bookmarkEnd w:id="103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للدولة العادلة أن تمنع ذبح الحيوانات في الشوارع والسكك وما أشبه، إذا كان الذبح مثار أمراض وإيذاء للناس لبقاء الدم والوساخات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يجوز للإنسان نفسه أن يذبح الحيوان ولو لم تمنع الدولة، إذا كان سبباً للأمراض والإيذاء، ودليله واضح</w:t>
      </w:r>
      <w:r>
        <w:rPr>
          <w:rFonts w:eastAsia="Amiri" w:cs="Amiri" w:ascii="Amiri" w:hAnsi="Amiri"/>
          <w:color w:val="111111"/>
          <w:sz w:val="28"/>
          <w:szCs w:val="28"/>
          <w:rtl w:val="true"/>
          <w:lang w:bidi="ar-SA"/>
        </w:rPr>
        <w:t>.</w:t>
      </w:r>
    </w:p>
    <w:p>
      <w:pPr>
        <w:pStyle w:val="Heading2"/>
        <w:numPr>
          <w:ilvl w:val="1"/>
          <w:numId w:val="1"/>
        </w:numPr>
        <w:rPr/>
      </w:pPr>
      <w:bookmarkStart w:id="1039" w:name="__RefHeading___Toc12184423_2142443653"/>
      <w:bookmarkStart w:id="1040" w:name="_Toc392"/>
      <w:bookmarkEnd w:id="1039"/>
      <w:r>
        <w:rPr>
          <w:rtl w:val="true"/>
        </w:rPr>
        <w:t>تجميل المحلات</w:t>
      </w:r>
      <w:bookmarkEnd w:id="104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للدولة فرض تجميل الدكاكين وبنائها بكيفية خاصة </w:t>
      </w:r>
      <w:bookmarkStart w:id="1041" w:name="pg15710_227012"/>
    </w:p>
    <w:p>
      <w:pPr>
        <w:pStyle w:val="BookText"/>
        <w:rPr/>
      </w:pPr>
      <w:bookmarkEnd w:id="1041"/>
      <w:r>
        <w:rPr>
          <w:rFonts w:ascii="Amiri" w:hAnsi="Amiri" w:eastAsia="Amiri" w:cs="Amiri"/>
          <w:color w:val="111111"/>
          <w:sz w:val="28"/>
          <w:sz w:val="28"/>
          <w:szCs w:val="28"/>
          <w:rtl w:val="true"/>
          <w:lang w:bidi="ar-SA"/>
        </w:rPr>
        <w:t xml:space="preserve">أم لا؟ الظاهر العدم، إلا إذا كانت هناك مصلحة أهم حتى يدخل الأمر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مقتضى الآية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كل إنسان وما اختاره في الإطار الإسلامي، ولأنّ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جميل ويحب الجمال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تدل على أن يكون الإنسان ساعياً إلى التجميل باختياره وفي الإطار المذكور؛ ولأن الناس مسلطون على أموالهم وأنفسهم، ثم لا يخفى أن تطبيق قانون الأهم والمهم في الأمور العامة يجب أن يكون بإشراف شورى الفقهاء المراجع</w:t>
      </w:r>
      <w:r>
        <w:rPr>
          <w:rFonts w:eastAsia="Amiri" w:cs="Amiri" w:ascii="Amiri" w:hAnsi="Amiri"/>
          <w:color w:val="111111"/>
          <w:sz w:val="28"/>
          <w:szCs w:val="28"/>
          <w:rtl w:val="true"/>
          <w:lang w:bidi="ar-SA"/>
        </w:rPr>
        <w:t>.</w:t>
      </w:r>
    </w:p>
    <w:p>
      <w:pPr>
        <w:pStyle w:val="Heading2"/>
        <w:numPr>
          <w:ilvl w:val="1"/>
          <w:numId w:val="1"/>
        </w:numPr>
        <w:rPr/>
      </w:pPr>
      <w:bookmarkStart w:id="1042" w:name="__RefHeading___Toc12184425_2142443653"/>
      <w:bookmarkStart w:id="1043" w:name="_Toc393"/>
      <w:bookmarkEnd w:id="1042"/>
      <w:r>
        <w:rPr>
          <w:rtl w:val="true"/>
        </w:rPr>
        <w:t>حدود التصرفات الفردية</w:t>
      </w:r>
      <w:bookmarkEnd w:id="104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أكل الطعام والشراب الذي يضر بالإنسان ضرراً بالغاً، كما لا يجوز للإنسان أن يبقى في مكان يضر به ضرراً بالغاً، كالكون في محل مرطوب، أو محل حار جداً، أو محل بارد كذلك، أو في مهب الرياح، أو كثرة الوقوف في الماء المضر به،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الأضرار الطفيفة لا بأس بها، كما ذكرناه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وكذلك بالنسبة إلى اللبس الضار والمشي الضار، والشغل الضار وغيرها</w:t>
      </w:r>
      <w:r>
        <w:rPr>
          <w:rFonts w:eastAsia="Amiri" w:cs="Amiri" w:ascii="Amiri" w:hAnsi="Amiri"/>
          <w:color w:val="111111"/>
          <w:sz w:val="28"/>
          <w:szCs w:val="28"/>
          <w:rtl w:val="true"/>
          <w:lang w:bidi="ar-SA"/>
        </w:rPr>
        <w:t>.</w:t>
      </w:r>
    </w:p>
    <w:p>
      <w:pPr>
        <w:pStyle w:val="Heading2"/>
        <w:numPr>
          <w:ilvl w:val="1"/>
          <w:numId w:val="1"/>
        </w:numPr>
        <w:rPr/>
      </w:pPr>
      <w:bookmarkStart w:id="1044" w:name="__RefHeading___Toc12184427_2142443653"/>
      <w:bookmarkStart w:id="1045" w:name="_Toc394"/>
      <w:bookmarkEnd w:id="1044"/>
      <w:r>
        <w:rPr>
          <w:rtl w:val="true"/>
        </w:rPr>
        <w:t>مراجعة الطبيب</w:t>
      </w:r>
      <w:bookmarkEnd w:id="104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للإنسان أن لا يراجع الطبيب إذا كان في عدم </w:t>
      </w:r>
      <w:bookmarkStart w:id="1046" w:name="pg15710_227013"/>
    </w:p>
    <w:p>
      <w:pPr>
        <w:pStyle w:val="BookText"/>
        <w:rPr/>
      </w:pPr>
      <w:bookmarkEnd w:id="1046"/>
      <w:r>
        <w:rPr>
          <w:rFonts w:ascii="Amiri" w:hAnsi="Amiri" w:eastAsia="Amiri" w:cs="Amiri"/>
          <w:color w:val="111111"/>
          <w:sz w:val="28"/>
          <w:sz w:val="28"/>
          <w:szCs w:val="28"/>
          <w:rtl w:val="true"/>
          <w:lang w:bidi="ar-SA"/>
        </w:rPr>
        <w:t>مراجعته ضرر بالغ، كما أنه يجب عليه شرب الدواء في هذه الصورة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للدليل السابق، ولا يحتاج إلى العلم بالضرر البالغ، بل احتماله كافٍ في وجوب المراجعة</w:t>
      </w:r>
      <w:r>
        <w:rPr>
          <w:rFonts w:eastAsia="Amiri" w:cs="Amiri" w:ascii="Amiri" w:hAnsi="Amiri"/>
          <w:color w:val="111111"/>
          <w:sz w:val="28"/>
          <w:szCs w:val="28"/>
          <w:rtl w:val="true"/>
          <w:lang w:bidi="ar-SA"/>
        </w:rPr>
        <w:t>.</w:t>
      </w:r>
    </w:p>
    <w:p>
      <w:pPr>
        <w:pStyle w:val="Heading2"/>
        <w:numPr>
          <w:ilvl w:val="1"/>
          <w:numId w:val="1"/>
        </w:numPr>
        <w:rPr/>
      </w:pPr>
      <w:bookmarkStart w:id="1047" w:name="__RefHeading___Toc12184429_2142443653"/>
      <w:bookmarkStart w:id="1048" w:name="_Toc395"/>
      <w:bookmarkEnd w:id="1047"/>
      <w:r>
        <w:rPr>
          <w:rtl w:val="true"/>
        </w:rPr>
        <w:t>التراب المطهر</w:t>
      </w:r>
      <w:bookmarkEnd w:id="104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باستعمال التراب الذي خرج بعض أجزائه عن كونه تراباً، إذا بقي عليه صدق التراب في باب الطهارة من الخبث أو الحدث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حال ما إذا اختلط بالتراب ما ليس من جنسه كالرماد، فإنّ الصدق العرفي كافٍ في الطهارتين</w:t>
      </w:r>
      <w:r>
        <w:rPr>
          <w:rFonts w:eastAsia="Amiri" w:cs="Amiri" w:ascii="Amiri" w:hAnsi="Amiri"/>
          <w:color w:val="111111"/>
          <w:sz w:val="28"/>
          <w:szCs w:val="28"/>
          <w:rtl w:val="true"/>
          <w:lang w:bidi="ar-SA"/>
        </w:rPr>
        <w:t>.</w:t>
      </w:r>
    </w:p>
    <w:p>
      <w:pPr>
        <w:pStyle w:val="Heading2"/>
        <w:numPr>
          <w:ilvl w:val="1"/>
          <w:numId w:val="1"/>
        </w:numPr>
        <w:rPr/>
      </w:pPr>
      <w:bookmarkStart w:id="1049" w:name="__RefHeading___Toc12184431_2142443653"/>
      <w:bookmarkStart w:id="1050" w:name="_Toc396"/>
      <w:bookmarkEnd w:id="1049"/>
      <w:r>
        <w:rPr>
          <w:rtl w:val="true"/>
        </w:rPr>
        <w:t>العملية الجراحية ونسبة النجاح</w:t>
      </w:r>
      <w:bookmarkEnd w:id="105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إن كانت خطرة فالظاهر لزوم اتباع الأقل خطراً من العملية وعدمها، فلو كان النجاح ستين في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العملية، وإن كان النجاح أربعين في المائة والهلاك ستين في المائة وجب الترك، وإن كانت العملية وعدمها متساويين، كما لو كان نجاح كل من إجراء العملية وتركها خمسين في المائة، جاز الفعل والترك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البقاء إذا كان خطراً وجبت العملية، وإن كانت نسبة النجاح ضئيلة،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مات، وإذا أجرى العملية كان احتمال النجاح عشرة في المائة</w:t>
      </w:r>
      <w:r>
        <w:rPr>
          <w:rFonts w:eastAsia="Amiri" w:cs="Amiri" w:ascii="Amiri" w:hAnsi="Amiri"/>
          <w:color w:val="111111"/>
          <w:sz w:val="28"/>
          <w:szCs w:val="28"/>
          <w:rtl w:val="true"/>
          <w:lang w:bidi="ar-SA"/>
        </w:rPr>
        <w:t>.</w:t>
      </w:r>
    </w:p>
    <w:p>
      <w:pPr>
        <w:pStyle w:val="Heading2"/>
        <w:numPr>
          <w:ilvl w:val="1"/>
          <w:numId w:val="1"/>
        </w:numPr>
        <w:rPr/>
      </w:pPr>
      <w:bookmarkStart w:id="1051" w:name="__RefHeading___Toc12184433_2142443653"/>
      <w:bookmarkStart w:id="1052" w:name="_Toc397"/>
      <w:bookmarkEnd w:id="1051"/>
      <w:r>
        <w:rPr>
          <w:rtl w:val="true"/>
        </w:rPr>
        <w:t>نصرة المظلوم</w:t>
      </w:r>
      <w:bookmarkEnd w:id="105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تخليص المظلومين من أيدي الظلمة مع الإمكان من باب دفع المنكر،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انصر أخاك ظالماً أو </w:t>
      </w:r>
      <w:bookmarkStart w:id="1053" w:name="pg15710_227014"/>
    </w:p>
    <w:p>
      <w:pPr>
        <w:pStyle w:val="BookText"/>
        <w:rPr/>
      </w:pPr>
      <w:bookmarkEnd w:id="1053"/>
      <w:r>
        <w:rPr>
          <w:rFonts w:ascii="Amiri" w:hAnsi="Amiri" w:eastAsia="Amiri" w:cs="Amiri"/>
          <w:color w:val="111111"/>
          <w:sz w:val="28"/>
          <w:sz w:val="28"/>
          <w:szCs w:val="28"/>
          <w:rtl w:val="true"/>
          <w:lang w:bidi="ar-SA"/>
        </w:rPr>
        <w:t>مظلوماً</w:t>
      </w:r>
      <w:r>
        <w:rPr>
          <w:rFonts w:eastAsia="Amiri" w:cs="Amiri" w:ascii="Amiri" w:hAnsi="Amiri"/>
          <w:color w:val="111111"/>
          <w:sz w:val="28"/>
          <w:szCs w:val="28"/>
          <w:rtl w:val="true"/>
          <w:lang w:bidi="ar-SA"/>
        </w:rPr>
        <w:t>»</w:t>
      </w:r>
      <w:r>
        <w:rPr>
          <w:rStyle w:val="FootnoteAnchor"/>
          <w:rtl w:val="true"/>
        </w:rPr>
        <w:footnoteReference w:id="1573"/>
      </w:r>
      <w:r>
        <w:rPr>
          <w:rFonts w:ascii="IRNazanin" w:hAnsi="IRNazanin" w:eastAsia="IRNazanin"/>
          <w:color w:val="111111"/>
          <w:sz w:val="28"/>
          <w:sz w:val="28"/>
          <w:szCs w:val="28"/>
          <w:rtl w:val="true"/>
          <w:lang w:bidi="fa-IR"/>
        </w:rPr>
        <w:t xml:space="preserve">، وفسر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نصرته ظالماً بكفه عن الظلم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وجوب النصرة فيما إذا كان الظلم كبيراً، أما إذا كان يظلمه بسرقة فلس منه أو ما أشبه مما لا يعتنى به فلا دليل على وجوب النصرة وهكذا، فإن دليل الوجوب منصرف عما ذكرناه، إلا أن يكون الوجوب بجهة أُخرى</w:t>
      </w:r>
      <w:r>
        <w:rPr>
          <w:rFonts w:eastAsia="Amiri" w:cs="Amiri" w:ascii="Amiri" w:hAnsi="Amiri"/>
          <w:color w:val="111111"/>
          <w:sz w:val="28"/>
          <w:szCs w:val="28"/>
          <w:rtl w:val="true"/>
          <w:lang w:bidi="ar-SA"/>
        </w:rPr>
        <w:t>.</w:t>
      </w:r>
    </w:p>
    <w:p>
      <w:pPr>
        <w:pStyle w:val="Heading2"/>
        <w:numPr>
          <w:ilvl w:val="1"/>
          <w:numId w:val="1"/>
        </w:numPr>
        <w:rPr/>
      </w:pPr>
      <w:bookmarkStart w:id="1054" w:name="__RefHeading___Toc12184435_2142443653"/>
      <w:bookmarkStart w:id="1055" w:name="_Toc398"/>
      <w:bookmarkEnd w:id="1054"/>
      <w:r>
        <w:rPr>
          <w:rtl w:val="true"/>
        </w:rPr>
        <w:t>الصوم مع اختلاف الآفاق</w:t>
      </w:r>
      <w:bookmarkEnd w:id="105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لغروب الشمس في هذا البلد أربع ساعات مثلاً، فإذا سافر الإنسان إلى بلد بقي لغروبه ساعة واحدة جاز له أن يفطر هناك بعد ساعة؛ لأنّ الأمر في الصيام والإفطار تابعان للأُفق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الصائم؛ ولأنّه بتحقق الموضوع يتحقق الحكم،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عليك مشرقك ومغربك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6" w:name="__RefHeading___Toc12184437_2142443653"/>
      <w:bookmarkStart w:id="1057" w:name="_Toc399"/>
      <w:bookmarkEnd w:id="1056"/>
      <w:r>
        <w:rPr>
          <w:rtl w:val="true"/>
        </w:rPr>
        <w:t>تصوير وتمثيل ذكريات الإسلام</w:t>
      </w:r>
      <w:bookmarkEnd w:id="105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تصوير وتمثيل وتأليف ذكريات الإسلام ومحلاته بمختلف الوسائل، كتصوير المدينة المنورة ومكة المكرمة، وتجسيم الكعبة </w:t>
      </w:r>
      <w:bookmarkStart w:id="1058" w:name="pg15710_227015"/>
    </w:p>
    <w:p>
      <w:pPr>
        <w:pStyle w:val="BookText"/>
        <w:rPr/>
      </w:pPr>
      <w:bookmarkEnd w:id="1058"/>
      <w:r>
        <w:rPr>
          <w:rFonts w:ascii="IRNazanin" w:hAnsi="IRNazanin" w:eastAsia="IRNazanin"/>
          <w:color w:val="111111"/>
          <w:sz w:val="28"/>
          <w:sz w:val="28"/>
          <w:szCs w:val="28"/>
          <w:rtl w:val="true"/>
          <w:lang w:bidi="fa-IR"/>
        </w:rPr>
        <w:t xml:space="preserve">ومرقد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وتأليف فتوحات الإسلام، بل يستحب ذلك أيضاً، وقد يجب إذا كانت هناك جهة وجوب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لأنه من طرق ترويج الإسلام، ويجب فيما إذا كان المخالف للإسلام أو الإيمان يملأ الفراغ، مما يضر العقيدة أو العمل</w:t>
      </w:r>
      <w:r>
        <w:rPr>
          <w:rFonts w:eastAsia="Amiri" w:cs="Amiri" w:ascii="Amiri" w:hAnsi="Amiri"/>
          <w:color w:val="111111"/>
          <w:sz w:val="28"/>
          <w:szCs w:val="28"/>
          <w:rtl w:val="true"/>
          <w:lang w:bidi="ar-SA"/>
        </w:rPr>
        <w:t>.</w:t>
      </w:r>
    </w:p>
    <w:p>
      <w:pPr>
        <w:pStyle w:val="Heading2"/>
        <w:numPr>
          <w:ilvl w:val="1"/>
          <w:numId w:val="1"/>
        </w:numPr>
        <w:rPr/>
      </w:pPr>
      <w:bookmarkStart w:id="1059" w:name="__RefHeading___Toc12184439_2142443653"/>
      <w:bookmarkStart w:id="1060" w:name="_Toc400"/>
      <w:bookmarkEnd w:id="1059"/>
      <w:r>
        <w:rPr>
          <w:rtl w:val="true"/>
        </w:rPr>
        <w:t>التأليف حول الإسلام</w:t>
      </w:r>
      <w:bookmarkEnd w:id="1060"/>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تأليف الكتب التي تبين حقائق الإسلام، وتبطل وتفند الإشكالات والإيرادات التي أوردها عليه المخالفون، كما يجب الدفاع عن 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العاملين والمؤمنين الصالحين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ذلك عينا أو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لأدلة الأمر بالمعروف والنهي عن المنكر، وأدلة الإرشاد والتنبيه والهداية ولغير ذلك</w:t>
      </w:r>
      <w:r>
        <w:rPr>
          <w:rFonts w:eastAsia="Amiri" w:cs="Amiri" w:ascii="Amiri" w:hAnsi="Amiri"/>
          <w:color w:val="111111"/>
          <w:sz w:val="28"/>
          <w:szCs w:val="28"/>
          <w:rtl w:val="true"/>
          <w:lang w:bidi="ar-SA"/>
        </w:rPr>
        <w:t>.</w:t>
      </w:r>
    </w:p>
    <w:p>
      <w:pPr>
        <w:pStyle w:val="Heading2"/>
        <w:numPr>
          <w:ilvl w:val="1"/>
          <w:numId w:val="1"/>
        </w:numPr>
        <w:rPr/>
      </w:pPr>
      <w:bookmarkStart w:id="1061" w:name="__RefHeading___Toc12184441_2142443653"/>
      <w:bookmarkStart w:id="1062" w:name="_Toc401"/>
      <w:bookmarkEnd w:id="1061"/>
      <w:r>
        <w:rPr>
          <w:rtl w:val="true"/>
        </w:rPr>
        <w:t>مفاتيح لأبواب الآخرين</w:t>
      </w:r>
      <w:bookmarkEnd w:id="106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للإنسان أن يصنع مفاتيح تفتح بها أبواب بيوت الناس وصناديقهم، وإن لم يكن بقصد الفتح، بل لمجرد وجودها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يشكل لأنه يعد تعدياً لحقوق الآخرين، فيشمله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يتوى حق امرئ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أما إذا أراد الفتح فلا إشكال في الحرمة، كما هو متعارف عند السراق والدول المستبدة</w:t>
      </w:r>
      <w:r>
        <w:rPr>
          <w:rFonts w:eastAsia="Amiri" w:cs="Amiri" w:ascii="Amiri" w:hAnsi="Amiri"/>
          <w:color w:val="111111"/>
          <w:sz w:val="28"/>
          <w:szCs w:val="28"/>
          <w:rtl w:val="true"/>
          <w:lang w:bidi="ar-SA"/>
        </w:rPr>
        <w:t>.</w:t>
      </w:r>
    </w:p>
    <w:p>
      <w:pPr>
        <w:pStyle w:val="Heading2"/>
        <w:numPr>
          <w:ilvl w:val="1"/>
          <w:numId w:val="1"/>
        </w:numPr>
        <w:rPr/>
      </w:pPr>
      <w:bookmarkStart w:id="1063" w:name="__RefHeading___Toc12184443_2142443653"/>
      <w:bookmarkStart w:id="1064" w:name="_Toc402"/>
      <w:bookmarkEnd w:id="1063"/>
      <w:r>
        <w:rPr>
          <w:rtl w:val="true"/>
        </w:rPr>
        <w:t>الهوايات</w:t>
      </w:r>
      <w:bookmarkEnd w:id="106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بجمع الطوابع، أو سائر الهوايات التي لم يمنعها الإسلام، ولم يترتب على ذلك محذور آخر، كهواية التعرف على الخطباء </w:t>
      </w:r>
      <w:bookmarkStart w:id="1065" w:name="pg15710_227016"/>
    </w:p>
    <w:p>
      <w:pPr>
        <w:pStyle w:val="BookText"/>
        <w:rPr/>
      </w:pPr>
      <w:bookmarkEnd w:id="1065"/>
      <w:r>
        <w:rPr>
          <w:rFonts w:ascii="Amiri" w:hAnsi="Amiri" w:eastAsia="Amiri" w:cs="Amiri"/>
          <w:color w:val="111111"/>
          <w:sz w:val="28"/>
          <w:sz w:val="28"/>
          <w:szCs w:val="28"/>
          <w:rtl w:val="true"/>
          <w:lang w:bidi="ar-SA"/>
        </w:rPr>
        <w:t>والشعراء، وهواية الكتب، وهواية الصنعة والسباحة وركوب الخيل والتأليف وما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ففيما كانت جهة راجحة هناك فهو مستحب، وإلا فهو مباح، وإن كانت جهة مرجوحة كانت مكروهة</w:t>
      </w:r>
      <w:r>
        <w:rPr>
          <w:rFonts w:eastAsia="Amiri" w:cs="Amiri" w:ascii="Amiri" w:hAnsi="Amiri"/>
          <w:color w:val="111111"/>
          <w:sz w:val="28"/>
          <w:szCs w:val="28"/>
          <w:rtl w:val="true"/>
          <w:lang w:bidi="ar-SA"/>
        </w:rPr>
        <w:t>.</w:t>
      </w:r>
    </w:p>
    <w:p>
      <w:pPr>
        <w:pStyle w:val="Heading2"/>
        <w:numPr>
          <w:ilvl w:val="1"/>
          <w:numId w:val="1"/>
        </w:numPr>
        <w:rPr/>
      </w:pPr>
      <w:bookmarkStart w:id="1066" w:name="__RefHeading___Toc12184445_2142443653"/>
      <w:bookmarkStart w:id="1067" w:name="_Toc403"/>
      <w:bookmarkEnd w:id="1066"/>
      <w:r>
        <w:rPr>
          <w:rtl w:val="true"/>
        </w:rPr>
        <w:t>مراسلة الفتيات</w:t>
      </w:r>
      <w:bookmarkEnd w:id="106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هواية مراسلة الفتيات والتعرف إليهن وإلى أعمارهن وما أشبه، فإن ذلك من أكبر مثارات الفتنة، ومواضع الانزلاق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العكس بتعرف الفتاة إلى الشباب، للدليل المذكور</w:t>
      </w:r>
      <w:r>
        <w:rPr>
          <w:rFonts w:eastAsia="Amiri" w:cs="Amiri" w:ascii="Amiri" w:hAnsi="Amiri"/>
          <w:color w:val="111111"/>
          <w:sz w:val="28"/>
          <w:szCs w:val="28"/>
          <w:rtl w:val="true"/>
          <w:lang w:bidi="ar-SA"/>
        </w:rPr>
        <w:t>.</w:t>
      </w:r>
    </w:p>
    <w:p>
      <w:pPr>
        <w:pStyle w:val="Heading2"/>
        <w:numPr>
          <w:ilvl w:val="1"/>
          <w:numId w:val="1"/>
        </w:numPr>
        <w:rPr/>
      </w:pPr>
      <w:bookmarkStart w:id="1068" w:name="__RefHeading___Toc12184447_2142443653"/>
      <w:bookmarkStart w:id="1069" w:name="_Toc404"/>
      <w:bookmarkEnd w:id="1068"/>
      <w:r>
        <w:rPr>
          <w:rtl w:val="true"/>
        </w:rPr>
        <w:t>سرقة الأسماء</w:t>
      </w:r>
      <w:bookmarkEnd w:id="106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يسمي الإنسان ولده باسم إنسان آخر، وإن لم يكن ذاك الإنسان يرضى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لأصالة الإباحة والحرية</w:t>
      </w:r>
      <w:r>
        <w:rPr>
          <w:rFonts w:eastAsia="Amiri" w:cs="Amiri" w:ascii="Amiri" w:hAnsi="Amiri"/>
          <w:color w:val="111111"/>
          <w:sz w:val="28"/>
          <w:szCs w:val="28"/>
          <w:rtl w:val="true"/>
          <w:lang w:bidi="ar-SA"/>
        </w:rPr>
        <w:t>.</w:t>
      </w:r>
    </w:p>
    <w:p>
      <w:pPr>
        <w:pStyle w:val="Heading2"/>
        <w:numPr>
          <w:ilvl w:val="1"/>
          <w:numId w:val="1"/>
        </w:numPr>
        <w:rPr/>
      </w:pPr>
      <w:bookmarkStart w:id="1070" w:name="__RefHeading___Toc12184449_2142443653"/>
      <w:bookmarkStart w:id="1071" w:name="_Toc405"/>
      <w:bookmarkEnd w:id="1070"/>
      <w:r>
        <w:rPr>
          <w:rtl w:val="true"/>
        </w:rPr>
        <w:t>الضغط على أهل المنكر</w:t>
      </w:r>
      <w:bookmarkEnd w:id="107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ممارسة الضغوط الممكنة لأجل الأمر بالمعروف والنهي عن المنكر، كأن يحتوش</w:t>
      </w:r>
      <w:r>
        <w:rPr>
          <w:rStyle w:val="FootnoteAnchor"/>
          <w:rtl w:val="true"/>
        </w:rPr>
        <w:footnoteReference w:id="1574"/>
      </w:r>
      <w:r>
        <w:rPr>
          <w:rFonts w:ascii="Amiri" w:hAnsi="Amiri" w:eastAsia="Amiri" w:cs="Amiri"/>
          <w:color w:val="111111"/>
          <w:sz w:val="28"/>
          <w:sz w:val="28"/>
          <w:szCs w:val="28"/>
          <w:rtl w:val="true"/>
          <w:lang w:bidi="ar-SA"/>
        </w:rPr>
        <w:t>الإنسان فاعل المنكر بإثارة أهله وأقربائه وأصدقائه عليه، أو يرسل إليه مكاتيب من مختلف المناطق أو نحو ذلك، فإن هذا من أساليب التأثير وأسباب الردع والإقلاع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واجب عيني أو كفائي على موازينهما، وكذلك حال تبليغ الإسلام</w:t>
      </w:r>
      <w:r>
        <w:rPr>
          <w:rFonts w:eastAsia="Amiri" w:cs="Amiri" w:ascii="Amiri" w:hAnsi="Amiri"/>
          <w:color w:val="111111"/>
          <w:sz w:val="28"/>
          <w:szCs w:val="28"/>
          <w:rtl w:val="true"/>
          <w:lang w:bidi="ar-SA"/>
        </w:rPr>
        <w:t>.</w:t>
      </w:r>
    </w:p>
    <w:p>
      <w:pPr>
        <w:pStyle w:val="Heading2"/>
        <w:numPr>
          <w:ilvl w:val="1"/>
          <w:numId w:val="1"/>
        </w:numPr>
        <w:rPr/>
      </w:pPr>
      <w:bookmarkStart w:id="1072" w:name="__RefHeading___Toc12184451_2142443653"/>
      <w:bookmarkStart w:id="1073" w:name="_Toc406"/>
      <w:bookmarkEnd w:id="1072"/>
      <w:r>
        <w:rPr>
          <w:rtl w:val="true"/>
        </w:rPr>
        <w:t>الديبلوماسيات</w:t>
      </w:r>
      <w:bookmarkEnd w:id="107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التوسل بالدبلوماسيات لأجل نشر الإسلام، والأمر </w:t>
      </w:r>
      <w:bookmarkStart w:id="1074" w:name="pg15710_227017"/>
    </w:p>
    <w:p>
      <w:pPr>
        <w:pStyle w:val="BookText"/>
        <w:rPr/>
      </w:pPr>
      <w:bookmarkEnd w:id="1074"/>
      <w:r>
        <w:rPr>
          <w:rFonts w:ascii="Amiri" w:hAnsi="Amiri" w:eastAsia="Amiri" w:cs="Amiri"/>
          <w:color w:val="111111"/>
          <w:sz w:val="28"/>
          <w:sz w:val="28"/>
          <w:szCs w:val="28"/>
          <w:rtl w:val="true"/>
          <w:lang w:bidi="ar-SA"/>
        </w:rPr>
        <w:t>بالمعروف والنهي عن المنكر، كأن يحفز الإنسان حكومة على أن تجعل من مناهج سفرائها فتح الأسواق للكتب الإسلامية، أو القيام بالاحتفالات في المناسبات الدينية أو ما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الواجب في مورده، والمستحب في مورده، لإطلاق أدلتهما</w:t>
      </w:r>
      <w:r>
        <w:rPr>
          <w:rFonts w:eastAsia="Amiri" w:cs="Amiri" w:ascii="Amiri" w:hAnsi="Amiri"/>
          <w:color w:val="111111"/>
          <w:sz w:val="28"/>
          <w:szCs w:val="28"/>
          <w:rtl w:val="true"/>
          <w:lang w:bidi="ar-SA"/>
        </w:rPr>
        <w:t>.</w:t>
      </w:r>
    </w:p>
    <w:p>
      <w:pPr>
        <w:pStyle w:val="Heading2"/>
        <w:numPr>
          <w:ilvl w:val="1"/>
          <w:numId w:val="1"/>
        </w:numPr>
        <w:rPr/>
      </w:pPr>
      <w:bookmarkStart w:id="1075" w:name="__RefHeading___Toc12184453_2142443653"/>
      <w:bookmarkStart w:id="1076" w:name="_Toc407"/>
      <w:bookmarkEnd w:id="1075"/>
      <w:r>
        <w:rPr>
          <w:rtl w:val="true"/>
        </w:rPr>
        <w:t>تكوين الجمعيات</w:t>
      </w:r>
      <w:bookmarkEnd w:id="107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الأمر بالمعروف والنهي عن المنكر بتشكيل هيئات وجماعات وجمعيات وجب التشكيل المذكور؛ لأنه من طرق الأمر والنهي، أما تشكيل الأحزاب بالمفهوم الغربي فقد سبق الإشكال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تشكيل الحزب بالمفهوم الإسلامي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بأس به، وجوباً أو استحباباً كل في مورده</w:t>
      </w:r>
      <w:r>
        <w:rPr>
          <w:rFonts w:eastAsia="Amiri" w:cs="Amiri" w:ascii="Amiri" w:hAnsi="Amiri"/>
          <w:color w:val="111111"/>
          <w:sz w:val="28"/>
          <w:szCs w:val="28"/>
          <w:rtl w:val="true"/>
          <w:lang w:bidi="ar-SA"/>
        </w:rPr>
        <w:t>.</w:t>
      </w:r>
    </w:p>
    <w:p>
      <w:pPr>
        <w:pStyle w:val="Heading2"/>
        <w:numPr>
          <w:ilvl w:val="1"/>
          <w:numId w:val="1"/>
        </w:numPr>
        <w:rPr/>
      </w:pPr>
      <w:bookmarkStart w:id="1077" w:name="__RefHeading___Toc12184455_2142443653"/>
      <w:bookmarkStart w:id="1078" w:name="_Toc408"/>
      <w:bookmarkEnd w:id="1077"/>
      <w:r>
        <w:rPr>
          <w:rtl w:val="true"/>
        </w:rPr>
        <w:t>الحجز على فاعل المنكر</w:t>
      </w:r>
      <w:bookmarkEnd w:id="107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الحجز على إنسان يترك المعروف أو يفعل المنكر أو نحوه حتى يضطر إلى الاستقامة لزم أن يلاحظ أن أي الأمرين أهم في نظر الشارع؟ فإذا تحققت الأهمية في الحجز والضبط جاز وإلا لم يجز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والجواز في قبال الحرمة، وإلا فاللازم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bookmarkStart w:id="1079" w:name="pg15710_227018"/>
    </w:p>
    <w:p>
      <w:pPr>
        <w:pStyle w:val="BookText"/>
        <w:rPr/>
      </w:pPr>
      <w:bookmarkEnd w:id="1079"/>
      <w:r>
        <w:rPr>
          <w:rFonts w:ascii="Amiri" w:hAnsi="Amiri" w:eastAsia="Amiri" w:cs="Amiri"/>
          <w:color w:val="111111"/>
          <w:sz w:val="28"/>
          <w:sz w:val="28"/>
          <w:szCs w:val="28"/>
          <w:rtl w:val="true"/>
          <w:lang w:bidi="ar-SA"/>
        </w:rPr>
        <w:t>حال حجز ماله حتى لا يشرب الخمر، أو لا يزني أو ما أشبه ذلك، ويحتاج كل ذلك إلى إجازة الحاكم الشرعي</w:t>
      </w:r>
      <w:r>
        <w:rPr>
          <w:rFonts w:eastAsia="Amiri" w:cs="Amiri" w:ascii="Amiri" w:hAnsi="Amiri"/>
          <w:color w:val="111111"/>
          <w:sz w:val="28"/>
          <w:szCs w:val="28"/>
          <w:rtl w:val="true"/>
          <w:lang w:bidi="ar-SA"/>
        </w:rPr>
        <w:t>.</w:t>
      </w:r>
    </w:p>
    <w:p>
      <w:pPr>
        <w:pStyle w:val="Heading2"/>
        <w:numPr>
          <w:ilvl w:val="1"/>
          <w:numId w:val="1"/>
        </w:numPr>
        <w:rPr/>
      </w:pPr>
      <w:bookmarkStart w:id="1080" w:name="__RefHeading___Toc12184457_2142443653"/>
      <w:bookmarkStart w:id="1081" w:name="_Toc409"/>
      <w:bookmarkEnd w:id="1080"/>
      <w:r>
        <w:rPr>
          <w:rtl w:val="true"/>
        </w:rPr>
        <w:t>التحالف مع الكفار</w:t>
      </w:r>
      <w:bookmarkEnd w:id="1081"/>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أمكن محالفة الكفار لضرب كافر محارب، أو لإيقاف مسلم عند أوامر الشرع، ولم تكن في المحالفة مضرة جاز، كما حالف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القبائل ضد قريش الذين كانوا يعتدون على الرسول وعلى المسلمين</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غير فرق بين أهل الكتاب وغيرهم، لإطلاق الأدلة</w:t>
      </w:r>
      <w:r>
        <w:rPr>
          <w:rFonts w:eastAsia="Amiri" w:cs="Amiri" w:ascii="Amiri" w:hAnsi="Amiri"/>
          <w:color w:val="111111"/>
          <w:sz w:val="28"/>
          <w:szCs w:val="28"/>
          <w:rtl w:val="true"/>
          <w:lang w:bidi="ar-SA"/>
        </w:rPr>
        <w:t>.</w:t>
      </w:r>
    </w:p>
    <w:p>
      <w:pPr>
        <w:pStyle w:val="Heading2"/>
        <w:numPr>
          <w:ilvl w:val="1"/>
          <w:numId w:val="1"/>
        </w:numPr>
        <w:rPr/>
      </w:pPr>
      <w:bookmarkStart w:id="1082" w:name="__RefHeading___Toc12184459_2142443653"/>
      <w:bookmarkStart w:id="1083" w:name="_Toc410"/>
      <w:bookmarkEnd w:id="1082"/>
      <w:r>
        <w:rPr>
          <w:rtl w:val="true"/>
        </w:rPr>
        <w:t>الأجنحة على الطرق العامة</w:t>
      </w:r>
      <w:bookmarkEnd w:id="108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إحداث الأجنحة على الطريق العام ما لم تضر المارة؛ وذلك بأن يبني الإنسان طلاّعاً</w:t>
      </w:r>
      <w:r>
        <w:rPr>
          <w:rStyle w:val="FootnoteAnchor"/>
          <w:rtl w:val="true"/>
        </w:rPr>
        <w:footnoteReference w:id="1576"/>
      </w:r>
      <w:r>
        <w:rPr>
          <w:rFonts w:ascii="Amiri" w:hAnsi="Amiri" w:eastAsia="Amiri" w:cs="Amiri"/>
          <w:color w:val="111111"/>
          <w:sz w:val="28"/>
          <w:sz w:val="28"/>
          <w:szCs w:val="28"/>
          <w:rtl w:val="true"/>
          <w:lang w:bidi="ar-SA"/>
        </w:rPr>
        <w:t>في بنائه يشرف على الجادة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لإطلاق أدلة السلطنة والحرية، لكن الضرر مستثنى سواء بالنسبة إلى المارة أم الجار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حال فتح المجاري ونحوه في الطريق العام</w:t>
      </w:r>
      <w:r>
        <w:rPr>
          <w:rFonts w:eastAsia="Amiri" w:cs="Amiri" w:ascii="Amiri" w:hAnsi="Amiri"/>
          <w:color w:val="111111"/>
          <w:sz w:val="28"/>
          <w:szCs w:val="28"/>
          <w:rtl w:val="true"/>
          <w:lang w:bidi="ar-SA"/>
        </w:rPr>
        <w:t>.</w:t>
      </w:r>
      <w:bookmarkStart w:id="1084" w:name="pg15710_227019"/>
    </w:p>
    <w:p>
      <w:pPr>
        <w:pStyle w:val="Heading2"/>
        <w:numPr>
          <w:ilvl w:val="1"/>
          <w:numId w:val="1"/>
        </w:numPr>
        <w:rPr/>
      </w:pPr>
      <w:bookmarkStart w:id="1085" w:name="__RefHeading___Toc12184461_2142443653"/>
      <w:bookmarkStart w:id="1086" w:name="_Toc411"/>
      <w:bookmarkEnd w:id="1084"/>
      <w:bookmarkEnd w:id="1085"/>
      <w:r>
        <w:rPr>
          <w:rtl w:val="true"/>
        </w:rPr>
        <w:t>فتح الأبواب على الطرق العامة</w:t>
      </w:r>
      <w:bookmarkEnd w:id="108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فتح الأبواب المستجدة إلى الطريق العام، لكن بشرط أن لا يضر المارة، وكذلك فتح النوافذ إلى الطريق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تقدم، وإنما قلنا الطريق العام لأن في الأزقة والسكك الخاصة تفصيل مذكور في كتاب إحياء الموات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7" w:name="__RefHeading___Toc12184463_2142443653"/>
      <w:bookmarkStart w:id="1088" w:name="_Toc412"/>
      <w:bookmarkEnd w:id="1087"/>
      <w:r>
        <w:rPr>
          <w:rtl w:val="true"/>
        </w:rPr>
        <w:t>النافذة على بيت الجار</w:t>
      </w:r>
      <w:bookmarkEnd w:id="108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جواز فتح النافذة في بنائه إذا أشرف على دار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إضرار بالغير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ضرر ولا ضرار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9" w:name="__RefHeading___Toc12184465_2142443653"/>
      <w:bookmarkStart w:id="1090" w:name="_Toc413"/>
      <w:bookmarkEnd w:id="1089"/>
      <w:r>
        <w:rPr>
          <w:rtl w:val="true"/>
        </w:rPr>
        <w:t>تأجير الوسائل الحديثة</w:t>
      </w:r>
      <w:bookmarkEnd w:id="109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إجارة الطائرة والسفينة والقاطرة والغواصة والسيارة والمعمل وغيرها من الوسائل الحديثة، بشروط الإجارة المذكورة في كتاب الإجارة</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 xml:space="preserve">. </w:t>
      </w:r>
      <w:bookmarkStart w:id="1091" w:name="pg15710_227020"/>
    </w:p>
    <w:p>
      <w:pPr>
        <w:pStyle w:val="BookText"/>
        <w:rPr/>
      </w:pPr>
      <w:bookmarkEnd w:id="109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حال رهنها وهبتها وبيع شرطها وغير ذلك من المعاملات المعروفة أو الحديثة، التي لم يمنع الإسلام عنها؛ وذلك لإطلاق أدلتها</w:t>
      </w:r>
      <w:r>
        <w:rPr>
          <w:rFonts w:eastAsia="Amiri" w:cs="Amiri" w:ascii="Amiri" w:hAnsi="Amiri"/>
          <w:color w:val="111111"/>
          <w:sz w:val="28"/>
          <w:szCs w:val="28"/>
          <w:rtl w:val="true"/>
          <w:lang w:bidi="ar-SA"/>
        </w:rPr>
        <w:t>.</w:t>
      </w:r>
    </w:p>
    <w:p>
      <w:pPr>
        <w:pStyle w:val="Heading2"/>
        <w:numPr>
          <w:ilvl w:val="1"/>
          <w:numId w:val="1"/>
        </w:numPr>
        <w:rPr/>
      </w:pPr>
      <w:bookmarkStart w:id="1092" w:name="__RefHeading___Toc12184467_2142443653"/>
      <w:bookmarkStart w:id="1093" w:name="_Toc414"/>
      <w:bookmarkEnd w:id="1092"/>
      <w:r>
        <w:rPr>
          <w:rtl w:val="true"/>
        </w:rPr>
        <w:t>السياقة بلا إجازة</w:t>
      </w:r>
      <w:bookmarkEnd w:id="109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للإنسان أن يقود السيارة أو ما أشبه بدون تحصيل الموافقة من الدولة غير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لا يعرف السياقة بما كان محلاً للضرر والخطر أُشكلت السياقة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مع القطع بعدم الخطر على نفسه أو غيره أو مال محترم، وكذا إذا كانت الدولة شرعية فإنه لم يجز مخالفتها</w:t>
      </w:r>
      <w:r>
        <w:rPr>
          <w:rFonts w:eastAsia="Amiri" w:cs="Amiri" w:ascii="Amiri" w:hAnsi="Amiri"/>
          <w:color w:val="111111"/>
          <w:sz w:val="28"/>
          <w:szCs w:val="28"/>
          <w:rtl w:val="true"/>
          <w:lang w:bidi="ar-SA"/>
        </w:rPr>
        <w:t>.</w:t>
      </w:r>
    </w:p>
    <w:p>
      <w:pPr>
        <w:pStyle w:val="Heading2"/>
        <w:numPr>
          <w:ilvl w:val="1"/>
          <w:numId w:val="1"/>
        </w:numPr>
        <w:rPr/>
      </w:pPr>
      <w:bookmarkStart w:id="1094" w:name="__RefHeading___Toc12184469_2142443653"/>
      <w:bookmarkStart w:id="1095" w:name="_Toc415"/>
      <w:bookmarkEnd w:id="1094"/>
      <w:r>
        <w:rPr>
          <w:rtl w:val="true"/>
        </w:rPr>
        <w:t>الدكتور ضامن</w:t>
      </w:r>
      <w:bookmarkEnd w:id="109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ضامن لما تلف بسببه إلا إذا تبرأ من العطب، ويجب عليه الدقة في الفحص ووصف الدواء، ومراقبة اللّه سبحانه في أن لا يقول بما لا يعلم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الضمان لأن كل مَنْ أضر غيره ضامن لما أضره أو أتلفه، ووجوب الفحص لأنه لا يجوز ضرر الآخرين، واحتمال الضرر مثل نفس الضرر، فالضمان وضعي وهذا تكليفي، أما إذا تبرأ برئ عقلاً ونصاً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لكن براءته إنما تفيده إذا عمل بالموازين علماً ومباشرة؛ لأن إعطاء المريض البراءة مقيّد بذلك</w:t>
      </w:r>
      <w:r>
        <w:rPr>
          <w:rFonts w:eastAsia="Amiri" w:cs="Amiri" w:ascii="Amiri" w:hAnsi="Amiri"/>
          <w:color w:val="111111"/>
          <w:sz w:val="28"/>
          <w:szCs w:val="28"/>
          <w:rtl w:val="true"/>
          <w:lang w:bidi="ar-SA"/>
        </w:rPr>
        <w:t>.</w:t>
      </w:r>
    </w:p>
    <w:p>
      <w:pPr>
        <w:pStyle w:val="Heading2"/>
        <w:numPr>
          <w:ilvl w:val="1"/>
          <w:numId w:val="1"/>
        </w:numPr>
        <w:rPr/>
      </w:pPr>
      <w:bookmarkStart w:id="1096" w:name="__RefHeading___Toc12184471_2142443653"/>
      <w:bookmarkStart w:id="1097" w:name="_Toc416"/>
      <w:bookmarkEnd w:id="1096"/>
      <w:r>
        <w:rPr>
          <w:rtl w:val="true"/>
        </w:rPr>
        <w:t>إعارة الأسلحة</w:t>
      </w:r>
      <w:bookmarkEnd w:id="109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إعارة دولة لدولة أُخرى السلاح، سواء كانت لمجرد المناورة أم المحاربة الجائزة شرعاً</w:t>
      </w:r>
      <w:r>
        <w:rPr>
          <w:rFonts w:eastAsia="Amiri" w:cs="Amiri" w:ascii="Amiri" w:hAnsi="Amiri"/>
          <w:color w:val="111111"/>
          <w:sz w:val="28"/>
          <w:szCs w:val="28"/>
          <w:rtl w:val="true"/>
          <w:lang w:bidi="ar-SA"/>
        </w:rPr>
        <w:t xml:space="preserve">. </w:t>
      </w:r>
      <w:bookmarkStart w:id="1098" w:name="pg15710_227021"/>
    </w:p>
    <w:p>
      <w:pPr>
        <w:pStyle w:val="BookText"/>
        <w:rPr/>
      </w:pPr>
      <w:bookmarkEnd w:id="109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لم يجز فلا يجوز، وقد يترتب على ذلك الضمان أيضاً</w:t>
      </w:r>
      <w:r>
        <w:rPr>
          <w:rFonts w:eastAsia="Amiri" w:cs="Amiri" w:ascii="Amiri" w:hAnsi="Amiri"/>
          <w:color w:val="111111"/>
          <w:sz w:val="28"/>
          <w:szCs w:val="28"/>
          <w:rtl w:val="true"/>
          <w:lang w:bidi="ar-SA"/>
        </w:rPr>
        <w:t>.</w:t>
      </w:r>
    </w:p>
    <w:p>
      <w:pPr>
        <w:pStyle w:val="Heading2"/>
        <w:numPr>
          <w:ilvl w:val="1"/>
          <w:numId w:val="1"/>
        </w:numPr>
        <w:rPr/>
      </w:pPr>
      <w:bookmarkStart w:id="1099" w:name="__RefHeading___Toc12184473_2142443653"/>
      <w:bookmarkStart w:id="1100" w:name="_Toc417"/>
      <w:bookmarkEnd w:id="1099"/>
      <w:r>
        <w:rPr>
          <w:rtl w:val="true"/>
        </w:rPr>
        <w:t>إجارة الأسلحة</w:t>
      </w:r>
      <w:bookmarkEnd w:id="110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الإعارة فيما ذكر في المسألة السابقة الإجارة والبيع والصلح وما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لوحدة الدليل في الجميع، ولا فرق في السلاح بين الهجومي والدفاعي</w:t>
      </w:r>
      <w:r>
        <w:rPr>
          <w:rFonts w:eastAsia="Amiri" w:cs="Amiri" w:ascii="Amiri" w:hAnsi="Amiri"/>
          <w:color w:val="111111"/>
          <w:sz w:val="28"/>
          <w:szCs w:val="28"/>
          <w:rtl w:val="true"/>
          <w:lang w:bidi="ar-SA"/>
        </w:rPr>
        <w:t>.</w:t>
      </w:r>
    </w:p>
    <w:p>
      <w:pPr>
        <w:pStyle w:val="Heading2"/>
        <w:numPr>
          <w:ilvl w:val="1"/>
          <w:numId w:val="1"/>
        </w:numPr>
        <w:rPr/>
      </w:pPr>
      <w:bookmarkStart w:id="1101" w:name="__RefHeading___Toc12184475_2142443653"/>
      <w:bookmarkStart w:id="1102" w:name="_Toc418"/>
      <w:bookmarkEnd w:id="1101"/>
      <w:r>
        <w:rPr>
          <w:rtl w:val="true"/>
        </w:rPr>
        <w:t>الإيداع في المصارف الربوية</w:t>
      </w:r>
      <w:bookmarkEnd w:id="110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إيداع المال في البنك بدون أخذ الربا منه، لكن إذا علمنا أن المشرف على العمل يأخذ الربا بسبب المال المودع مما يكون إيداعنا عنده موجبا لأكله الربا فهل يجوز الإيداع أم لا؟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الأقرب العدم؛ لأنه من التعاون على الإثم، لكن في مثل هذه المسألة خلاف بين الفقهاء، حيث يقول بعضهم بأنها مثل بيع التمر لمن يصنعه خمراً، والتفصيل مذكور في الفقه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3" w:name="__RefHeading___Toc12184477_2142443653"/>
      <w:bookmarkStart w:id="1104" w:name="_Toc419"/>
      <w:bookmarkEnd w:id="1103"/>
      <w:r>
        <w:rPr>
          <w:rtl w:val="true"/>
        </w:rPr>
        <w:t>المسروق إذا ثبت كونه سرقة</w:t>
      </w:r>
      <w:bookmarkEnd w:id="110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البنك أن المودع لا يملك المال الذي أودعه، بل إنما هو سرقة أو ما أشبه لم يجز للبنك ردها إليه، بل اللازم ردها إلى مالكها، وإن لم يعرف المالك فإلى الحاكم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السارق لا حق له، ولا فرق في ذلك بين ما لو أودع السارق مال السرقة إلى البنك أو عند شخص أو جماعة</w:t>
      </w:r>
      <w:r>
        <w:rPr>
          <w:rFonts w:eastAsia="Amiri" w:cs="Amiri" w:ascii="Amiri" w:hAnsi="Amiri"/>
          <w:color w:val="111111"/>
          <w:sz w:val="28"/>
          <w:szCs w:val="28"/>
          <w:rtl w:val="true"/>
          <w:lang w:bidi="ar-SA"/>
        </w:rPr>
        <w:t>.</w:t>
      </w:r>
      <w:bookmarkStart w:id="1105" w:name="pg15710_227022"/>
    </w:p>
    <w:p>
      <w:pPr>
        <w:pStyle w:val="Heading2"/>
        <w:numPr>
          <w:ilvl w:val="1"/>
          <w:numId w:val="1"/>
        </w:numPr>
        <w:rPr/>
      </w:pPr>
      <w:bookmarkStart w:id="1106" w:name="__RefHeading___Toc12184479_2142443653"/>
      <w:bookmarkStart w:id="1107" w:name="_Toc420"/>
      <w:bookmarkEnd w:id="1105"/>
      <w:bookmarkEnd w:id="1106"/>
      <w:r>
        <w:rPr>
          <w:rtl w:val="true"/>
        </w:rPr>
        <w:t>الصفقات الفضائية</w:t>
      </w:r>
      <w:bookmarkEnd w:id="110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لأصحاب الملايين أو الشركات الكبرى عقد صفقة مع شركات رواد الفضاء لكشف كوكب، أو شيء مجهول في الفضاء بمقدار خاص من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نوع تعامل عقلائي فيشمله الأدلة</w:t>
      </w:r>
      <w:r>
        <w:rPr>
          <w:rFonts w:eastAsia="Amiri" w:cs="Amiri" w:ascii="Amiri" w:hAnsi="Amiri"/>
          <w:color w:val="111111"/>
          <w:sz w:val="28"/>
          <w:szCs w:val="28"/>
          <w:rtl w:val="true"/>
          <w:lang w:bidi="ar-SA"/>
        </w:rPr>
        <w:t>.</w:t>
      </w:r>
    </w:p>
    <w:p>
      <w:pPr>
        <w:pStyle w:val="Heading2"/>
        <w:numPr>
          <w:ilvl w:val="1"/>
          <w:numId w:val="1"/>
        </w:numPr>
        <w:rPr/>
      </w:pPr>
      <w:bookmarkStart w:id="1108" w:name="__RefHeading___Toc12184481_2142443653"/>
      <w:bookmarkStart w:id="1109" w:name="_Toc421"/>
      <w:bookmarkEnd w:id="1108"/>
      <w:r>
        <w:rPr>
          <w:rtl w:val="true"/>
        </w:rPr>
        <w:t>الإفلاس في الدول والشركات</w:t>
      </w:r>
      <w:bookmarkEnd w:id="110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حكم المفلس كما يجري على الفرد يجري على الدولة أو على الشركة أو على الجمعية أم لا؟ احتمالان، وإن كان لا يبعد الجريان لإطلاق بعض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ذلك لما ذكر، بالإضافة إلى الملاك والعقلائية</w:t>
      </w:r>
      <w:r>
        <w:rPr>
          <w:rFonts w:eastAsia="Amiri" w:cs="Amiri" w:ascii="Amiri" w:hAnsi="Amiri"/>
          <w:color w:val="111111"/>
          <w:sz w:val="28"/>
          <w:szCs w:val="28"/>
          <w:rtl w:val="true"/>
          <w:lang w:bidi="ar-SA"/>
        </w:rPr>
        <w:t>.</w:t>
      </w:r>
    </w:p>
    <w:p>
      <w:pPr>
        <w:pStyle w:val="Heading2"/>
        <w:numPr>
          <w:ilvl w:val="1"/>
          <w:numId w:val="1"/>
        </w:numPr>
        <w:rPr/>
      </w:pPr>
      <w:bookmarkStart w:id="1110" w:name="__RefHeading___Toc12184483_2142443653"/>
      <w:bookmarkStart w:id="1111" w:name="_Toc422"/>
      <w:bookmarkEnd w:id="1110"/>
      <w:r>
        <w:rPr>
          <w:rtl w:val="true"/>
        </w:rPr>
        <w:t>تصفية الشركات</w:t>
      </w:r>
      <w:bookmarkEnd w:id="111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للدولة تصفية أموال شركة أو جمعية أو ما أشبه، فيما إذا لم تعمل بالقوانين المقررة للجمعيات، إلا إذا كانت الدولة شرعية وكانت التصفية بالميزان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لم يكن الشرطان فالمشرفون لهم الحق في الإخفاء، ونقض الحكم والعمل بما يخلصهم من المشكلة، واللازم في جميع الصور مراعاة حقوق الناس</w:t>
      </w:r>
      <w:r>
        <w:rPr>
          <w:rFonts w:eastAsia="Amiri" w:cs="Amiri" w:ascii="Amiri" w:hAnsi="Amiri"/>
          <w:color w:val="111111"/>
          <w:sz w:val="28"/>
          <w:szCs w:val="28"/>
          <w:rtl w:val="true"/>
          <w:lang w:bidi="ar-SA"/>
        </w:rPr>
        <w:t>.</w:t>
      </w:r>
    </w:p>
    <w:p>
      <w:pPr>
        <w:pStyle w:val="Heading2"/>
        <w:numPr>
          <w:ilvl w:val="1"/>
          <w:numId w:val="1"/>
        </w:numPr>
        <w:rPr/>
      </w:pPr>
      <w:bookmarkStart w:id="1112" w:name="__RefHeading___Toc12184485_2142443653"/>
      <w:bookmarkStart w:id="1113" w:name="_Toc423"/>
      <w:bookmarkEnd w:id="1112"/>
      <w:r>
        <w:rPr>
          <w:rtl w:val="true"/>
        </w:rPr>
        <w:t>الوكالات التجارية</w:t>
      </w:r>
      <w:bookmarkEnd w:id="111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الوكالات التجارية المتعارفة في هذه الأزمنة حكم الوكالة بجميع شرائطها المذكورة في كتاب الوكالة</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 xml:space="preserve">. </w:t>
      </w:r>
      <w:bookmarkStart w:id="1114" w:name="pg15710_227023"/>
    </w:p>
    <w:p>
      <w:pPr>
        <w:pStyle w:val="BookText"/>
        <w:rPr/>
      </w:pPr>
      <w:bookmarkEnd w:id="111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لإطلاق الأدلة، إلا إذا كانت فيها جهة محرمة، حيث يجب الاجتناب عن ذلك المحرم، وإذا كانت نفس الوكالة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يعتاد في بعض بلاد الغرب من وكالة البغاء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باطلة، وقد سبق الإلماع إلى ذلك في بعض المباحث السابقة</w:t>
      </w:r>
      <w:r>
        <w:rPr>
          <w:rFonts w:eastAsia="Amiri" w:cs="Amiri" w:ascii="Amiri" w:hAnsi="Amiri"/>
          <w:color w:val="111111"/>
          <w:sz w:val="28"/>
          <w:szCs w:val="28"/>
          <w:rtl w:val="true"/>
          <w:lang w:bidi="ar-SA"/>
        </w:rPr>
        <w:t>.</w:t>
      </w:r>
    </w:p>
    <w:p>
      <w:pPr>
        <w:pStyle w:val="Heading2"/>
        <w:numPr>
          <w:ilvl w:val="1"/>
          <w:numId w:val="1"/>
        </w:numPr>
        <w:rPr/>
      </w:pPr>
      <w:bookmarkStart w:id="1115" w:name="__RefHeading___Toc12184487_2142443653"/>
      <w:bookmarkStart w:id="1116" w:name="_Toc424"/>
      <w:bookmarkEnd w:id="1115"/>
      <w:r>
        <w:rPr>
          <w:rtl w:val="true"/>
        </w:rPr>
        <w:t>السكنى داخل البحر</w:t>
      </w:r>
      <w:bookmarkEnd w:id="111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السكنى داخل البحر إن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نشره الإعلام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مراعاة الأحكام الشرعية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مواقيت الصلاة والصيام وغير ذلك اعتماداً على الوسائل المطمئنة</w:t>
      </w:r>
      <w:r>
        <w:rPr>
          <w:rFonts w:eastAsia="Amiri" w:cs="Amiri" w:ascii="Amiri" w:hAnsi="Amiri"/>
          <w:color w:val="111111"/>
          <w:sz w:val="28"/>
          <w:szCs w:val="28"/>
          <w:rtl w:val="true"/>
          <w:lang w:bidi="ar-SA"/>
        </w:rPr>
        <w:t>.</w:t>
      </w:r>
    </w:p>
    <w:p>
      <w:pPr>
        <w:pStyle w:val="Heading2"/>
        <w:numPr>
          <w:ilvl w:val="1"/>
          <w:numId w:val="1"/>
        </w:numPr>
        <w:rPr/>
      </w:pPr>
      <w:bookmarkStart w:id="1117" w:name="__RefHeading___Toc12184489_2142443653"/>
      <w:bookmarkStart w:id="1118" w:name="_Toc425"/>
      <w:bookmarkEnd w:id="1117"/>
      <w:r>
        <w:rPr>
          <w:rtl w:val="true"/>
        </w:rPr>
        <w:t>الوقف الضائع</w:t>
      </w:r>
      <w:bookmarkEnd w:id="111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انهدمت قرية بسبب الزلازل أو القنابل أو السيول ولم يعلم محال الوقف منها، فهل يجب تخصيص قطعة من أرضها للوقف الذي كان سابقاً أو لا؟ احتمالان، ولا يبعد الوجوب، والأحوط أن يكون بالقرعة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لأن حكم الوقف حكم الملك، فكما أنه إذا كان لجماعة أراضٍ ولم يعلم أية قطعة لأيهم لزم إعطاء كل واحد قطعة ولو بالقرعة، فكذلك المقام، فإنه هو المستفاد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منضماً إلى التنظير بالملك، والقرعة لأنها لكل أمر مشكل</w:t>
      </w:r>
      <w:r>
        <w:rPr>
          <w:rFonts w:eastAsia="Amiri" w:cs="Amiri" w:ascii="Amiri" w:hAnsi="Amiri"/>
          <w:color w:val="111111"/>
          <w:sz w:val="28"/>
          <w:szCs w:val="28"/>
          <w:rtl w:val="true"/>
          <w:lang w:bidi="ar-SA"/>
        </w:rPr>
        <w:t>.</w:t>
      </w:r>
    </w:p>
    <w:p>
      <w:pPr>
        <w:pStyle w:val="Heading2"/>
        <w:numPr>
          <w:ilvl w:val="1"/>
          <w:numId w:val="1"/>
        </w:numPr>
        <w:rPr/>
      </w:pPr>
      <w:bookmarkStart w:id="1119" w:name="__RefHeading___Toc12184491_2142443653"/>
      <w:bookmarkStart w:id="1120" w:name="_Toc426"/>
      <w:bookmarkEnd w:id="1119"/>
      <w:r>
        <w:rPr>
          <w:rtl w:val="true"/>
        </w:rPr>
        <w:t>السيول المصطنعة</w:t>
      </w:r>
      <w:bookmarkEnd w:id="112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تهيج المياه بواسطة تفجير القنابل أو ما أشبه، بحيث </w:t>
      </w:r>
      <w:bookmarkStart w:id="1121" w:name="pg15710_227024"/>
    </w:p>
    <w:p>
      <w:pPr>
        <w:pStyle w:val="BookText"/>
        <w:rPr/>
      </w:pPr>
      <w:bookmarkEnd w:id="1121"/>
      <w:r>
        <w:rPr>
          <w:rFonts w:ascii="Amiri" w:hAnsi="Amiri" w:eastAsia="Amiri" w:cs="Amiri"/>
          <w:color w:val="111111"/>
          <w:sz w:val="28"/>
          <w:sz w:val="28"/>
          <w:szCs w:val="28"/>
          <w:rtl w:val="true"/>
          <w:lang w:bidi="ar-SA"/>
        </w:rPr>
        <w:t>يوجب تكوّن السيول الموجبة للإضرار بالناس، ولو هيّج كان ضامناً لما يخرّبه السيل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تهيج الأمطار والزلازل والرياح وما أشبه ذلك؛ لإطلاق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وإطلاق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حرمة تكليفية وضمان وضعي</w:t>
      </w:r>
      <w:r>
        <w:rPr>
          <w:rFonts w:eastAsia="Amiri" w:cs="Amiri" w:ascii="Amiri" w:hAnsi="Amiri"/>
          <w:color w:val="111111"/>
          <w:sz w:val="28"/>
          <w:szCs w:val="28"/>
          <w:rtl w:val="true"/>
          <w:lang w:bidi="ar-SA"/>
        </w:rPr>
        <w:t>.</w:t>
      </w:r>
    </w:p>
    <w:p>
      <w:pPr>
        <w:pStyle w:val="Heading2"/>
        <w:numPr>
          <w:ilvl w:val="1"/>
          <w:numId w:val="1"/>
        </w:numPr>
        <w:rPr/>
      </w:pPr>
      <w:bookmarkStart w:id="1122" w:name="__RefHeading___Toc12184493_2142443653"/>
      <w:bookmarkStart w:id="1123" w:name="_Toc427"/>
      <w:bookmarkEnd w:id="1122"/>
      <w:r>
        <w:rPr>
          <w:rtl w:val="true"/>
        </w:rPr>
        <w:t>خرق حاجز الصوت</w:t>
      </w:r>
      <w:bookmarkEnd w:id="112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الطائرات التي تخرق حاجز الصوت فتؤدي إلى كسر الزجاج، أو تصدع العمارة يضمن أصحابها الخسارة التي توردها على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للدولة العادلة فمن بيت المال إذا لم يكن الطيار مقصراً</w:t>
      </w:r>
      <w:r>
        <w:rPr>
          <w:rFonts w:eastAsia="Amiri" w:cs="Amiri" w:ascii="Amiri" w:hAnsi="Amiri"/>
          <w:color w:val="111111"/>
          <w:sz w:val="28"/>
          <w:szCs w:val="28"/>
          <w:rtl w:val="true"/>
          <w:lang w:bidi="ar-SA"/>
        </w:rPr>
        <w:t>.</w:t>
      </w:r>
    </w:p>
    <w:p>
      <w:pPr>
        <w:pStyle w:val="Heading2"/>
        <w:numPr>
          <w:ilvl w:val="1"/>
          <w:numId w:val="1"/>
        </w:numPr>
        <w:rPr/>
      </w:pPr>
      <w:bookmarkStart w:id="1124" w:name="__RefHeading___Toc12184495_2142443653"/>
      <w:bookmarkStart w:id="1125" w:name="_Toc428"/>
      <w:bookmarkEnd w:id="1124"/>
      <w:r>
        <w:rPr>
          <w:rtl w:val="true"/>
        </w:rPr>
        <w:t>الأصوات المسببة للإجهاض</w:t>
      </w:r>
      <w:bookmarkEnd w:id="112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سبب صوت الطائرة إجهاض الحامل كان صاحبها ضامناً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إذا مات الطفل المجهَض، أما إذا لم يمت فلا يضمن وإن فعل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يضمن المصارف كجعل الطفل في الأُنبوب مثلاً، ومثل الإجهاض فيما لو أوجب نقص عضو أو قوة، ولو سبب المرض للطفل فالحكومة، بمعنى أن يحكم ذوا عدل من أهل الخبرة على قدر نسبة النقص والمرض، من الدية</w:t>
      </w:r>
      <w:r>
        <w:rPr>
          <w:rFonts w:eastAsia="Amiri" w:cs="Amiri" w:ascii="Amiri" w:hAnsi="Amiri"/>
          <w:color w:val="111111"/>
          <w:sz w:val="28"/>
          <w:szCs w:val="28"/>
          <w:rtl w:val="true"/>
          <w:lang w:bidi="ar-SA"/>
        </w:rPr>
        <w:t>.</w:t>
      </w:r>
    </w:p>
    <w:p>
      <w:pPr>
        <w:pStyle w:val="Heading2"/>
        <w:numPr>
          <w:ilvl w:val="1"/>
          <w:numId w:val="1"/>
        </w:numPr>
        <w:rPr/>
      </w:pPr>
      <w:bookmarkStart w:id="1126" w:name="__RefHeading___Toc12184497_2142443653"/>
      <w:bookmarkStart w:id="1127" w:name="_Toc429"/>
      <w:bookmarkEnd w:id="1126"/>
      <w:r>
        <w:rPr>
          <w:rtl w:val="true"/>
        </w:rPr>
        <w:t>تهديم الوقف</w:t>
      </w:r>
      <w:bookmarkEnd w:id="112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تهديم الوقف لمصلحة ساحة أو شارع أو مشروع، إلا إذا كانت تلك المصلحة أهم في نظر الشارع، فيجوز لقاعدة </w:t>
      </w:r>
      <w:bookmarkStart w:id="1128" w:name="pg15710_227025"/>
    </w:p>
    <w:p>
      <w:pPr>
        <w:pStyle w:val="BookText"/>
        <w:rPr/>
      </w:pPr>
      <w:bookmarkEnd w:id="1128"/>
      <w:r>
        <w:rPr>
          <w:rFonts w:ascii="IRNazanin" w:hAnsi="IRNazanin" w:eastAsia="IRNazanin"/>
          <w:color w:val="111111"/>
          <w:sz w:val="28"/>
          <w:sz w:val="28"/>
          <w:szCs w:val="28"/>
          <w:rtl w:val="true"/>
          <w:lang w:bidi="fa-IR"/>
        </w:rPr>
        <w:t>الأهم والمهم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 في المستثنى منه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والهدم ينافي ذلك، والمستثنى لأدلة تقديم الأهم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9" w:name="__RefHeading___Toc12184499_2142443653"/>
      <w:bookmarkStart w:id="1130" w:name="_Toc430"/>
      <w:bookmarkEnd w:id="1129"/>
      <w:r>
        <w:rPr>
          <w:rtl w:val="true"/>
        </w:rPr>
        <w:t>إعادة الوقف من جديد</w:t>
      </w:r>
      <w:bookmarkEnd w:id="113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وجوب تبديل الوقف بالمثل، في مفروض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لارتكاز الواقف على ذلك، فإن الواقف يريد العين ويريد الروح العام، إذا لم يمكن العين، كما يريد الأعم إذا لم يمكن المثل، بأن يجعل مكان المدرسة حسينية، أو ما أشبه إذا لم يمكن المدرسة وهكذا مع مراعاة الأقرب فالأقرب</w:t>
      </w:r>
      <w:r>
        <w:rPr>
          <w:rFonts w:eastAsia="Amiri" w:cs="Amiri" w:ascii="Amiri" w:hAnsi="Amiri"/>
          <w:color w:val="111111"/>
          <w:sz w:val="28"/>
          <w:szCs w:val="28"/>
          <w:rtl w:val="true"/>
          <w:lang w:bidi="ar-SA"/>
        </w:rPr>
        <w:t>.</w:t>
      </w:r>
      <w:bookmarkStart w:id="1131" w:name="pg15710_227026"/>
    </w:p>
    <w:p>
      <w:pPr>
        <w:pStyle w:val="Heading2"/>
        <w:numPr>
          <w:ilvl w:val="1"/>
          <w:numId w:val="1"/>
        </w:numPr>
        <w:rPr/>
      </w:pPr>
      <w:bookmarkStart w:id="1132" w:name="__RefHeading___Toc12184501_2142443653"/>
      <w:bookmarkStart w:id="1133" w:name="_Toc431"/>
      <w:bookmarkEnd w:id="1131"/>
      <w:bookmarkEnd w:id="1132"/>
      <w:r>
        <w:rPr>
          <w:rtl w:val="true"/>
        </w:rPr>
        <w:t>الترفيه عن الزائرين</w:t>
      </w:r>
      <w:bookmarkEnd w:id="1133"/>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استعداد الدولة للترفيه على الزائرين والوافدين، خصوصاً بالنسبة إلى الحجاج وزوار مرقد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بتهيئة المسكن والطعام والماء والكهرباء والصحة والنظافة والمواصلات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يجب ذلك، إذا كانت هناك جهة خارجية موجبة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ذلك لأنه من التعاون على الخير والبر والتقوى، بالإضافة إلى العناوين الكثيرة الراجحة المنطبقة على أمثال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الجهات الموجبة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المريض والمضطر ومن أشبه فهو مما أمر به الإسلام، وقد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التارك مداواة الجريح بمنزلة الجارح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يجب ذلك إذا توقف الدين أو المذهب على ذلك، وإذا كان مقدمة للأمر بالمعروف والنهي عن المنكر</w:t>
      </w:r>
      <w:r>
        <w:rPr>
          <w:rFonts w:eastAsia="Amiri" w:cs="Amiri" w:ascii="Amiri" w:hAnsi="Amiri"/>
          <w:color w:val="111111"/>
          <w:sz w:val="28"/>
          <w:szCs w:val="28"/>
          <w:rtl w:val="true"/>
          <w:lang w:bidi="ar-SA"/>
        </w:rPr>
        <w:t>.</w:t>
      </w:r>
    </w:p>
    <w:p>
      <w:pPr>
        <w:pStyle w:val="Heading2"/>
        <w:numPr>
          <w:ilvl w:val="1"/>
          <w:numId w:val="1"/>
        </w:numPr>
        <w:rPr/>
      </w:pPr>
      <w:bookmarkStart w:id="1134" w:name="__RefHeading___Toc12184503_2142443653"/>
      <w:bookmarkStart w:id="1135" w:name="_Toc432"/>
      <w:bookmarkEnd w:id="1134"/>
      <w:r>
        <w:rPr>
          <w:rtl w:val="true"/>
        </w:rPr>
        <w:t>الفوضى في مصارف الأوقاف</w:t>
      </w:r>
      <w:bookmarkEnd w:id="113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يجوز صرف مجموع وارد الأوقاف في مجموع أهداف الأوقاف من دون ملاحظة كيفية الوقف،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وزارة الأوقاف دار لضياء المشهد، ودكان لإطعام الزوار، وحمام لعلاج المرضى، فتأخذ الوزارة وارد الكل وتصرفه في الشؤون الثلاثة، من دون ملاحظة صرف مقدار كل وارد في هدف الوقف الخاص</w:t>
      </w:r>
      <w:r>
        <w:rPr>
          <w:rFonts w:eastAsia="Amiri" w:cs="Amiri" w:ascii="Amiri" w:hAnsi="Amiri"/>
          <w:color w:val="111111"/>
          <w:sz w:val="28"/>
          <w:szCs w:val="28"/>
          <w:rtl w:val="true"/>
          <w:lang w:bidi="ar-SA"/>
        </w:rPr>
        <w:t xml:space="preserve">. </w:t>
      </w:r>
      <w:bookmarkStart w:id="1136" w:name="pg15710_227027"/>
    </w:p>
    <w:p>
      <w:pPr>
        <w:pStyle w:val="BookText"/>
        <w:rPr/>
      </w:pPr>
      <w:bookmarkEnd w:id="11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الجواز لأنه صرف للوقف في غير مصرفه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إذا كان المصرف متساوياً مثلاً وصرف بالمقدار في كل مصرف، لم يلزم وضع وارد كل وقف في مكان خاص، بل يجوز الخلط والصرف من المجموع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عرفاً، كما يرى ذلك بعض الفقهاء في مثل الخمس والزكاة والثلث، وأُجرة الصلاة والصيام حيث تخلط، لكن يعطي الفقيه من كل الكيس المشترك بقدر كل واحد إلى مصرفه</w:t>
      </w:r>
      <w:r>
        <w:rPr>
          <w:rFonts w:eastAsia="Amiri" w:cs="Amiri" w:ascii="Amiri" w:hAnsi="Amiri"/>
          <w:color w:val="111111"/>
          <w:sz w:val="28"/>
          <w:szCs w:val="28"/>
          <w:rtl w:val="true"/>
          <w:lang w:bidi="ar-SA"/>
        </w:rPr>
        <w:t>.</w:t>
      </w:r>
    </w:p>
    <w:p>
      <w:pPr>
        <w:pStyle w:val="Heading2"/>
        <w:numPr>
          <w:ilvl w:val="1"/>
          <w:numId w:val="1"/>
        </w:numPr>
        <w:rPr/>
      </w:pPr>
      <w:bookmarkStart w:id="1137" w:name="__RefHeading___Toc12184505_2142443653"/>
      <w:bookmarkStart w:id="1138" w:name="_Toc433"/>
      <w:bookmarkEnd w:id="1137"/>
      <w:r>
        <w:rPr>
          <w:rtl w:val="true"/>
        </w:rPr>
        <w:t>صرف الوقف في غير مورده</w:t>
      </w:r>
      <w:bookmarkEnd w:id="113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يجز ما ذكر في المسألة السابقة لم يجز بطريقة أولى صرف الوارد في مطلق المشاريع الخيرية، التي لم تكن من مقاصد الوقف، كما هي العادة في دوائر الأوقاف في العصر الحاضر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صرف في المورد الخارج عن المصارف المقررة في الوقف</w:t>
      </w:r>
      <w:r>
        <w:rPr>
          <w:rFonts w:eastAsia="Amiri" w:cs="Amiri" w:ascii="Amiri" w:hAnsi="Amiri"/>
          <w:color w:val="111111"/>
          <w:sz w:val="28"/>
          <w:szCs w:val="28"/>
          <w:rtl w:val="true"/>
          <w:lang w:bidi="ar-SA"/>
        </w:rPr>
        <w:t>.</w:t>
      </w:r>
    </w:p>
    <w:p>
      <w:pPr>
        <w:pStyle w:val="Heading2"/>
        <w:numPr>
          <w:ilvl w:val="1"/>
          <w:numId w:val="1"/>
        </w:numPr>
        <w:rPr/>
      </w:pPr>
      <w:bookmarkStart w:id="1139" w:name="__RefHeading___Toc12184507_2142443653"/>
      <w:bookmarkStart w:id="1140" w:name="_Toc434"/>
      <w:bookmarkEnd w:id="1139"/>
      <w:r>
        <w:rPr>
          <w:rtl w:val="true"/>
        </w:rPr>
        <w:t>الوقف لا يبطل</w:t>
      </w:r>
      <w:bookmarkEnd w:id="114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بقسميه الذري والخيري باقيان إلى الأبد، فإبطال بعض الحكومات الوقف الذري لا يؤثر في تغيير الحكم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أبدا إلى يوم القيامة وحرامه حرام أبداً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1" w:name="__RefHeading___Toc12184509_2142443653"/>
      <w:bookmarkStart w:id="1142" w:name="_Toc435"/>
      <w:bookmarkEnd w:id="1141"/>
      <w:r>
        <w:rPr>
          <w:rtl w:val="true"/>
        </w:rPr>
        <w:t>الادعاء الخادع للحكومات</w:t>
      </w:r>
      <w:bookmarkEnd w:id="114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تقوله بعض الحكومات أو الأفراد الذين يريدون العمل بهواهم من أنهم يأخذون روح الإسلام وجوهره إنما هو خداع، وتغطية لفرارهم عن العمل بالإسلام</w:t>
      </w:r>
      <w:r>
        <w:rPr>
          <w:rFonts w:eastAsia="Amiri" w:cs="Amiri" w:ascii="Amiri" w:hAnsi="Amiri"/>
          <w:color w:val="111111"/>
          <w:sz w:val="28"/>
          <w:szCs w:val="28"/>
          <w:rtl w:val="true"/>
          <w:lang w:bidi="ar-SA"/>
        </w:rPr>
        <w:t xml:space="preserve">. </w:t>
      </w:r>
      <w:bookmarkStart w:id="1143" w:name="pg15710_227028"/>
    </w:p>
    <w:p>
      <w:pPr>
        <w:pStyle w:val="BookText"/>
        <w:rPr/>
      </w:pPr>
      <w:bookmarkEnd w:id="114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الإسلام روح وجسم، لا أحدهما فقط</w:t>
      </w:r>
      <w:r>
        <w:rPr>
          <w:rFonts w:eastAsia="Amiri" w:cs="Amiri" w:ascii="Amiri" w:hAnsi="Amiri"/>
          <w:color w:val="111111"/>
          <w:sz w:val="28"/>
          <w:szCs w:val="28"/>
          <w:rtl w:val="true"/>
          <w:lang w:bidi="ar-SA"/>
        </w:rPr>
        <w:t>.</w:t>
      </w:r>
    </w:p>
    <w:p>
      <w:pPr>
        <w:pStyle w:val="Heading2"/>
        <w:numPr>
          <w:ilvl w:val="1"/>
          <w:numId w:val="1"/>
        </w:numPr>
        <w:rPr/>
      </w:pPr>
      <w:bookmarkStart w:id="1144" w:name="__RefHeading___Toc12184511_2142443653"/>
      <w:bookmarkStart w:id="1145" w:name="_Toc436"/>
      <w:bookmarkEnd w:id="1144"/>
      <w:r>
        <w:rPr>
          <w:rtl w:val="true"/>
        </w:rPr>
        <w:t>الانهزامية الفكرية</w:t>
      </w:r>
      <w:bookmarkEnd w:id="114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يقوله بعض الناس من أن الإسلام متطور فلا يجب الأخذ بأحكامه حرفياً إنما هو انهزام عن واقع الإسلام في إطار من المراوغة، إنهم بهرهم الغرب والشرق فعملوا بما قالوه، فإذا رأوا منافاة بين حكم الإسلام وحكم الغرب والشرق قالوا بأن الإسلام متطور ليتركوا العمل بالإسلام، ويأخذوا بمنهاج الغرب والشرق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التطور بمعنى أنه إذا تغير الموضوع تغير الحكم؛ لأن الحكم تابع للموضوع صحيح، لكنه ليس تطوراً بمعنى اللفظ، وإنما بالمعنى اللغوي، أي التغير من طور إلى طور آخر</w:t>
      </w:r>
      <w:r>
        <w:rPr>
          <w:rFonts w:eastAsia="Amiri" w:cs="Amiri" w:ascii="Amiri" w:hAnsi="Amiri"/>
          <w:color w:val="111111"/>
          <w:sz w:val="28"/>
          <w:szCs w:val="28"/>
          <w:rtl w:val="true"/>
          <w:lang w:bidi="ar-SA"/>
        </w:rPr>
        <w:t>.</w:t>
      </w:r>
    </w:p>
    <w:p>
      <w:pPr>
        <w:pStyle w:val="Heading2"/>
        <w:numPr>
          <w:ilvl w:val="1"/>
          <w:numId w:val="1"/>
        </w:numPr>
        <w:rPr/>
      </w:pPr>
      <w:bookmarkStart w:id="1146" w:name="__RefHeading___Toc12184513_2142443653"/>
      <w:bookmarkStart w:id="1147" w:name="_Toc437"/>
      <w:bookmarkEnd w:id="1146"/>
      <w:r>
        <w:rPr>
          <w:rtl w:val="true"/>
        </w:rPr>
        <w:t>الوصية في آلة التسجيل</w:t>
      </w:r>
      <w:bookmarkEnd w:id="114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الوصية التسجيلية في الأشرطة، كما تصح باللفظ وبالكتابة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أدلة الوصية، وحكم التسجيلات المتخالفة حكم المكتوبات المتخالفة، كما أنّ حكم التخالف بين الكتابة والتسجيل حكم المخالفة بين وصيتين من جنس واحد، إلا إذا كان أحدهما أقوى عرفاً</w:t>
      </w:r>
      <w:r>
        <w:rPr>
          <w:rFonts w:eastAsia="Amiri" w:cs="Amiri" w:ascii="Amiri" w:hAnsi="Amiri"/>
          <w:color w:val="111111"/>
          <w:sz w:val="28"/>
          <w:szCs w:val="28"/>
          <w:rtl w:val="true"/>
          <w:lang w:bidi="ar-SA"/>
        </w:rPr>
        <w:t>.</w:t>
      </w:r>
    </w:p>
    <w:p>
      <w:pPr>
        <w:pStyle w:val="Heading2"/>
        <w:numPr>
          <w:ilvl w:val="1"/>
          <w:numId w:val="1"/>
        </w:numPr>
        <w:rPr/>
      </w:pPr>
      <w:bookmarkStart w:id="1148" w:name="__RefHeading___Toc12184515_2142443653"/>
      <w:bookmarkStart w:id="1149" w:name="_Toc438"/>
      <w:bookmarkEnd w:id="1148"/>
      <w:r>
        <w:rPr>
          <w:rtl w:val="true"/>
        </w:rPr>
        <w:t>الوصية بقراءة القرآن</w:t>
      </w:r>
      <w:bookmarkEnd w:id="114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إنفاذ وصية قراءة القرآن على القبر وضع المسجل، إلا إذا صرح الموصي بأنه يريد ذلك، أو كان لكلامه عموم أو إطلاق من هذه الجهة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لانصراف الأدلة عن مثله</w:t>
      </w:r>
      <w:r>
        <w:rPr>
          <w:rFonts w:eastAsia="Amiri" w:cs="Amiri" w:ascii="Amiri" w:hAnsi="Amiri"/>
          <w:color w:val="111111"/>
          <w:sz w:val="28"/>
          <w:szCs w:val="28"/>
          <w:rtl w:val="true"/>
          <w:lang w:bidi="ar-SA"/>
        </w:rPr>
        <w:t>.</w:t>
      </w:r>
      <w:bookmarkStart w:id="1150" w:name="pg15710_227029"/>
    </w:p>
    <w:p>
      <w:pPr>
        <w:pStyle w:val="Heading2"/>
        <w:numPr>
          <w:ilvl w:val="1"/>
          <w:numId w:val="1"/>
        </w:numPr>
        <w:rPr/>
      </w:pPr>
      <w:bookmarkStart w:id="1151" w:name="__RefHeading___Toc12184517_2142443653"/>
      <w:bookmarkStart w:id="1152" w:name="_Toc439"/>
      <w:bookmarkEnd w:id="1150"/>
      <w:bookmarkEnd w:id="1151"/>
      <w:r>
        <w:rPr>
          <w:rtl w:val="true"/>
        </w:rPr>
        <w:t>كيفية إنفاذ الوصية</w:t>
      </w:r>
      <w:bookmarkEnd w:id="115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بتسبيل الماء تؤدى بجعل الحنفية، كما أن الوصية بالإنارة تؤدى بجعل المصباح الكهربائي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لشمول الإطلاق لهما، كما أنّ الوصية بإيفاد ناس إلى الحج أو الزيارة تؤدى بالإيفاد بواسطة الوسائل الحديثة، وإن كانت الوصية في زمان لم يكن لهذه الوسائل عين ولا أثر، وهكذا أمثال ذلك</w:t>
      </w:r>
      <w:r>
        <w:rPr>
          <w:rFonts w:eastAsia="Amiri" w:cs="Amiri" w:ascii="Amiri" w:hAnsi="Amiri"/>
          <w:color w:val="111111"/>
          <w:sz w:val="28"/>
          <w:szCs w:val="28"/>
          <w:rtl w:val="true"/>
          <w:lang w:bidi="ar-SA"/>
        </w:rPr>
        <w:t>.</w:t>
      </w:r>
    </w:p>
    <w:p>
      <w:pPr>
        <w:pStyle w:val="Heading2"/>
        <w:numPr>
          <w:ilvl w:val="1"/>
          <w:numId w:val="1"/>
        </w:numPr>
        <w:rPr/>
      </w:pPr>
      <w:bookmarkStart w:id="1153" w:name="__RefHeading___Toc12184519_2142443653"/>
      <w:bookmarkStart w:id="1154" w:name="_Toc440"/>
      <w:bookmarkEnd w:id="1153"/>
      <w:r>
        <w:rPr>
          <w:rtl w:val="true"/>
        </w:rPr>
        <w:t>توسيع المراكز المقدسة</w:t>
      </w:r>
      <w:bookmarkEnd w:id="1154"/>
    </w:p>
    <w:p>
      <w:pPr>
        <w:pStyle w:val="BookText"/>
        <w:rPr/>
      </w:pP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للحكومات الإسلامية المشرفة على المراكز المقدسة توسيع تلك المراكز، حتى يسع المسجد الحرام مليون إنسان على الأقل، وكذلك مشاهد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مليون إنسان، بل قد يجب ذلك بالعنوان الثانوي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لانطباق عناوين متعددة من المستحبات على أمثال هذه التوسعات، لكن بشرط أن لا يوجب التوسيع ذهاب شعار واجب، مثل أن يوسع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ينمحي آثار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البقيع إلى غير ذلك من الأمثلة</w:t>
      </w:r>
      <w:r>
        <w:rPr>
          <w:rFonts w:eastAsia="IRNazanin" w:cs="IRNazanin"/>
          <w:color w:val="111111"/>
          <w:sz w:val="28"/>
          <w:szCs w:val="28"/>
          <w:rtl w:val="true"/>
          <w:lang w:bidi="fa-IR"/>
        </w:rPr>
        <w:t>.</w:t>
      </w:r>
    </w:p>
    <w:p>
      <w:pPr>
        <w:pStyle w:val="Heading2"/>
        <w:numPr>
          <w:ilvl w:val="1"/>
          <w:numId w:val="1"/>
        </w:numPr>
        <w:rPr/>
      </w:pPr>
      <w:bookmarkStart w:id="1155" w:name="__RefHeading___Toc12184521_2142443653"/>
      <w:bookmarkStart w:id="1156" w:name="_Toc441"/>
      <w:bookmarkEnd w:id="1155"/>
      <w:r>
        <w:rPr>
          <w:rtl w:val="true"/>
        </w:rPr>
        <w:t>المراكز المقدسة منطلقات تبليغية</w:t>
      </w:r>
      <w:bookmarkEnd w:id="115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للحكومات الإسلامية المشرفة على المراكز المقدسة أن تجعل من المركز منطلقاً للتبليغات الإسلامية الصحيحة، بجعل المدارس والمكتبات للمطالعة، ومكتبات للبيع، ومكتبات لتوزيع الكتب بالمجان، ومحلات لبيع وتوزيع الأشرطة الدينية، وبيع وتوزيع الصور والتماثيل لذكريات الإسلام، وجعل الخطباء والمبلغين بمختلف اللغات لإرشاد الناس وما أشبه ذلك في أطراف كل تلك المراكز المقدسة، بل لا </w:t>
      </w:r>
      <w:bookmarkStart w:id="1157" w:name="pg15710_227030"/>
    </w:p>
    <w:p>
      <w:pPr>
        <w:pStyle w:val="BookText"/>
        <w:rPr/>
      </w:pPr>
      <w:bookmarkEnd w:id="1157"/>
      <w:r>
        <w:rPr>
          <w:rFonts w:ascii="Amiri" w:hAnsi="Amiri" w:eastAsia="Amiri" w:cs="Amiri"/>
          <w:color w:val="111111"/>
          <w:sz w:val="28"/>
          <w:sz w:val="28"/>
          <w:szCs w:val="28"/>
          <w:rtl w:val="true"/>
          <w:lang w:bidi="ar-SA"/>
        </w:rPr>
        <w:t>يبعد الوجوب في الجملة؛ لأنه داخل في الإرشاد والتبليغ والأمر بالمعروف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ما يؤدي شأناً واجباً كان واجباً، وكل ما يؤدي شأناً مستحباً يكون مستحباً</w:t>
      </w:r>
      <w:r>
        <w:rPr>
          <w:rFonts w:eastAsia="Amiri" w:cs="Amiri" w:ascii="Amiri" w:hAnsi="Amiri"/>
          <w:color w:val="111111"/>
          <w:sz w:val="28"/>
          <w:szCs w:val="28"/>
          <w:rtl w:val="true"/>
          <w:lang w:bidi="ar-SA"/>
        </w:rPr>
        <w:t>.</w:t>
      </w:r>
    </w:p>
    <w:p>
      <w:pPr>
        <w:pStyle w:val="Heading2"/>
        <w:numPr>
          <w:ilvl w:val="1"/>
          <w:numId w:val="1"/>
        </w:numPr>
        <w:rPr/>
      </w:pPr>
      <w:bookmarkStart w:id="1158" w:name="__RefHeading___Toc12184523_2142443653"/>
      <w:bookmarkStart w:id="1159" w:name="_Toc442"/>
      <w:bookmarkEnd w:id="1158"/>
      <w:r>
        <w:rPr>
          <w:rtl w:val="true"/>
        </w:rPr>
        <w:t>تخدير السمك للصيد</w:t>
      </w:r>
      <w:bookmarkEnd w:id="115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القي قنبلة في الماء بقصد تخدير الأسماك وظهورها على الماء حتى يصطادها، فالظاهر أنه لا يحق لأحد صيدها؛ لأنها صارت صيداً لصاحب القنبلة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لا يحق للصياد أن يصطاد أكثر من حقه؛ لأنّ الحق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ذكرناه في الفقه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سبق في بعض المباحث شبه ذلك</w:t>
      </w:r>
      <w:r>
        <w:rPr>
          <w:rFonts w:eastAsia="Amiri" w:cs="Amiri" w:ascii="Amiri" w:hAnsi="Amiri"/>
          <w:color w:val="111111"/>
          <w:sz w:val="28"/>
          <w:szCs w:val="28"/>
          <w:rtl w:val="true"/>
          <w:lang w:bidi="ar-SA"/>
        </w:rPr>
        <w:t>.</w:t>
      </w:r>
    </w:p>
    <w:p>
      <w:pPr>
        <w:pStyle w:val="Heading2"/>
        <w:numPr>
          <w:ilvl w:val="1"/>
          <w:numId w:val="1"/>
        </w:numPr>
        <w:rPr/>
      </w:pPr>
      <w:bookmarkStart w:id="1160" w:name="__RefHeading___Toc12184525_2142443653"/>
      <w:bookmarkStart w:id="1161" w:name="_Toc443"/>
      <w:bookmarkEnd w:id="1160"/>
      <w:r>
        <w:rPr>
          <w:rtl w:val="true"/>
        </w:rPr>
        <w:t>تخدير الطيور والوحوش</w:t>
      </w:r>
      <w:bookmarkEnd w:id="116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القي إلى الحمام أو الطير أو الوحش حبات مخدرة لأجل صيدها فتخدرت بواسطتها، ولم تتمكن من الهرب لم يحق لأحد صيدها؛ لأنها صارت صيداً لصاحب الحبة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فيشمله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والاستثناء هنا كالاستثناء في المسألة</w:t>
      </w:r>
      <w:bookmarkStart w:id="1162" w:name="pg15710_227031"/>
    </w:p>
    <w:p>
      <w:pPr>
        <w:pStyle w:val="BookText"/>
        <w:rPr/>
      </w:pPr>
      <w:bookmarkEnd w:id="1162"/>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Heading2"/>
        <w:numPr>
          <w:ilvl w:val="1"/>
          <w:numId w:val="1"/>
        </w:numPr>
        <w:rPr/>
      </w:pPr>
      <w:bookmarkStart w:id="1163" w:name="__RefHeading___Toc12184527_2142443653"/>
      <w:bookmarkStart w:id="1164" w:name="_Toc444"/>
      <w:bookmarkEnd w:id="1163"/>
      <w:r>
        <w:rPr>
          <w:rtl w:val="true"/>
        </w:rPr>
        <w:t>القنابل غير المبيدة</w:t>
      </w:r>
      <w:bookmarkEnd w:id="116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كما ذكر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القي قنبلة مسيلة للدموع أو ما أشبه مما سببت عدم تمكن الصيد من الطيران أو الهرب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لوحدة الدليل في الجميع</w:t>
      </w:r>
      <w:r>
        <w:rPr>
          <w:rFonts w:eastAsia="Amiri" w:cs="Amiri" w:ascii="Amiri" w:hAnsi="Amiri"/>
          <w:color w:val="111111"/>
          <w:sz w:val="28"/>
          <w:szCs w:val="28"/>
          <w:rtl w:val="true"/>
          <w:lang w:bidi="ar-SA"/>
        </w:rPr>
        <w:t>.</w:t>
      </w:r>
    </w:p>
    <w:p>
      <w:pPr>
        <w:pStyle w:val="Heading2"/>
        <w:numPr>
          <w:ilvl w:val="1"/>
          <w:numId w:val="1"/>
        </w:numPr>
        <w:rPr/>
      </w:pPr>
      <w:bookmarkStart w:id="1165" w:name="__RefHeading___Toc12184529_2142443653"/>
      <w:bookmarkStart w:id="1166" w:name="_Toc445"/>
      <w:bookmarkEnd w:id="1165"/>
      <w:r>
        <w:rPr>
          <w:rtl w:val="true"/>
        </w:rPr>
        <w:t>أحواض الصيد</w:t>
      </w:r>
      <w:bookmarkEnd w:id="116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أحواض الأسماك التي يصنعها الناس أو الدول في حافة الأنهار والبحار إذا دخل فيها السمك يكون لصاحب الحوض، فلا يحق لأحد صيده بدون 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حال الشبكات التي تصنع لصيد الطير أو الوحش أو ما أشبه،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w:t>
      </w:r>
      <w:r>
        <w:rPr>
          <w:rFonts w:eastAsia="Amiri" w:cs="Amiri" w:ascii="Amiri" w:hAnsi="Amiri"/>
          <w:color w:val="111111"/>
          <w:sz w:val="28"/>
          <w:szCs w:val="28"/>
          <w:rtl w:val="true"/>
          <w:lang w:bidi="ar-SA"/>
        </w:rPr>
        <w:t>».</w:t>
      </w:r>
    </w:p>
    <w:p>
      <w:pPr>
        <w:pStyle w:val="Heading2"/>
        <w:numPr>
          <w:ilvl w:val="1"/>
          <w:numId w:val="1"/>
        </w:numPr>
        <w:rPr/>
      </w:pPr>
      <w:bookmarkStart w:id="1167" w:name="__RefHeading___Toc12184531_2142443653"/>
      <w:bookmarkStart w:id="1168" w:name="_Toc446"/>
      <w:bookmarkEnd w:id="1167"/>
      <w:r>
        <w:rPr>
          <w:rtl w:val="true"/>
        </w:rPr>
        <w:t>الوصية بالوسائل الحديثة</w:t>
      </w:r>
      <w:bookmarkEnd w:id="116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بأن يصرف ماله لشراء السيارة للزوار، أو لإدارة الأيتام أو دار العجزة أو مدرسة المعوقين أو نحو ذلك صح، بل ذلك من أفضل القربات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لإطلاق أدلة الوصية، وعدم وجود السيارة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أن ينصرف أدلة الوصية إلى ما تعارف في زمانهم فقط</w:t>
      </w:r>
      <w:r>
        <w:rPr>
          <w:rFonts w:eastAsia="Amiri" w:cs="Amiri" w:ascii="Amiri" w:hAnsi="Amiri"/>
          <w:color w:val="111111"/>
          <w:sz w:val="28"/>
          <w:szCs w:val="28"/>
          <w:rtl w:val="true"/>
          <w:lang w:bidi="ar-SA"/>
        </w:rPr>
        <w:t>.</w:t>
      </w:r>
    </w:p>
    <w:p>
      <w:pPr>
        <w:pStyle w:val="Heading2"/>
        <w:numPr>
          <w:ilvl w:val="1"/>
          <w:numId w:val="1"/>
        </w:numPr>
        <w:rPr/>
      </w:pPr>
      <w:bookmarkStart w:id="1169" w:name="__RefHeading___Toc12184533_2142443653"/>
      <w:bookmarkStart w:id="1170" w:name="_Toc447"/>
      <w:bookmarkEnd w:id="1169"/>
      <w:r>
        <w:rPr>
          <w:rtl w:val="true"/>
        </w:rPr>
        <w:t>حريم حقول البترول</w:t>
      </w:r>
      <w:bookmarkEnd w:id="117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حريم آبار البترول هو الذي يراه العرف حريماً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حفر إنسان بئراً لا يحق لآخر أن يحفر بئراً إلى جانبه</w:t>
      </w:r>
      <w:r>
        <w:rPr>
          <w:rFonts w:eastAsia="Amiri" w:cs="Amiri" w:ascii="Amiri" w:hAnsi="Amiri"/>
          <w:color w:val="111111"/>
          <w:sz w:val="28"/>
          <w:szCs w:val="28"/>
          <w:rtl w:val="true"/>
          <w:lang w:bidi="ar-SA"/>
        </w:rPr>
        <w:t xml:space="preserve">. </w:t>
      </w:r>
      <w:bookmarkStart w:id="1171" w:name="pg15710_227032"/>
    </w:p>
    <w:p>
      <w:pPr>
        <w:pStyle w:val="BookText"/>
        <w:rPr/>
      </w:pPr>
      <w:bookmarkEnd w:id="11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بحيث يكون أخذاً لحق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الاستثناء الذي ذكرناه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السابقة آتٍ هنا أيضاً</w:t>
      </w:r>
      <w:r>
        <w:rPr>
          <w:rFonts w:eastAsia="Amiri" w:cs="Amiri" w:ascii="Amiri" w:hAnsi="Amiri"/>
          <w:color w:val="111111"/>
          <w:sz w:val="28"/>
          <w:szCs w:val="28"/>
          <w:rtl w:val="true"/>
          <w:lang w:bidi="ar-SA"/>
        </w:rPr>
        <w:t>.</w:t>
      </w:r>
    </w:p>
    <w:p>
      <w:pPr>
        <w:pStyle w:val="Heading2"/>
        <w:numPr>
          <w:ilvl w:val="1"/>
          <w:numId w:val="1"/>
        </w:numPr>
        <w:rPr/>
      </w:pPr>
      <w:bookmarkStart w:id="1172" w:name="__RefHeading___Toc12184535_2142443653"/>
      <w:bookmarkStart w:id="1173" w:name="_Toc448"/>
      <w:bookmarkEnd w:id="1172"/>
      <w:r>
        <w:rPr>
          <w:rtl w:val="true"/>
        </w:rPr>
        <w:t>حدود التعميق في الآبار</w:t>
      </w:r>
      <w:bookmarkEnd w:id="117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تعميق بئر النفط بما يضر بئر إنسان آخر، لما سبق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حال بئر الماء ونحوه، والحاصل يجب للثاني أو الذي يريد التعميق مراعاة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السابق، ولو اختلفا في أنه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فالمرجع القضاء</w:t>
      </w:r>
      <w:r>
        <w:rPr>
          <w:rFonts w:eastAsia="Amiri" w:cs="Amiri" w:ascii="Amiri" w:hAnsi="Amiri"/>
          <w:color w:val="111111"/>
          <w:sz w:val="28"/>
          <w:szCs w:val="28"/>
          <w:rtl w:val="true"/>
          <w:lang w:bidi="ar-SA"/>
        </w:rPr>
        <w:t>.</w:t>
      </w:r>
    </w:p>
    <w:p>
      <w:pPr>
        <w:pStyle w:val="Heading2"/>
        <w:numPr>
          <w:ilvl w:val="1"/>
          <w:numId w:val="1"/>
        </w:numPr>
        <w:rPr/>
      </w:pPr>
      <w:bookmarkStart w:id="1174" w:name="__RefHeading___Toc12184537_2142443653"/>
      <w:bookmarkStart w:id="1175" w:name="_Toc449"/>
      <w:bookmarkEnd w:id="1174"/>
      <w:r>
        <w:rPr>
          <w:rtl w:val="true"/>
        </w:rPr>
        <w:t>حريم المراكز العامة</w:t>
      </w:r>
      <w:bookmarkEnd w:id="117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الحريم الذي يقرره القانون الدولي للمطارات والمعامل الظاهر وجوب اتباعه، فإنه داخل في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إذا كان أكثر أو أقل من دليل السبق، فاللازم اتباع السبق العقلائي</w:t>
      </w:r>
      <w:r>
        <w:rPr>
          <w:rFonts w:eastAsia="Amiri" w:cs="Amiri" w:ascii="Amiri" w:hAnsi="Amiri"/>
          <w:color w:val="111111"/>
          <w:sz w:val="28"/>
          <w:szCs w:val="28"/>
          <w:rtl w:val="true"/>
          <w:lang w:bidi="ar-SA"/>
        </w:rPr>
        <w:t>.</w:t>
      </w:r>
    </w:p>
    <w:p>
      <w:pPr>
        <w:pStyle w:val="Heading2"/>
        <w:numPr>
          <w:ilvl w:val="1"/>
          <w:numId w:val="1"/>
        </w:numPr>
        <w:rPr/>
      </w:pPr>
      <w:bookmarkStart w:id="1176" w:name="__RefHeading___Toc12184539_2142443653"/>
      <w:bookmarkStart w:id="1177" w:name="_Toc450"/>
      <w:bookmarkEnd w:id="1176"/>
      <w:r>
        <w:rPr>
          <w:rtl w:val="true"/>
        </w:rPr>
        <w:t>ملكية القنوات والخلجان</w:t>
      </w:r>
      <w:bookmarkEnd w:id="117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الممرات المائية كقناة السويس، والخلجان كخليج العقبة إنما هو ملك المسلمين، هذا فيما إذا لم يحفر القناة، أو لم يصنع الخليج شخص آخر، وإلا كان هو المالك، وإذا لم تكن في أرض الغير ولم يكن هناك محذور آخر من الملكية الفردية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لدولة هناك أن تمنع سائر المسلمين؛ لأنها من المباحات، فيحق لكل واحد الاستفادة منها</w:t>
      </w:r>
      <w:r>
        <w:rPr>
          <w:rFonts w:eastAsia="Amiri" w:cs="Amiri" w:ascii="Amiri" w:hAnsi="Amiri"/>
          <w:color w:val="111111"/>
          <w:sz w:val="28"/>
          <w:szCs w:val="28"/>
          <w:rtl w:val="true"/>
          <w:lang w:bidi="ar-SA"/>
        </w:rPr>
        <w:t>.</w:t>
      </w:r>
      <w:bookmarkStart w:id="1178" w:name="pg15710_227033"/>
    </w:p>
    <w:p>
      <w:pPr>
        <w:pStyle w:val="Heading2"/>
        <w:numPr>
          <w:ilvl w:val="1"/>
          <w:numId w:val="1"/>
        </w:numPr>
        <w:rPr/>
      </w:pPr>
      <w:bookmarkStart w:id="1179" w:name="__RefHeading___Toc12184541_2142443653"/>
      <w:bookmarkStart w:id="1180" w:name="_Toc451"/>
      <w:bookmarkEnd w:id="1178"/>
      <w:bookmarkEnd w:id="1179"/>
      <w:r>
        <w:rPr>
          <w:rtl w:val="true"/>
        </w:rPr>
        <w:t>من حقوق الذمي</w:t>
      </w:r>
      <w:bookmarkEnd w:id="118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المحترم حاله حال المسلم في ما ذكر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الإسلام لم يمنع الكافر منعاً قانونياً عن الاستفادة من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الكافر المعاند ممنوع منعاً معنوياً، كما ذكر في باب الأنفال وباب الخمس</w:t>
      </w:r>
      <w:r>
        <w:rPr>
          <w:rFonts w:eastAsia="Amiri" w:cs="Amiri" w:ascii="Amiri" w:hAnsi="Amiri"/>
          <w:color w:val="111111"/>
          <w:sz w:val="28"/>
          <w:szCs w:val="28"/>
          <w:rtl w:val="true"/>
          <w:lang w:bidi="ar-SA"/>
        </w:rPr>
        <w:t>.</w:t>
      </w:r>
    </w:p>
    <w:p>
      <w:pPr>
        <w:pStyle w:val="Heading2"/>
        <w:numPr>
          <w:ilvl w:val="1"/>
          <w:numId w:val="1"/>
        </w:numPr>
        <w:rPr/>
      </w:pPr>
      <w:bookmarkStart w:id="1181" w:name="__RefHeading___Toc12184543_2142443653"/>
      <w:bookmarkStart w:id="1182" w:name="_Toc452"/>
      <w:bookmarkEnd w:id="1181"/>
      <w:r>
        <w:rPr>
          <w:rtl w:val="true"/>
        </w:rPr>
        <w:t>من أحكام المعادن</w:t>
      </w:r>
      <w:bookmarkEnd w:id="118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المعدن من المباحات، فإن استولى عليه شخص أو دولة محترمة كان له، لكن هل يحق لإنسان أن يحجر على معدن كبير كامل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w:t>
      </w:r>
      <w:r>
        <w:rPr>
          <w:rFonts w:eastAsia="Amiri" w:cs="Amiri" w:ascii="Amiri" w:hAnsi="Amiri"/>
          <w:color w:val="111111"/>
          <w:sz w:val="28"/>
          <w:szCs w:val="28"/>
          <w:rtl w:val="true"/>
          <w:lang w:bidi="ar-SA"/>
        </w:rPr>
        <w:t>»</w:t>
      </w:r>
      <w:r>
        <w:rPr>
          <w:rStyle w:val="FootnoteAnchor"/>
          <w:rtl w:val="true"/>
        </w:rPr>
        <w:footnoteReference w:id="1579"/>
      </w:r>
      <w:r>
        <w:rPr>
          <w:rFonts w:ascii="Amiri" w:hAnsi="Amiri" w:eastAsia="Amiri" w:cs="Amiri"/>
          <w:color w:val="111111"/>
          <w:sz w:val="28"/>
          <w:sz w:val="28"/>
          <w:szCs w:val="28"/>
          <w:rtl w:val="true"/>
          <w:lang w:bidi="ar-SA"/>
        </w:rPr>
        <w:t>أو لا لانصراف أدلة التحجير عن مثل ذلك؟ نعم، للفرد ما أخرج من المعدن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والأقرب الثاني للانصراف، بالإضافة إلى أن هذه الأحكام محدودة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فليس للفرد أن يستخرج من المعدن أكثر من حقه؛ لأنه أيضاً في إطار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p>
    <w:p>
      <w:pPr>
        <w:pStyle w:val="Heading2"/>
        <w:numPr>
          <w:ilvl w:val="1"/>
          <w:numId w:val="1"/>
        </w:numPr>
        <w:rPr/>
      </w:pPr>
      <w:bookmarkStart w:id="1183" w:name="__RefHeading___Toc12184545_2142443653"/>
      <w:bookmarkStart w:id="1184" w:name="_Toc453"/>
      <w:bookmarkEnd w:id="1183"/>
      <w:r>
        <w:rPr>
          <w:rtl w:val="true"/>
        </w:rPr>
        <w:t>الزواج من نجوم السينما</w:t>
      </w:r>
      <w:bookmarkEnd w:id="118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السعي لزواج نجوم السينما للمال والشهرة، لكن ذلك مكروه شرعاً، ولو تزوج بها كان الواجب عليه أن يمنعها عن التكشف والتعري والتبرج وفعل المحرمات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غيرها من الآيات</w:t>
      </w:r>
      <w:bookmarkStart w:id="1185" w:name="pg15710_227034"/>
    </w:p>
    <w:p>
      <w:pPr>
        <w:pStyle w:val="BookText"/>
        <w:rPr/>
      </w:pPr>
      <w:bookmarkEnd w:id="1185"/>
      <w:r>
        <w:rPr>
          <w:rFonts w:ascii="Amiri" w:hAnsi="Amiri" w:eastAsia="Amiri" w:cs="Amiri"/>
          <w:color w:val="111111"/>
          <w:sz w:val="28"/>
          <w:sz w:val="28"/>
          <w:szCs w:val="28"/>
          <w:rtl w:val="true"/>
          <w:lang w:bidi="ar-SA"/>
        </w:rPr>
        <w:t>والروايات</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عثمان بن عيسى، عن سماعة، عن أبي بصير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بما أمر اللّه وتنهاهم عما نهاهم اللّه، فإن أطاعوك كنت قد وقيتهم، وإن عصوك كنت قد قضيت 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حفص بن عثمان، عن سماعة،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نقي أهلنا؟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تأمرونهم وتنهونهم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الدالة على ذلك</w:t>
      </w:r>
      <w:r>
        <w:rPr>
          <w:rFonts w:eastAsia="Amiri" w:cs="Amiri" w:ascii="Amiri" w:hAnsi="Amiri"/>
          <w:color w:val="111111"/>
          <w:sz w:val="28"/>
          <w:szCs w:val="28"/>
          <w:rtl w:val="true"/>
          <w:lang w:bidi="ar-SA"/>
        </w:rPr>
        <w:t>.</w:t>
      </w:r>
    </w:p>
    <w:p>
      <w:pPr>
        <w:pStyle w:val="Heading2"/>
        <w:numPr>
          <w:ilvl w:val="1"/>
          <w:numId w:val="1"/>
        </w:numPr>
        <w:rPr/>
      </w:pPr>
      <w:bookmarkStart w:id="1186" w:name="__RefHeading___Toc12184547_2142443653"/>
      <w:bookmarkStart w:id="1187" w:name="_Toc454"/>
      <w:bookmarkEnd w:id="1186"/>
      <w:r>
        <w:rPr>
          <w:rtl w:val="true"/>
        </w:rPr>
        <w:t>الزواج من ملكات الجمال</w:t>
      </w:r>
      <w:bookmarkEnd w:id="118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للزواج من ملكات الجمال حاله حال ما ذكر 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الجواز والكراهة، ووجوب الحفظ</w:t>
      </w:r>
      <w:r>
        <w:rPr>
          <w:rFonts w:eastAsia="Amiri" w:cs="Amiri" w:ascii="Amiri" w:hAnsi="Amiri"/>
          <w:color w:val="111111"/>
          <w:sz w:val="28"/>
          <w:szCs w:val="28"/>
          <w:rtl w:val="true"/>
          <w:lang w:bidi="ar-SA"/>
        </w:rPr>
        <w:t>.</w:t>
      </w:r>
    </w:p>
    <w:p>
      <w:pPr>
        <w:pStyle w:val="Heading2"/>
        <w:numPr>
          <w:ilvl w:val="1"/>
          <w:numId w:val="1"/>
        </w:numPr>
        <w:rPr/>
      </w:pPr>
      <w:bookmarkStart w:id="1188" w:name="__RefHeading___Toc12184549_2142443653"/>
      <w:bookmarkStart w:id="1189" w:name="_Toc455"/>
      <w:bookmarkEnd w:id="1188"/>
      <w:r>
        <w:rPr>
          <w:rtl w:val="true"/>
        </w:rPr>
        <w:t>الزواج من المليونيرات</w:t>
      </w:r>
      <w:bookmarkEnd w:id="118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بالسعي وراء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المليونيرات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للزواج منهن، لكن اللازم أن يعلم الساعي كراهة التزويج للمال والجمال، كما ورد في الأحاديث</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لحسنها أو لمالها وكل إلى ذلك، وإن تزوجها لدينها وفضلها رزقه اللّه الجمال والمال،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وانكحوا الأيامى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نهى أن ينكح الرجل المرأة لمالها أو لجمالها،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مالها يطغيها، وجمالها يرديها، فعليك بذات الدين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0" w:name="pg15710_227035"/>
    </w:p>
    <w:p>
      <w:pPr>
        <w:pStyle w:val="BookText"/>
        <w:rPr/>
      </w:pPr>
      <w:bookmarkEnd w:id="119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أن العقل يدل أيضاً على ذلك؛ لأن الغالب أن الزوجة الثرية توجب مشاكل للزوج</w:t>
      </w:r>
      <w:r>
        <w:rPr>
          <w:rFonts w:eastAsia="Amiri" w:cs="Amiri" w:ascii="Amiri" w:hAnsi="Amiri"/>
          <w:color w:val="111111"/>
          <w:sz w:val="28"/>
          <w:szCs w:val="28"/>
          <w:rtl w:val="true"/>
          <w:lang w:bidi="ar-SA"/>
        </w:rPr>
        <w:t>.</w:t>
      </w:r>
    </w:p>
    <w:p>
      <w:pPr>
        <w:pStyle w:val="Heading2"/>
        <w:numPr>
          <w:ilvl w:val="1"/>
          <w:numId w:val="1"/>
        </w:numPr>
        <w:rPr/>
      </w:pPr>
      <w:bookmarkStart w:id="1191" w:name="__RefHeading___Toc12184551_2142443653"/>
      <w:bookmarkStart w:id="1192" w:name="_Toc456"/>
      <w:bookmarkEnd w:id="1191"/>
      <w:r>
        <w:rPr>
          <w:rtl w:val="true"/>
        </w:rPr>
        <w:t>مراقصة الزوجة</w:t>
      </w:r>
      <w:bookmarkEnd w:id="119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الرقص مع الزوجة ليلة العرس أو ما أشبه أمام الأجانب مما يعتاده مقلدة الغرب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بأس برقص الزوجين أحدهما للآخر فيما لم يكن هناك أجنبي</w:t>
      </w:r>
      <w:r>
        <w:rPr>
          <w:rFonts w:eastAsia="Amiri" w:cs="Amiri" w:ascii="Amiri" w:hAnsi="Amiri"/>
          <w:color w:val="111111"/>
          <w:sz w:val="28"/>
          <w:szCs w:val="28"/>
          <w:rtl w:val="true"/>
          <w:lang w:bidi="ar-SA"/>
        </w:rPr>
        <w:t>.</w:t>
      </w:r>
    </w:p>
    <w:p>
      <w:pPr>
        <w:pStyle w:val="Heading2"/>
        <w:numPr>
          <w:ilvl w:val="1"/>
          <w:numId w:val="1"/>
        </w:numPr>
        <w:rPr/>
      </w:pPr>
      <w:bookmarkStart w:id="1193" w:name="__RefHeading___Toc12184553_2142443653"/>
      <w:bookmarkStart w:id="1194" w:name="_Toc457"/>
      <w:bookmarkEnd w:id="1193"/>
      <w:r>
        <w:rPr>
          <w:rtl w:val="true"/>
        </w:rPr>
        <w:t>تبديل الأزواج</w:t>
      </w:r>
      <w:bookmarkEnd w:id="119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تبديل الأزواج والزوجات في الليالي الحمراء كما يفعله مقلدة الغرب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من أشد المحرمات، ويهدم العائلة ويسبب مشاكل الأولاد وغير ذلك</w:t>
      </w:r>
      <w:r>
        <w:rPr>
          <w:rFonts w:eastAsia="Amiri" w:cs="Amiri" w:ascii="Amiri" w:hAnsi="Amiri"/>
          <w:color w:val="111111"/>
          <w:sz w:val="28"/>
          <w:szCs w:val="28"/>
          <w:rtl w:val="true"/>
          <w:lang w:bidi="ar-SA"/>
        </w:rPr>
        <w:t>.</w:t>
      </w:r>
    </w:p>
    <w:p>
      <w:pPr>
        <w:pStyle w:val="Heading2"/>
        <w:numPr>
          <w:ilvl w:val="1"/>
          <w:numId w:val="1"/>
        </w:numPr>
        <w:rPr/>
      </w:pPr>
      <w:bookmarkStart w:id="1195" w:name="__RefHeading___Toc12184555_2142443653"/>
      <w:bookmarkStart w:id="1196" w:name="_Toc458"/>
      <w:bookmarkEnd w:id="1195"/>
      <w:r>
        <w:rPr>
          <w:rtl w:val="true"/>
        </w:rPr>
        <w:t>لعبة المفاتيح الحمراء</w:t>
      </w:r>
      <w:bookmarkEnd w:id="119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لعبة المفاتيح التي هي عبارة عن جعل الزوجات كل زوجة في غرفة ثم تقفل الأبواب، ثم يعطى كل مفتاح بيد رجل ليفتح الباب، ويلامس المرأة الموجودة في تلك الغرفة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على ذلك هو الدليل السابق حرمة ومشكلة وغير ذلك</w:t>
      </w:r>
      <w:r>
        <w:rPr>
          <w:rFonts w:eastAsia="Amiri" w:cs="Amiri" w:ascii="Amiri" w:hAnsi="Amiri"/>
          <w:color w:val="111111"/>
          <w:sz w:val="28"/>
          <w:szCs w:val="28"/>
          <w:rtl w:val="true"/>
          <w:lang w:bidi="ar-SA"/>
        </w:rPr>
        <w:t>.</w:t>
      </w:r>
    </w:p>
    <w:p>
      <w:pPr>
        <w:pStyle w:val="Heading2"/>
        <w:numPr>
          <w:ilvl w:val="1"/>
          <w:numId w:val="1"/>
        </w:numPr>
        <w:rPr/>
      </w:pPr>
      <w:bookmarkStart w:id="1197" w:name="__RefHeading___Toc12184557_2142443653"/>
      <w:bookmarkStart w:id="1198" w:name="_Toc459"/>
      <w:bookmarkEnd w:id="1197"/>
      <w:r>
        <w:rPr>
          <w:rtl w:val="true"/>
        </w:rPr>
        <w:t>النظر إلى الكافرات</w:t>
      </w:r>
      <w:bookmarkEnd w:id="119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نساء الكفار إنما يجوز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إلى المواضع التي كانت معتادة ظهورها في زمن الإسلام، ولم يكن ذلك أكثر من الوجه والكفين والقدمين، ولعله كان بعض شعر الرأس أيضاً،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بريبة، ولا يكون مثار شهوة، فالذين يسافرون إلى بلاد الأجانب يجب أن يعلموا هذه المسألة إذا أرادوا التحفظ على دينهم</w:t>
      </w:r>
      <w:r>
        <w:rPr>
          <w:rFonts w:eastAsia="Amiri" w:cs="Amiri" w:ascii="Amiri" w:hAnsi="Amiri"/>
          <w:color w:val="111111"/>
          <w:sz w:val="28"/>
          <w:szCs w:val="28"/>
          <w:rtl w:val="true"/>
          <w:lang w:bidi="ar-SA"/>
        </w:rPr>
        <w:t xml:space="preserve">. </w:t>
      </w:r>
      <w:bookmarkStart w:id="1199" w:name="pg15710_227036"/>
    </w:p>
    <w:p>
      <w:pPr>
        <w:pStyle w:val="BookText"/>
        <w:rPr/>
      </w:pPr>
      <w:bookmarkEnd w:id="11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وقع النظر إليهن بلا قصد فلا بأس، كما هو المشهور بين المعاصرين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0" w:name="__RefHeading___Toc12184559_2142443653"/>
      <w:bookmarkStart w:id="1201" w:name="_Toc460"/>
      <w:bookmarkEnd w:id="1200"/>
      <w:r>
        <w:rPr>
          <w:rtl w:val="true"/>
        </w:rPr>
        <w:t>نكاح الشغار</w:t>
      </w:r>
      <w:bookmarkEnd w:id="120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الجارية عند بعض أهالي الريف من تزويج نفرين كل واحد أُخت الآخر أو بنته على أن يكون مهر كل واحدة منها نكاح الأُخرى باطل، وهذا هو المعبر عنه في فقه الإسلام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نكاح الشغار</w:t>
      </w:r>
      <w:r>
        <w:rPr>
          <w:rFonts w:eastAsia="Amiri" w:cs="Amiri" w:ascii="Amiri" w:hAnsi="Amiri"/>
          <w:color w:val="111111"/>
          <w:sz w:val="28"/>
          <w:szCs w:val="28"/>
          <w:rtl w:val="true"/>
          <w:lang w:bidi="ar-SA"/>
        </w:rPr>
        <w:t>)</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وقال في مسالك الأفهام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الشين وفتحها والغين المعجمتين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كان في الجاهلية، معناه أن يجعل بضع امرأة مهراً 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شغر الكلب إذا رفع إحدى رجليه ليبول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أشغراً وفخراً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وشغرت الأرض لم يبق بها أحد يحميها، فهي شاغرة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به هذا النكاح لما يتضمن من رفع المهر، أو من خلوه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في تحريمه قبل الإجماع ما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الشغار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اللازم جعل المهر الشرعي، وكذلك حال تزويج كل واحد قريبه من الآخر، خالةً أو عمةً أو بنتهما أو غيرهن</w:t>
      </w:r>
      <w:r>
        <w:rPr>
          <w:rFonts w:eastAsia="Amiri" w:cs="Amiri" w:ascii="Amiri" w:hAnsi="Amiri"/>
          <w:color w:val="111111"/>
          <w:sz w:val="28"/>
          <w:szCs w:val="28"/>
          <w:rtl w:val="true"/>
          <w:lang w:bidi="ar-SA"/>
        </w:rPr>
        <w:t>.</w:t>
      </w:r>
    </w:p>
    <w:p>
      <w:pPr>
        <w:pStyle w:val="Heading2"/>
        <w:numPr>
          <w:ilvl w:val="1"/>
          <w:numId w:val="1"/>
        </w:numPr>
        <w:rPr/>
      </w:pPr>
      <w:bookmarkStart w:id="1202" w:name="__RefHeading___Toc12184561_2142443653"/>
      <w:bookmarkStart w:id="1203" w:name="_Toc461"/>
      <w:bookmarkEnd w:id="1202"/>
      <w:r>
        <w:rPr>
          <w:rtl w:val="true"/>
        </w:rPr>
        <w:t>التمتع بالراقصات</w:t>
      </w:r>
      <w:bookmarkEnd w:id="120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التمتع بملكات الجمال ونجوم السينما والراقصات، كما يجوز العكس بأن تتمتع المرأة بملك الجمال ونجم السينما والراقص، لكن يجب أن يكون ذلك في الإطار الإسلامي المذكور في كتب الفقه</w:t>
      </w:r>
      <w:r>
        <w:rPr>
          <w:rFonts w:eastAsia="Amiri" w:cs="Amiri" w:ascii="Amiri" w:hAnsi="Amiri"/>
          <w:color w:val="111111"/>
          <w:sz w:val="28"/>
          <w:szCs w:val="28"/>
          <w:rtl w:val="true"/>
          <w:lang w:bidi="ar-SA"/>
        </w:rPr>
        <w:t xml:space="preserve">. </w:t>
      </w:r>
      <w:bookmarkStart w:id="1204" w:name="pg15710_227037"/>
    </w:p>
    <w:p>
      <w:pPr>
        <w:pStyle w:val="BookText"/>
        <w:rPr/>
      </w:pPr>
      <w:bookmarkEnd w:id="12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لإطلاق أدلة النكاح بقسميه، أما الخروج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يعتاد في بلاد الغرب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محرم بلا إشكال</w:t>
      </w:r>
      <w:r>
        <w:rPr>
          <w:rFonts w:eastAsia="Amiri" w:cs="Amiri" w:ascii="Amiri" w:hAnsi="Amiri"/>
          <w:color w:val="111111"/>
          <w:sz w:val="28"/>
          <w:szCs w:val="28"/>
          <w:rtl w:val="true"/>
          <w:lang w:bidi="ar-SA"/>
        </w:rPr>
        <w:t>.</w:t>
      </w:r>
    </w:p>
    <w:p>
      <w:pPr>
        <w:pStyle w:val="Heading2"/>
        <w:numPr>
          <w:ilvl w:val="1"/>
          <w:numId w:val="1"/>
        </w:numPr>
        <w:rPr/>
      </w:pPr>
      <w:bookmarkStart w:id="1205" w:name="__RefHeading___Toc12184563_2142443653"/>
      <w:bookmarkStart w:id="1206" w:name="_Toc462"/>
      <w:bookmarkEnd w:id="1205"/>
      <w:r>
        <w:rPr>
          <w:rtl w:val="true"/>
        </w:rPr>
        <w:t>الحلق والختان بالمحاليل</w:t>
      </w:r>
      <w:bookmarkEnd w:id="120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الحلق والختان بالآلة الكهربائية، كما يجوز أن يكونا بالمحاليل الموجبة لسقوط الشعر ولسقوط الغلفة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الموسى ونحوها طريقي ولا موضوعية لها</w:t>
      </w:r>
      <w:r>
        <w:rPr>
          <w:rFonts w:eastAsia="Amiri" w:cs="Amiri" w:ascii="Amiri" w:hAnsi="Amiri"/>
          <w:color w:val="111111"/>
          <w:sz w:val="28"/>
          <w:szCs w:val="28"/>
          <w:rtl w:val="true"/>
          <w:lang w:bidi="ar-SA"/>
        </w:rPr>
        <w:t>.</w:t>
      </w:r>
    </w:p>
    <w:p>
      <w:pPr>
        <w:pStyle w:val="Heading2"/>
        <w:numPr>
          <w:ilvl w:val="1"/>
          <w:numId w:val="1"/>
        </w:numPr>
        <w:rPr/>
      </w:pPr>
      <w:bookmarkStart w:id="1207" w:name="__RefHeading___Toc12184565_2142443653"/>
      <w:bookmarkStart w:id="1208" w:name="_Toc463"/>
      <w:bookmarkEnd w:id="1207"/>
      <w:r>
        <w:rPr>
          <w:rtl w:val="true"/>
        </w:rPr>
        <w:t>إزالة الوشم بالآلات</w:t>
      </w:r>
      <w:bookmarkEnd w:id="120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إزالة الوشم بواسطة المكائن، والألم الذي يجده الإنسان عند الإزالة ليس يحرم تحمله، إلا إذا سبب ضرراً بالغاً لا يجوز تحمله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الجواز لأصالة الحل، والضرر البالغ محرم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Heading2"/>
        <w:numPr>
          <w:ilvl w:val="1"/>
          <w:numId w:val="1"/>
        </w:numPr>
        <w:rPr/>
      </w:pPr>
      <w:bookmarkStart w:id="1209" w:name="__RefHeading___Toc12184567_2142443653"/>
      <w:bookmarkStart w:id="1210" w:name="_Toc464"/>
      <w:bookmarkEnd w:id="1209"/>
      <w:r>
        <w:rPr>
          <w:rtl w:val="true"/>
        </w:rPr>
        <w:t>اللبن المجفف</w:t>
      </w:r>
      <w:bookmarkEnd w:id="121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بتغذية الطفل بالحليب المجفف وإن لم يعلم ماهيته؛ لأنّ الأصل في كل شيء الحل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تضرر الطفل بذلك لم يجز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لا يخفى أنّ لبن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شرعاً، وأيده العلم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وأفضل</w:t>
      </w:r>
      <w:r>
        <w:rPr>
          <w:rFonts w:eastAsia="Amiri" w:cs="Amiri" w:ascii="Amiri" w:hAnsi="Amiri"/>
          <w:color w:val="111111"/>
          <w:sz w:val="28"/>
          <w:szCs w:val="28"/>
          <w:rtl w:val="true"/>
          <w:lang w:bidi="ar-SA"/>
        </w:rPr>
        <w:t>.</w:t>
      </w:r>
    </w:p>
    <w:p>
      <w:pPr>
        <w:pStyle w:val="Heading2"/>
        <w:numPr>
          <w:ilvl w:val="1"/>
          <w:numId w:val="1"/>
        </w:numPr>
        <w:rPr/>
      </w:pPr>
      <w:bookmarkStart w:id="1211" w:name="__RefHeading___Toc12184569_2142443653"/>
      <w:bookmarkStart w:id="1212" w:name="_Toc465"/>
      <w:bookmarkEnd w:id="1211"/>
      <w:r>
        <w:rPr>
          <w:rtl w:val="true"/>
        </w:rPr>
        <w:t>الامتناع عن النسل المشوه</w:t>
      </w:r>
      <w:bookmarkEnd w:id="121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يعلم أن ولده يخرج مشوهاً أو معتوهاً يجوز أن يمنع نفسه عن النسل، وفي إسقاط الجنين إذا علم أنه مشوه أو معتوه أو ما أشبه إشكال</w:t>
      </w:r>
      <w:r>
        <w:rPr>
          <w:rFonts w:eastAsia="Amiri" w:cs="Amiri" w:ascii="Amiri" w:hAnsi="Amiri"/>
          <w:color w:val="111111"/>
          <w:sz w:val="28"/>
          <w:szCs w:val="28"/>
          <w:rtl w:val="true"/>
          <w:lang w:bidi="ar-SA"/>
        </w:rPr>
        <w:t xml:space="preserve">. </w:t>
      </w:r>
      <w:bookmarkStart w:id="1213" w:name="pg15710_227038"/>
    </w:p>
    <w:p>
      <w:pPr>
        <w:pStyle w:val="BookText"/>
        <w:rPr/>
      </w:pPr>
      <w:bookmarkEnd w:id="121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إذا لم يصدق عليه الإنسان حتى يشمله دليل حرمة قتل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فائدة بقائه عمراً مشوهاً أو معتوهاً أو ما أشبه؟</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فائدة المريض الذي لا يرجى زوال مرضه العضال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الإبقاء على أمثالهم احترام للإنسان، وهو أمر عقلائي وشرعي</w:t>
      </w:r>
      <w:r>
        <w:rPr>
          <w:rFonts w:eastAsia="Amiri" w:cs="Amiri" w:ascii="Amiri" w:hAnsi="Amiri"/>
          <w:color w:val="111111"/>
          <w:sz w:val="28"/>
          <w:szCs w:val="28"/>
          <w:rtl w:val="true"/>
          <w:lang w:bidi="ar-SA"/>
        </w:rPr>
        <w:t>.</w:t>
      </w:r>
    </w:p>
    <w:p>
      <w:pPr>
        <w:pStyle w:val="Heading2"/>
        <w:numPr>
          <w:ilvl w:val="1"/>
          <w:numId w:val="1"/>
        </w:numPr>
        <w:rPr/>
      </w:pPr>
      <w:bookmarkStart w:id="1214" w:name="__RefHeading___Toc12184571_2142443653"/>
      <w:bookmarkStart w:id="1215" w:name="_Toc466"/>
      <w:bookmarkEnd w:id="1214"/>
      <w:r>
        <w:rPr>
          <w:rtl w:val="true"/>
        </w:rPr>
        <w:t>التوائم المختلفين</w:t>
      </w:r>
      <w:bookmarkEnd w:id="121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علمنا بانعقاد الولد الأول من التوأمين عن حلال، والثاني عن حرام أو بالعكس، وجب ترتيب حكم كل على المعلوم كيفية ولادته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الحكم يتبع موضوعه</w:t>
      </w:r>
      <w:r>
        <w:rPr>
          <w:rFonts w:eastAsia="Amiri" w:cs="Amiri" w:ascii="Amiri" w:hAnsi="Amiri"/>
          <w:color w:val="111111"/>
          <w:sz w:val="28"/>
          <w:szCs w:val="28"/>
          <w:rtl w:val="true"/>
          <w:lang w:bidi="ar-SA"/>
        </w:rPr>
        <w:t>.</w:t>
      </w:r>
    </w:p>
    <w:p>
      <w:pPr>
        <w:pStyle w:val="Heading2"/>
        <w:numPr>
          <w:ilvl w:val="1"/>
          <w:numId w:val="1"/>
        </w:numPr>
        <w:rPr/>
      </w:pPr>
      <w:bookmarkStart w:id="1216" w:name="__RefHeading___Toc12184573_2142443653"/>
      <w:bookmarkStart w:id="1217" w:name="_Toc467"/>
      <w:bookmarkEnd w:id="1216"/>
      <w:r>
        <w:rPr>
          <w:rtl w:val="true"/>
        </w:rPr>
        <w:t>واجبات دور الحضانة</w:t>
      </w:r>
      <w:bookmarkEnd w:id="121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دور الحضانة التي تربي الأطفال أن تحفظ أنسابهم، وإذا كانت النسبة مجهولة كاللقيط، أو كان ولد زنا فاللازم حفظ ذلك؛ لئلا يختلط الأمر ويشتبه الصحيح بالسقيم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حفظ الأنساب واجب شرعي وعقلي،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نَسَباً وَصِهْراً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8" w:name="__RefHeading___Toc12184575_2142443653"/>
      <w:bookmarkStart w:id="1219" w:name="_Toc468"/>
      <w:bookmarkEnd w:id="1218"/>
      <w:r>
        <w:rPr>
          <w:rtl w:val="true"/>
        </w:rPr>
        <w:t>الإجهاض مباشرة أو تسبيباً</w:t>
      </w:r>
      <w:bookmarkEnd w:id="121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للقوابل والدكاترة وصف الأدوية المسقطة للحمل، أو مباشرة عملية الإجهاض، إلا بعد التأكد من جواز الإسقاط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وصف الأدوية المجهضة مقدمة الحرام، ومباشرة الإجهاض محرم ذاتي وفيه الضمان</w:t>
      </w:r>
      <w:r>
        <w:rPr>
          <w:rFonts w:eastAsia="Amiri" w:cs="Amiri" w:ascii="Amiri" w:hAnsi="Amiri"/>
          <w:color w:val="111111"/>
          <w:sz w:val="28"/>
          <w:szCs w:val="28"/>
          <w:rtl w:val="true"/>
          <w:lang w:bidi="ar-SA"/>
        </w:rPr>
        <w:t>.</w:t>
      </w:r>
      <w:bookmarkStart w:id="1220" w:name="pg15710_227039"/>
    </w:p>
    <w:p>
      <w:pPr>
        <w:pStyle w:val="Heading2"/>
        <w:numPr>
          <w:ilvl w:val="1"/>
          <w:numId w:val="1"/>
        </w:numPr>
        <w:rPr/>
      </w:pPr>
      <w:bookmarkStart w:id="1221" w:name="__RefHeading___Toc12184577_2142443653"/>
      <w:bookmarkStart w:id="1222" w:name="_Toc469"/>
      <w:bookmarkEnd w:id="1220"/>
      <w:bookmarkEnd w:id="1221"/>
      <w:r>
        <w:rPr>
          <w:rtl w:val="true"/>
        </w:rPr>
        <w:t>مطالبة طلاق الخلع</w:t>
      </w:r>
      <w:bookmarkEnd w:id="122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أن تطلب الطلاق الخلعي من زوجها، فيما إذا كان زوجها مشوه المنظر، أو سّيء الخلق أو فاسد العمل أو ما أشبه، فإذا رضي الزوج وطلقها في مقابل فداء صح الطلاق وجاز لها بعد انقضاء العدة الزواج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خصوصاً إذا كانت في عسر وحرج وما أشبه ذلك، للإطلاقات</w:t>
      </w:r>
      <w:r>
        <w:rPr>
          <w:rFonts w:eastAsia="Amiri" w:cs="Amiri" w:ascii="Amiri" w:hAnsi="Amiri"/>
          <w:color w:val="111111"/>
          <w:sz w:val="28"/>
          <w:szCs w:val="28"/>
          <w:rtl w:val="true"/>
          <w:lang w:bidi="ar-SA"/>
        </w:rPr>
        <w:t>.</w:t>
      </w:r>
    </w:p>
    <w:p>
      <w:pPr>
        <w:pStyle w:val="Heading2"/>
        <w:numPr>
          <w:ilvl w:val="1"/>
          <w:numId w:val="1"/>
        </w:numPr>
        <w:rPr/>
      </w:pPr>
      <w:bookmarkStart w:id="1223" w:name="__RefHeading___Toc12184579_2142443653"/>
      <w:bookmarkStart w:id="1224" w:name="_Toc470"/>
      <w:bookmarkEnd w:id="1223"/>
      <w:r>
        <w:rPr>
          <w:rtl w:val="true"/>
        </w:rPr>
        <w:t>كشف هوية الجنين بالأشعة</w:t>
      </w:r>
      <w:bookmarkEnd w:id="122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الأُم حاملاً ومات الأب، أو مات من يرثه الجنين جاز أن يستعلم حالة الجنين بالأشعة ونحوها؛ ليعرف أنه ذكر أو أُنثى، واحد أو أكثر، ويعزل نصيبه من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اختصاص اللّه تعالى بالعلم بما في الأرحام إنما يراد به جميع الخصوصيات، كالجمال والأخلاق ومدة العمر، وما يكون إليه مصيره، لا مجرد الذكورة والأُنوثة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للعلم أن يكشف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اللّه سبحانه استأثر بعلمه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وضع إرثين وما أشبه إنما هو فيما لم يعلم، أما إذا علم بواسطة الأشعة أو غيره لم يلزم إلا وضع المقدر له شرعاً، والجواز للإطلاقات</w:t>
      </w:r>
      <w:r>
        <w:rPr>
          <w:rFonts w:eastAsia="Amiri" w:cs="Amiri" w:ascii="Amiri" w:hAnsi="Amiri"/>
          <w:color w:val="111111"/>
          <w:sz w:val="28"/>
          <w:szCs w:val="28"/>
          <w:rtl w:val="true"/>
          <w:lang w:bidi="ar-SA"/>
        </w:rPr>
        <w:t>.</w:t>
      </w:r>
    </w:p>
    <w:p>
      <w:pPr>
        <w:pStyle w:val="Heading2"/>
        <w:numPr>
          <w:ilvl w:val="1"/>
          <w:numId w:val="1"/>
        </w:numPr>
        <w:rPr/>
      </w:pPr>
      <w:bookmarkStart w:id="1225" w:name="__RefHeading___Toc12184581_2142443653"/>
      <w:bookmarkStart w:id="1226" w:name="_Toc471"/>
      <w:bookmarkEnd w:id="1225"/>
      <w:r>
        <w:rPr>
          <w:rtl w:val="true"/>
        </w:rPr>
        <w:t>موت المتوارثين سوية</w:t>
      </w:r>
      <w:bookmarkEnd w:id="122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الوارث والمورث بكارثة كالزلزلة أو القصف بالقنابل أو ما أشبه، ولم يعلم السبق والسابق فهل الحال في الإرث كميراث الغرقى والمهدوم عليهم، مما ذكر في فقه الإسلام أم لا؟ احتمالان، والأول أقرب، والتفصيل في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دل على التوارث يفهم منه بالملاك ما نحن فيه أيضا،</w:t>
      </w:r>
      <w:bookmarkStart w:id="1227" w:name="pg15710_227040"/>
    </w:p>
    <w:p>
      <w:pPr>
        <w:pStyle w:val="BookText"/>
        <w:rPr/>
      </w:pPr>
      <w:bookmarkEnd w:id="1227"/>
      <w:r>
        <w:rPr>
          <w:rFonts w:ascii="Amiri" w:hAnsi="Amiri" w:eastAsia="Amiri" w:cs="Amiri"/>
          <w:color w:val="111111"/>
          <w:sz w:val="28"/>
          <w:sz w:val="28"/>
          <w:szCs w:val="28"/>
          <w:rtl w:val="true"/>
          <w:lang w:bidi="ar-SA"/>
        </w:rPr>
        <w:t xml:space="preserve">وإن كان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التصالح</w:t>
      </w:r>
      <w:r>
        <w:rPr>
          <w:rFonts w:eastAsia="Amiri" w:cs="Amiri" w:ascii="Amiri" w:hAnsi="Amiri"/>
          <w:color w:val="111111"/>
          <w:sz w:val="28"/>
          <w:szCs w:val="28"/>
          <w:rtl w:val="true"/>
          <w:lang w:bidi="ar-SA"/>
        </w:rPr>
        <w:t>.</w:t>
      </w:r>
    </w:p>
    <w:p>
      <w:pPr>
        <w:pStyle w:val="Heading2"/>
        <w:numPr>
          <w:ilvl w:val="1"/>
          <w:numId w:val="1"/>
        </w:numPr>
        <w:rPr/>
      </w:pPr>
      <w:bookmarkStart w:id="1228" w:name="__RefHeading___Toc12184583_2142443653"/>
      <w:bookmarkStart w:id="1229" w:name="_Toc472"/>
      <w:bookmarkEnd w:id="1228"/>
      <w:r>
        <w:rPr>
          <w:rtl w:val="true"/>
        </w:rPr>
        <w:t>اتخاذ الحمام الراعب</w:t>
      </w:r>
      <w:bookmarkEnd w:id="1229"/>
    </w:p>
    <w:p>
      <w:pPr>
        <w:pStyle w:val="BookText"/>
        <w:rPr/>
      </w:pPr>
      <w:r>
        <w:rPr>
          <w:rFonts w:ascii="IRNazanin" w:hAnsi="IRNazanin" w:eastAsia="IRNazanin"/>
          <w:color w:val="111111"/>
          <w:sz w:val="28"/>
          <w:sz w:val="28"/>
          <w:szCs w:val="28"/>
          <w:rtl w:val="true"/>
          <w:lang w:bidi="fa-IR"/>
        </w:rPr>
        <w:t>اتخاذ الحمام الراعب</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باتخاذ الحمام للاُنس والاستفراخ والتجارة والأكل، وانفاذ الكتب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اللعب بالحمام بدون ارتكاب حرام مكروه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الجواز لإطلاق أدلة الحل، بل قد يستحب لإطلاق أدلة المستحبات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استهداني إسماعيل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فأهديت له طيراً راعبياً فدخل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هذا الطير الراعبي معي في البيت يؤنسني،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حمام يفت لهن خبزاً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كالتجارة ونحوها، أما الكراهة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داود بن فرقد، عن علي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صوت فاختة في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هذه التي أسمع صوتها؟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الدار أهديت لبعضهم،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لنفقدنك قبل أن تفقدينا،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بها فأخرجت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دل عليه نصاً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النوفلي،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الحمام الراعبية في بيوتكم، فإنّها تلعن قتلة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قاتله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وردت الكراهة في خصوص الفاتحة في عدة روايات في وسائل الشيعة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عمار،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اذهب بنا إلى إسماعيل نعوده، وكان شاكياً، فقمنا ودخلنا، وإذا في منزله فاختة في قفص تصيح،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ما يدعوك إلى إمساك هذه الفاختة؟ أو ما علمت أنها مشؤومة؟ أو ما تدرى ما تقول؟ 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تدعو على أربابها،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فقدتكم فقدتكم، فأخرجوها</w:t>
      </w:r>
      <w:r>
        <w:rPr>
          <w:rFonts w:eastAsia="Amiri" w:cs="Amiri" w:ascii="Amiri" w:hAnsi="Amiri"/>
          <w:color w:val="111111"/>
          <w:sz w:val="28"/>
          <w:szCs w:val="28"/>
          <w:rtl w:val="true"/>
          <w:lang w:bidi="ar-SA"/>
        </w:rPr>
        <w:t>».</w:t>
      </w:r>
      <w:bookmarkStart w:id="1230" w:name="pg15710_227041"/>
    </w:p>
    <w:p>
      <w:pPr>
        <w:pStyle w:val="Heading2"/>
        <w:numPr>
          <w:ilvl w:val="1"/>
          <w:numId w:val="1"/>
        </w:numPr>
        <w:rPr/>
      </w:pPr>
      <w:bookmarkStart w:id="1231" w:name="__RefHeading___Toc12184585_2142443653"/>
      <w:bookmarkStart w:id="1232" w:name="_Toc473"/>
      <w:bookmarkEnd w:id="1230"/>
      <w:bookmarkEnd w:id="1231"/>
      <w:r>
        <w:rPr>
          <w:rtl w:val="true"/>
        </w:rPr>
        <w:t>تأسيس حديقة الحيوانات</w:t>
      </w:r>
      <w:bookmarkEnd w:id="123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 حديقة الحيوانات للاسترباح جائز حلال، وكذلك للثقافة أو 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كالأُنس في البيت أو في المستشفى أو غير ذلك، ويجوز المعاملة على هذه الحيوانات، فإن البيع وسائر المعاملات عليها عقلائي</w:t>
      </w:r>
      <w:r>
        <w:rPr>
          <w:rFonts w:eastAsia="Amiri" w:cs="Amiri" w:ascii="Amiri" w:hAnsi="Amiri"/>
          <w:color w:val="111111"/>
          <w:sz w:val="28"/>
          <w:szCs w:val="28"/>
          <w:rtl w:val="true"/>
          <w:lang w:bidi="ar-SA"/>
        </w:rPr>
        <w:t>.</w:t>
      </w:r>
    </w:p>
    <w:p>
      <w:pPr>
        <w:pStyle w:val="Heading2"/>
        <w:numPr>
          <w:ilvl w:val="1"/>
          <w:numId w:val="1"/>
        </w:numPr>
        <w:rPr/>
      </w:pPr>
      <w:bookmarkStart w:id="1233" w:name="__RefHeading___Toc12184587_2142443653"/>
      <w:bookmarkStart w:id="1234" w:name="_Toc474"/>
      <w:bookmarkEnd w:id="1233"/>
      <w:r>
        <w:rPr>
          <w:rtl w:val="true"/>
        </w:rPr>
        <w:t>لا للمؤسسات التبشيرية</w:t>
      </w:r>
      <w:bookmarkEnd w:id="123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للدولة الإسلامية إعطاء الإجازة لفتح المؤسسات التبشيرية أو الإعلامية للكفار، سواء كانت باسم التبشير والإعلام أم كان ظاهرها تجارية وما أشبه وباطنها التبشير والإعلام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لأنها مؤسسات إضلال، والسماح للإضلال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كانوا يريدون المقابلة بالمثل لفتحنا في بلادهم، فاللازم ملاحظة أن أيهما أهم، فإذا كان فتحنا في بلادهم أهم أو تساويا جاز وإلا حرم</w:t>
      </w:r>
      <w:r>
        <w:rPr>
          <w:rFonts w:eastAsia="Amiri" w:cs="Amiri" w:ascii="Amiri" w:hAnsi="Amiri"/>
          <w:color w:val="111111"/>
          <w:sz w:val="28"/>
          <w:szCs w:val="28"/>
          <w:rtl w:val="true"/>
          <w:lang w:bidi="ar-SA"/>
        </w:rPr>
        <w:t>.</w:t>
      </w:r>
    </w:p>
    <w:p>
      <w:pPr>
        <w:pStyle w:val="Heading2"/>
        <w:numPr>
          <w:ilvl w:val="1"/>
          <w:numId w:val="1"/>
        </w:numPr>
        <w:rPr/>
      </w:pPr>
      <w:bookmarkStart w:id="1235" w:name="__RefHeading___Toc12184589_2142443653"/>
      <w:bookmarkStart w:id="1236" w:name="_Toc475"/>
      <w:bookmarkEnd w:id="1235"/>
      <w:r>
        <w:rPr>
          <w:rtl w:val="true"/>
        </w:rPr>
        <w:t>تناقل ما يوهن المسلمين</w:t>
      </w:r>
      <w:bookmarkEnd w:id="123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لأجهزة إعلام الدولة الإسلامية نقل قوة الكفار وضعف المسلمين، مما يسبب تخاذلهم وانهزامهم، إلا إذا كان في ذلك مصلحة مهمة، كتحفظهم من أن يأتيهم العدو بغتة أو ما أشبه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إعطاء الحصة في الجهاد للمخذل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bookmarkStart w:id="1237" w:name="pg15710_227042"/>
    </w:p>
    <w:p>
      <w:pPr>
        <w:pStyle w:val="Heading2"/>
        <w:numPr>
          <w:ilvl w:val="1"/>
          <w:numId w:val="1"/>
        </w:numPr>
        <w:rPr/>
      </w:pPr>
      <w:bookmarkStart w:id="1238" w:name="__RefHeading___Toc12184591_2142443653"/>
      <w:bookmarkStart w:id="1239" w:name="_Toc476"/>
      <w:bookmarkEnd w:id="1237"/>
      <w:bookmarkEnd w:id="1238"/>
      <w:r>
        <w:rPr>
          <w:rtl w:val="true"/>
        </w:rPr>
        <w:t>من أحكام المراكز المقدسة</w:t>
      </w:r>
      <w:bookmarkEnd w:id="123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للدولة الإسلامية أن تجيز للكفار الدخول في المساجد أو المشاهد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 فَلاَ يَقْرَبُواْ الْمَسْجِدَ الْحَرَامَ بَعْدَ عَامِهِمْ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0" w:name="__RefHeading___Toc12184593_2142443653"/>
      <w:bookmarkStart w:id="1241" w:name="_Toc477"/>
      <w:bookmarkEnd w:id="1240"/>
      <w:r>
        <w:rPr>
          <w:rtl w:val="true"/>
        </w:rPr>
        <w:t>تصوير المراكز المقدسة</w:t>
      </w:r>
      <w:bookmarkEnd w:id="124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إجازة الدولة للكفار بأخذ الصور من المشاهد والمساجد ونحوهما من خارجها أم لا يجوز؟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مصلحة في أخذ الصورة أو مصلحة في عدم الأخذ اتبع المصلحة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يبعد الجواز لإطلاق دليل الحل إذا لم يكن محذور كالهتك مثلاً</w:t>
      </w:r>
      <w:r>
        <w:rPr>
          <w:rFonts w:eastAsia="Amiri" w:cs="Amiri" w:ascii="Amiri" w:hAnsi="Amiri"/>
          <w:color w:val="111111"/>
          <w:sz w:val="28"/>
          <w:szCs w:val="28"/>
          <w:rtl w:val="true"/>
          <w:lang w:bidi="ar-SA"/>
        </w:rPr>
        <w:t>.</w:t>
      </w:r>
    </w:p>
    <w:p>
      <w:pPr>
        <w:pStyle w:val="Heading2"/>
        <w:numPr>
          <w:ilvl w:val="1"/>
          <w:numId w:val="1"/>
        </w:numPr>
        <w:rPr/>
      </w:pPr>
      <w:bookmarkStart w:id="1242" w:name="__RefHeading___Toc12184595_2142443653"/>
      <w:bookmarkStart w:id="1243" w:name="_Toc478"/>
      <w:bookmarkEnd w:id="1242"/>
      <w:r>
        <w:rPr>
          <w:rtl w:val="true"/>
        </w:rPr>
        <w:t>المساجد الأثرية</w:t>
      </w:r>
      <w:bookmarkEnd w:id="124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غلق أبواب المسجد باعتبار أنه مسجد أثري، كما لا يجوز منع المصلين عن الصلاة في المسجد باعتبار أنه أثري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فاللازم أن يكون مفتّح الأبواب لمن يريد دخوله؛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اللازم الغلق كما في الليل أو ما أشبه لا بأس بالغلق</w:t>
      </w:r>
      <w:r>
        <w:rPr>
          <w:rFonts w:eastAsia="Amiri" w:cs="Amiri" w:ascii="Amiri" w:hAnsi="Amiri"/>
          <w:color w:val="111111"/>
          <w:sz w:val="28"/>
          <w:szCs w:val="28"/>
          <w:rtl w:val="true"/>
          <w:lang w:bidi="ar-SA"/>
        </w:rPr>
        <w:t>.</w:t>
      </w:r>
    </w:p>
    <w:p>
      <w:pPr>
        <w:pStyle w:val="Heading2"/>
        <w:numPr>
          <w:ilvl w:val="1"/>
          <w:numId w:val="1"/>
        </w:numPr>
        <w:rPr/>
      </w:pPr>
      <w:bookmarkStart w:id="1244" w:name="__RefHeading___Toc12184597_2142443653"/>
      <w:bookmarkStart w:id="1245" w:name="_Toc479"/>
      <w:bookmarkEnd w:id="1244"/>
      <w:r>
        <w:rPr>
          <w:rtl w:val="true"/>
        </w:rPr>
        <w:t>إعادة المراكز الدينية</w:t>
      </w:r>
      <w:bookmarkEnd w:id="124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 الدولة المحاربة للمسلمين مساجدهم وحسينياتهم </w:t>
      </w:r>
      <w:bookmarkStart w:id="1246" w:name="pg15710_227043"/>
    </w:p>
    <w:p>
      <w:pPr>
        <w:pStyle w:val="BookText"/>
        <w:rPr/>
      </w:pPr>
      <w:bookmarkEnd w:id="1246"/>
      <w:r>
        <w:rPr>
          <w:rFonts w:ascii="Amiri" w:hAnsi="Amiri" w:eastAsia="Amiri" w:cs="Amiri"/>
          <w:color w:val="111111"/>
          <w:sz w:val="28"/>
          <w:sz w:val="28"/>
          <w:szCs w:val="28"/>
          <w:rtl w:val="true"/>
          <w:lang w:bidi="ar-SA"/>
        </w:rPr>
        <w:t>ومدارسهم الدينية مخازن، أو مدارس حكومية أو ما أشبه ذلك وجب على المسلمين السعي في إعادتها إلى حالتها السابقة، كما يجب السعي في إعادة الأوقاف التي وضعت الدولة يد العدوان عليها إلى وقفيتها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من باب المنع عن المنكر ودفعه، وهو واجب</w:t>
      </w:r>
      <w:r>
        <w:rPr>
          <w:rFonts w:eastAsia="Amiri" w:cs="Amiri" w:ascii="Amiri" w:hAnsi="Amiri"/>
          <w:color w:val="111111"/>
          <w:sz w:val="28"/>
          <w:szCs w:val="28"/>
          <w:rtl w:val="true"/>
          <w:lang w:bidi="ar-SA"/>
        </w:rPr>
        <w:t>.</w:t>
      </w:r>
    </w:p>
    <w:p>
      <w:pPr>
        <w:pStyle w:val="Heading2"/>
        <w:numPr>
          <w:ilvl w:val="1"/>
          <w:numId w:val="1"/>
        </w:numPr>
        <w:rPr/>
      </w:pPr>
      <w:bookmarkStart w:id="1247" w:name="__RefHeading___Toc12184599_2142443653"/>
      <w:bookmarkStart w:id="1248" w:name="_Toc480"/>
      <w:bookmarkEnd w:id="1247"/>
      <w:r>
        <w:rPr>
          <w:rtl w:val="true"/>
        </w:rPr>
        <w:t>إشاعة الجنس في المدارس والإعلام</w:t>
      </w:r>
      <w:bookmarkEnd w:id="124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جعل ركن في الإذاعة أو فتح باب في الصحف لنشر الأمور الجنسية المحرمة، كما هو العادة بالنسبة إلى بعض الإذاعات والصحف، وكذلك تدريس الجنس الموجب فساداً أو ضرراً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حال التمثيليات والسينماءات والملاهي وما أشبه، مما تشتمل على المحرمات والمضار،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عَلَى الإِثْمِ وَالْعُدْوَانِ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9" w:name="__RefHeading___Toc12184601_2142443653"/>
      <w:bookmarkStart w:id="1250" w:name="_Toc481"/>
      <w:bookmarkEnd w:id="1249"/>
      <w:r>
        <w:rPr>
          <w:rtl w:val="true"/>
        </w:rPr>
        <w:t>ركن التعارف بين الجنسين</w:t>
      </w:r>
      <w:bookmarkEnd w:id="125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جعل ركن في الإذاعة أو فتح محور في الصحف للتعارف بين الفتيان والفتيات وبين الناس والراقصات وما أشبه مما يثير الفتنة والفساد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كل مثير وفتنة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يَضْرِبْنَ بِأَرْجُلِهِنَّ لِيُعْلَمَ مَا يُخْفِينَ مِن زِينَتِهِنَّ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1" w:name="pg15710_227044"/>
    </w:p>
    <w:p>
      <w:pPr>
        <w:pStyle w:val="Heading2"/>
        <w:numPr>
          <w:ilvl w:val="1"/>
          <w:numId w:val="1"/>
        </w:numPr>
        <w:rPr/>
      </w:pPr>
      <w:bookmarkStart w:id="1252" w:name="__RefHeading___Toc12184603_2142443653"/>
      <w:bookmarkStart w:id="1253" w:name="_Toc482"/>
      <w:bookmarkEnd w:id="1251"/>
      <w:bookmarkEnd w:id="1252"/>
      <w:r>
        <w:rPr>
          <w:rtl w:val="true"/>
        </w:rPr>
        <w:t>التعذيب القاتل</w:t>
      </w:r>
      <w:bookmarkEnd w:id="125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عذب شخص إنساناً فمات في أثر التعذيب كان من القتل الواجب فيه القصاص أو الدية، لو كان التعذيب مما يوجب قصاصاً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فرق بين القتل بسبب التعذيب أو غيره في إطلاق الأدلة</w:t>
      </w:r>
      <w:r>
        <w:rPr>
          <w:rFonts w:eastAsia="Amiri" w:cs="Amiri" w:ascii="Amiri" w:hAnsi="Amiri"/>
          <w:color w:val="111111"/>
          <w:sz w:val="28"/>
          <w:szCs w:val="28"/>
          <w:rtl w:val="true"/>
          <w:lang w:bidi="ar-SA"/>
        </w:rPr>
        <w:t>.</w:t>
      </w:r>
    </w:p>
    <w:p>
      <w:pPr>
        <w:pStyle w:val="Heading2"/>
        <w:numPr>
          <w:ilvl w:val="1"/>
          <w:numId w:val="1"/>
        </w:numPr>
        <w:rPr/>
      </w:pPr>
      <w:bookmarkStart w:id="1254" w:name="__RefHeading___Toc12184605_2142443653"/>
      <w:bookmarkStart w:id="1255" w:name="_Toc483"/>
      <w:bookmarkEnd w:id="1254"/>
      <w:r>
        <w:rPr>
          <w:rtl w:val="true"/>
        </w:rPr>
        <w:t>تسلق الجبال والألعاب الرياضية</w:t>
      </w:r>
      <w:bookmarkEnd w:id="125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تسلق الجبال العالية والقفز العالي، والركض الشديد وما أشبه إذا لم يكن في ذلك خوف الضرر الكثير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خوف الضرر الجائز تحمّله فلا بأس به، كما ذكرناه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وتقدمت الإشارة إليه</w:t>
      </w:r>
      <w:r>
        <w:rPr>
          <w:rFonts w:eastAsia="Amiri" w:cs="Amiri" w:ascii="Amiri" w:hAnsi="Amiri"/>
          <w:color w:val="111111"/>
          <w:sz w:val="28"/>
          <w:szCs w:val="28"/>
          <w:rtl w:val="true"/>
          <w:lang w:bidi="ar-SA"/>
        </w:rPr>
        <w:t>.</w:t>
      </w:r>
    </w:p>
    <w:p>
      <w:pPr>
        <w:pStyle w:val="Heading2"/>
        <w:numPr>
          <w:ilvl w:val="1"/>
          <w:numId w:val="1"/>
        </w:numPr>
        <w:rPr/>
      </w:pPr>
      <w:bookmarkStart w:id="1256" w:name="__RefHeading___Toc12184607_2142443653"/>
      <w:bookmarkStart w:id="1257" w:name="_Toc484"/>
      <w:bookmarkEnd w:id="1256"/>
      <w:r>
        <w:rPr>
          <w:rtl w:val="true"/>
        </w:rPr>
        <w:t>إزالة البكارة بالعملية الجراحية</w:t>
      </w:r>
      <w:bookmarkEnd w:id="125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إزالة بكارة البكر بالعملية ونحوها، كما هو معتاد في بعض البلاد، حيث يجرون الإزالة على الطفلة بمجرد الولادة ونحوه؛ لأجل تخليص الفتاة عن تحسس الذنب باقتراف الفساد، ولو أزالها ضمن ديتها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لإزالة البكارة دية مذكورة في كتاب الديات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وإنما لا يلزم الدية بالنسبة إلى الزوج، وكذا لا دية لمن تعطي هي نفسها بغاءً،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bookmarkStart w:id="1258" w:name="pg15710_227045"/>
    </w:p>
    <w:p>
      <w:pPr>
        <w:pStyle w:val="BookText"/>
        <w:rPr/>
      </w:pPr>
      <w:bookmarkEnd w:id="1258"/>
      <w:r>
        <w:rPr>
          <w:rFonts w:ascii="Amiri" w:hAnsi="Amiri" w:eastAsia="Amiri" w:cs="Amiri"/>
          <w:color w:val="111111"/>
          <w:sz w:val="28"/>
          <w:sz w:val="28"/>
          <w:szCs w:val="28"/>
          <w:rtl w:val="true"/>
          <w:lang w:bidi="ar-SA"/>
        </w:rPr>
        <w:t>مهر لبغي</w:t>
      </w:r>
      <w:r>
        <w:rPr>
          <w:rFonts w:eastAsia="Amiri" w:cs="Amiri" w:ascii="Amiri" w:hAnsi="Amiri"/>
          <w:color w:val="111111"/>
          <w:sz w:val="28"/>
          <w:szCs w:val="28"/>
          <w:rtl w:val="true"/>
          <w:lang w:bidi="ar-SA"/>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يحق لنفسها افتضاض بكارتها؟ لا يجوز إذا كانت مزوجة والزوج لا يرضى بذلك؛ لأنه حينئذٍ من حق الزوج، وفي غير المزوجة إذا كان الضرر كثيراً لم يجز، والمراد بالضرر الأعم من الجسمي فيشمل الضرر الاجتماعي أيضاً، وإلا فاحتمالان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الزوج فضها بالإصبع ونحوه فهل يجوز لأنه حقه، فيحق له الإزالة بأي سبب، أو لا، لأنه خلاف المنصرف؟ احتمالان، ولا شك في الجواز في صورة رضاها</w:t>
      </w:r>
      <w:r>
        <w:rPr>
          <w:rFonts w:eastAsia="Amiri" w:cs="Amiri" w:ascii="Amiri" w:hAnsi="Amiri"/>
          <w:color w:val="111111"/>
          <w:sz w:val="28"/>
          <w:szCs w:val="28"/>
          <w:rtl w:val="true"/>
          <w:lang w:bidi="ar-SA"/>
        </w:rPr>
        <w:t>.</w:t>
      </w:r>
    </w:p>
    <w:p>
      <w:pPr>
        <w:pStyle w:val="Heading2"/>
        <w:numPr>
          <w:ilvl w:val="1"/>
          <w:numId w:val="1"/>
        </w:numPr>
        <w:rPr/>
      </w:pPr>
      <w:bookmarkStart w:id="1259" w:name="__RefHeading___Toc12184609_2142443653"/>
      <w:bookmarkStart w:id="1260" w:name="_Toc485"/>
      <w:bookmarkEnd w:id="1259"/>
      <w:r>
        <w:rPr>
          <w:rtl w:val="true"/>
        </w:rPr>
        <w:t>تعقيب الطفل</w:t>
      </w:r>
      <w:bookmarkEnd w:id="126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ركض إنسان وراء طفل مما سبب وقوعه من السطح أو اصطدامه، فانجر إلى جرح أو كسر أو موت كان الراكض ضامناً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للصدق العرفي، ويشمله أدلة الضمان، ولا يلزم علم الضامن ولا قصده؛ لأن الديات والضمانات لا تتوقفان على العلم والعمد لإطلاق أدلتهما، ولبعض الروايات الخاصة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كما لو انقلبت الظئر على الطفل فمات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إلى غير ذلك، ثم إن حكم القصاص أو الدية عمداً، أو خطأ محضاً، أو شبه العمد، يكون على الموازين المذكورة في كتاب الديات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1" w:name="pg15710_227046"/>
    </w:p>
    <w:p>
      <w:pPr>
        <w:pStyle w:val="Heading2"/>
        <w:numPr>
          <w:ilvl w:val="1"/>
          <w:numId w:val="1"/>
        </w:numPr>
        <w:rPr/>
      </w:pPr>
      <w:bookmarkStart w:id="1262" w:name="__RefHeading___Toc12184611_2142443653"/>
      <w:bookmarkStart w:id="1263" w:name="_Toc486"/>
      <w:bookmarkEnd w:id="1261"/>
      <w:bookmarkEnd w:id="1262"/>
      <w:r>
        <w:rPr>
          <w:rtl w:val="true"/>
        </w:rPr>
        <w:t>المتلف ضامن</w:t>
      </w:r>
      <w:bookmarkEnd w:id="126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أتلف السائق السيارة كان عليه الضمان، كما ذكر في كتاب الفقه، وكذلك إتلاف سائر الوسائل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أدلة الضمان، والتي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ويظهر من الجواهر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أنّها رواية،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ماله كحرمة 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Heading2"/>
        <w:numPr>
          <w:ilvl w:val="1"/>
          <w:numId w:val="1"/>
        </w:numPr>
        <w:rPr/>
      </w:pPr>
      <w:bookmarkStart w:id="1264" w:name="__RefHeading___Toc12184613_2142443653"/>
      <w:bookmarkStart w:id="1265" w:name="_Toc487"/>
      <w:bookmarkEnd w:id="1264"/>
      <w:r>
        <w:rPr>
          <w:rtl w:val="true"/>
        </w:rPr>
        <w:t>من أحكام الطريق</w:t>
      </w:r>
      <w:bookmarkEnd w:id="126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إيقاف السيارة أو الدراجة أو ما أشبههما في طريق المسلمين مما يضيق الطريق بالمارة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الدليل على حرمة سد المعبر ونحوه</w:t>
      </w:r>
      <w:r>
        <w:rPr>
          <w:rFonts w:eastAsia="Amiri" w:cs="Amiri" w:ascii="Amiri" w:hAnsi="Amiri"/>
          <w:color w:val="111111"/>
          <w:sz w:val="28"/>
          <w:szCs w:val="28"/>
          <w:rtl w:val="true"/>
          <w:lang w:bidi="ar-SA"/>
        </w:rPr>
        <w:t>.</w:t>
      </w:r>
      <w:bookmarkStart w:id="1266" w:name="pg15710_227047"/>
    </w:p>
    <w:p>
      <w:pPr>
        <w:pStyle w:val="Heading2"/>
        <w:numPr>
          <w:ilvl w:val="1"/>
          <w:numId w:val="1"/>
        </w:numPr>
        <w:rPr/>
      </w:pPr>
      <w:bookmarkStart w:id="1267" w:name="__RefHeading___Toc12184615_2142443653"/>
      <w:bookmarkStart w:id="1268" w:name="_Toc488"/>
      <w:bookmarkEnd w:id="1266"/>
      <w:bookmarkEnd w:id="1267"/>
      <w:r>
        <w:rPr>
          <w:rtl w:val="true"/>
        </w:rPr>
        <w:t>التقاط صور الحوادث</w:t>
      </w:r>
      <w:bookmarkEnd w:id="126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نُصب على الأعمدة في الشوارع آلات لاقطة للصور وللصوت، فأظهرت تعدي أو ما أشبه وعلمنا بصحة الالتقاط صح الحكم على طبق ذلك استناداً إلى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العلم حجة من أي سبب، إلا فيما جعل الشارع له سبباً خاصاً مثل الزنا ونحوه، كما تقدم الإلماع إليه </w:t>
      </w:r>
      <w:r>
        <w:rPr>
          <w:rFonts w:eastAsia="Amiri" w:cs="Amiri" w:ascii="Amiri" w:hAnsi="Amiri"/>
          <w:color w:val="111111"/>
          <w:sz w:val="28"/>
          <w:szCs w:val="28"/>
          <w:rtl w:val="true"/>
          <w:lang w:bidi="ar-SA"/>
        </w:rPr>
        <w:t>.</w:t>
      </w:r>
    </w:p>
    <w:p>
      <w:pPr>
        <w:pStyle w:val="Heading2"/>
        <w:numPr>
          <w:ilvl w:val="1"/>
          <w:numId w:val="1"/>
        </w:numPr>
        <w:rPr/>
      </w:pPr>
      <w:bookmarkStart w:id="1269" w:name="__RefHeading___Toc12184617_2142443653"/>
      <w:bookmarkStart w:id="1270" w:name="_Toc489"/>
      <w:bookmarkEnd w:id="1269"/>
      <w:r>
        <w:rPr>
          <w:rtl w:val="true"/>
        </w:rPr>
        <w:t>رش الماء في الطريق</w:t>
      </w:r>
      <w:bookmarkEnd w:id="127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رش الماء في الطريق أزيد من المتعارف حتى صار مزلاقاً فزلق بسببه إنسان كان ضامناً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السبب، أما إذا رشه بقدر المتعارف لم يضمن؛ لأنَّ الرش من حق صاحب الدار والدكان وشبههما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حال صب الثلج النازل من السماء في الشارع بالقدر المتعارف فلا يضمن، أو غير المتعارف حيث يضمن، أو وضع تراب تعميره في الشارع بقدر المتعارف فاصطدم به أعمى فعطب أو مات، حيث يضمن إذا كان أزيد من المتعارف، وهكذا حال إحداث الساقية أو غرس النخل والشجر إلى غير ذلك</w:t>
      </w:r>
      <w:r>
        <w:rPr>
          <w:rFonts w:eastAsia="Amiri" w:cs="Amiri" w:ascii="Amiri" w:hAnsi="Amiri"/>
          <w:color w:val="111111"/>
          <w:sz w:val="28"/>
          <w:szCs w:val="28"/>
          <w:rtl w:val="true"/>
          <w:lang w:bidi="ar-SA"/>
        </w:rPr>
        <w:t>.</w:t>
      </w:r>
    </w:p>
    <w:p>
      <w:pPr>
        <w:pStyle w:val="Heading2"/>
        <w:numPr>
          <w:ilvl w:val="1"/>
          <w:numId w:val="1"/>
        </w:numPr>
        <w:rPr/>
      </w:pPr>
      <w:bookmarkStart w:id="1271" w:name="__RefHeading___Toc12184619_2142443653"/>
      <w:bookmarkStart w:id="1272" w:name="_Toc490"/>
      <w:bookmarkEnd w:id="1271"/>
      <w:r>
        <w:rPr>
          <w:rtl w:val="true"/>
        </w:rPr>
        <w:t>من حقوق العامل</w:t>
      </w:r>
      <w:bookmarkEnd w:id="127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إذا ذهبت يده أو رجله أو بعض جسمه عند العمل في الماكنة لا يكون ضمانه على صاحب المعمل إلا بالشرط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هو السبب عرفاً لا صاحب المعمل، أما إذا شرط ولو ارتكازاً شمله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3" w:name="pg15710_227048"/>
    </w:p>
    <w:p>
      <w:pPr>
        <w:pStyle w:val="Heading2"/>
        <w:numPr>
          <w:ilvl w:val="1"/>
          <w:numId w:val="1"/>
        </w:numPr>
        <w:rPr/>
      </w:pPr>
      <w:bookmarkStart w:id="1274" w:name="__RefHeading___Toc12184621_2142443653"/>
      <w:bookmarkStart w:id="1275" w:name="_Toc491"/>
      <w:bookmarkEnd w:id="1273"/>
      <w:bookmarkEnd w:id="1274"/>
      <w:r>
        <w:rPr>
          <w:rtl w:val="true"/>
        </w:rPr>
        <w:t>العمل في مناجم الفحم</w:t>
      </w:r>
      <w:bookmarkEnd w:id="127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العمل في مناجم الفحم وما أشبه، إذا لم يسبب ضرراً زائداً، وإن كان موجباً للضرر الزائد لم يجز، وإذا عمل فتضرر لم يكن ضمانه على صاحب العمل إلا بالشرط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ذكرناه في المسألة السابقة</w:t>
      </w:r>
      <w:r>
        <w:rPr>
          <w:rFonts w:eastAsia="Amiri" w:cs="Amiri" w:ascii="Amiri" w:hAnsi="Amiri"/>
          <w:color w:val="111111"/>
          <w:sz w:val="28"/>
          <w:szCs w:val="28"/>
          <w:rtl w:val="true"/>
          <w:lang w:bidi="ar-SA"/>
        </w:rPr>
        <w:t>.</w:t>
      </w:r>
    </w:p>
    <w:p>
      <w:pPr>
        <w:pStyle w:val="Heading2"/>
        <w:numPr>
          <w:ilvl w:val="1"/>
          <w:numId w:val="1"/>
        </w:numPr>
        <w:rPr/>
      </w:pPr>
      <w:bookmarkStart w:id="1276" w:name="__RefHeading___Toc12184623_2142443653"/>
      <w:bookmarkStart w:id="1277" w:name="_Toc492"/>
      <w:bookmarkEnd w:id="1276"/>
      <w:r>
        <w:rPr>
          <w:rtl w:val="true"/>
        </w:rPr>
        <w:t>من حقوق صاحب المنجم</w:t>
      </w:r>
      <w:bookmarkEnd w:id="127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الإنسان في منجم فسقط الحائط عليه وتلف لم يكن على صاحب المعمل شيء إلا بالشرط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تقدم، وكذلك حال السائق للسيارة أو الطائرة أو الباخرة أو القطار أو سائر الوسائل الحديثة</w:t>
      </w:r>
      <w:r>
        <w:rPr>
          <w:rFonts w:eastAsia="Amiri" w:cs="Amiri" w:ascii="Amiri" w:hAnsi="Amiri"/>
          <w:color w:val="111111"/>
          <w:sz w:val="28"/>
          <w:szCs w:val="28"/>
          <w:rtl w:val="true"/>
          <w:lang w:bidi="ar-SA"/>
        </w:rPr>
        <w:t>.</w:t>
      </w:r>
    </w:p>
    <w:p>
      <w:pPr>
        <w:pStyle w:val="Heading2"/>
        <w:numPr>
          <w:ilvl w:val="1"/>
          <w:numId w:val="1"/>
        </w:numPr>
        <w:rPr/>
      </w:pPr>
      <w:bookmarkStart w:id="1278" w:name="__RefHeading___Toc12184625_2142443653"/>
      <w:bookmarkStart w:id="1279" w:name="_Toc493"/>
      <w:bookmarkEnd w:id="1278"/>
      <w:r>
        <w:rPr>
          <w:rtl w:val="true"/>
        </w:rPr>
        <w:t>المصارعة الحرة وأحكامها</w:t>
      </w:r>
      <w:bookmarkEnd w:id="127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تضرر في المصارعة الحرة بكسر أو جرح أو ما أشبه لم يكن على الطرف شيء؛ لأنه هو الذي أقدم على ضرر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الإضرار الذي لم يأذن به الشرع حرام، وإقدام المتضرر على ذلك الحرام لا يجوز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ما يورده المصارع من الضرر المحرم على منافسه أيضاً لا يجوز، لكن لا ضمان عليه مع إقدامه بنفسه، فهو كما إذا قدم يده لغيره ليقطعها؛ فإنه حرام منهما، ولاضمان للقاطع، ولا تلازم بين الحكمين التكليفي والوضعي</w:t>
      </w:r>
      <w:r>
        <w:rPr>
          <w:rFonts w:eastAsia="Amiri" w:cs="Amiri" w:ascii="Amiri" w:hAnsi="Amiri"/>
          <w:color w:val="111111"/>
          <w:sz w:val="28"/>
          <w:szCs w:val="28"/>
          <w:rtl w:val="true"/>
          <w:lang w:bidi="ar-SA"/>
        </w:rPr>
        <w:t>.</w:t>
      </w:r>
    </w:p>
    <w:p>
      <w:pPr>
        <w:pStyle w:val="Heading2"/>
        <w:numPr>
          <w:ilvl w:val="1"/>
          <w:numId w:val="1"/>
        </w:numPr>
        <w:rPr/>
      </w:pPr>
      <w:bookmarkStart w:id="1280" w:name="__RefHeading___Toc12184627_2142443653"/>
      <w:bookmarkStart w:id="1281" w:name="_Toc494"/>
      <w:bookmarkEnd w:id="1280"/>
      <w:r>
        <w:rPr>
          <w:rtl w:val="true"/>
        </w:rPr>
        <w:t>الطوابع الباطلة</w:t>
      </w:r>
      <w:bookmarkEnd w:id="128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مسح السواد الذي يضرب على طابع البريد، دلالة على بطلانه ليصرفه مرة ثانية، بالنسبة إلى طابع الدولة المحترمة شرعاً، أما بالنسبة إلى الدولة غير المحترمة فلا بأس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الدولة المحترمة يكون المسح في حكم السرقة، بينما في غير</w:t>
      </w:r>
      <w:bookmarkStart w:id="1282" w:name="pg15710_227049"/>
    </w:p>
    <w:p>
      <w:pPr>
        <w:pStyle w:val="BookText"/>
        <w:rPr/>
      </w:pPr>
      <w:bookmarkEnd w:id="1282"/>
      <w:r>
        <w:rPr>
          <w:rFonts w:ascii="Amiri" w:hAnsi="Amiri" w:eastAsia="Amiri" w:cs="Amiri"/>
          <w:color w:val="111111"/>
          <w:sz w:val="28"/>
          <w:sz w:val="28"/>
          <w:szCs w:val="28"/>
          <w:rtl w:val="true"/>
          <w:lang w:bidi="ar-SA"/>
        </w:rPr>
        <w:t>المحترمة ليس كذلك</w:t>
      </w:r>
      <w:r>
        <w:rPr>
          <w:rFonts w:eastAsia="Amiri" w:cs="Amiri" w:ascii="Amiri" w:hAnsi="Amiri"/>
          <w:color w:val="111111"/>
          <w:sz w:val="28"/>
          <w:szCs w:val="28"/>
          <w:rtl w:val="true"/>
          <w:lang w:bidi="ar-SA"/>
        </w:rPr>
        <w:t>.</w:t>
      </w:r>
    </w:p>
    <w:p>
      <w:pPr>
        <w:pStyle w:val="Heading2"/>
        <w:numPr>
          <w:ilvl w:val="1"/>
          <w:numId w:val="1"/>
        </w:numPr>
        <w:rPr/>
      </w:pPr>
      <w:bookmarkStart w:id="1283" w:name="__RefHeading___Toc12184629_2142443653"/>
      <w:bookmarkStart w:id="1284" w:name="_Toc495"/>
      <w:bookmarkEnd w:id="1283"/>
      <w:r>
        <w:rPr>
          <w:rtl w:val="true"/>
        </w:rPr>
        <w:t>التعامل مع المصارف</w:t>
      </w:r>
      <w:bookmarkEnd w:id="128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محلل يعمله الإنسان في تجارته وحوالته وإجارته ووديعته ومضاربته وغيرها، يصح أن يعمل ذلك العمل مع البنوك المتداولة في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واشتمال البنك على الربا لا يؤثر في تحريم سائر المعاملات غير الربوية؛ لخروج بعض أطراف العلم الإجمالي عن محل الابتلاء</w:t>
      </w:r>
      <w:r>
        <w:rPr>
          <w:rFonts w:eastAsia="Amiri" w:cs="Amiri" w:ascii="Amiri" w:hAnsi="Amiri"/>
          <w:color w:val="111111"/>
          <w:sz w:val="28"/>
          <w:szCs w:val="28"/>
          <w:rtl w:val="true"/>
          <w:lang w:bidi="ar-SA"/>
        </w:rPr>
        <w:t>.</w:t>
      </w:r>
    </w:p>
    <w:p>
      <w:pPr>
        <w:pStyle w:val="Heading2"/>
        <w:numPr>
          <w:ilvl w:val="1"/>
          <w:numId w:val="1"/>
        </w:numPr>
        <w:rPr/>
      </w:pPr>
      <w:bookmarkStart w:id="1285" w:name="__RefHeading___Toc12184631_2142443653"/>
      <w:bookmarkStart w:id="1286" w:name="_Toc496"/>
      <w:bookmarkEnd w:id="1285"/>
      <w:r>
        <w:rPr>
          <w:rtl w:val="true"/>
        </w:rPr>
        <w:t>من أحكام المصارف</w:t>
      </w:r>
      <w:bookmarkEnd w:id="128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البنوك على الأعمال والأموال المحرمة لا يضر الإنسان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وحرام فهو حلال</w:t>
      </w:r>
      <w:r>
        <w:rPr>
          <w:rFonts w:eastAsia="Amiri" w:cs="Amiri" w:ascii="Amiri" w:hAnsi="Amiri"/>
          <w:color w:val="111111"/>
          <w:sz w:val="28"/>
          <w:szCs w:val="28"/>
          <w:rtl w:val="true"/>
          <w:lang w:bidi="ar-SA"/>
        </w:rPr>
        <w:t>»</w:t>
      </w:r>
      <w:r>
        <w:rPr>
          <w:rStyle w:val="FootnoteAnchor"/>
          <w:rtl w:val="true"/>
        </w:rPr>
        <w:footnoteReference w:id="1585"/>
      </w:r>
      <w:r>
        <w:rPr>
          <w:rFonts w:ascii="Amiri" w:hAnsi="Amiri" w:eastAsia="Amiri" w:cs="Amiri"/>
          <w:color w:val="111111"/>
          <w:sz w:val="28"/>
          <w:sz w:val="28"/>
          <w:szCs w:val="28"/>
          <w:rtl w:val="true"/>
          <w:lang w:bidi="ar-SA"/>
        </w:rPr>
        <w:t>، وغيرها من القواعد الشرعية المنطبقة على الجزئيات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لم يشتمل البنك على المحرم من ربا ونحوه فالحلية أوضح</w:t>
      </w:r>
      <w:r>
        <w:rPr>
          <w:rFonts w:eastAsia="Amiri" w:cs="Amiri" w:ascii="Amiri" w:hAnsi="Amiri"/>
          <w:color w:val="111111"/>
          <w:sz w:val="28"/>
          <w:szCs w:val="28"/>
          <w:rtl w:val="true"/>
          <w:lang w:bidi="ar-SA"/>
        </w:rPr>
        <w:t>.</w:t>
      </w:r>
    </w:p>
    <w:p>
      <w:pPr>
        <w:pStyle w:val="Heading2"/>
        <w:numPr>
          <w:ilvl w:val="1"/>
          <w:numId w:val="1"/>
        </w:numPr>
        <w:rPr/>
      </w:pPr>
      <w:bookmarkStart w:id="1287" w:name="__RefHeading___Toc12184633_2142443653"/>
      <w:bookmarkStart w:id="1288" w:name="_Toc497"/>
      <w:bookmarkEnd w:id="1287"/>
      <w:r>
        <w:rPr>
          <w:rtl w:val="true"/>
        </w:rPr>
        <w:t>التأمين على الحيوانات</w:t>
      </w:r>
      <w:bookmarkEnd w:id="128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التأمين على الحيوانات كالقطيع من الغنم، أو المجموعة من الدواجن أو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يصح للمسلم التأمين على مثل كلب الهراش</w:t>
      </w:r>
      <w:r>
        <w:rPr>
          <w:rStyle w:val="FootnoteAnchor"/>
          <w:rtl w:val="true"/>
        </w:rPr>
        <w:footnoteReference w:id="1586"/>
      </w:r>
      <w:r>
        <w:rPr>
          <w:rFonts w:ascii="Amiri" w:hAnsi="Amiri" w:eastAsia="Amiri" w:cs="Amiri"/>
          <w:color w:val="111111"/>
          <w:sz w:val="28"/>
          <w:sz w:val="28"/>
          <w:szCs w:val="28"/>
          <w:rtl w:val="true"/>
          <w:lang w:bidi="ar-SA"/>
        </w:rPr>
        <w:t>والخنزير، إلا إذا فرض أن لهما منفعة محللة مقصودة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صحة التأمين في الصورة الأولى لأنها معاملة محللة عقلائية لم يمنع</w:t>
      </w:r>
      <w:bookmarkStart w:id="1289" w:name="pg15710_227050"/>
    </w:p>
    <w:p>
      <w:pPr>
        <w:pStyle w:val="BookText"/>
        <w:rPr/>
      </w:pPr>
      <w:bookmarkEnd w:id="1289"/>
      <w:r>
        <w:rPr>
          <w:rFonts w:ascii="Amiri" w:hAnsi="Amiri" w:eastAsia="Amiri" w:cs="Amiri"/>
          <w:color w:val="111111"/>
          <w:sz w:val="28"/>
          <w:sz w:val="28"/>
          <w:szCs w:val="28"/>
          <w:rtl w:val="true"/>
          <w:lang w:bidi="ar-SA"/>
        </w:rPr>
        <w:t>عنها الشارع، وعدم الصحة في الصورة الثانية لما ورد في النهي عن مطلق التقلب فيه</w:t>
      </w:r>
      <w:r>
        <w:rPr>
          <w:rStyle w:val="FootnoteAnchor"/>
          <w:rtl w:val="true"/>
        </w:rPr>
        <w:footnoteReference w:id="1587"/>
      </w:r>
      <w:r>
        <w:rPr>
          <w:rFonts w:ascii="Amiri" w:hAnsi="Amiri" w:eastAsia="Amiri" w:cs="Amiri"/>
          <w:color w:val="111111"/>
          <w:sz w:val="28"/>
          <w:sz w:val="28"/>
          <w:szCs w:val="28"/>
          <w:rtl w:val="true"/>
          <w:lang w:bidi="ar-SA"/>
        </w:rPr>
        <w:t>، أما إذا فعله الكافر فهو مأخوذ بقاعدة الإلزام، وهل يجوز لمسلم تأمين حيوان الكافر كالكلب والخنزير؟ احتمالان، والظاهر شمول قاعدة الإلزام له</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0" w:name="__RefHeading___Toc12184635_2142443653"/>
      <w:bookmarkStart w:id="1291" w:name="_Toc498"/>
      <w:bookmarkEnd w:id="1290"/>
      <w:r>
        <w:rPr>
          <w:rtl w:val="true"/>
        </w:rPr>
        <w:t>التأمين من الكوارث</w:t>
      </w:r>
      <w:bookmarkEnd w:id="129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التأمين على القرية أو المدينة أو ما أشبه ضد الكوارث الطبيعية، كالزلازل والسيول، وضد المفاجأة الخارجية، كالقنابل والحروب والحرائق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أدلة العقود، ولا فرق في التأمين بين ما له حجم كبير أو صغير، ثابت أو منتقل</w:t>
      </w:r>
      <w:r>
        <w:rPr>
          <w:rFonts w:eastAsia="Amiri" w:cs="Amiri" w:ascii="Amiri" w:hAnsi="Amiri"/>
          <w:color w:val="111111"/>
          <w:sz w:val="28"/>
          <w:szCs w:val="28"/>
          <w:rtl w:val="true"/>
          <w:lang w:bidi="ar-SA"/>
        </w:rPr>
        <w:t>.</w:t>
      </w:r>
    </w:p>
    <w:p>
      <w:pPr>
        <w:pStyle w:val="Heading2"/>
        <w:numPr>
          <w:ilvl w:val="1"/>
          <w:numId w:val="1"/>
        </w:numPr>
        <w:rPr/>
      </w:pPr>
      <w:bookmarkStart w:id="1292" w:name="__RefHeading___Toc12184637_2142443653"/>
      <w:bookmarkStart w:id="1293" w:name="_Toc499"/>
      <w:bookmarkEnd w:id="1292"/>
      <w:r>
        <w:rPr>
          <w:rtl w:val="true"/>
        </w:rPr>
        <w:t>من أحكام التأمين</w:t>
      </w:r>
      <w:bookmarkEnd w:id="129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قررت شركة التأمين إرجاع مال أزيد مما أخذته؛ وذلك تشويقا للمساهمين، فالظاهر أنه لا بأس به؛ لأنه ليس قرضاً، وإنما هو معاملة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مجال فيه للربا، وليس من أكل المال بالباطل؛ لأنه للتشويق، وهو مقصد عقلائي</w:t>
      </w:r>
      <w:r>
        <w:rPr>
          <w:rFonts w:eastAsia="Amiri" w:cs="Amiri" w:ascii="Amiri" w:hAnsi="Amiri"/>
          <w:color w:val="111111"/>
          <w:sz w:val="28"/>
          <w:szCs w:val="28"/>
          <w:rtl w:val="true"/>
          <w:lang w:bidi="ar-SA"/>
        </w:rPr>
        <w:t>.</w:t>
      </w:r>
      <w:bookmarkStart w:id="1294" w:name="pg15710_227051"/>
    </w:p>
    <w:p>
      <w:pPr>
        <w:pStyle w:val="Heading2"/>
        <w:numPr>
          <w:ilvl w:val="1"/>
          <w:numId w:val="1"/>
        </w:numPr>
        <w:rPr/>
      </w:pPr>
      <w:bookmarkStart w:id="1295" w:name="__RefHeading___Toc12184639_2142443653"/>
      <w:bookmarkStart w:id="1296" w:name="_Toc500"/>
      <w:bookmarkEnd w:id="1294"/>
      <w:bookmarkEnd w:id="1295"/>
      <w:r>
        <w:rPr>
          <w:rtl w:val="true"/>
        </w:rPr>
        <w:t>من واجب العلماء</w:t>
      </w:r>
      <w:bookmarkEnd w:id="129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العالم الذي يراود السلطات المنحرفة لأجل إقامة أحكام الإسلام والأمر بالمعروف والنهي عن المنكر وما أشبه ذلك، أن يلاحظ النسبة بين ما يعطي للسلطة من المجاملة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السلطة تستفيد من اقتراب العلماء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يأخذ منها من إقامة حكم الإسلام وما أشبه، فإن كان ما يعطي أكثر مما يأخذ وجب الاجتناب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لحرمة التقارب والتعاون معهم، وإنما يجوز فيما إذا كان الأخذ أكثر من العطاء، فيما كان بين واجب وحرام، أما لو تساويا لم يستبعد التخيير، كمَنْ يعطي ديناراً ويأخذ ديناراً، فتأمل</w:t>
      </w:r>
      <w:r>
        <w:rPr>
          <w:rFonts w:eastAsia="Amiri" w:cs="Amiri" w:ascii="Amiri" w:hAnsi="Amiri"/>
          <w:color w:val="111111"/>
          <w:sz w:val="28"/>
          <w:szCs w:val="28"/>
          <w:rtl w:val="true"/>
          <w:lang w:bidi="ar-SA"/>
        </w:rPr>
        <w:t>.</w:t>
      </w:r>
    </w:p>
    <w:p>
      <w:pPr>
        <w:pStyle w:val="Heading2"/>
        <w:numPr>
          <w:ilvl w:val="1"/>
          <w:numId w:val="1"/>
        </w:numPr>
        <w:rPr/>
      </w:pPr>
      <w:bookmarkStart w:id="1297" w:name="__RefHeading___Toc12184641_2142443653"/>
      <w:bookmarkStart w:id="1298" w:name="_Toc501"/>
      <w:bookmarkEnd w:id="1297"/>
      <w:r>
        <w:rPr>
          <w:rtl w:val="true"/>
        </w:rPr>
        <w:t>تقوية الأمصال الشعرية</w:t>
      </w:r>
      <w:bookmarkEnd w:id="129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تقوية الأمصال الشعرية في الجسد لينبت الشعر الكثير الخشن، كما يجوز تضعيف الأمصال لينبت الشعر القليل المبعثر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أدلة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المرأة إذا كان ذلك مكروهاً للزوج يكون جوازه حيث يرضى الزوج؛ لأنه من حق الغير</w:t>
      </w:r>
      <w:r>
        <w:rPr>
          <w:rFonts w:eastAsia="Amiri" w:cs="Amiri" w:ascii="Amiri" w:hAnsi="Amiri"/>
          <w:color w:val="111111"/>
          <w:sz w:val="28"/>
          <w:szCs w:val="28"/>
          <w:rtl w:val="true"/>
          <w:lang w:bidi="ar-SA"/>
        </w:rPr>
        <w:t>.</w:t>
      </w:r>
    </w:p>
    <w:p>
      <w:pPr>
        <w:pStyle w:val="Heading2"/>
        <w:numPr>
          <w:ilvl w:val="1"/>
          <w:numId w:val="1"/>
        </w:numPr>
        <w:rPr/>
      </w:pPr>
      <w:bookmarkStart w:id="1299" w:name="__RefHeading___Toc12184643_2142443653"/>
      <w:bookmarkStart w:id="1300" w:name="_Toc502"/>
      <w:bookmarkEnd w:id="1299"/>
      <w:r>
        <w:rPr>
          <w:rtl w:val="true"/>
        </w:rPr>
        <w:t>إزالة السمنة</w:t>
      </w:r>
      <w:bookmarkEnd w:id="130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تقليل السمنة في الرجل والمرأة إذا لم يتمكنا من مزاولة العمل الجنسي الواجب؟ لا يبعد الوجوب مقدمة لأداء 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حال الهزل الكثير إذا كان مانعاً من مزاولة أحد الزوجين حقوق الزوجية الواجبة عليه</w:t>
      </w:r>
      <w:r>
        <w:rPr>
          <w:rFonts w:eastAsia="Amiri" w:cs="Amiri" w:ascii="Amiri" w:hAnsi="Amiri"/>
          <w:color w:val="111111"/>
          <w:sz w:val="28"/>
          <w:szCs w:val="28"/>
          <w:rtl w:val="true"/>
          <w:lang w:bidi="ar-SA"/>
        </w:rPr>
        <w:t>.</w:t>
      </w:r>
    </w:p>
    <w:p>
      <w:pPr>
        <w:pStyle w:val="Heading2"/>
        <w:numPr>
          <w:ilvl w:val="1"/>
          <w:numId w:val="1"/>
        </w:numPr>
        <w:rPr/>
      </w:pPr>
      <w:bookmarkStart w:id="1301" w:name="__RefHeading___Toc12184645_2142443653"/>
      <w:bookmarkStart w:id="1302" w:name="_Toc503"/>
      <w:bookmarkEnd w:id="1301"/>
      <w:r>
        <w:rPr>
          <w:rtl w:val="true"/>
        </w:rPr>
        <w:t>الجنين لو كان مضراً</w:t>
      </w:r>
      <w:bookmarkEnd w:id="130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المرأة أن الجنين يوجب لها ضرراً غير جائز تحمله شرعاً، وجب عليها الحيلولة دون تكوين الجنين</w:t>
      </w:r>
      <w:r>
        <w:rPr>
          <w:rFonts w:eastAsia="Amiri" w:cs="Amiri" w:ascii="Amiri" w:hAnsi="Amiri"/>
          <w:color w:val="111111"/>
          <w:sz w:val="28"/>
          <w:szCs w:val="28"/>
          <w:rtl w:val="true"/>
          <w:lang w:bidi="ar-SA"/>
        </w:rPr>
        <w:t xml:space="preserve">. </w:t>
      </w:r>
      <w:bookmarkStart w:id="1303" w:name="pg15710_227052"/>
    </w:p>
    <w:p>
      <w:pPr>
        <w:pStyle w:val="BookText"/>
        <w:rPr/>
      </w:pPr>
      <w:bookmarkEnd w:id="13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تحمل الضرر البالغ غير جائز، ولو صار الجنين سبباً لقتلها إن بقي جاز لها إسقاطه؛ لأنه نوع من الدفاع الجائز أو الواجب؛ إذ لا فرق في المهاجم بين العالم والجاهل والمكلف وغيره، كما إذا أراد مجنون قتله فإنه يدفعه وإن قُتل</w:t>
      </w:r>
      <w:r>
        <w:rPr>
          <w:rFonts w:eastAsia="Amiri" w:cs="Amiri" w:ascii="Amiri" w:hAnsi="Amiri"/>
          <w:color w:val="111111"/>
          <w:sz w:val="28"/>
          <w:szCs w:val="28"/>
          <w:rtl w:val="true"/>
          <w:lang w:bidi="ar-SA"/>
        </w:rPr>
        <w:t>.</w:t>
      </w:r>
    </w:p>
    <w:p>
      <w:pPr>
        <w:pStyle w:val="Heading2"/>
        <w:numPr>
          <w:ilvl w:val="1"/>
          <w:numId w:val="1"/>
        </w:numPr>
        <w:rPr/>
      </w:pPr>
      <w:bookmarkStart w:id="1304" w:name="__RefHeading___Toc12184647_2142443653"/>
      <w:bookmarkStart w:id="1305" w:name="_Toc504"/>
      <w:bookmarkEnd w:id="1304"/>
      <w:r>
        <w:rPr>
          <w:rtl w:val="true"/>
        </w:rPr>
        <w:t>تحبيل الدابة</w:t>
      </w:r>
      <w:bookmarkEnd w:id="130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أحبل دابة الغير بالتزريق بما لا تتحمل، فتعبت أو عطبت كان المحبل ضامناً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إضرار بالغير، فعليه تداركه، بالإضافة إلى أنّه حرام؛ لأنه تصرف في حق الغير</w:t>
      </w:r>
      <w:r>
        <w:rPr>
          <w:rFonts w:eastAsia="Amiri" w:cs="Amiri" w:ascii="Amiri" w:hAnsi="Amiri"/>
          <w:color w:val="111111"/>
          <w:sz w:val="28"/>
          <w:szCs w:val="28"/>
          <w:rtl w:val="true"/>
          <w:lang w:bidi="ar-SA"/>
        </w:rPr>
        <w:t>.</w:t>
      </w:r>
    </w:p>
    <w:p>
      <w:pPr>
        <w:pStyle w:val="Heading2"/>
        <w:numPr>
          <w:ilvl w:val="1"/>
          <w:numId w:val="1"/>
        </w:numPr>
        <w:rPr/>
      </w:pPr>
      <w:bookmarkStart w:id="1306" w:name="__RefHeading___Toc12184649_2142443653"/>
      <w:bookmarkStart w:id="1307" w:name="_Toc505"/>
      <w:bookmarkEnd w:id="1306"/>
      <w:r>
        <w:rPr>
          <w:rtl w:val="true"/>
        </w:rPr>
        <w:t>الكسل الجنسي</w:t>
      </w:r>
      <w:bookmarkEnd w:id="130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مرض بما أوجب عدم انتشار عضو الذكورة، ولم تسمح الزوجة بحقها الواجب في الملامسة، وجب عليه العلاج مقدمة لأداء واجب الزوجية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وجبت الملامسة وجبت مقدماتها</w:t>
      </w:r>
      <w:r>
        <w:rPr>
          <w:rFonts w:eastAsia="Amiri" w:cs="Amiri" w:ascii="Amiri" w:hAnsi="Amiri"/>
          <w:color w:val="111111"/>
          <w:sz w:val="28"/>
          <w:szCs w:val="28"/>
          <w:rtl w:val="true"/>
          <w:lang w:bidi="ar-SA"/>
        </w:rPr>
        <w:t>.</w:t>
      </w:r>
    </w:p>
    <w:p>
      <w:pPr>
        <w:pStyle w:val="Heading2"/>
        <w:numPr>
          <w:ilvl w:val="1"/>
          <w:numId w:val="1"/>
        </w:numPr>
        <w:rPr/>
      </w:pPr>
      <w:bookmarkStart w:id="1308" w:name="__RefHeading___Toc12184651_2142443653"/>
      <w:bookmarkStart w:id="1309" w:name="_Toc506"/>
      <w:bookmarkEnd w:id="1308"/>
      <w:r>
        <w:rPr>
          <w:rtl w:val="true"/>
        </w:rPr>
        <w:t>مكافحة الكسل الجنسي</w:t>
      </w:r>
      <w:bookmarkEnd w:id="130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 انتشار العضو إلى استعمال دواء أكلاً أو تدهيناً أو ما أشبه وجب أداءً لواجب حق الزوجة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تقدم في المسألة السابقة، والفرق بين المسألتين أنّ الأُولى في العلاج والثانية في فعلية النشر، مثل الفرق بين علاج الذي لا يشبع وعلاج الجائع بالأكل</w:t>
      </w:r>
      <w:r>
        <w:rPr>
          <w:rFonts w:eastAsia="Amiri" w:cs="Amiri" w:ascii="Amiri" w:hAnsi="Amiri"/>
          <w:color w:val="111111"/>
          <w:sz w:val="28"/>
          <w:szCs w:val="28"/>
          <w:rtl w:val="true"/>
          <w:lang w:bidi="ar-SA"/>
        </w:rPr>
        <w:t>.</w:t>
      </w:r>
    </w:p>
    <w:p>
      <w:pPr>
        <w:pStyle w:val="Heading2"/>
        <w:numPr>
          <w:ilvl w:val="1"/>
          <w:numId w:val="1"/>
        </w:numPr>
        <w:rPr/>
      </w:pPr>
      <w:bookmarkStart w:id="1310" w:name="__RefHeading___Toc12184653_2142443653"/>
      <w:bookmarkStart w:id="1311" w:name="_Toc507"/>
      <w:bookmarkEnd w:id="1310"/>
      <w:r>
        <w:rPr>
          <w:rtl w:val="true"/>
        </w:rPr>
        <w:t>الممارسة الجنسية المؤذية</w:t>
      </w:r>
      <w:bookmarkEnd w:id="131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كثرة الملامسة موجبة لأذى الزوجة ومرضها أو </w:t>
      </w:r>
      <w:bookmarkStart w:id="1312" w:name="pg15710_227053"/>
    </w:p>
    <w:p>
      <w:pPr>
        <w:pStyle w:val="BookText"/>
        <w:rPr/>
      </w:pPr>
      <w:bookmarkEnd w:id="1312"/>
      <w:r>
        <w:rPr>
          <w:rFonts w:ascii="Amiri" w:hAnsi="Amiri" w:eastAsia="Amiri" w:cs="Amiri"/>
          <w:color w:val="111111"/>
          <w:sz w:val="28"/>
          <w:sz w:val="28"/>
          <w:szCs w:val="28"/>
          <w:rtl w:val="true"/>
          <w:lang w:bidi="ar-SA"/>
        </w:rPr>
        <w:t>عسراً عليها لم تجب عليها المطاوعة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دليل الضرر والعسر مخصص للأحكام الأولية، ولو امتنعت الزوجة عن ذلك لا تكون ناشزاً</w:t>
      </w:r>
      <w:r>
        <w:rPr>
          <w:rFonts w:eastAsia="Amiri" w:cs="Amiri" w:ascii="Amiri" w:hAnsi="Amiri"/>
          <w:color w:val="111111"/>
          <w:sz w:val="28"/>
          <w:szCs w:val="28"/>
          <w:rtl w:val="true"/>
          <w:lang w:bidi="ar-SA"/>
        </w:rPr>
        <w:t>.</w:t>
      </w:r>
    </w:p>
    <w:p>
      <w:pPr>
        <w:pStyle w:val="Heading2"/>
        <w:numPr>
          <w:ilvl w:val="1"/>
          <w:numId w:val="1"/>
        </w:numPr>
        <w:rPr/>
      </w:pPr>
      <w:bookmarkStart w:id="1313" w:name="__RefHeading___Toc12184655_2142443653"/>
      <w:bookmarkStart w:id="1314" w:name="_Toc508"/>
      <w:bookmarkEnd w:id="1313"/>
      <w:r>
        <w:rPr>
          <w:rtl w:val="true"/>
        </w:rPr>
        <w:t>من حقوق الإنسان</w:t>
      </w:r>
      <w:bookmarkEnd w:id="131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إخافة المجرم أو إيذائه بما لم يقرره الشرع، مثل أن يُقرن بالمجرم أسداً يجعله دائم الخوف والوحشة، أو أن يسلط عليه دبّاً يلعب بآلة ذكورته أو بيضته، مما يوجب له إيذاءً، كما يفعله بعض المجرمين مع المساجين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إيذاء الناس وإخافتهم حتى المجرمين منهم إذا كان خارجاً عن الدائرة المقررة شرعاً محرم، ولذا أعطى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خالد،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ليدفعه إلى تلك القبيلة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من المال مكان</w:t>
      </w:r>
      <w:bookmarkStart w:id="1315" w:name="pg15710_227054"/>
    </w:p>
    <w:p>
      <w:pPr>
        <w:pStyle w:val="BookText"/>
        <w:rPr/>
      </w:pPr>
      <w:bookmarkEnd w:id="1315"/>
      <w:r>
        <w:rPr>
          <w:rFonts w:ascii="IRNazanin" w:hAnsi="IRNazanin" w:eastAsia="IRNazanin"/>
          <w:color w:val="111111"/>
          <w:sz w:val="28"/>
          <w:sz w:val="28"/>
          <w:szCs w:val="28"/>
          <w:rtl w:val="true"/>
          <w:lang w:bidi="fa-IR"/>
        </w:rPr>
        <w:t>خوفهم وفزعهم</w:t>
      </w:r>
      <w:r>
        <w:rPr>
          <w:rStyle w:val="FootnoteAnchor"/>
          <w:rtl w:val="true"/>
        </w:rPr>
        <w:footnoteReference w:id="1589"/>
      </w:r>
      <w:r>
        <w:rPr>
          <w:rFonts w:ascii="Amiri" w:hAnsi="Amiri" w:eastAsia="Amiri" w:cs="Amiri"/>
          <w:color w:val="111111"/>
          <w:sz w:val="28"/>
          <w:sz w:val="28"/>
          <w:szCs w:val="28"/>
          <w:rtl w:val="true"/>
          <w:lang w:bidi="ar-SA"/>
        </w:rPr>
        <w:t>، ولا يبعد أن يوجب ذلك الضمان</w:t>
      </w:r>
      <w:r>
        <w:rPr>
          <w:rFonts w:eastAsia="Amiri" w:cs="Amiri" w:ascii="Amiri" w:hAnsi="Amiri"/>
          <w:color w:val="111111"/>
          <w:sz w:val="28"/>
          <w:szCs w:val="28"/>
          <w:rtl w:val="true"/>
          <w:lang w:bidi="ar-SA"/>
        </w:rPr>
        <w:t>.</w:t>
      </w:r>
    </w:p>
    <w:p>
      <w:pPr>
        <w:pStyle w:val="Heading2"/>
        <w:numPr>
          <w:ilvl w:val="1"/>
          <w:numId w:val="1"/>
        </w:numPr>
        <w:rPr/>
      </w:pPr>
      <w:bookmarkStart w:id="1316" w:name="__RefHeading___Toc12184657_2142443653"/>
      <w:bookmarkStart w:id="1317" w:name="_Toc509"/>
      <w:bookmarkEnd w:id="1316"/>
      <w:r>
        <w:rPr>
          <w:rtl w:val="true"/>
        </w:rPr>
        <w:t>وطء الحيوان</w:t>
      </w:r>
      <w:bookmarkEnd w:id="131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أن يجعل الحيوان يطأه، كما لا يجوز العكس وكذلك في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كل الأعمال الأربعة بالنسبة إلى الرجل والمرأة خلاف حفظ الفرج، كما دل عليه النص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وَالْحَافِظِينَ</w:t>
      </w:r>
    </w:p>
    <w:p>
      <w:pPr>
        <w:pStyle w:val="BookText"/>
        <w:rPr/>
      </w:pPr>
      <w:r>
        <w:rPr>
          <w:rFonts w:ascii="IRNazanin" w:hAnsi="IRNazanin" w:eastAsia="IRNazanin"/>
          <w:color w:val="111111"/>
          <w:sz w:val="28"/>
          <w:sz w:val="28"/>
          <w:szCs w:val="28"/>
          <w:rtl w:val="true"/>
          <w:lang w:bidi="fa-IR"/>
        </w:rPr>
        <w:t>وجاء في وسائل الشيعة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المناهي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اغتسل أحدكم في فضاء من الأرض فليحاذر على عورته،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أحدكم الحمام إلا بمئزر، ونهى أن ينظر الرجل إلى عورة أخيه المسلم،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تأمل عورة أخيه المسلم لعنه سبعون ألف ملك، ونهى المرأة أن تنظر إلى عورة المرأة،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إلى عورة أخيه المسلم، أو عورة غير أهله متعمداً أدخله اللّه مع المنافقين، الذين كانوا يبحثون عن عورات الناس، ولم يخرج من الدنيا حتى يفضحه اللّه إلا أن يتوب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أجمع المسلمون على أن التزويج مندوب إليه، وإن اختلفوا في وجوبه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والزواج مقدمة لحفظ الفرج</w:t>
      </w:r>
      <w:r>
        <w:rPr>
          <w:rFonts w:eastAsia="Amiri" w:cs="Amiri" w:ascii="Amiri" w:hAnsi="Amiri"/>
          <w:color w:val="111111"/>
          <w:sz w:val="28"/>
          <w:szCs w:val="28"/>
          <w:rtl w:val="true"/>
          <w:lang w:bidi="ar-SA"/>
        </w:rPr>
        <w:t>.</w:t>
      </w:r>
      <w:bookmarkStart w:id="1318" w:name="pg15710_227055"/>
    </w:p>
    <w:p>
      <w:pPr>
        <w:pStyle w:val="BookText"/>
        <w:rPr/>
      </w:pPr>
      <w:bookmarkEnd w:id="1318"/>
      <w:r>
        <w:rPr>
          <w:rFonts w:ascii="Amiri" w:hAnsi="Amiri" w:eastAsia="Amiri" w:cs="Amiri"/>
          <w:color w:val="111111"/>
          <w:sz w:val="28"/>
          <w:sz w:val="28"/>
          <w:szCs w:val="28"/>
          <w:rtl w:val="true"/>
          <w:lang w:bidi="ar-SA"/>
        </w:rPr>
        <w:t>فُرُوجَهُمْ</w:t>
      </w:r>
      <w:r>
        <w:rPr>
          <w:rFonts w:eastAsia="Amiri" w:cs="Amiri" w:ascii="Amiri" w:hAnsi="Amiri"/>
          <w:color w:val="111111"/>
          <w:sz w:val="28"/>
          <w:szCs w:val="28"/>
          <w:rtl w:val="true"/>
          <w:lang w:bidi="ar-SA"/>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9" w:name="__RefHeading___Toc12184659_2142443653"/>
      <w:bookmarkStart w:id="1320" w:name="_Toc510"/>
      <w:bookmarkEnd w:id="1319"/>
      <w:r>
        <w:rPr>
          <w:rtl w:val="true"/>
        </w:rPr>
        <w:t>استعمال الآلة المطاطية</w:t>
      </w:r>
      <w:bookmarkEnd w:id="132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للرجل أن يدخل الآلة المطاطية أو ما أشبه في نفسه، إذا أثار ذلك الشهوة، فإنّه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وكذلك بالنسبة إلى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لما تقدم في المسألة السابقة، فإن كل الأعمال الأربعة مع المطاط مثل عملها مع الحيوان، بل الكل محرمة حتى مع خشب أو ما أشبه</w:t>
      </w:r>
      <w:r>
        <w:rPr>
          <w:rFonts w:eastAsia="Amiri" w:cs="Amiri" w:ascii="Amiri" w:hAnsi="Amiri"/>
          <w:color w:val="111111"/>
          <w:sz w:val="28"/>
          <w:szCs w:val="28"/>
          <w:rtl w:val="true"/>
          <w:lang w:bidi="ar-SA"/>
        </w:rPr>
        <w:t>.</w:t>
      </w:r>
    </w:p>
    <w:p>
      <w:pPr>
        <w:pStyle w:val="Heading2"/>
        <w:numPr>
          <w:ilvl w:val="1"/>
          <w:numId w:val="1"/>
        </w:numPr>
        <w:rPr/>
      </w:pPr>
      <w:bookmarkStart w:id="1321" w:name="__RefHeading___Toc12184661_2142443653"/>
      <w:bookmarkStart w:id="1322" w:name="_Toc511"/>
      <w:bookmarkEnd w:id="1321"/>
      <w:r>
        <w:rPr>
          <w:rtl w:val="true"/>
        </w:rPr>
        <w:t>الألعاب الخطرة</w:t>
      </w:r>
      <w:bookmarkEnd w:id="132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الألعاب الخطرة كلعبة الانتكاس الذي يخشى منه على العين، وكلعبة الدورة التي هي عبارة عن جعل الإنسان نفسه كالدائرة مقعرها الظهر، ومحدبها البطن،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لأنّ احتمال الضرر الكثير أيضاً حرام، كما ذكروه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23" w:name="__RefHeading___Toc12184663_2142443653"/>
      <w:bookmarkStart w:id="1324" w:name="_Toc512"/>
      <w:bookmarkEnd w:id="1323"/>
      <w:r>
        <w:rPr>
          <w:rtl w:val="true"/>
        </w:rPr>
        <w:t>الاستمناء بالتخيل</w:t>
      </w:r>
      <w:bookmarkEnd w:id="132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التخيل أو التذكر لامرأة أو امرئ أو ما أشبه </w:t>
      </w:r>
      <w:bookmarkStart w:id="1325" w:name="pg15710_227056"/>
    </w:p>
    <w:p>
      <w:pPr>
        <w:pStyle w:val="BookText"/>
        <w:rPr/>
      </w:pPr>
      <w:bookmarkEnd w:id="1325"/>
      <w:r>
        <w:rPr>
          <w:rFonts w:ascii="Amiri" w:hAnsi="Amiri" w:eastAsia="Amiri" w:cs="Amiri"/>
          <w:color w:val="111111"/>
          <w:sz w:val="28"/>
          <w:sz w:val="28"/>
          <w:szCs w:val="28"/>
          <w:rtl w:val="true"/>
          <w:lang w:bidi="ar-SA"/>
        </w:rPr>
        <w:t>يوجب إمناءه لم يجز التخيل، فإنه داخل في الاستمناء، والظاهر أنه لا يجوز حتى بالنسبة إلى الزوجين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بأن يتذكر الرجل زوجته أو العكس مما يوجب خروج المني منهما، لانصراف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مثل ذلك</w:t>
      </w:r>
      <w:r>
        <w:rPr>
          <w:rFonts w:eastAsia="Amiri" w:cs="Amiri" w:ascii="Amiri" w:hAnsi="Amiri"/>
          <w:color w:val="111111"/>
          <w:sz w:val="28"/>
          <w:szCs w:val="28"/>
          <w:rtl w:val="true"/>
          <w:lang w:bidi="ar-SA"/>
        </w:rPr>
        <w:t>.</w:t>
      </w:r>
    </w:p>
    <w:p>
      <w:pPr>
        <w:pStyle w:val="Heading2"/>
        <w:numPr>
          <w:ilvl w:val="1"/>
          <w:numId w:val="1"/>
        </w:numPr>
        <w:rPr/>
      </w:pPr>
      <w:bookmarkStart w:id="1326" w:name="__RefHeading___Toc12184665_2142443653"/>
      <w:bookmarkStart w:id="1327" w:name="_Toc513"/>
      <w:bookmarkEnd w:id="1326"/>
      <w:r>
        <w:rPr>
          <w:rtl w:val="true"/>
        </w:rPr>
        <w:t>خرق الغلاف الجوي للأرض</w:t>
      </w:r>
      <w:bookmarkEnd w:id="132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خرق الغلاف الجوي للأرض الواقي لها من أحجار الفضاء إن أمكن الخرق؛ لأنه ضرر عظيم على أهل الأرض، يجعلها معرضاً لأنْ ترمى إليها أُلوف الأحجار كل يوم، وكذا لا يجوز تقليل أو إعدام بعض غازات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فيه تهديداً لحياة أهل الأرض، وتعريضا لهم ولسلامتهم للخطر والمرض، ونشوب الكوارث والحوادث الطبيعية، ولوصول أشعة الشمس المتزايدة؛ وذلك محرم، وقد حدث هذا الثقب جزئياً على ما يقال، فاللازم الإسراع في علاج ذلك والوقاية عن المزيد</w:t>
      </w:r>
      <w:r>
        <w:rPr>
          <w:rFonts w:eastAsia="Amiri" w:cs="Amiri" w:ascii="Amiri" w:hAnsi="Amiri"/>
          <w:color w:val="111111"/>
          <w:sz w:val="28"/>
          <w:szCs w:val="28"/>
          <w:rtl w:val="true"/>
          <w:lang w:bidi="ar-SA"/>
        </w:rPr>
        <w:t>.</w:t>
      </w:r>
    </w:p>
    <w:p>
      <w:pPr>
        <w:pStyle w:val="Heading2"/>
        <w:numPr>
          <w:ilvl w:val="1"/>
          <w:numId w:val="1"/>
        </w:numPr>
        <w:rPr/>
      </w:pPr>
      <w:bookmarkStart w:id="1328" w:name="__RefHeading___Toc12184667_2142443653"/>
      <w:bookmarkStart w:id="1329" w:name="_Toc514"/>
      <w:bookmarkEnd w:id="1328"/>
      <w:r>
        <w:rPr>
          <w:rtl w:val="true"/>
        </w:rPr>
        <w:t>مكافحة الكوارث الطبيعية</w:t>
      </w:r>
      <w:bookmarkEnd w:id="132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مكافحة الزلازل والسيول إذا أمكن المكافحة، ولو بأن يصرف الزلزلة بالوسائل العلمية إلى مكان غير آهل بالسكان، أو يمنعه عن الظهور، وكذلك بالنسبة إلى السيل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لوجوب حفظ النفوس والأموال المحترمة، أما توجيهها إلى مكان آهل بالسكان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بسكان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فعلته بعض البلاد الغربية في سيل وُجّه إلى بلادهم فوجهوه إلى بلد آخر متخلف حضارياً فهو غير جائز،</w:t>
      </w:r>
      <w:bookmarkStart w:id="1330" w:name="pg15710_227057"/>
    </w:p>
    <w:p>
      <w:pPr>
        <w:pStyle w:val="BookText"/>
        <w:rPr/>
      </w:pPr>
      <w:bookmarkEnd w:id="1330"/>
      <w:r>
        <w:rPr>
          <w:rFonts w:ascii="Amiri" w:hAnsi="Amiri" w:eastAsia="Amiri" w:cs="Amiri"/>
          <w:color w:val="111111"/>
          <w:sz w:val="28"/>
          <w:sz w:val="28"/>
          <w:szCs w:val="28"/>
          <w:rtl w:val="true"/>
          <w:lang w:bidi="ar-SA"/>
        </w:rPr>
        <w:t>ولو سبب أضراراً في النفوس أو الممتلكات كان الموجِّه ضامناً، كما أنه يضمن حتى مع وجوب التوجيه بأن دار أمر السيل مثلاً بين إتلاف ألف أو عشرة؛ إذ لا منافاة بين الحكم الوضعي بالضمان والحكم التكليفي بالوجوب، كما سبق الإلماع إليه</w:t>
      </w:r>
      <w:r>
        <w:rPr>
          <w:rFonts w:eastAsia="Amiri" w:cs="Amiri" w:ascii="Amiri" w:hAnsi="Amiri"/>
          <w:color w:val="111111"/>
          <w:sz w:val="28"/>
          <w:szCs w:val="28"/>
          <w:rtl w:val="true"/>
          <w:lang w:bidi="ar-SA"/>
        </w:rPr>
        <w:t>.</w:t>
      </w:r>
    </w:p>
    <w:p>
      <w:pPr>
        <w:pStyle w:val="Heading2"/>
        <w:numPr>
          <w:ilvl w:val="1"/>
          <w:numId w:val="1"/>
        </w:numPr>
        <w:rPr/>
      </w:pPr>
      <w:bookmarkStart w:id="1331" w:name="__RefHeading___Toc12184669_2142443653"/>
      <w:bookmarkStart w:id="1332" w:name="_Toc515"/>
      <w:bookmarkEnd w:id="1331"/>
      <w:r>
        <w:rPr>
          <w:rtl w:val="true"/>
        </w:rPr>
        <w:t>إبادة الحشرات</w:t>
      </w:r>
      <w:bookmarkEnd w:id="133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مكافحة الجراد والنمل وكل ما من هذا القبيل الذي يؤذي الإنسان أذية بالغة، مثل أسراب الجراد وأودية النمل، التي قد تسيل من أراضٍ خاصة، فلا تدع زرعاً ولا ضرعاً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دفع الضرر كرفعه واجب حيث يستفاد من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3" w:name="__RefHeading___Toc12184671_2142443653"/>
      <w:bookmarkStart w:id="1334" w:name="_Toc516"/>
      <w:bookmarkEnd w:id="1333"/>
      <w:r>
        <w:rPr>
          <w:rtl w:val="true"/>
        </w:rPr>
        <w:t>تخفيف آلام المخاض</w:t>
      </w:r>
      <w:bookmarkEnd w:id="133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آلام الطلق كثيرة توجب ضرراً بالغاً جاز تخفيفها بالأدوية المعدة لذلك، فإن الضرر البالغ لا يجوز تحمله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الجواز هنا بالمعنى الأعم، والألم من الضرر، من غير فرق بين ابتلاع الحبوب أو التخدير أو تزريق الإبرة أو غير ذلك، هذا إذا لم تكن آلام الطلق لازمة للولادة، وكذلك حال العملية الجراحية لإخراج الجنين وما أشبه</w:t>
      </w:r>
      <w:r>
        <w:rPr>
          <w:rFonts w:eastAsia="Amiri" w:cs="Amiri" w:ascii="Amiri" w:hAnsi="Amiri"/>
          <w:color w:val="111111"/>
          <w:sz w:val="28"/>
          <w:szCs w:val="28"/>
          <w:rtl w:val="true"/>
          <w:lang w:bidi="ar-SA"/>
        </w:rPr>
        <w:t>.</w:t>
      </w:r>
    </w:p>
    <w:p>
      <w:pPr>
        <w:pStyle w:val="Heading2"/>
        <w:numPr>
          <w:ilvl w:val="1"/>
          <w:numId w:val="1"/>
        </w:numPr>
        <w:rPr/>
      </w:pPr>
      <w:bookmarkStart w:id="1335" w:name="__RefHeading___Toc12184673_2142443653"/>
      <w:bookmarkStart w:id="1336" w:name="_Toc517"/>
      <w:bookmarkEnd w:id="1335"/>
      <w:r>
        <w:rPr>
          <w:rtl w:val="true"/>
        </w:rPr>
        <w:t>التسكين والتخدير</w:t>
      </w:r>
      <w:bookmarkEnd w:id="133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آلام المريض كثيرة جداً، بحيث لا يجوز تحمله وجب التخدير أو التنويم بالأدوية المعدة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تقدم في المسألة المتقدمة</w:t>
      </w:r>
      <w:r>
        <w:rPr>
          <w:rFonts w:eastAsia="Amiri" w:cs="Amiri" w:ascii="Amiri" w:hAnsi="Amiri"/>
          <w:color w:val="111111"/>
          <w:sz w:val="28"/>
          <w:szCs w:val="28"/>
          <w:rtl w:val="true"/>
          <w:lang w:bidi="ar-SA"/>
        </w:rPr>
        <w:t>.</w:t>
      </w:r>
      <w:bookmarkStart w:id="1337" w:name="pg15710_227058"/>
    </w:p>
    <w:p>
      <w:pPr>
        <w:pStyle w:val="Heading2"/>
        <w:numPr>
          <w:ilvl w:val="1"/>
          <w:numId w:val="1"/>
        </w:numPr>
        <w:rPr/>
      </w:pPr>
      <w:bookmarkStart w:id="1338" w:name="__RefHeading___Toc12184675_2142443653"/>
      <w:bookmarkStart w:id="1339" w:name="_Toc518"/>
      <w:bookmarkEnd w:id="1337"/>
      <w:bookmarkEnd w:id="1338"/>
      <w:r>
        <w:rPr>
          <w:rtl w:val="true"/>
        </w:rPr>
        <w:t>الحد من سراية الأمراض</w:t>
      </w:r>
      <w:bookmarkEnd w:id="133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به سفلس أو الزهري أو ما أشبه مما يوجب العدوى أن يجلس على أرض الحمام، أو يستعمل شيئاً يبقى أثر المرض فيه ثم يسري إلى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من إضرار الغير الذي لا يجوز حتى القليل منه فكيف بالكثير، ولو فعل ذلك ضمن، لإطلاق الأدلة</w:t>
      </w:r>
      <w:r>
        <w:rPr>
          <w:rFonts w:eastAsia="Amiri" w:cs="Amiri" w:ascii="Amiri" w:hAnsi="Amiri"/>
          <w:color w:val="111111"/>
          <w:sz w:val="28"/>
          <w:szCs w:val="28"/>
          <w:rtl w:val="true"/>
          <w:lang w:bidi="ar-SA"/>
        </w:rPr>
        <w:t>.</w:t>
      </w:r>
    </w:p>
    <w:p>
      <w:pPr>
        <w:pStyle w:val="Heading2"/>
        <w:numPr>
          <w:ilvl w:val="1"/>
          <w:numId w:val="1"/>
        </w:numPr>
        <w:rPr/>
      </w:pPr>
      <w:bookmarkStart w:id="1340" w:name="__RefHeading___Toc12184677_2142443653"/>
      <w:bookmarkStart w:id="1341" w:name="_Toc519"/>
      <w:bookmarkEnd w:id="1340"/>
      <w:r>
        <w:rPr>
          <w:rtl w:val="true"/>
        </w:rPr>
        <w:t>حرية زيارة المراكز المقدسة</w:t>
      </w:r>
      <w:bookmarkEnd w:id="134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الاهتمام لتكون مكة المكرمة والمدينة المنورة وسائر مشاهد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مسموحة لدخول الزوار في طول السنة، فإن في ذلك إعادة لبعض الحرية الإسلامية ونهياً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يكون تعظيماً للشعائر إلى غير ذلك من الفوائد، فإن تجزئة الأُُمة الواحدة بالحدود الجغرافية كسائر القوانين التي أوجبت كبت الحريات الإسلامية، وتحطيم الأُخوة الإسلامية خلاف صريح القرآن، والأدلة الثلاثة الأُخر،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2" w:name="__RefHeading___Toc12184679_2142443653"/>
      <w:bookmarkStart w:id="1343" w:name="_Toc520"/>
      <w:bookmarkEnd w:id="1342"/>
      <w:r>
        <w:rPr>
          <w:rtl w:val="true"/>
        </w:rPr>
        <w:t>تسعير الأجناس</w:t>
      </w:r>
      <w:bookmarkEnd w:id="134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فرض التسعير للأجناس،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مسلطون </w:t>
      </w:r>
      <w:bookmarkStart w:id="1344" w:name="pg15710_227059"/>
    </w:p>
    <w:p>
      <w:pPr>
        <w:pStyle w:val="BookText"/>
        <w:rPr/>
      </w:pPr>
      <w:bookmarkEnd w:id="1344"/>
      <w:r>
        <w:rPr>
          <w:rFonts w:ascii="IRNazanin" w:hAnsi="IRNazanin" w:eastAsia="IRNazanin"/>
          <w:color w:val="111111"/>
          <w:sz w:val="28"/>
          <w:sz w:val="28"/>
          <w:szCs w:val="28"/>
          <w:rtl w:val="true"/>
          <w:lang w:bidi="fa-IR"/>
        </w:rPr>
        <w:t>على أموالهم</w:t>
      </w:r>
      <w:r>
        <w:rPr>
          <w:rFonts w:eastAsia="IRNazanin" w:cs="IRNazanin"/>
          <w:color w:val="111111"/>
          <w:sz w:val="28"/>
          <w:szCs w:val="28"/>
          <w:rtl w:val="true"/>
          <w:lang w:bidi="fa-IR"/>
        </w:rPr>
        <w:t>)</w:t>
      </w:r>
      <w:r>
        <w:rPr>
          <w:rStyle w:val="FootnoteAnchor"/>
          <w:rtl w:val="true"/>
        </w:rPr>
        <w:footnoteReference w:id="1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التسعير إذا كانت هناك مصلحة أهم من باب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 من التسعير يمكن للدولة فتح سوق المنافسة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تفصيل هذه المسألة في بعض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5" w:name="__RefHeading___Toc12184681_2142443653"/>
      <w:bookmarkStart w:id="1346" w:name="_Toc521"/>
      <w:bookmarkEnd w:id="1345"/>
      <w:r>
        <w:rPr>
          <w:rtl w:val="true"/>
        </w:rPr>
        <w:t>لا شفاعة مع ثبوت الجرم</w:t>
      </w:r>
      <w:bookmarkEnd w:id="134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الشفاعة لمن ثبت عليه حد شرعي، بالإضافة إلى أنّ في الشفاعة تجرئة وتعميماً للفساد، فالذي يتعرض لنواميس الناس أو الذي يسرق أموالهم، أو مَنْ اعتاد القتل إذا ألقت السلطة القبض عليه فلا يجوز التشفع لديها لفكه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إذا كانت هناك مصلحة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شفع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لشمر عند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سجنه،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شفاعة في الحد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الحكم الأولي الذي يسقط بالحكم الثانوي كقاعدة المهم والأهم، وما أشبه ذلك</w:t>
      </w:r>
      <w:r>
        <w:rPr>
          <w:rFonts w:eastAsia="Amiri" w:cs="Amiri" w:ascii="Amiri" w:hAnsi="Amiri"/>
          <w:color w:val="111111"/>
          <w:sz w:val="28"/>
          <w:szCs w:val="28"/>
          <w:rtl w:val="true"/>
          <w:lang w:bidi="ar-SA"/>
        </w:rPr>
        <w:t>.</w:t>
      </w:r>
      <w:bookmarkStart w:id="1347" w:name="pg15710_227060"/>
    </w:p>
    <w:p>
      <w:pPr>
        <w:pStyle w:val="Heading2"/>
        <w:numPr>
          <w:ilvl w:val="1"/>
          <w:numId w:val="1"/>
        </w:numPr>
        <w:rPr/>
      </w:pPr>
      <w:bookmarkStart w:id="1348" w:name="__RefHeading___Toc12184683_2142443653"/>
      <w:bookmarkStart w:id="1349" w:name="_Toc522"/>
      <w:bookmarkEnd w:id="1347"/>
      <w:bookmarkEnd w:id="1348"/>
      <w:r>
        <w:rPr>
          <w:rtl w:val="true"/>
        </w:rPr>
        <w:t>لا شفاعة لأهل المنكر</w:t>
      </w:r>
      <w:bookmarkEnd w:id="134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الشفاعة لمريد المنكر،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يريد استيراد الخمر وتمنعه السلطة، فإنه لا تجوز الشفاعة لديها لهذا الشخص لأجل منحه الإجازة،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يَشْفَعْ شَفَاعَةً سَيِّئَةً يَكُن لَّهُ كِفْلٌ مِّنْهَا</w:t>
      </w:r>
      <w:r>
        <w:rPr>
          <w:rFonts w:eastAsia="Amiri" w:cs="Amiri" w:ascii="Amiri" w:hAnsi="Amiri"/>
          <w:color w:val="111111"/>
          <w:sz w:val="28"/>
          <w:szCs w:val="28"/>
          <w:rtl w:val="true"/>
          <w:lang w:bidi="ar-SA"/>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عَلَى الإِثْمِ وَالْعُدْوَانِ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وكذلك حال تارك المعروف الواجب</w:t>
      </w:r>
      <w:r>
        <w:rPr>
          <w:rFonts w:eastAsia="Amiri" w:cs="Amiri" w:ascii="Amiri" w:hAnsi="Amiri"/>
          <w:color w:val="111111"/>
          <w:sz w:val="28"/>
          <w:szCs w:val="28"/>
          <w:rtl w:val="true"/>
          <w:lang w:bidi="ar-SA"/>
        </w:rPr>
        <w:t>.</w:t>
      </w:r>
    </w:p>
    <w:p>
      <w:pPr>
        <w:pStyle w:val="Heading2"/>
        <w:numPr>
          <w:ilvl w:val="1"/>
          <w:numId w:val="1"/>
        </w:numPr>
        <w:rPr/>
      </w:pPr>
      <w:bookmarkStart w:id="1350" w:name="__RefHeading___Toc12184685_2142443653"/>
      <w:bookmarkStart w:id="1351" w:name="_Toc523"/>
      <w:bookmarkEnd w:id="1350"/>
      <w:r>
        <w:rPr>
          <w:rtl w:val="true"/>
        </w:rPr>
        <w:t>مدح الظالم</w:t>
      </w:r>
      <w:bookmarkEnd w:id="135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مدح الظالم والتملق إليه، وإذا اضطر الإنسان إلى المدح فاللازم أن يقتصر على أقل قدر ممكن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من باب أنّ الضرورات تقدر بقدرها، وإلا فمدح الظالم محرم للأدلة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2" w:name="__RefHeading___Toc12184687_2142443653"/>
      <w:bookmarkStart w:id="1353" w:name="_Toc524"/>
      <w:bookmarkEnd w:id="1352"/>
      <w:r>
        <w:rPr>
          <w:rtl w:val="true"/>
        </w:rPr>
        <w:t>الإعانة على البغاء</w:t>
      </w:r>
      <w:bookmarkEnd w:id="135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إيجار الدار للمومسة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لتجعلها محلا لارتكاب </w:t>
      </w:r>
    </w:p>
    <w:p>
      <w:pPr>
        <w:pStyle w:val="BookText"/>
        <w:rPr/>
      </w:pPr>
      <w:r>
        <w:rPr>
          <w:rFonts w:ascii="IRNazanin" w:hAnsi="IRNazanin" w:eastAsia="IRNazanin"/>
          <w:color w:val="111111"/>
          <w:sz w:val="28"/>
          <w:sz w:val="28"/>
          <w:szCs w:val="28"/>
          <w:rtl w:val="true"/>
          <w:lang w:bidi="fa-IR"/>
        </w:rPr>
        <w:t>وقال في مهذب الأحكام في بيان الحلال والحرام</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مدح شخص بما ليس فيه كذب، ومدح الظالم إن أوجب زيادة لشوكته حرام ولو كان بما فيه، ولا بأس في ما لم تترتب عليه المفسدة، بل قد يجب، وأما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مدح سلطاناً جائراً وتخفف وتضعضع له طمعاً فيه كان قرينه في النار، فلا ريب في دلالته على مذمة المادح مطلقاً؛ لما ثبت في محله من أنَّ الطمع في الدنيا وأهلها من أخبث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الحرمة الفعلية فمبنية على كون مدحه له موجباً لزيادة الشوكة له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الفاجرة، وتجمع على ميامس أيضاً وموامس، وأصحاب الحديث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لسان العرب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وامرأَة مُومِس ومُومِسَة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فاجِرَةٌ جِهاراً</w:t>
      </w:r>
      <w:r>
        <w:rPr>
          <w:rFonts w:eastAsia="Amiri" w:cs="Amiri" w:ascii="Amiri" w:hAnsi="Amiri"/>
          <w:color w:val="111111"/>
          <w:sz w:val="28"/>
          <w:szCs w:val="28"/>
          <w:rtl w:val="true"/>
          <w:lang w:bidi="ar-SA"/>
        </w:rPr>
        <w:t>».</w:t>
      </w:r>
      <w:bookmarkStart w:id="1354" w:name="pg15710_227061"/>
    </w:p>
    <w:p>
      <w:pPr>
        <w:pStyle w:val="BookText"/>
        <w:rPr/>
      </w:pPr>
      <w:bookmarkEnd w:id="1354"/>
      <w:r>
        <w:rPr>
          <w:rFonts w:ascii="Amiri" w:hAnsi="Amiri" w:eastAsia="Amiri" w:cs="Amiri"/>
          <w:color w:val="111111"/>
          <w:sz w:val="28"/>
          <w:sz w:val="28"/>
          <w:szCs w:val="28"/>
          <w:rtl w:val="true"/>
          <w:lang w:bidi="ar-SA"/>
        </w:rPr>
        <w:t>الجريمة، وكذلك بيعها لها لهذه الغاية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غيرهما من أنواع جعلها في اختيارها كالصلح والهبة ونحوهما،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عَلَى الإِثْمِ وَالْعُدْوَانِ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5" w:name="__RefHeading___Toc12184689_2142443653"/>
      <w:bookmarkStart w:id="1356" w:name="_Toc525"/>
      <w:bookmarkEnd w:id="1355"/>
      <w:r>
        <w:rPr>
          <w:rtl w:val="true"/>
        </w:rPr>
        <w:t>تثقيل الوزن وتخفيفه</w:t>
      </w:r>
      <w:bookmarkEnd w:id="135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زّرقنا الغلات الزكوية بما أوجب لها ثقلاً خارقاً، فهل المعيار على المتعارف؟ وكذلك بالنسبة إلى صاع الفطرة،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زّرقناها بما جعل نصف الصاع صاعاً، أو جعل الصاع والنصف صاعاً، أو المعيار على الوزن الحالي؟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صدق تبدل الموضوع عرفاً تغير الحكم، وإلا كان على الحكم الأولي، وإن شك في التبدل كان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تمامية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محكماً</w:t>
      </w:r>
      <w:r>
        <w:rPr>
          <w:rFonts w:eastAsia="Amiri" w:cs="Amiri" w:ascii="Amiri" w:hAnsi="Amiri"/>
          <w:color w:val="111111"/>
          <w:sz w:val="28"/>
          <w:szCs w:val="28"/>
          <w:rtl w:val="true"/>
          <w:lang w:bidi="ar-SA"/>
        </w:rPr>
        <w:t>.</w:t>
      </w:r>
    </w:p>
    <w:p>
      <w:pPr>
        <w:pStyle w:val="Heading2"/>
        <w:numPr>
          <w:ilvl w:val="1"/>
          <w:numId w:val="1"/>
        </w:numPr>
        <w:rPr/>
      </w:pPr>
      <w:bookmarkStart w:id="1357" w:name="__RefHeading___Toc12184691_2142443653"/>
      <w:bookmarkStart w:id="1358" w:name="_Toc526"/>
      <w:bookmarkEnd w:id="1357"/>
      <w:r>
        <w:rPr>
          <w:rtl w:val="true"/>
        </w:rPr>
        <w:t>الوزن خارج الجاذبية</w:t>
      </w:r>
      <w:bookmarkEnd w:id="135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الفضاء الخارج عن جاذبية الأرض الذي ينعدم فيه الوزن، الاعتبار بحال الأرض في الوزن بالنسبة إلى مَنْ في دائرة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الصاع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والوسق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أشبه ذلك، وإنما كان الاعتبار</w:t>
      </w:r>
      <w:bookmarkStart w:id="1359" w:name="pg15710_227062"/>
    </w:p>
    <w:p>
      <w:pPr>
        <w:pStyle w:val="BookText"/>
        <w:rPr/>
      </w:pPr>
      <w:bookmarkEnd w:id="1359"/>
      <w:r>
        <w:rPr>
          <w:rFonts w:ascii="Amiri" w:hAnsi="Amiri" w:eastAsia="Amiri" w:cs="Amiri"/>
          <w:color w:val="111111"/>
          <w:sz w:val="28"/>
          <w:sz w:val="28"/>
          <w:szCs w:val="28"/>
          <w:rtl w:val="true"/>
          <w:lang w:bidi="ar-SA"/>
        </w:rPr>
        <w:t xml:space="preserve">بحال الأرض لأن أهل الأرض هذا حكمهم، ولو شك في بقاء حكم الأرض لمن خرج كان الاستصحاب جارياً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تمامية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من تبدل الموضوع، فتأمل</w:t>
      </w:r>
      <w:r>
        <w:rPr>
          <w:rFonts w:eastAsia="Amiri" w:cs="Amiri" w:ascii="Amiri" w:hAnsi="Amiri"/>
          <w:color w:val="111111"/>
          <w:sz w:val="28"/>
          <w:szCs w:val="28"/>
          <w:rtl w:val="true"/>
          <w:lang w:bidi="ar-SA"/>
        </w:rPr>
        <w:t>.</w:t>
      </w:r>
    </w:p>
    <w:p>
      <w:pPr>
        <w:pStyle w:val="Heading2"/>
        <w:numPr>
          <w:ilvl w:val="1"/>
          <w:numId w:val="1"/>
        </w:numPr>
        <w:rPr/>
      </w:pPr>
      <w:bookmarkStart w:id="1360" w:name="__RefHeading___Toc12184693_2142443653"/>
      <w:bookmarkStart w:id="1361" w:name="_Toc527"/>
      <w:bookmarkEnd w:id="1360"/>
      <w:r>
        <w:rPr>
          <w:rtl w:val="true"/>
        </w:rPr>
        <w:t>تغيير الدم</w:t>
      </w:r>
      <w:bookmarkEnd w:id="136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شرب دواءً أو أُصيب بمرض جعل دمه أزرق أو أصفر أو ما أشبه، فإن خرج عن حقيقة كونه دماً صار طاهراً، وإلا كان نجساً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الطهارة لأنّه ليس بدم حسب الفرض، والأحكام تابعة لموضوعاتها</w:t>
      </w:r>
      <w:r>
        <w:rPr>
          <w:rFonts w:eastAsia="Amiri" w:cs="Amiri" w:ascii="Amiri" w:hAnsi="Amiri"/>
          <w:color w:val="111111"/>
          <w:sz w:val="28"/>
          <w:szCs w:val="28"/>
          <w:rtl w:val="true"/>
          <w:lang w:bidi="ar-SA"/>
        </w:rPr>
        <w:t>.</w:t>
      </w:r>
    </w:p>
    <w:p>
      <w:pPr>
        <w:pStyle w:val="Heading2"/>
        <w:numPr>
          <w:ilvl w:val="1"/>
          <w:numId w:val="1"/>
        </w:numPr>
        <w:rPr/>
      </w:pPr>
      <w:bookmarkStart w:id="1362" w:name="__RefHeading___Toc12184695_2142443653"/>
      <w:bookmarkStart w:id="1363" w:name="_Toc528"/>
      <w:bookmarkEnd w:id="1362"/>
      <w:r>
        <w:rPr>
          <w:rtl w:val="true"/>
        </w:rPr>
        <w:t>البول إذا تغير</w:t>
      </w:r>
      <w:bookmarkEnd w:id="136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اُبتلي بمرض أو شرب دواءً جعل بوله ماءً خالصاً لا حقيقة للبولية فيه أصلاً، فالظاهر أنه يكون طاهراً؛ إذ ليس المعيار الخروج من الموضع المخصوص، بل صدق كونه بولاً عرفاً، والمفروض أنه لا صدق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الحكم يتبع الموضوع، فلو فرض أن الماء الذي يشربه يخرج من محل بوله من دون تغيير ولا يسمى عرفاً بولاً، فإنه لا وجه للحكم بنجاسته</w:t>
      </w:r>
      <w:r>
        <w:rPr>
          <w:rFonts w:eastAsia="Amiri" w:cs="Amiri" w:ascii="Amiri" w:hAnsi="Amiri"/>
          <w:color w:val="111111"/>
          <w:sz w:val="28"/>
          <w:szCs w:val="28"/>
          <w:rtl w:val="true"/>
          <w:lang w:bidi="ar-SA"/>
        </w:rPr>
        <w:t>.</w:t>
      </w:r>
    </w:p>
    <w:p>
      <w:pPr>
        <w:pStyle w:val="Heading2"/>
        <w:numPr>
          <w:ilvl w:val="1"/>
          <w:numId w:val="1"/>
        </w:numPr>
        <w:rPr/>
      </w:pPr>
      <w:bookmarkStart w:id="1364" w:name="__RefHeading___Toc12184697_2142443653"/>
      <w:bookmarkStart w:id="1365" w:name="_Toc529"/>
      <w:bookmarkEnd w:id="1364"/>
      <w:r>
        <w:rPr>
          <w:rtl w:val="true"/>
        </w:rPr>
        <w:t>الفضلات المتغيرة</w:t>
      </w:r>
      <w:bookmarkEnd w:id="136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المسألة السابقة يجري في مدفوع الإنسان، إذا خرج عن صدق المدفوع، كما لو خرج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أو تبدل إلى شيء آخر لا يسمى مدفوعاً إطلاقاً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كما إذا تبدل الطعام إلى الدود وخرج، فإن الحكم تابع للموضوع</w:t>
      </w:r>
      <w:r>
        <w:rPr>
          <w:rFonts w:eastAsia="Amiri" w:cs="Amiri" w:ascii="Amiri" w:hAnsi="Amiri"/>
          <w:color w:val="111111"/>
          <w:sz w:val="28"/>
          <w:szCs w:val="28"/>
          <w:rtl w:val="true"/>
          <w:lang w:bidi="ar-SA"/>
        </w:rPr>
        <w:t>.</w:t>
      </w:r>
    </w:p>
    <w:p>
      <w:pPr>
        <w:pStyle w:val="Heading2"/>
        <w:numPr>
          <w:ilvl w:val="1"/>
          <w:numId w:val="1"/>
        </w:numPr>
        <w:rPr/>
      </w:pPr>
      <w:bookmarkStart w:id="1366" w:name="__RefHeading___Toc12184699_2142443653"/>
      <w:bookmarkStart w:id="1367" w:name="_Toc530"/>
      <w:bookmarkEnd w:id="1366"/>
      <w:r>
        <w:rPr>
          <w:rtl w:val="true"/>
        </w:rPr>
        <w:t>العدة في القطبين</w:t>
      </w:r>
      <w:bookmarkEnd w:id="136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ذهبت المرأة إلى القطب حيث يمتد الظلام أو الضياء، </w:t>
      </w:r>
      <w:bookmarkStart w:id="1368" w:name="pg15710_227063"/>
    </w:p>
    <w:p>
      <w:pPr>
        <w:pStyle w:val="BookText"/>
        <w:rPr/>
      </w:pPr>
      <w:bookmarkEnd w:id="1368"/>
      <w:r>
        <w:rPr>
          <w:rFonts w:ascii="Amiri" w:hAnsi="Amiri" w:eastAsia="Amiri" w:cs="Amiri"/>
          <w:color w:val="111111"/>
          <w:sz w:val="28"/>
          <w:sz w:val="28"/>
          <w:szCs w:val="28"/>
          <w:rtl w:val="true"/>
          <w:lang w:bidi="ar-SA"/>
        </w:rPr>
        <w:t>فالمدار في ثلاثة أيام الحيض ومدة العدة على مقدار الأيام المقررة لهما، وإن كان كله نهاراً أو كله 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حال البلوغ واليأس ومدة الرجعة في المطلقة وما أشبه، كما تقدم مثل ذلك في الصلاة والصيام ونحوهما</w:t>
      </w:r>
      <w:r>
        <w:rPr>
          <w:rFonts w:eastAsia="Amiri" w:cs="Amiri" w:ascii="Amiri" w:hAnsi="Amiri"/>
          <w:color w:val="111111"/>
          <w:sz w:val="28"/>
          <w:szCs w:val="28"/>
          <w:rtl w:val="true"/>
          <w:lang w:bidi="ar-SA"/>
        </w:rPr>
        <w:t>.</w:t>
      </w:r>
    </w:p>
    <w:p>
      <w:pPr>
        <w:pStyle w:val="Heading2"/>
        <w:numPr>
          <w:ilvl w:val="1"/>
          <w:numId w:val="1"/>
        </w:numPr>
        <w:rPr/>
      </w:pPr>
      <w:bookmarkStart w:id="1369" w:name="__RefHeading___Toc12184701_2142443653"/>
      <w:bookmarkStart w:id="1370" w:name="_Toc531"/>
      <w:bookmarkEnd w:id="1369"/>
      <w:r>
        <w:rPr>
          <w:rtl w:val="true"/>
        </w:rPr>
        <w:t>العدة في القمر</w:t>
      </w:r>
      <w:bookmarkEnd w:id="137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المسألة السابقة جارٍ فيما إذا كانت المرأة في وجه القمر المظلم أو المضيء أو 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لوحدة الدليل في المقامين</w:t>
      </w:r>
      <w:r>
        <w:rPr>
          <w:rFonts w:eastAsia="Amiri" w:cs="Amiri" w:ascii="Amiri" w:hAnsi="Amiri"/>
          <w:color w:val="111111"/>
          <w:sz w:val="28"/>
          <w:szCs w:val="28"/>
          <w:rtl w:val="true"/>
          <w:lang w:bidi="ar-SA"/>
        </w:rPr>
        <w:t>.</w:t>
      </w:r>
    </w:p>
    <w:p>
      <w:pPr>
        <w:pStyle w:val="Heading2"/>
        <w:numPr>
          <w:ilvl w:val="1"/>
          <w:numId w:val="1"/>
        </w:numPr>
        <w:rPr/>
      </w:pPr>
      <w:bookmarkStart w:id="1371" w:name="__RefHeading___Toc12184703_2142443653"/>
      <w:bookmarkStart w:id="1372" w:name="_Toc532"/>
      <w:bookmarkEnd w:id="1371"/>
      <w:r>
        <w:rPr>
          <w:rtl w:val="true"/>
        </w:rPr>
        <w:t>التحديدات الشرعية في القطبين</w:t>
      </w:r>
      <w:bookmarkEnd w:id="137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كل تحديد شرعي، كأيام الخيار، ومدة الحمل، ومقدار الرضاع، والحلف على عدم وطء الزوجة أكثر من أربعة أشهر،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الدليل في المسألتين السابقتين آتٍ في هذه الفروع أيضاً</w:t>
      </w:r>
      <w:r>
        <w:rPr>
          <w:rFonts w:eastAsia="Amiri" w:cs="Amiri" w:ascii="Amiri" w:hAnsi="Amiri"/>
          <w:color w:val="111111"/>
          <w:sz w:val="28"/>
          <w:szCs w:val="28"/>
          <w:rtl w:val="true"/>
          <w:lang w:bidi="ar-SA"/>
        </w:rPr>
        <w:t>.</w:t>
      </w:r>
    </w:p>
    <w:p>
      <w:pPr>
        <w:pStyle w:val="Heading2"/>
        <w:numPr>
          <w:ilvl w:val="1"/>
          <w:numId w:val="1"/>
        </w:numPr>
        <w:rPr/>
      </w:pPr>
      <w:bookmarkStart w:id="1373" w:name="__RefHeading___Toc12184705_2142443653"/>
      <w:bookmarkStart w:id="1374" w:name="_Toc533"/>
      <w:bookmarkEnd w:id="1373"/>
      <w:r>
        <w:rPr>
          <w:rtl w:val="true"/>
        </w:rPr>
        <w:t>الرضاع بالآلة</w:t>
      </w:r>
      <w:bookmarkEnd w:id="137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بواسطة الآلة إدخال مقدار كل الرضعات الخمس عشرة في جوف الطفل في رضعة واحدة بأن كثف اللبن، فهل يكفي في الرضاع أم لا؟ احتمالان، والظاهر اعتبار الرضاع من الثدي على المتعارف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المتعارف هو المنصرف من الأدلة في كل المقامات، إلا إذا كان دليل على الخلاف</w:t>
      </w:r>
      <w:r>
        <w:rPr>
          <w:rFonts w:eastAsia="Amiri" w:cs="Amiri" w:ascii="Amiri" w:hAnsi="Amiri"/>
          <w:color w:val="111111"/>
          <w:sz w:val="28"/>
          <w:szCs w:val="28"/>
          <w:rtl w:val="true"/>
          <w:lang w:bidi="ar-SA"/>
        </w:rPr>
        <w:t>.</w:t>
      </w:r>
    </w:p>
    <w:p>
      <w:pPr>
        <w:pStyle w:val="Heading2"/>
        <w:numPr>
          <w:ilvl w:val="1"/>
          <w:numId w:val="1"/>
        </w:numPr>
        <w:rPr/>
      </w:pPr>
      <w:bookmarkStart w:id="1375" w:name="__RefHeading___Toc12184707_2142443653"/>
      <w:bookmarkStart w:id="1376" w:name="_Toc534"/>
      <w:bookmarkEnd w:id="1375"/>
      <w:r>
        <w:rPr>
          <w:rtl w:val="true"/>
        </w:rPr>
        <w:t>الحيض الآلي</w:t>
      </w:r>
      <w:bookmarkEnd w:id="137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أدخلت المرأة في جوفها آلة تجمع دم الحيض في الجوف، ثم بعد ثلاثة أيام تخرجه دفعة واحدة فهل هي حائض في كل </w:t>
      </w:r>
      <w:bookmarkStart w:id="1377" w:name="pg15710_227064"/>
    </w:p>
    <w:p>
      <w:pPr>
        <w:pStyle w:val="BookText"/>
        <w:rPr/>
      </w:pPr>
      <w:bookmarkEnd w:id="1377"/>
      <w:r>
        <w:rPr>
          <w:rFonts w:ascii="Amiri" w:hAnsi="Amiri" w:eastAsia="Amiri" w:cs="Amiri"/>
          <w:color w:val="111111"/>
          <w:sz w:val="28"/>
          <w:sz w:val="28"/>
          <w:szCs w:val="28"/>
          <w:rtl w:val="true"/>
          <w:lang w:bidi="ar-SA"/>
        </w:rPr>
        <w:t>الثلاثة، أو في الإخراج فقط، أو لا حيض لها؟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لا يبعد أن لا حيض لها في الثلاثة، أما حين الإخراج فإن كان في لحظة مثلاً فالاحتياط الأولى في غُسل الحيض، وإن كان ممتداً مثلاً ساعة وما أشبه فالاحتياط الأولى بتجنب تروك الحيض في تلك المدة</w:t>
      </w:r>
      <w:r>
        <w:rPr>
          <w:rFonts w:eastAsia="Amiri" w:cs="Amiri" w:ascii="Amiri" w:hAnsi="Amiri"/>
          <w:color w:val="111111"/>
          <w:sz w:val="28"/>
          <w:szCs w:val="28"/>
          <w:rtl w:val="true"/>
          <w:lang w:bidi="ar-SA"/>
        </w:rPr>
        <w:t>.</w:t>
      </w:r>
    </w:p>
    <w:p>
      <w:pPr>
        <w:pStyle w:val="Heading2"/>
        <w:numPr>
          <w:ilvl w:val="1"/>
          <w:numId w:val="1"/>
        </w:numPr>
        <w:rPr/>
      </w:pPr>
      <w:bookmarkStart w:id="1378" w:name="__RefHeading___Toc12184709_2142443653"/>
      <w:bookmarkStart w:id="1379" w:name="_Toc535"/>
      <w:bookmarkEnd w:id="1378"/>
      <w:r>
        <w:rPr>
          <w:rtl w:val="true"/>
        </w:rPr>
        <w:t>من أحكام الرضاع</w:t>
      </w:r>
      <w:bookmarkEnd w:id="137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زُرّق الطفل بإبرة التقوية حتى أنه لم يشرب في اليوم والليلة إلا مقدار نصف يوم مثلاً؛ لعدم حاجته إلى اللبن، فالظاهر عدم تحقق الرضاع المحرم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الأدلة منصرفة إلى المتعارف، وكذلك في عكسه لو زُرّق ما يوجب أنه يشرب في كل مرة بقدر ضعف المتعارف، لكن إذا شرب في الوسط غير اللبن لجوعه حيث لم يكفه المقدار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تزريق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يوجب نشر الحرمة؛ لاشتراط اتصال الرضعات، ويأتي مثل هذا البحث فيما إذا اشتد لحمه وقوي عظمه بسبب دواء أوجب أن يكون الاشتداد والقوة بحاجة إلى المضاعفة أو النصف، ولو ذهب به في محل يمتد يومه أو ليلته أشهر، أو يقصر فيه اليوم والليل فرضاً إلى النصف أو ما أشبه فالمعيار في الليلة واليوم المتعارف، لما ذكر</w:t>
      </w:r>
      <w:r>
        <w:rPr>
          <w:rFonts w:eastAsia="Amiri" w:cs="Amiri" w:ascii="Amiri" w:hAnsi="Amiri"/>
          <w:color w:val="111111"/>
          <w:sz w:val="28"/>
          <w:szCs w:val="28"/>
          <w:rtl w:val="true"/>
          <w:lang w:bidi="ar-SA"/>
        </w:rPr>
        <w:t>.</w:t>
      </w:r>
    </w:p>
    <w:p>
      <w:pPr>
        <w:pStyle w:val="Heading2"/>
        <w:numPr>
          <w:ilvl w:val="1"/>
          <w:numId w:val="1"/>
        </w:numPr>
        <w:rPr/>
      </w:pPr>
      <w:bookmarkStart w:id="1380" w:name="__RefHeading___Toc12184711_2142443653"/>
      <w:bookmarkStart w:id="1381" w:name="_Toc536"/>
      <w:bookmarkEnd w:id="1380"/>
      <w:r>
        <w:rPr>
          <w:rtl w:val="true"/>
        </w:rPr>
        <w:t>اختلاف العيد</w:t>
      </w:r>
      <w:bookmarkEnd w:id="138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الأُفق فكان أول شوال في الحجاز يوم الجمعة، وفي العراق يوم السبت، فحضر الجمعة هناك والسبت في العراق حرم عليه الصيام في اليومين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الحكم تابع للموضوع</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العيد يومين</w:t>
      </w:r>
      <w:r>
        <w:rPr>
          <w:rFonts w:eastAsia="Amiri" w:cs="Amiri" w:ascii="Amiri" w:hAnsi="Amiri"/>
          <w:color w:val="111111"/>
          <w:sz w:val="28"/>
          <w:szCs w:val="28"/>
          <w:rtl w:val="true"/>
          <w:lang w:bidi="ar-SA"/>
        </w:rPr>
        <w:t xml:space="preserve">. </w:t>
      </w:r>
      <w:bookmarkStart w:id="1382" w:name="pg15710_227065"/>
    </w:p>
    <w:p>
      <w:pPr>
        <w:pStyle w:val="BookText"/>
        <w:rPr/>
      </w:pPr>
      <w:bookmarkEnd w:id="1382"/>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نفسه تام لمن كان في أُفق واحد، أمّا في الأُفقين فالحكم تابع للأُفق،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عليك مشرقك ومغربك</w:t>
      </w:r>
      <w:r>
        <w:rPr>
          <w:rFonts w:eastAsia="Amiri" w:cs="Amiri" w:ascii="Amiri" w:hAnsi="Amiri"/>
          <w:color w:val="111111"/>
          <w:sz w:val="28"/>
          <w:szCs w:val="28"/>
          <w:rtl w:val="true"/>
          <w:lang w:bidi="ar-SA"/>
        </w:rPr>
        <w:t>»</w:t>
      </w:r>
      <w:r>
        <w:rPr>
          <w:rStyle w:val="FootnoteAnchor"/>
          <w:rtl w:val="true"/>
        </w:rPr>
        <w:footnoteReference w:id="1593"/>
      </w:r>
      <w:r>
        <w:rPr>
          <w:rFonts w:ascii="Amiri" w:hAnsi="Amiri" w:eastAsia="Amiri" w:cs="Amiri"/>
          <w:color w:val="111111"/>
          <w:sz w:val="28"/>
          <w:sz w:val="28"/>
          <w:szCs w:val="28"/>
          <w:rtl w:val="true"/>
          <w:lang w:bidi="ar-SA"/>
        </w:rPr>
        <w:t>، ومثله ما لو صار الفجر وصلى وصام ثم ذهب إلى محل كان الوقت فيه قبيل الفجر، فإنه يجوز له الأكل، وإذا انفجر الصباح وجب عليه الصلاة مرة ثانية مع أنه ليس في يوم واحد في أُفق واحد صلاتان للفجر، إلى غير ذلك من نحو صلاة الظهرين والمغربين</w:t>
      </w:r>
      <w:r>
        <w:rPr>
          <w:rFonts w:eastAsia="Amiri" w:cs="Amiri" w:ascii="Amiri" w:hAnsi="Amiri"/>
          <w:color w:val="111111"/>
          <w:sz w:val="28"/>
          <w:szCs w:val="28"/>
          <w:rtl w:val="true"/>
          <w:lang w:bidi="ar-SA"/>
        </w:rPr>
        <w:t>.</w:t>
      </w:r>
    </w:p>
    <w:p>
      <w:pPr>
        <w:pStyle w:val="Heading2"/>
        <w:numPr>
          <w:ilvl w:val="1"/>
          <w:numId w:val="1"/>
        </w:numPr>
        <w:rPr/>
      </w:pPr>
      <w:bookmarkStart w:id="1383" w:name="__RefHeading___Toc12184713_2142443653"/>
      <w:bookmarkStart w:id="1384" w:name="_Toc537"/>
      <w:bookmarkEnd w:id="1383"/>
      <w:r>
        <w:rPr>
          <w:rtl w:val="true"/>
        </w:rPr>
        <w:t>الاختلاف في الأضحى</w:t>
      </w:r>
      <w:bookmarkEnd w:id="138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المسألة السابقة جارٍ فيما إذا اتفق مثل ذلك في عيد الأضحى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حيث وحدة الدليل</w:t>
      </w:r>
      <w:r>
        <w:rPr>
          <w:rFonts w:eastAsia="Amiri" w:cs="Amiri" w:ascii="Amiri" w:hAnsi="Amiri"/>
          <w:color w:val="111111"/>
          <w:sz w:val="28"/>
          <w:szCs w:val="28"/>
          <w:rtl w:val="true"/>
          <w:lang w:bidi="ar-SA"/>
        </w:rPr>
        <w:t>.</w:t>
      </w:r>
    </w:p>
    <w:p>
      <w:pPr>
        <w:pStyle w:val="Heading2"/>
        <w:numPr>
          <w:ilvl w:val="1"/>
          <w:numId w:val="1"/>
        </w:numPr>
        <w:rPr/>
      </w:pPr>
      <w:bookmarkStart w:id="1385" w:name="__RefHeading___Toc12184715_2142443653"/>
      <w:bookmarkStart w:id="1386" w:name="_Toc538"/>
      <w:bookmarkEnd w:id="1385"/>
      <w:r>
        <w:rPr>
          <w:rtl w:val="true"/>
        </w:rPr>
        <w:t>الاختلاف في المناسبات المستحبة والمكروهة</w:t>
      </w:r>
      <w:bookmarkEnd w:id="138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استحباب صوم يوم الغدير، وكراهة صوم يوم عاشوراء وما أشبه والمحرمات والمكروهات والمباحات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كأحكام نصف شعبان وأول رجب والمولود، والمبعث ودحو الأرض وليالي القدر إلى غير ذلك</w:t>
      </w:r>
      <w:r>
        <w:rPr>
          <w:rFonts w:eastAsia="Amiri" w:cs="Amiri" w:ascii="Amiri" w:hAnsi="Amiri"/>
          <w:color w:val="111111"/>
          <w:sz w:val="28"/>
          <w:szCs w:val="28"/>
          <w:rtl w:val="true"/>
          <w:lang w:bidi="ar-SA"/>
        </w:rPr>
        <w:t xml:space="preserve">. </w:t>
      </w:r>
      <w:bookmarkStart w:id="1387" w:name="pg15710_227066"/>
    </w:p>
    <w:p>
      <w:pPr>
        <w:pStyle w:val="Heading2"/>
        <w:numPr>
          <w:ilvl w:val="1"/>
          <w:numId w:val="1"/>
        </w:numPr>
        <w:rPr/>
      </w:pPr>
      <w:bookmarkStart w:id="1388" w:name="__RefHeading___Toc12184717_2142443653"/>
      <w:bookmarkStart w:id="1389" w:name="_Toc539"/>
      <w:bookmarkEnd w:id="1387"/>
      <w:bookmarkEnd w:id="1388"/>
      <w:r>
        <w:rPr>
          <w:rtl w:val="true"/>
        </w:rPr>
        <w:t>الصلاة والآفاق المختلفة</w:t>
      </w:r>
      <w:bookmarkEnd w:id="138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أنه لو قضيت صلاته أعطى ديناراً للفقير، فقضيت صلاة صبحه في أُفق ثم ركب الطائرة ووصل إلى أُفق آخر كان الوقت فيه باقياً، فصلى فهل يجب عليه أداء الدينار أم لا؟ احتمالان وإن كان وجوب الأداء أقرب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وجوب قضاء تلك الصلاة المقضية وإن صلى في الأُفق الثاني الفجر، لما تقدم من تبعية الحكم للموضوع</w:t>
      </w:r>
      <w:r>
        <w:rPr>
          <w:rFonts w:eastAsia="Amiri" w:cs="Amiri" w:ascii="Amiri" w:hAnsi="Amiri"/>
          <w:color w:val="111111"/>
          <w:sz w:val="28"/>
          <w:szCs w:val="28"/>
          <w:rtl w:val="true"/>
          <w:lang w:bidi="ar-SA"/>
        </w:rPr>
        <w:t>.</w:t>
      </w:r>
    </w:p>
    <w:p>
      <w:pPr>
        <w:pStyle w:val="Heading2"/>
        <w:numPr>
          <w:ilvl w:val="1"/>
          <w:numId w:val="1"/>
        </w:numPr>
        <w:rPr/>
      </w:pPr>
      <w:bookmarkStart w:id="1390" w:name="__RefHeading___Toc12184719_2142443653"/>
      <w:bookmarkStart w:id="1391" w:name="_Toc540"/>
      <w:bookmarkEnd w:id="1390"/>
      <w:r>
        <w:rPr>
          <w:rtl w:val="true"/>
        </w:rPr>
        <w:t>نذر يوم عرفة</w:t>
      </w:r>
      <w:bookmarkEnd w:id="139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يحضر يوم عرفة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يوم عرفة عندهم الخميس، وفي كربلاء المقدسة الجمعة فالواجب حضور كربلاء يوم الجمعة ولا يكفي حضور الخميس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المعيار أُفق كربلاء المقدسة، لا أُفق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نذر أن يصوم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صيامه في بلده حسب أُفقه، ولا يصح حسب أُفق كربلاء المقدسة، لما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عليك مشرقك ومغربك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2" w:name="__RefHeading___Toc12184721_2142443653"/>
      <w:bookmarkStart w:id="1393" w:name="_Toc541"/>
      <w:bookmarkEnd w:id="1392"/>
      <w:r>
        <w:rPr>
          <w:rtl w:val="true"/>
        </w:rPr>
        <w:t>الصلاة في الطائرة العمودية</w:t>
      </w:r>
      <w:bookmarkEnd w:id="139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غابت الشمس في اُفقه ثم ركب طائرة وطارت عمودياً </w:t>
      </w:r>
      <w:bookmarkStart w:id="1394" w:name="pg15710_227067"/>
    </w:p>
    <w:p>
      <w:pPr>
        <w:pStyle w:val="BookText"/>
        <w:rPr/>
      </w:pPr>
      <w:bookmarkEnd w:id="1394"/>
      <w:r>
        <w:rPr>
          <w:rFonts w:ascii="Amiri" w:hAnsi="Amiri" w:eastAsia="Amiri" w:cs="Amiri"/>
          <w:color w:val="111111"/>
          <w:sz w:val="28"/>
          <w:sz w:val="28"/>
          <w:szCs w:val="28"/>
          <w:rtl w:val="true"/>
          <w:lang w:bidi="ar-SA"/>
        </w:rPr>
        <w:t>حتى رأى الشمس وصلى في الطائرة كانت صلاته أداءً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للإطلاقات، لأنّه يصلي في أُفق لم تغب فيه الشمس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ترك الصلاة إلى أن تغيب الشمس، وإن صلى بعد ذلك في تلك الطائرة لصدق تفويت الصلاة، فإنه كما إذا لم يصلِّ حتى غاب الشمس ثم ذهب بالطائرة إلى أُفق شمسه بعد طالعة</w:t>
      </w:r>
      <w:r>
        <w:rPr>
          <w:rFonts w:eastAsia="Amiri" w:cs="Amiri" w:ascii="Amiri" w:hAnsi="Amiri"/>
          <w:color w:val="111111"/>
          <w:sz w:val="28"/>
          <w:szCs w:val="28"/>
          <w:rtl w:val="true"/>
          <w:lang w:bidi="ar-SA"/>
        </w:rPr>
        <w:t>.</w:t>
      </w:r>
    </w:p>
    <w:p>
      <w:pPr>
        <w:pStyle w:val="Heading2"/>
        <w:numPr>
          <w:ilvl w:val="1"/>
          <w:numId w:val="1"/>
        </w:numPr>
        <w:rPr/>
      </w:pPr>
      <w:bookmarkStart w:id="1395" w:name="__RefHeading___Toc12184723_2142443653"/>
      <w:bookmarkStart w:id="1396" w:name="_Toc542"/>
      <w:bookmarkEnd w:id="1395"/>
      <w:r>
        <w:rPr>
          <w:rtl w:val="true"/>
        </w:rPr>
        <w:t>الصوم في الآفاق القطبية</w:t>
      </w:r>
      <w:bookmarkEnd w:id="139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 صوم القضاء إذا ذهب إلى مكان كل وقته نهار أو ليل، وخاف الموت لا إشكال في وجوب القضاء عليه هناك، أما إذا لم يخف الموت وعلم أنه بعد شهر مثلاً يرجع إلى الآفاق المعتدلة، فهل يجوز له أن يقضي الصوم هناك أم لا؟ احتمالان، وإن كان الأحوط تأخير القضاء إلى الآفاق المعتدلة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التأخير لأنَّ صومه وإفطاره حينئذٍ يكون غير محدد بالليل والنهار، كما في الآية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والرواية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ويحتمل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قوم صاموا شهر رمضان فغشيهم سحاب أسود عند غروب الشمس، فظنوا أنه ليل فأفطر، ثم إنّ السحاب انجلى فإذا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أفطر صيام ذلك اليوم،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أكل قبل أن يدخل الليل فعليه قضاؤه لأنه أكل متعمداً</w:t>
      </w:r>
      <w:r>
        <w:rPr>
          <w:rFonts w:eastAsia="Amiri" w:cs="Amiri" w:ascii="Amiri" w:hAnsi="Amiri"/>
          <w:color w:val="111111"/>
          <w:sz w:val="28"/>
          <w:szCs w:val="28"/>
          <w:rtl w:val="true"/>
          <w:lang w:bidi="ar-SA"/>
        </w:rPr>
        <w:t>».</w:t>
      </w:r>
      <w:bookmarkStart w:id="1397" w:name="pg15710_227068"/>
    </w:p>
    <w:p>
      <w:pPr>
        <w:pStyle w:val="BookText"/>
        <w:rPr/>
      </w:pPr>
      <w:bookmarkEnd w:id="1397"/>
      <w:r>
        <w:rPr>
          <w:rFonts w:ascii="Amiri" w:hAnsi="Amiri" w:eastAsia="Amiri" w:cs="Amiri"/>
          <w:color w:val="111111"/>
          <w:sz w:val="28"/>
          <w:sz w:val="28"/>
          <w:szCs w:val="28"/>
          <w:rtl w:val="true"/>
          <w:lang w:bidi="ar-SA"/>
        </w:rPr>
        <w:t>مَنْ كان من أهل تلك البلاد، حيث لا يجب عليه الانتقال إلى أُفق معتدل لأجل الصيام أو قضائه، بل يصوم كالمتعارف</w:t>
      </w:r>
      <w:r>
        <w:rPr>
          <w:rFonts w:eastAsia="Amiri" w:cs="Amiri" w:ascii="Amiri" w:hAnsi="Amiri"/>
          <w:color w:val="111111"/>
          <w:sz w:val="28"/>
          <w:szCs w:val="28"/>
          <w:rtl w:val="true"/>
          <w:lang w:bidi="ar-SA"/>
        </w:rPr>
        <w:t>.</w:t>
      </w:r>
    </w:p>
    <w:p>
      <w:pPr>
        <w:pStyle w:val="Heading2"/>
        <w:numPr>
          <w:ilvl w:val="1"/>
          <w:numId w:val="1"/>
        </w:numPr>
        <w:rPr/>
      </w:pPr>
      <w:bookmarkStart w:id="1398" w:name="__RefHeading___Toc12184725_2142443653"/>
      <w:bookmarkStart w:id="1399" w:name="_Toc543"/>
      <w:bookmarkEnd w:id="1398"/>
      <w:r>
        <w:rPr>
          <w:rtl w:val="true"/>
        </w:rPr>
        <w:t>إذا تسرعت حركة الأرض</w:t>
      </w:r>
      <w:bookmarkEnd w:id="139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حركة الأرض صارت سريعة حتى أنه صار كل يوم مقدار نصف يوم من أيامنا المتعارفة، فالظاهر أن الاعتبار بذلك اليوم لا اليوم الذي هو أربع وعشرون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وصلت السرعة إلى أن يكون كل يوم مقدار ساعة أو ما أشبه يلزم الاعتبار بمقدار الأيام المتعارفة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الاعتبار بذلك اليوم فلأن حاله حال ما إذا قصر النهار إلى ذلك المقدار، أو طال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والأحكام تابعة لموضوعاتها، وحال ما إذا قصر جداً حال ما إذا كان الأُفق كذلك، بحيث صار النهار أو الليل ساعة؛ لانصراف الأدلة عن مثل ذلك</w:t>
      </w:r>
      <w:r>
        <w:rPr>
          <w:rFonts w:eastAsia="Amiri" w:cs="Amiri" w:ascii="Amiri" w:hAnsi="Amiri"/>
          <w:color w:val="111111"/>
          <w:sz w:val="28"/>
          <w:szCs w:val="28"/>
          <w:rtl w:val="true"/>
          <w:lang w:bidi="ar-SA"/>
        </w:rPr>
        <w:t>.</w:t>
      </w:r>
    </w:p>
    <w:p>
      <w:pPr>
        <w:pStyle w:val="Heading2"/>
        <w:numPr>
          <w:ilvl w:val="1"/>
          <w:numId w:val="1"/>
        </w:numPr>
        <w:rPr/>
      </w:pPr>
      <w:bookmarkStart w:id="1400" w:name="__RefHeading___Toc12184727_2142443653"/>
      <w:bookmarkStart w:id="1401" w:name="_Toc544"/>
      <w:bookmarkEnd w:id="1400"/>
      <w:r>
        <w:rPr>
          <w:rtl w:val="true"/>
        </w:rPr>
        <w:t>إذا تثبّطت حركة الأرض</w:t>
      </w:r>
      <w:bookmarkEnd w:id="140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حركة الأرض صارت بطيئة فالحكم مثل ما ذكر في المسألة السابقة، وهو أنه لو صار اليوم مثلاً يوماً ونصف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ستاً وثلاثين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الاعتبار بذلك اليوم، أما إذا صار كل يوم مقدار مائة ساعة أو ما أشبه يكون الاعتبار بمقدار الأيام المعتادة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تقدم في المسألة السابقة، ولو فرض طلوع الشمس من المغرب، كما في أحاديث علائم الظهور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فإذا كان الطلوع مقداراً قليلاً لم تجب</w:t>
      </w:r>
      <w:bookmarkStart w:id="1402" w:name="pg15710_227069"/>
    </w:p>
    <w:p>
      <w:pPr>
        <w:pStyle w:val="BookText"/>
        <w:rPr/>
      </w:pPr>
      <w:bookmarkEnd w:id="1402"/>
      <w:r>
        <w:rPr>
          <w:rFonts w:ascii="Amiri" w:hAnsi="Amiri" w:eastAsia="Amiri" w:cs="Amiri"/>
          <w:color w:val="111111"/>
          <w:sz w:val="28"/>
          <w:sz w:val="28"/>
          <w:szCs w:val="28"/>
          <w:rtl w:val="true"/>
          <w:lang w:bidi="ar-SA"/>
        </w:rPr>
        <w:t xml:space="preserve">الصلاة مرة ثانية، كما لم تجب الصلاة على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ثانية، حين رجعت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Style w:val="FootnoteAnchor"/>
          <w:rtl w:val="true"/>
        </w:rPr>
        <w:footnoteReference w:id="1594"/>
      </w:r>
      <w:r>
        <w:rPr>
          <w:rFonts w:ascii="Amiri" w:hAnsi="Amiri" w:eastAsia="Amiri" w:cs="Amiri"/>
          <w:color w:val="111111"/>
          <w:sz w:val="28"/>
          <w:sz w:val="28"/>
          <w:szCs w:val="28"/>
          <w:rtl w:val="true"/>
          <w:lang w:bidi="ar-SA"/>
        </w:rPr>
        <w:t>لانصراف الأدلة عن مثله، أما إذا كان كثيراً وجبت لإطلاق الأدلة بدون انصراف</w:t>
      </w:r>
      <w:r>
        <w:rPr>
          <w:rFonts w:eastAsia="Amiri" w:cs="Amiri" w:ascii="Amiri" w:hAnsi="Amiri"/>
          <w:color w:val="111111"/>
          <w:sz w:val="28"/>
          <w:szCs w:val="28"/>
          <w:rtl w:val="true"/>
          <w:lang w:bidi="ar-SA"/>
        </w:rPr>
        <w:t>.</w:t>
      </w:r>
    </w:p>
    <w:p>
      <w:pPr>
        <w:pStyle w:val="Heading2"/>
        <w:numPr>
          <w:ilvl w:val="1"/>
          <w:numId w:val="1"/>
        </w:numPr>
        <w:rPr/>
      </w:pPr>
      <w:bookmarkStart w:id="1403" w:name="__RefHeading___Toc12184729_2142443653"/>
      <w:bookmarkStart w:id="1404" w:name="_Toc545"/>
      <w:bookmarkEnd w:id="1403"/>
      <w:r>
        <w:rPr>
          <w:rtl w:val="true"/>
        </w:rPr>
        <w:t>الغلات الكيماوية</w:t>
      </w:r>
      <w:bookmarkEnd w:id="140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إيجاد الغلات بالصنعة، بأن ركبت أجزاء فصارت حنطة عرفاً مثلاً فهل تتعلق بها الزكاة أم لا؟ احتمالان، وإن كان الظاهر العدم</w:t>
      </w:r>
      <w:r>
        <w:rPr>
          <w:rFonts w:eastAsia="Amiri" w:cs="Amiri" w:ascii="Amiri" w:hAnsi="Amiri"/>
          <w:color w:val="111111"/>
          <w:sz w:val="28"/>
          <w:szCs w:val="28"/>
          <w:rtl w:val="true"/>
          <w:lang w:bidi="ar-SA"/>
        </w:rPr>
        <w:t xml:space="preserve">. </w:t>
      </w:r>
      <w:bookmarkStart w:id="1405" w:name="pg15710_227070"/>
    </w:p>
    <w:p>
      <w:pPr>
        <w:pStyle w:val="BookText"/>
        <w:rPr/>
      </w:pPr>
      <w:bookmarkEnd w:id="140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صورة حنطة، لا حنطة، والعرف يشتبه في التسمية؛ وكذلك سائر الغلات، ولانصراف الأدلة عن مثلها</w:t>
      </w:r>
      <w:r>
        <w:rPr>
          <w:rFonts w:eastAsia="Amiri" w:cs="Amiri" w:ascii="Amiri" w:hAnsi="Amiri"/>
          <w:color w:val="111111"/>
          <w:sz w:val="28"/>
          <w:szCs w:val="28"/>
          <w:rtl w:val="true"/>
          <w:lang w:bidi="ar-SA"/>
        </w:rPr>
        <w:t>.</w:t>
      </w:r>
    </w:p>
    <w:p>
      <w:pPr>
        <w:pStyle w:val="Heading2"/>
        <w:numPr>
          <w:ilvl w:val="1"/>
          <w:numId w:val="1"/>
        </w:numPr>
        <w:rPr/>
      </w:pPr>
      <w:bookmarkStart w:id="1406" w:name="__RefHeading___Toc12184731_2142443653"/>
      <w:bookmarkStart w:id="1407" w:name="_Toc546"/>
      <w:bookmarkEnd w:id="1406"/>
      <w:r>
        <w:rPr>
          <w:rtl w:val="true"/>
        </w:rPr>
        <w:t>لو تغيّرت الحنطة</w:t>
      </w:r>
      <w:bookmarkEnd w:id="140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الحنطة تغيرت بسبب الأسمدة الكيماوية، إلى ما له شكل ولون وطعم وخاصية أُخرى، لكنها من سلالة الحنطة، فهل أن فيها الزكاة أم لا؟ احتمالان، الظاهر العدم إذا لم يصدق عليه الاسم، وكذلك سائر الغلات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كونه من السلالة لا يستلزم كونه حنطة إذا لم يصدق عليه الحنطة عرفاً، فإن الحكم تابع لموضوعه</w:t>
      </w:r>
      <w:r>
        <w:rPr>
          <w:rFonts w:eastAsia="Amiri" w:cs="Amiri" w:ascii="Amiri" w:hAnsi="Amiri"/>
          <w:color w:val="111111"/>
          <w:sz w:val="28"/>
          <w:szCs w:val="28"/>
          <w:rtl w:val="true"/>
          <w:lang w:bidi="ar-SA"/>
        </w:rPr>
        <w:t>.</w:t>
      </w:r>
    </w:p>
    <w:p>
      <w:pPr>
        <w:pStyle w:val="Heading2"/>
        <w:numPr>
          <w:ilvl w:val="1"/>
          <w:numId w:val="1"/>
        </w:numPr>
        <w:rPr/>
      </w:pPr>
      <w:bookmarkStart w:id="1408" w:name="__RefHeading___Toc12184733_2142443653"/>
      <w:bookmarkStart w:id="1409" w:name="_Toc547"/>
      <w:bookmarkEnd w:id="1408"/>
      <w:r>
        <w:rPr>
          <w:rtl w:val="true"/>
        </w:rPr>
        <w:t>تغيير الإبل بالتزريق</w:t>
      </w:r>
      <w:bookmarkEnd w:id="140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الإبل مثلا بالتزريق لاُمه إلى حيوان لا يسمى إبلاً، فالظاهر عدم الزكاة فيه؛ لأن الحكم تابع للموضوع، وقد فرض أنه لا يسمى إبلاً، وكذلك البقر والغنم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إبلاً مثلاً لكنه بلا ذنب، أو مع قرن أو ما أشبه كان فيه الزكاة، وكذلك حال ما إذا كان حنطة لكن برأس أسود أو أحمر، أو ما أشبه؛ لأن مثل ذلك لا يوجب سلب الاسم عرفاً</w:t>
      </w:r>
      <w:r>
        <w:rPr>
          <w:rFonts w:eastAsia="Amiri" w:cs="Amiri" w:ascii="Amiri" w:hAnsi="Amiri"/>
          <w:color w:val="111111"/>
          <w:sz w:val="28"/>
          <w:szCs w:val="28"/>
          <w:rtl w:val="true"/>
          <w:lang w:bidi="ar-SA"/>
        </w:rPr>
        <w:t>.</w:t>
      </w:r>
    </w:p>
    <w:p>
      <w:pPr>
        <w:pStyle w:val="Heading2"/>
        <w:numPr>
          <w:ilvl w:val="1"/>
          <w:numId w:val="1"/>
        </w:numPr>
        <w:rPr/>
      </w:pPr>
      <w:bookmarkStart w:id="1410" w:name="__RefHeading___Toc12184735_2142443653"/>
      <w:bookmarkStart w:id="1411" w:name="_Toc548"/>
      <w:bookmarkEnd w:id="1410"/>
      <w:r>
        <w:rPr>
          <w:rtl w:val="true"/>
        </w:rPr>
        <w:t>الذهب إذا صار فلزاً آخر</w:t>
      </w:r>
      <w:bookmarkEnd w:id="141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عولج الذهب بشيء من المواد الكيماوية فلم يصدق عليه الذهب بعد ذلك، فالظاهر جواز لبسه للرجال ولا زكاة فيه، وكذلك الفضة بالنسبة إلى عدم الزكاة</w:t>
      </w:r>
      <w:r>
        <w:rPr>
          <w:rFonts w:eastAsia="Amiri" w:cs="Amiri" w:ascii="Amiri" w:hAnsi="Amiri"/>
          <w:color w:val="111111"/>
          <w:sz w:val="28"/>
          <w:szCs w:val="28"/>
          <w:rtl w:val="true"/>
          <w:lang w:bidi="ar-SA"/>
        </w:rPr>
        <w:t xml:space="preserve">. </w:t>
      </w:r>
      <w:bookmarkStart w:id="1412" w:name="pg15710_227071"/>
    </w:p>
    <w:p>
      <w:pPr>
        <w:pStyle w:val="BookText"/>
        <w:rPr/>
      </w:pPr>
      <w:bookmarkEnd w:id="141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لأنّه ليس بذهب والحكم تابع للموضوع، لكن إذا عولج حتى صار أبيض أو أحمر أو ما أشبه حرم لبسه؛ لأنه ذهب أبيض، وانصراف المحرم إلى الملون الخاص بدوي، وكذلك حال ما إذا أطعم دود القز بما لا يعطي الحرير، بل شيء آخر لم يكن لبسه حراماً للرجال، كما سبق الإشارة إليه</w:t>
      </w:r>
      <w:r>
        <w:rPr>
          <w:rFonts w:eastAsia="Amiri" w:cs="Amiri" w:ascii="Amiri" w:hAnsi="Amiri"/>
          <w:color w:val="111111"/>
          <w:sz w:val="28"/>
          <w:szCs w:val="28"/>
          <w:rtl w:val="true"/>
          <w:lang w:bidi="ar-SA"/>
        </w:rPr>
        <w:t>.</w:t>
      </w:r>
    </w:p>
    <w:p>
      <w:pPr>
        <w:pStyle w:val="Heading2"/>
        <w:numPr>
          <w:ilvl w:val="1"/>
          <w:numId w:val="1"/>
        </w:numPr>
        <w:rPr/>
      </w:pPr>
      <w:bookmarkStart w:id="1413" w:name="__RefHeading___Toc12184737_2142443653"/>
      <w:bookmarkStart w:id="1414" w:name="_Toc549"/>
      <w:bookmarkEnd w:id="1413"/>
      <w:r>
        <w:rPr>
          <w:rtl w:val="true"/>
        </w:rPr>
        <w:t>الإنسان المتعدد الأيدي والأرجل</w:t>
      </w:r>
      <w:bookmarkEnd w:id="1414"/>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في بعض الكرات بشر تعددت أعضاؤه، كما لو كانت له أربع أيدٍ أو عشرة أرجل مثلاً، فالظاهر أن اللازم عليه في الوضوء أن يغسل كل تلك الأيدي، ويمسح على كل تلك الأرجل، وكذلك لو وجد بشر في الأرض كان هكذا، وإن كان ربما يحتمل كفاية غسل يدين منها على سبيل البدل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إذا كان موجباً للعسر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للانصراف، لكنه بدوي، وكذلك حال إنسان ذي وجهين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يكن أحدهما أصلاً والآخر زائداً، وإلا لم يجب غسل الزائد</w:t>
      </w:r>
      <w:r>
        <w:rPr>
          <w:rFonts w:eastAsia="Amiri" w:cs="Amiri" w:ascii="Amiri" w:hAnsi="Amiri"/>
          <w:color w:val="111111"/>
          <w:sz w:val="28"/>
          <w:szCs w:val="28"/>
          <w:rtl w:val="true"/>
          <w:lang w:bidi="ar-SA"/>
        </w:rPr>
        <w:t xml:space="preserve">. </w:t>
      </w:r>
      <w:bookmarkStart w:id="1415" w:name="pg15710_227072"/>
    </w:p>
    <w:p>
      <w:pPr>
        <w:pStyle w:val="BookText"/>
        <w:rPr/>
      </w:pPr>
      <w:bookmarkEnd w:id="1415"/>
      <w:r>
        <w:rPr>
          <w:rFonts w:ascii="Amiri" w:hAnsi="Amiri" w:eastAsia="Amiri" w:cs="Amiri"/>
          <w:color w:val="111111"/>
          <w:sz w:val="28"/>
          <w:sz w:val="28"/>
          <w:szCs w:val="28"/>
          <w:rtl w:val="true"/>
          <w:lang w:bidi="ar-SA"/>
        </w:rPr>
        <w:t>نعم، في الغسل يجب غسل الزائد أيضاً؛ لأنه كلحم زائد نابت في الجسد، أو سمن عضو لمرض أو عرض، كما إذا ورمت يده إلى أن أصبحت بمقدار يدين أو ما أشبه ذلك</w:t>
      </w:r>
      <w:r>
        <w:rPr>
          <w:rFonts w:eastAsia="Amiri" w:cs="Amiri" w:ascii="Amiri" w:hAnsi="Amiri"/>
          <w:color w:val="111111"/>
          <w:sz w:val="28"/>
          <w:szCs w:val="28"/>
          <w:rtl w:val="true"/>
          <w:lang w:bidi="ar-SA"/>
        </w:rPr>
        <w:t>.</w:t>
      </w:r>
    </w:p>
    <w:p>
      <w:pPr>
        <w:pStyle w:val="Heading2"/>
        <w:numPr>
          <w:ilvl w:val="1"/>
          <w:numId w:val="1"/>
        </w:numPr>
        <w:rPr/>
      </w:pPr>
      <w:bookmarkStart w:id="1416" w:name="__RefHeading___Toc12184739_2142443653"/>
      <w:bookmarkStart w:id="1417" w:name="_Toc550"/>
      <w:bookmarkEnd w:id="1416"/>
      <w:r>
        <w:rPr>
          <w:rtl w:val="true"/>
        </w:rPr>
        <w:t>لو انخسفت الأرض</w:t>
      </w:r>
      <w:bookmarkEnd w:id="141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في القمر وانخسفت الأرض بالشمس أو بكوكب آخر، فهل تجب صلاة الآيات أم لا؟ احتمالان، وكذا لو كنا في كوكب يقترب منه كوكب كبير مضيء ثم انخسف ذلك الكوكب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المعيار الصدق العرفي، ولو شك فالأصل العدم</w:t>
      </w:r>
      <w:r>
        <w:rPr>
          <w:rFonts w:eastAsia="Amiri" w:cs="Amiri" w:ascii="Amiri" w:hAnsi="Amiri"/>
          <w:color w:val="111111"/>
          <w:sz w:val="28"/>
          <w:szCs w:val="28"/>
          <w:rtl w:val="true"/>
          <w:lang w:bidi="ar-SA"/>
        </w:rPr>
        <w:t>.</w:t>
      </w:r>
    </w:p>
    <w:p>
      <w:pPr>
        <w:pStyle w:val="Heading2"/>
        <w:numPr>
          <w:ilvl w:val="1"/>
          <w:numId w:val="1"/>
        </w:numPr>
        <w:rPr/>
      </w:pPr>
      <w:bookmarkStart w:id="1418" w:name="__RefHeading___Toc12184741_2142443653"/>
      <w:bookmarkStart w:id="1419" w:name="_Toc551"/>
      <w:bookmarkEnd w:id="1418"/>
      <w:r>
        <w:rPr>
          <w:rtl w:val="true"/>
        </w:rPr>
        <w:t>الآيات في الكواكب الأخرى</w:t>
      </w:r>
      <w:bookmarkEnd w:id="141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في كوكب كان له قمر أو أقمار، أو شمس أو شموس فاللازم صلاة الآيات لكل خسوف أو كسوف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أدلة الخسوف والكسوف، والانصراف إلى الأرض بدوي</w:t>
      </w:r>
      <w:r>
        <w:rPr>
          <w:rFonts w:eastAsia="Amiri" w:cs="Amiri" w:ascii="Amiri" w:hAnsi="Amiri"/>
          <w:color w:val="111111"/>
          <w:sz w:val="28"/>
          <w:szCs w:val="28"/>
          <w:rtl w:val="true"/>
          <w:lang w:bidi="ar-SA"/>
        </w:rPr>
        <w:t>.</w:t>
      </w:r>
    </w:p>
    <w:p>
      <w:pPr>
        <w:pStyle w:val="Heading2"/>
        <w:numPr>
          <w:ilvl w:val="1"/>
          <w:numId w:val="1"/>
        </w:numPr>
        <w:rPr/>
      </w:pPr>
      <w:bookmarkStart w:id="1420" w:name="__RefHeading___Toc12184743_2142443653"/>
      <w:bookmarkStart w:id="1421" w:name="_Toc552"/>
      <w:bookmarkEnd w:id="1420"/>
      <w:r>
        <w:rPr>
          <w:rtl w:val="true"/>
        </w:rPr>
        <w:t>تكرر الآيات السماوية</w:t>
      </w:r>
      <w:bookmarkEnd w:id="142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في كوكب كانت له أقمار متعددة، وكان ينخسف كل يوم واحد أو اثنان منها، فهل تجب الصلاة لكل خسوف؟ فيه إشكال، والأظهر عدم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لانصراف الأدلة عن مثل ذلك، ويحتمل الوجوب كل يوم مرة</w:t>
      </w:r>
      <w:r>
        <w:rPr>
          <w:rFonts w:eastAsia="Amiri" w:cs="Amiri" w:ascii="Amiri" w:hAnsi="Amiri"/>
          <w:color w:val="111111"/>
          <w:sz w:val="28"/>
          <w:szCs w:val="28"/>
          <w:rtl w:val="true"/>
          <w:lang w:bidi="ar-SA"/>
        </w:rPr>
        <w:t>.</w:t>
      </w:r>
    </w:p>
    <w:p>
      <w:pPr>
        <w:pStyle w:val="Heading2"/>
        <w:numPr>
          <w:ilvl w:val="1"/>
          <w:numId w:val="1"/>
        </w:numPr>
        <w:rPr/>
      </w:pPr>
      <w:bookmarkStart w:id="1422" w:name="__RefHeading___Toc12184745_2142443653"/>
      <w:bookmarkStart w:id="1423" w:name="_Toc553"/>
      <w:bookmarkEnd w:id="1422"/>
      <w:r>
        <w:rPr>
          <w:rtl w:val="true"/>
        </w:rPr>
        <w:t>الزلازل المستمرة</w:t>
      </w:r>
      <w:bookmarkEnd w:id="142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في مكان من الأرض تستمر الزلازل فيه كل يوم مرة أو مرات، فالظاهر عدم وجوب صلاة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تقدم من الانصراف، ويحتمل وجوب صلاة الآيات كل يوم مرة</w:t>
      </w:r>
      <w:r>
        <w:rPr>
          <w:rFonts w:eastAsia="Amiri" w:cs="Amiri" w:ascii="Amiri" w:hAnsi="Amiri"/>
          <w:color w:val="111111"/>
          <w:sz w:val="28"/>
          <w:szCs w:val="28"/>
          <w:rtl w:val="true"/>
          <w:lang w:bidi="ar-SA"/>
        </w:rPr>
        <w:t>.</w:t>
      </w:r>
      <w:bookmarkStart w:id="1424" w:name="pg15710_227073"/>
    </w:p>
    <w:p>
      <w:pPr>
        <w:pStyle w:val="Heading2"/>
        <w:numPr>
          <w:ilvl w:val="1"/>
          <w:numId w:val="1"/>
        </w:numPr>
        <w:rPr/>
      </w:pPr>
      <w:bookmarkStart w:id="1425" w:name="__RefHeading___Toc12184747_2142443653"/>
      <w:bookmarkStart w:id="1426" w:name="_Toc554"/>
      <w:bookmarkEnd w:id="1424"/>
      <w:bookmarkEnd w:id="1425"/>
      <w:r>
        <w:rPr>
          <w:rtl w:val="true"/>
        </w:rPr>
        <w:t>الزلزلة في البحر</w:t>
      </w:r>
      <w:bookmarkEnd w:id="142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في البحر وحدث في قاعه زلزال بما رأينا أثره على الماء، فهل تجب صلاة الآيات أم لا؟ احتمالان، وإن كان يقرب عدم الوجوب، إلا إذا كان القاع قريباً من السطح بحيث يصدق الزلزال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لانصراف الأدلة عن غير ما يصدق عليه الزلزال عرفاً، وكذلك الحال لو كنا في الجو وزلزلت الأرض، فإن كان الإنسان بعيداً لم تجب عليه الآيات، وإن كان قريباً إلى الأرض وجبت، والمعيار الصدق العرفي في الحكم والموضوع</w:t>
      </w:r>
      <w:r>
        <w:rPr>
          <w:rFonts w:eastAsia="Amiri" w:cs="Amiri" w:ascii="Amiri" w:hAnsi="Amiri"/>
          <w:color w:val="111111"/>
          <w:sz w:val="28"/>
          <w:szCs w:val="28"/>
          <w:rtl w:val="true"/>
          <w:lang w:bidi="ar-SA"/>
        </w:rPr>
        <w:t>.</w:t>
      </w:r>
    </w:p>
    <w:p>
      <w:pPr>
        <w:pStyle w:val="Heading2"/>
        <w:numPr>
          <w:ilvl w:val="1"/>
          <w:numId w:val="1"/>
        </w:numPr>
        <w:rPr/>
      </w:pPr>
      <w:bookmarkStart w:id="1427" w:name="__RefHeading___Toc12184749_2142443653"/>
      <w:bookmarkStart w:id="1428" w:name="_Toc555"/>
      <w:bookmarkEnd w:id="1427"/>
      <w:r>
        <w:rPr>
          <w:rtl w:val="true"/>
        </w:rPr>
        <w:t>الكسوفان بالمجهر</w:t>
      </w:r>
      <w:bookmarkEnd w:id="142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الكسوف والخسوف بمقدار قليل لم يتضح للأبصار المجردة، وإنما اتضح بالمجهر ونحوه لم تجب صلاة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الصدق عرفاً، ولو فرض الإنسان أعلى من سطح القمر أو الشمس فانخسف أو انكسفت لم تجب عليه الآيات؛ لانصراف الدليل إلى مَنْ في أُفقهما</w:t>
      </w:r>
      <w:r>
        <w:rPr>
          <w:rFonts w:eastAsia="Amiri" w:cs="Amiri" w:ascii="Amiri" w:hAnsi="Amiri"/>
          <w:color w:val="111111"/>
          <w:sz w:val="28"/>
          <w:szCs w:val="28"/>
          <w:rtl w:val="true"/>
          <w:lang w:bidi="ar-SA"/>
        </w:rPr>
        <w:t>.</w:t>
      </w:r>
    </w:p>
    <w:p>
      <w:pPr>
        <w:pStyle w:val="Heading2"/>
        <w:numPr>
          <w:ilvl w:val="1"/>
          <w:numId w:val="1"/>
        </w:numPr>
        <w:rPr/>
      </w:pPr>
      <w:bookmarkStart w:id="1429" w:name="__RefHeading___Toc12184751_2142443653"/>
      <w:bookmarkStart w:id="1430" w:name="_Toc556"/>
      <w:bookmarkEnd w:id="1429"/>
      <w:r>
        <w:rPr>
          <w:rtl w:val="true"/>
        </w:rPr>
        <w:t>الإحياء بعد القتل</w:t>
      </w:r>
      <w:bookmarkEnd w:id="143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الإنسان تمكن من إحياء الميت بالوسائل العلمية، التي جعلها اللّه سبحانه لإحياء الميت، فهل أن القتل الذي عقبه الإحياء يكون جزاؤه القتل، وتكون له الدية الكاملة أم لا؟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الدية والقصاص؛ لأنه فعله، وإنما الإحياء الجديد بأمر اللّه سبحانه بالوسائل العملية التي قررها سبحانه، كما في قصة بقرة بني</w:t>
      </w:r>
      <w:bookmarkStart w:id="1431" w:name="pg15710_227074"/>
    </w:p>
    <w:p>
      <w:pPr>
        <w:pStyle w:val="BookText"/>
        <w:rPr/>
      </w:pPr>
      <w:bookmarkEnd w:id="1431"/>
      <w:r>
        <w:rPr>
          <w:rFonts w:ascii="Amiri" w:hAnsi="Amiri" w:eastAsia="Amiri" w:cs="Amiri"/>
          <w:color w:val="111111"/>
          <w:sz w:val="28"/>
          <w:sz w:val="28"/>
          <w:szCs w:val="28"/>
          <w:rtl w:val="true"/>
          <w:lang w:bidi="ar-SA"/>
        </w:rPr>
        <w:t>إسرائيل</w:t>
      </w:r>
      <w:r>
        <w:rPr>
          <w:rStyle w:val="FootnoteAnchor"/>
          <w:rtl w:val="true"/>
        </w:rPr>
        <w:footnoteReference w:id="1595"/>
      </w:r>
      <w:r>
        <w:rPr>
          <w:rFonts w:ascii="Amiri" w:hAnsi="Amiri" w:eastAsia="Amiri" w:cs="Amiri"/>
          <w:color w:val="111111"/>
          <w:sz w:val="28"/>
          <w:sz w:val="28"/>
          <w:szCs w:val="28"/>
          <w:rtl w:val="true"/>
          <w:lang w:bidi="ar-SA"/>
        </w:rPr>
        <w:t>، أما وجه الاحتمال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الأدلة، لكنه لو كان فهو بدوي، اللّهم إذا قيل بأنّ الحدود تدرأ بالشبهات ولو ملاكاً،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حال ما إذا قطع أحد يد غيره ثم ألصقها، وما أشبه ذلك</w:t>
      </w:r>
      <w:r>
        <w:rPr>
          <w:rFonts w:eastAsia="Amiri" w:cs="Amiri" w:ascii="Amiri" w:hAnsi="Amiri"/>
          <w:color w:val="111111"/>
          <w:sz w:val="28"/>
          <w:szCs w:val="28"/>
          <w:rtl w:val="true"/>
          <w:lang w:bidi="ar-SA"/>
        </w:rPr>
        <w:t>.</w:t>
      </w:r>
    </w:p>
    <w:p>
      <w:pPr>
        <w:pStyle w:val="Heading2"/>
        <w:numPr>
          <w:ilvl w:val="1"/>
          <w:numId w:val="1"/>
        </w:numPr>
        <w:rPr/>
      </w:pPr>
      <w:bookmarkStart w:id="1432" w:name="__RefHeading___Toc12184753_2142443653"/>
      <w:bookmarkStart w:id="1433" w:name="_Toc557"/>
      <w:bookmarkEnd w:id="1432"/>
      <w:r>
        <w:rPr>
          <w:rtl w:val="true"/>
        </w:rPr>
        <w:t>العودة بعد الموت</w:t>
      </w:r>
      <w:bookmarkEnd w:id="143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أنه كان في بعض الكواكب أُناس عاملون مدركون، وكان الشخص منها إذا مات عاد حياً بعد يوم أو ما أشبه، فهل يجري أحكام الموت هناك من إبانة زوجته واعتدادها، وتقسم أمواله، وبطلان </w:t>
      </w:r>
    </w:p>
    <w:p>
      <w:pPr>
        <w:pStyle w:val="BookText"/>
        <w:rPr/>
      </w:pPr>
      <w:r>
        <w:rPr>
          <w:rFonts w:ascii="Amiri" w:hAnsi="Amiri" w:eastAsia="Amiri" w:cs="Amiri"/>
          <w:color w:val="111111"/>
          <w:sz w:val="28"/>
          <w:sz w:val="28"/>
          <w:szCs w:val="28"/>
          <w:rtl w:val="true"/>
          <w:lang w:bidi="ar-SA"/>
        </w:rPr>
        <w:t>وكالاته ونحو ذلك أم لا؟ احتمالان، وكذا إذا تمكن العلم عندنا من الإحياء بأن صار عادياً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يبعد أن لا تبين زوجته وهكذا، لما ورد في قصة ارميا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سورة البقرة، وعزيز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وعزير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والمرأة التي أحياها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1434" w:name="pg15710_227076"/>
    </w:p>
    <w:p>
      <w:pPr>
        <w:pStyle w:val="BookText"/>
        <w:rPr/>
      </w:pPr>
      <w:bookmarkEnd w:id="1434"/>
      <w:r>
        <w:rPr>
          <w:rFonts w:ascii="Amiri" w:hAnsi="Amiri" w:eastAsia="Amiri" w:cs="Amiri"/>
          <w:color w:val="111111"/>
          <w:sz w:val="28"/>
          <w:sz w:val="28"/>
          <w:szCs w:val="28"/>
          <w:rtl w:val="true"/>
          <w:lang w:bidi="ar-SA"/>
        </w:rPr>
        <w:t>فإنه لم يرد أن الزوجات أُبينوا عن الأزواج، ولو كان لبان، لكن المسألة بعد بحاجة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إخراج الروح عن البدن ثم إرجاعه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ليس من الموت، وفي رواية في البحار أنه كان سابقاً كما كان يفعله أفلاطون وجماعة من الزهاد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تزوج الرجل بأُختها فعادت، أو تزوجت المرأة بعد العدة فعاد، فإنّه لا حق في الرجوع</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5" w:name="__RefHeading___Toc12184755_2142443653"/>
      <w:bookmarkStart w:id="1436" w:name="_Toc558"/>
      <w:bookmarkEnd w:id="1435"/>
      <w:r>
        <w:rPr>
          <w:rtl w:val="true"/>
        </w:rPr>
        <w:t>من أحكام الميت</w:t>
      </w:r>
      <w:bookmarkEnd w:id="143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حفظ الميت في الثلاجة برجاء أن يتوصل العلم إلى إحياء الميت بإذن اللّه، من دون أن يُجرى عليه مراسيم الأموات، كما يُصنع ذلك في بعض بلاد الغرب، أم يجب إجراء المراسيم؟ احتمالان، والظاهر وجوب إجراء المراسيم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هو الآن ميت فله كل أحكامه،ورجاء أن يحيا لايوجب سقوط الحكم</w:t>
      </w:r>
      <w:r>
        <w:rPr>
          <w:rFonts w:eastAsia="Amiri" w:cs="Amiri" w:ascii="Amiri" w:hAnsi="Amiri"/>
          <w:color w:val="111111"/>
          <w:sz w:val="28"/>
          <w:szCs w:val="28"/>
          <w:rtl w:val="true"/>
          <w:lang w:bidi="ar-SA"/>
        </w:rPr>
        <w:t>.</w:t>
      </w:r>
    </w:p>
    <w:p>
      <w:pPr>
        <w:pStyle w:val="Heading2"/>
        <w:numPr>
          <w:ilvl w:val="1"/>
          <w:numId w:val="1"/>
        </w:numPr>
        <w:rPr/>
      </w:pPr>
      <w:bookmarkStart w:id="1437" w:name="__RefHeading___Toc12184757_2142443653"/>
      <w:bookmarkStart w:id="1438" w:name="_Toc559"/>
      <w:bookmarkEnd w:id="1437"/>
      <w:r>
        <w:rPr>
          <w:rtl w:val="true"/>
        </w:rPr>
        <w:t>رؤية ما وراء الأجسام</w:t>
      </w:r>
      <w:bookmarkEnd w:id="143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 إنسان بصره بالوسائل، أو رأى من وراء الأجسام بواسطة النظارات لم يجز أن ينظر إلى عورات الناس، وجسم غير المحارم من وراء الثياب أو خلف الحائط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Heading2"/>
        <w:numPr>
          <w:ilvl w:val="1"/>
          <w:numId w:val="1"/>
        </w:numPr>
        <w:rPr/>
      </w:pPr>
      <w:bookmarkStart w:id="1439" w:name="__RefHeading___Toc12184759_2142443653"/>
      <w:bookmarkStart w:id="1440" w:name="_Toc560"/>
      <w:bookmarkEnd w:id="1439"/>
      <w:r>
        <w:rPr>
          <w:rtl w:val="true"/>
        </w:rPr>
        <w:t>لو انقلب الرجل امرأة</w:t>
      </w:r>
      <w:bookmarkEnd w:id="144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تغير الرجل إلى المرأة أو المرأة إلى الرجل بوسائل </w:t>
      </w:r>
      <w:bookmarkStart w:id="1441" w:name="pg15710_227077"/>
    </w:p>
    <w:p>
      <w:pPr>
        <w:pStyle w:val="BookText"/>
        <w:rPr/>
      </w:pPr>
      <w:bookmarkEnd w:id="1441"/>
      <w:r>
        <w:rPr>
          <w:rFonts w:ascii="Amiri" w:hAnsi="Amiri" w:eastAsia="Amiri" w:cs="Amiri"/>
          <w:color w:val="111111"/>
          <w:sz w:val="28"/>
          <w:sz w:val="28"/>
          <w:szCs w:val="28"/>
          <w:rtl w:val="true"/>
          <w:lang w:bidi="ar-SA"/>
        </w:rPr>
        <w:t xml:space="preserve">علمية مثلاً، كما لو خيط للرجل الرحم وقطعت آلته، وخيط مكانها آلة الأُنوثية، حتى صار امرأة حقيقة، وظهرت عليه كل آثار الأُنوثة، أو بأمر خارق إعجازي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معجزة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جميع آثار الجنس المحول إليه عليه،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زواجه وسقطت ولايته على أولاده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الحكم يتبع الموضوع</w:t>
      </w:r>
      <w:r>
        <w:rPr>
          <w:rFonts w:eastAsia="Amiri" w:cs="Amiri" w:ascii="Amiri" w:hAnsi="Amiri"/>
          <w:color w:val="111111"/>
          <w:sz w:val="28"/>
          <w:szCs w:val="28"/>
          <w:rtl w:val="true"/>
          <w:lang w:bidi="ar-SA"/>
        </w:rPr>
        <w:t>.</w:t>
      </w:r>
    </w:p>
    <w:p>
      <w:pPr>
        <w:pStyle w:val="Heading2"/>
        <w:numPr>
          <w:ilvl w:val="1"/>
          <w:numId w:val="1"/>
        </w:numPr>
        <w:rPr/>
      </w:pPr>
      <w:bookmarkStart w:id="1442" w:name="__RefHeading___Toc12184761_2142443653"/>
      <w:bookmarkStart w:id="1443" w:name="_Toc561"/>
      <w:bookmarkEnd w:id="1442"/>
      <w:r>
        <w:rPr>
          <w:rtl w:val="true"/>
        </w:rPr>
        <w:t>من أحكام انقلاب الجنس</w:t>
      </w:r>
      <w:bookmarkEnd w:id="144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تغيير الجنس الذي فرض في المسائل السابقة مسائل كثيرة في مختلف الأبواب، بعضها بيّن الحكم وبعضها مشكل، فمن البيّن ما ذكر في المسألة السابقة، ومن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مات للرجل المتحول إلى المرأة ولد فهل يكون الميت كإنسان له أُمّان فتعطى كل من الأُم الجديدة والأُم الواقعية إرث الأُم أم لا؟ وهكذا في سائر الفروع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إذا شك وكانت أركان الاستصحاب موجودة فإنه يستصحب، وقد يكون ما نحن فيه كذلك، فأُمه هي الواقعية، وهذا يعتبر أباً له فتأمل، ثم الأحوط في أمثال ذلك التصالح</w:t>
      </w:r>
      <w:r>
        <w:rPr>
          <w:rFonts w:eastAsia="Amiri" w:cs="Amiri" w:ascii="Amiri" w:hAnsi="Amiri"/>
          <w:color w:val="111111"/>
          <w:sz w:val="28"/>
          <w:szCs w:val="28"/>
          <w:rtl w:val="true"/>
          <w:lang w:bidi="ar-SA"/>
        </w:rPr>
        <w:t>.</w:t>
      </w:r>
      <w:bookmarkStart w:id="1444" w:name="pg15710_227078"/>
    </w:p>
    <w:p>
      <w:pPr>
        <w:pStyle w:val="BookText"/>
        <w:rPr/>
      </w:pPr>
      <w:bookmarkEnd w:id="1444"/>
      <w:r>
        <w:rPr>
          <w:rFonts w:ascii="Amiri" w:hAnsi="Amiri" w:eastAsia="Amiri" w:cs="Amiri"/>
          <w:color w:val="111111"/>
          <w:sz w:val="28"/>
          <w:sz w:val="28"/>
          <w:szCs w:val="28"/>
          <w:rtl w:val="true"/>
          <w:lang w:bidi="ar-SA"/>
        </w:rPr>
        <w:t>ومن المسائل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الزوجين المنقلبين هل يبقيان زوجين أم لا؟ لكن ظاهر رواية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ذهبا إلى بيتهما زوجين</w:t>
      </w:r>
      <w:r>
        <w:rPr>
          <w:rStyle w:val="FootnoteAnchor"/>
          <w:rtl w:val="true"/>
        </w:rPr>
        <w:footnoteReference w:id="1598"/>
      </w:r>
      <w:r>
        <w:rPr>
          <w:rFonts w:ascii="Amiri" w:hAnsi="Amiri" w:eastAsia="Amiri" w:cs="Amiri"/>
          <w:color w:val="111111"/>
          <w:sz w:val="28"/>
          <w:sz w:val="28"/>
          <w:szCs w:val="28"/>
          <w:rtl w:val="true"/>
          <w:lang w:bidi="ar-SA"/>
        </w:rPr>
        <w:t>، ولو حرم أحدهما على الآخر للزم البيان</w:t>
      </w:r>
      <w:r>
        <w:rPr>
          <w:rFonts w:eastAsia="Amiri" w:cs="Amiri" w:ascii="Amiri" w:hAnsi="Amiri"/>
          <w:color w:val="111111"/>
          <w:sz w:val="28"/>
          <w:szCs w:val="28"/>
          <w:rtl w:val="true"/>
          <w:lang w:bidi="ar-SA"/>
        </w:rPr>
        <w:t>.</w:t>
      </w:r>
    </w:p>
    <w:p>
      <w:pPr>
        <w:pStyle w:val="Heading2"/>
        <w:numPr>
          <w:ilvl w:val="1"/>
          <w:numId w:val="1"/>
        </w:numPr>
        <w:rPr/>
      </w:pPr>
      <w:bookmarkStart w:id="1445" w:name="__RefHeading___Toc12184763_2142443653"/>
      <w:bookmarkStart w:id="1446" w:name="_Toc562"/>
      <w:bookmarkEnd w:id="1445"/>
      <w:r>
        <w:rPr>
          <w:rtl w:val="true"/>
        </w:rPr>
        <w:t>أثمان اليانصيب</w:t>
      </w:r>
      <w:bookmarkEnd w:id="144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بعنوان اليانصيب مما هو قمار واقعاً يجب رده إلى أصحابه إن عرفوا، وإلا لزم إيصاله إلى الحاكم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حاله حال المظالم المردودة ومجهول المالك، وكذلك يكون حكم ما أخذته الفاجرة والمفعول والفاعل إلى غير ذلك من الأموال الحاصلة من هذا الطريق، كالملاعب به أو بها والمتساحقتين وما أشبه</w:t>
      </w:r>
      <w:r>
        <w:rPr>
          <w:rFonts w:eastAsia="Amiri" w:cs="Amiri" w:ascii="Amiri" w:hAnsi="Amiri"/>
          <w:color w:val="111111"/>
          <w:sz w:val="28"/>
          <w:szCs w:val="28"/>
          <w:rtl w:val="true"/>
          <w:lang w:bidi="ar-SA"/>
        </w:rPr>
        <w:t>.</w:t>
      </w:r>
    </w:p>
    <w:p>
      <w:pPr>
        <w:pStyle w:val="Heading2"/>
        <w:numPr>
          <w:ilvl w:val="1"/>
          <w:numId w:val="1"/>
        </w:numPr>
        <w:rPr/>
      </w:pPr>
      <w:bookmarkStart w:id="1447" w:name="__RefHeading___Toc12184765_2142443653"/>
      <w:bookmarkStart w:id="1448" w:name="_Toc563"/>
      <w:bookmarkEnd w:id="1447"/>
      <w:r>
        <w:rPr>
          <w:rtl w:val="true"/>
        </w:rPr>
        <w:t>الأموال المختلطة</w:t>
      </w:r>
      <w:bookmarkEnd w:id="144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شخص عنده أموال محرمة وأموال محللة، جاز للإنسان أن يتعامل معه، وأن يذهب إلى داره، وأن يأكل من طعامه فيما لم يعلم بحرمة ذلك الشيء، الذي يتصرف فيه أو يخلطه بالحرام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العلم الإجمالي لا ينفذ ما دام ليس كل الأطراف محل الابتلاء،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 لك أبداً حلال حتى تعرف الحرام منه فتدعه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9" w:name="__RefHeading___Toc12184767_2142443653"/>
      <w:bookmarkStart w:id="1450" w:name="_Toc564"/>
      <w:bookmarkEnd w:id="1449"/>
      <w:r>
        <w:rPr>
          <w:rtl w:val="true"/>
        </w:rPr>
        <w:t>الجلود المستوردة</w:t>
      </w:r>
      <w:bookmarkEnd w:id="145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الذي يُجلب من بلاد الكفار محكوم بالنجاسة، لكن إذا شك الإنسان في أنّ هذا الشيء جلد أم لا، ولم يعلم بعد الفحص </w:t>
      </w:r>
      <w:bookmarkStart w:id="1451" w:name="pg15710_227079"/>
    </w:p>
    <w:p>
      <w:pPr>
        <w:pStyle w:val="BookText"/>
        <w:rPr/>
      </w:pPr>
      <w:bookmarkEnd w:id="1451"/>
      <w:r>
        <w:rPr>
          <w:rFonts w:ascii="Amiri" w:hAnsi="Amiri" w:eastAsia="Amiri" w:cs="Amiri"/>
          <w:color w:val="111111"/>
          <w:sz w:val="28"/>
          <w:sz w:val="28"/>
          <w:szCs w:val="28"/>
          <w:rtl w:val="true"/>
          <w:lang w:bidi="ar-SA"/>
        </w:rPr>
        <w:t>جرت أصالة الحل والطهارة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إذا لم يعلم أنّه من بلاد الكفار أم لا، وقد أخذه من يد المسلم أو سوق المسلمين</w:t>
      </w:r>
      <w:r>
        <w:rPr>
          <w:rFonts w:eastAsia="Amiri" w:cs="Amiri" w:ascii="Amiri" w:hAnsi="Amiri"/>
          <w:color w:val="111111"/>
          <w:sz w:val="28"/>
          <w:szCs w:val="28"/>
          <w:rtl w:val="true"/>
          <w:lang w:bidi="ar-SA"/>
        </w:rPr>
        <w:t>.</w:t>
      </w:r>
    </w:p>
    <w:p>
      <w:pPr>
        <w:pStyle w:val="Heading2"/>
        <w:numPr>
          <w:ilvl w:val="1"/>
          <w:numId w:val="1"/>
        </w:numPr>
        <w:rPr/>
      </w:pPr>
      <w:bookmarkStart w:id="1452" w:name="__RefHeading___Toc12184769_2142443653"/>
      <w:bookmarkStart w:id="1453" w:name="_Toc565"/>
      <w:bookmarkEnd w:id="1452"/>
      <w:r>
        <w:rPr>
          <w:rtl w:val="true"/>
        </w:rPr>
        <w:t>الجنين إذا تكلم</w:t>
      </w:r>
      <w:bookmarkEnd w:id="145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العصر الحاضر تكلم طفل في بطن أُمه، فإن صح الخبر كان ذلك دليلاً جديداً على قدرة اللّه تعالى، والمهم في المسألة أنه لو أخبر بشيء يحتاج إلى الثبوت الشرعي،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يثبت بإخباره، إلا إذا حصل لنا العلم من خبره، وكان الشارع لم يجعل طريقاً خاصاً لثبوته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إسرائيل كما ورد، فقد كان إعجازاً، ولعله كان إرهاصاً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للنبوة، ومما تقدم يعلم حال ما لو تكلم الطفل الذي ليس من العادة أن يتكلم، 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قصة يوسف، فإنَّ الطفل قد أتى بإذن اللّه تعالى لهم ببرهان عقلي، ولذا قبلوه وإن لم يقبلوا أنه إرهاص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2"/>
        <w:numPr>
          <w:ilvl w:val="1"/>
          <w:numId w:val="1"/>
        </w:numPr>
        <w:rPr/>
      </w:pPr>
      <w:bookmarkStart w:id="1454" w:name="__RefHeading___Toc12184771_2142443653"/>
      <w:bookmarkStart w:id="1455" w:name="_Toc566"/>
      <w:bookmarkEnd w:id="1454"/>
      <w:r>
        <w:rPr>
          <w:rtl w:val="true"/>
        </w:rPr>
        <w:t>حق الشرف</w:t>
      </w:r>
      <w:bookmarkEnd w:id="145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للمشتكى عليه بالشكاية الباطلة حق الشرف على الشاكي؟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احتمالان إذا لم يسبب له ضرراً، وإلا فدليل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bookmarkStart w:id="1456" w:name="pg15710_227080"/>
    </w:p>
    <w:p>
      <w:pPr>
        <w:pStyle w:val="BookText"/>
        <w:rPr/>
      </w:pPr>
      <w:bookmarkEnd w:id="1456"/>
      <w:r>
        <w:rPr>
          <w:rFonts w:ascii="IRNazanin" w:hAnsi="IRNazanin" w:eastAsia="IRNazanin"/>
          <w:color w:val="111111"/>
          <w:sz w:val="28"/>
          <w:sz w:val="28"/>
          <w:szCs w:val="28"/>
          <w:rtl w:val="true"/>
          <w:lang w:bidi="fa-IR"/>
        </w:rPr>
        <w:t>شامل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احتمال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دل 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شيئاً لبني جذيمة لخوفهم مما فعل خالد بهم</w:t>
      </w:r>
      <w:r>
        <w:rPr>
          <w:rStyle w:val="FootnoteAnchor"/>
          <w:rtl w:val="true"/>
        </w:rPr>
        <w:footnoteReference w:id="1599"/>
      </w:r>
      <w:r>
        <w:rPr>
          <w:rFonts w:ascii="Amiri" w:hAnsi="Amiri" w:eastAsia="Amiri" w:cs="Amiri"/>
          <w:color w:val="111111"/>
          <w:sz w:val="28"/>
          <w:sz w:val="28"/>
          <w:szCs w:val="28"/>
          <w:rtl w:val="true"/>
          <w:lang w:bidi="ar-SA"/>
        </w:rPr>
        <w:t>، فإنَّ ملاكه شامل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عدم الضمان، لكني لم أجد مَنْ تعرض لذلك في كتاب القضاء أو غيره،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حق عرفي فيشمله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يتوى حق امرئ مسلم</w:t>
      </w:r>
      <w:r>
        <w:rPr>
          <w:rFonts w:eastAsia="Amiri" w:cs="Amiri" w:ascii="Amiri" w:hAnsi="Amiri"/>
          <w:color w:val="111111"/>
          <w:sz w:val="28"/>
          <w:szCs w:val="28"/>
          <w:rtl w:val="true"/>
          <w:lang w:bidi="ar-SA"/>
        </w:rPr>
        <w:t>»</w:t>
      </w:r>
      <w:r>
        <w:rPr>
          <w:rStyle w:val="FootnoteAnchor"/>
          <w:rtl w:val="true"/>
        </w:rPr>
        <w:footnoteReference w:id="1600"/>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Heading2"/>
        <w:numPr>
          <w:ilvl w:val="1"/>
          <w:numId w:val="1"/>
        </w:numPr>
        <w:rPr/>
      </w:pPr>
      <w:bookmarkStart w:id="1457" w:name="__RefHeading___Toc12184773_2142443653"/>
      <w:bookmarkStart w:id="1458" w:name="_Toc567"/>
      <w:bookmarkEnd w:id="1457"/>
      <w:r>
        <w:rPr>
          <w:rtl w:val="true"/>
        </w:rPr>
        <w:t>الواجب تجاه الإنسان المختطف</w:t>
      </w:r>
      <w:bookmarkEnd w:id="145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اختطف إنسان أو جماعة إنساناً محترماً، وأعلنوا أنهم يقضون على حياته إلا إذا بذلت الحكومة لهم مطالب خاصة، وجب على الحكومة إعطاء مطالبهم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مطالبهم 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لحفظ ذلك المختطف عن القتل؛ وذلك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المنكر</w:t>
      </w:r>
      <w:r>
        <w:rPr>
          <w:rFonts w:eastAsia="Amiri" w:cs="Amiri" w:ascii="Amiri" w:hAnsi="Amiri"/>
          <w:color w:val="111111"/>
          <w:sz w:val="28"/>
          <w:szCs w:val="28"/>
          <w:rtl w:val="true"/>
          <w:lang w:bidi="ar-SA"/>
        </w:rPr>
        <w:t xml:space="preserve">). </w:t>
      </w:r>
      <w:bookmarkStart w:id="1459" w:name="pg15710_227081"/>
    </w:p>
    <w:p>
      <w:pPr>
        <w:pStyle w:val="BookText"/>
        <w:rPr/>
      </w:pPr>
      <w:bookmarkEnd w:id="14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فيما إذا لم يجب إعطاء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فهنا واجبان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الحق ودفع المنكر</w:t>
      </w:r>
      <w:r>
        <w:rPr>
          <w:rFonts w:eastAsia="Amiri" w:cs="Amiri" w:ascii="Amiri" w:hAnsi="Amiri"/>
          <w:color w:val="111111"/>
          <w:sz w:val="28"/>
          <w:szCs w:val="28"/>
          <w:rtl w:val="true"/>
          <w:lang w:bidi="ar-SA"/>
        </w:rPr>
        <w:t>.</w:t>
      </w:r>
    </w:p>
    <w:p>
      <w:pPr>
        <w:pStyle w:val="Heading2"/>
        <w:numPr>
          <w:ilvl w:val="1"/>
          <w:numId w:val="1"/>
        </w:numPr>
        <w:rPr/>
      </w:pPr>
      <w:bookmarkStart w:id="1460" w:name="__RefHeading___Toc12184775_2142443653"/>
      <w:bookmarkStart w:id="1461" w:name="_Toc568"/>
      <w:bookmarkEnd w:id="1460"/>
      <w:r>
        <w:rPr>
          <w:rtl w:val="true"/>
        </w:rPr>
        <w:t>لو كان الطلب غير مشروع</w:t>
      </w:r>
      <w:bookmarkEnd w:id="146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الطلب في المسألة السابقة غير مشروع فاللازم الموازنة بين المحرمين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ذلك المختطف، ومن إعطاء الطلب غير المشروع من باب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كانا متساويين تخير، وإلا قدم الأهم، إذا كانت أهميته إلى حد المنع عن النقيض</w:t>
      </w:r>
      <w:r>
        <w:rPr>
          <w:rFonts w:eastAsia="Amiri" w:cs="Amiri" w:ascii="Amiri" w:hAnsi="Amiri"/>
          <w:color w:val="111111"/>
          <w:sz w:val="28"/>
          <w:szCs w:val="28"/>
          <w:rtl w:val="true"/>
          <w:lang w:bidi="ar-SA"/>
        </w:rPr>
        <w:t>.</w:t>
      </w:r>
    </w:p>
    <w:p>
      <w:pPr>
        <w:pStyle w:val="Heading2"/>
        <w:numPr>
          <w:ilvl w:val="1"/>
          <w:numId w:val="1"/>
        </w:numPr>
        <w:rPr/>
      </w:pPr>
      <w:bookmarkStart w:id="1462" w:name="__RefHeading___Toc12184777_2142443653"/>
      <w:bookmarkStart w:id="1463" w:name="_Toc569"/>
      <w:bookmarkEnd w:id="1462"/>
      <w:r>
        <w:rPr>
          <w:rtl w:val="true"/>
        </w:rPr>
        <w:t>إذا حكم الجائر بالإعدام</w:t>
      </w:r>
      <w:bookmarkEnd w:id="146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الجائر بالإعدام على جماعة أبرياء، أو جماعة ليس حدهم الشرعي الإعدام، فهل يحق لذوي المعدومين قتل الحاكم قصاصاً، أم لا؟ احتمالان، والمسألة هنا من باب الأهم والمهم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يراد إعدامهم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إذا اُعدموا بالفعل؛ إذ مع الإعدام بالفعل كان لهم حق القصاص فيما كان السبب أقوى من المباشر،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لهم أن يعدموا الحاكم قبل أن يعدمهم؛ وذلك من باب الدفاع، فإن الدفاع كما يجوز لمن هوجم بنفسه كذلك يجوز لمن لم يهاجم بنفسه، بل هوجم أحد ذويه أو إنسان محترم بريء،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والمسألة مشكلة، وعلى فرض الجواز تحتاج إلى إذن الحاكم الشرعي</w:t>
      </w:r>
      <w:r>
        <w:rPr>
          <w:rFonts w:eastAsia="Amiri" w:cs="Amiri" w:ascii="Amiri" w:hAnsi="Amiri"/>
          <w:color w:val="111111"/>
          <w:sz w:val="28"/>
          <w:szCs w:val="28"/>
          <w:rtl w:val="true"/>
          <w:lang w:bidi="ar-SA"/>
        </w:rPr>
        <w:t>.</w:t>
      </w:r>
      <w:bookmarkStart w:id="1464" w:name="pg15710_227082"/>
    </w:p>
    <w:p>
      <w:pPr>
        <w:pStyle w:val="Heading2"/>
        <w:numPr>
          <w:ilvl w:val="1"/>
          <w:numId w:val="1"/>
        </w:numPr>
        <w:rPr/>
      </w:pPr>
      <w:bookmarkStart w:id="1465" w:name="__RefHeading___Toc12184779_2142443653"/>
      <w:bookmarkStart w:id="1466" w:name="_Toc570"/>
      <w:bookmarkEnd w:id="1464"/>
      <w:bookmarkEnd w:id="1465"/>
      <w:r>
        <w:rPr>
          <w:rtl w:val="true"/>
        </w:rPr>
        <w:t>الموت خلال التنويم</w:t>
      </w:r>
      <w:bookmarkEnd w:id="1466"/>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أنام إنساناً نوماً مغناطيسياً فلم يتمكن أن يُرجعه فمات فعليه 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القاتل عرفاً، والكلام هنا هو الكلام في القتل عمداً أو خطأً أو شبه عمد</w:t>
      </w:r>
      <w:r>
        <w:rPr>
          <w:rFonts w:eastAsia="Amiri" w:cs="Amiri" w:ascii="Amiri" w:hAnsi="Amiri"/>
          <w:color w:val="111111"/>
          <w:sz w:val="28"/>
          <w:szCs w:val="28"/>
          <w:rtl w:val="true"/>
          <w:lang w:bidi="ar-SA"/>
        </w:rPr>
        <w:t>.</w:t>
      </w:r>
    </w:p>
    <w:p>
      <w:pPr>
        <w:pStyle w:val="Heading2"/>
        <w:numPr>
          <w:ilvl w:val="1"/>
          <w:numId w:val="1"/>
        </w:numPr>
        <w:rPr/>
      </w:pPr>
      <w:bookmarkStart w:id="1467" w:name="__RefHeading___Toc12184781_2142443653"/>
      <w:bookmarkStart w:id="1468" w:name="_Toc571"/>
      <w:bookmarkEnd w:id="1467"/>
      <w:r>
        <w:rPr>
          <w:rtl w:val="true"/>
        </w:rPr>
        <w:t>لا دية للمنتحر</w:t>
      </w:r>
      <w:bookmarkEnd w:id="146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أعطى المعلم تلميذه ما يستحق فسقط في الامتحان، فتأثر التلميذ فذهب وانتحر لم يكن على المعلم ديته، وكذا لو طلب الولد من والده مالاً أو طلبت الزوجة من زوجها شيئاً فلم يلبِّ طلبهما فذهبا وانتحرا لم يكن على الأب والزوج دية، وهكذا في نظائر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الدية لأنه من فعل الفاعل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أنه ينتحر لا يجوز للمعلم إسقاطه، فإنه من باب الأهم والمهم، ووجوب حفظ الدماء،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تَعَاوَنُواْ عَلَى الإِثْمِ وَالْعُدْوَانِ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كان المال قليلاً وجب الإعطاء دفعاً للمنكر، وإلا لم يجب 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تسلط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يجب في القليل لملاك دفع المنكر بالمال القليل، كما إذا احتاج دفع المنكر إلى الذهاب إلى مسافة قريبة وكان للركوب أُجرة قليلة مثلاً</w:t>
      </w:r>
      <w:r>
        <w:rPr>
          <w:rFonts w:eastAsia="Amiri" w:cs="Amiri" w:ascii="Amiri" w:hAnsi="Amiri"/>
          <w:color w:val="111111"/>
          <w:sz w:val="28"/>
          <w:szCs w:val="28"/>
          <w:rtl w:val="true"/>
          <w:lang w:bidi="ar-SA"/>
        </w:rPr>
        <w:t>.</w:t>
      </w:r>
    </w:p>
    <w:p>
      <w:pPr>
        <w:pStyle w:val="Heading2"/>
        <w:numPr>
          <w:ilvl w:val="1"/>
          <w:numId w:val="1"/>
        </w:numPr>
        <w:rPr/>
      </w:pPr>
      <w:bookmarkStart w:id="1469" w:name="__RefHeading___Toc12184783_2142443653"/>
      <w:bookmarkStart w:id="1470" w:name="_Toc572"/>
      <w:bookmarkEnd w:id="1469"/>
      <w:r>
        <w:rPr>
          <w:rtl w:val="true"/>
        </w:rPr>
        <w:t>دم المغتصب هدر</w:t>
      </w:r>
      <w:bookmarkEnd w:id="147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شخص اللواط أو الزنا بولد أو امرأة فدفعاه، فلم يندفع، فقتلاه لم يكن له عليهما دية</w:t>
      </w:r>
      <w:r>
        <w:rPr>
          <w:rFonts w:eastAsia="Amiri" w:cs="Amiri" w:ascii="Amiri" w:hAnsi="Amiri"/>
          <w:color w:val="111111"/>
          <w:sz w:val="28"/>
          <w:szCs w:val="28"/>
          <w:rtl w:val="true"/>
          <w:lang w:bidi="ar-SA"/>
        </w:rPr>
        <w:t xml:space="preserve">. </w:t>
      </w:r>
      <w:bookmarkStart w:id="1471" w:name="pg15710_227083"/>
    </w:p>
    <w:p>
      <w:pPr>
        <w:pStyle w:val="BookText"/>
        <w:rPr/>
      </w:pPr>
      <w:bookmarkEnd w:id="14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 على ذلك النص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2" w:name="__RefHeading___Toc12184785_2142443653"/>
      <w:bookmarkStart w:id="1473" w:name="_Toc573"/>
      <w:bookmarkEnd w:id="1472"/>
      <w:r>
        <w:rPr>
          <w:rtl w:val="true"/>
        </w:rPr>
        <w:t>دفع القتل بالرشوة</w:t>
      </w:r>
      <w:bookmarkEnd w:id="1473"/>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الحاكم إصدار الحكم بقتل مَنْ لا يستحق القتل، أو أراد الظالم قتل مَنْ لا يستحق القتل، جاز دفع ذلك بالرشوة، بل وجب إذا توقف الدفع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حينئذٍ ليس برشوة؛ لأن الرشوة ما يدفع لإحقاق الباطل، أو إبطال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والمفروض هنا الدفع للحق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حرمة أخذ المرتشي له، وإنه ضامن؛ لأنه من أكل المال بالباطل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4" w:name="__RefHeading___Toc12184787_2142443653"/>
      <w:bookmarkStart w:id="1475" w:name="_Toc574"/>
      <w:bookmarkEnd w:id="1474"/>
      <w:r>
        <w:rPr>
          <w:rtl w:val="true"/>
        </w:rPr>
        <w:t>التعرض لمني الأجنبي</w:t>
      </w:r>
      <w:bookmarkEnd w:id="147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التعرض لمني الأجنبي فيما لا تحمل منه قطعاً، بأن تزرقه في نفسها أو تجلس حيث يحمله الموضع، أم لا يجوز؟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ذلك مثار الشهوة لا يجوز، وكذا إذا كان تخوّف الحمل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احتمال الجواز فلأصالة حل كل شيء، وأما احتمال المنع فلآية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لِفُرُوجِهِمْ حَافِظُونَ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6" w:name="pg15710_227084"/>
    </w:p>
    <w:p>
      <w:pPr>
        <w:pStyle w:val="Heading2"/>
        <w:numPr>
          <w:ilvl w:val="1"/>
          <w:numId w:val="1"/>
        </w:numPr>
        <w:rPr/>
      </w:pPr>
      <w:bookmarkStart w:id="1477" w:name="__RefHeading___Toc12184789_2142443653"/>
      <w:bookmarkStart w:id="1478" w:name="_Toc575"/>
      <w:bookmarkEnd w:id="1476"/>
      <w:bookmarkEnd w:id="1477"/>
      <w:r>
        <w:rPr>
          <w:rtl w:val="true"/>
        </w:rPr>
        <w:t>أهمية الحفاظ على الجنين</w:t>
      </w:r>
      <w:bookmarkEnd w:id="147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حامل وأمكن قلع رحمها للحفاظ على بقاء الجنين حياً وجب إذا لم يمكن بقاء الجنين إلا بهذه الصورة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للأهمية، ومنه يعرف جواز شق البطن ونحوه</w:t>
      </w:r>
      <w:r>
        <w:rPr>
          <w:rFonts w:eastAsia="Amiri" w:cs="Amiri" w:ascii="Amiri" w:hAnsi="Amiri"/>
          <w:color w:val="111111"/>
          <w:sz w:val="28"/>
          <w:szCs w:val="28"/>
          <w:rtl w:val="true"/>
          <w:lang w:bidi="ar-SA"/>
        </w:rPr>
        <w:t>.</w:t>
      </w:r>
    </w:p>
    <w:p>
      <w:pPr>
        <w:pStyle w:val="Heading2"/>
        <w:numPr>
          <w:ilvl w:val="1"/>
          <w:numId w:val="1"/>
        </w:numPr>
        <w:rPr/>
      </w:pPr>
      <w:bookmarkStart w:id="1479" w:name="__RefHeading___Toc12184791_2142443653"/>
      <w:bookmarkStart w:id="1480" w:name="_Toc576"/>
      <w:bookmarkEnd w:id="1479"/>
      <w:r>
        <w:rPr>
          <w:rtl w:val="true"/>
        </w:rPr>
        <w:t>المواجهة الصحيحة</w:t>
      </w:r>
      <w:bookmarkEnd w:id="1480"/>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فتحت مؤسسات التبشير مدرسة أو نحوها، فانصرف إليها المسلمون، وكان بالإمكان فتح مؤسسة إسلامية مشابهة توجب صرف جماعة من المسلمين إلى هذه المؤسسة وجب الفتح، وإذا كانت مؤسسة تبشيرية وأمكن للمسلمين اشترائها وجب الاشتراء، وكذا إذا كان محلاً للحرام كالخمر أو محلاً للفساد كالمبغى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لأنه من دفع المنكر الواجب على القادر، ولو دار الأمر بين فتح مثلها أو اشترائها قدم الثاني؛ لأنه قلع لمادة الفساد، بخلاف الأول الذي هو حد من الفساد</w:t>
      </w:r>
      <w:r>
        <w:rPr>
          <w:rFonts w:eastAsia="Amiri" w:cs="Amiri" w:ascii="Amiri" w:hAnsi="Amiri"/>
          <w:color w:val="111111"/>
          <w:sz w:val="28"/>
          <w:szCs w:val="28"/>
          <w:rtl w:val="true"/>
          <w:lang w:bidi="ar-SA"/>
        </w:rPr>
        <w:t>.</w:t>
      </w:r>
    </w:p>
    <w:p>
      <w:pPr>
        <w:pStyle w:val="Heading2"/>
        <w:numPr>
          <w:ilvl w:val="1"/>
          <w:numId w:val="1"/>
        </w:numPr>
        <w:rPr/>
      </w:pPr>
      <w:bookmarkStart w:id="1481" w:name="__RefHeading___Toc12184793_2142443653"/>
      <w:bookmarkStart w:id="1482" w:name="_Toc577"/>
      <w:bookmarkEnd w:id="1481"/>
      <w:r>
        <w:rPr>
          <w:rtl w:val="true"/>
        </w:rPr>
        <w:t>التكشف لفحوصات الطبيب</w:t>
      </w:r>
      <w:bookmarkEnd w:id="148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للإنسان كشف العورة للطبيب إذا توقف العلاج على ذلك، كما إذا أراد عملية الفتق أو البواسير أو ما أشبه، ويجوز حينئذٍ للطبيب النظر واللمس إذا لم يكن بد إلا من ذلك، ولو أمكن النظر إليها بسبب المرآة أو نحوها فالأحوط عدم النظر مباشرة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من الاضطرار بالنسبة إلى المريض، أما الطبيب فلأن الاضطرار في المريض يتعدى إليه؛ وذلك للتلازم بين إجازة الشارع للمضطر وإجازته للمعالج، وكذا في أشباه 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نفت بذلك لاحتمال كفاية الاضطرار في </w:t>
      </w:r>
      <w:bookmarkStart w:id="1483" w:name="pg15710_227085"/>
    </w:p>
    <w:p>
      <w:pPr>
        <w:pStyle w:val="BookText"/>
        <w:rPr/>
      </w:pPr>
      <w:bookmarkEnd w:id="1483"/>
      <w:r>
        <w:rPr>
          <w:rFonts w:ascii="Amiri" w:hAnsi="Amiri" w:eastAsia="Amiri" w:cs="Amiri"/>
          <w:color w:val="111111"/>
          <w:sz w:val="28"/>
          <w:sz w:val="28"/>
          <w:szCs w:val="28"/>
          <w:rtl w:val="true"/>
          <w:lang w:bidi="ar-SA"/>
        </w:rPr>
        <w:t>الجواز، للعرف، وإنما احتطنا لما ورد في الخنثى من النظر إليه في المرآة</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4" w:name="__RefHeading___Toc12184795_2142443653"/>
      <w:bookmarkStart w:id="1485" w:name="_Toc578"/>
      <w:bookmarkEnd w:id="1484"/>
      <w:r>
        <w:rPr>
          <w:rtl w:val="true"/>
        </w:rPr>
        <w:t>مراجعة المولِّد</w:t>
      </w:r>
      <w:bookmarkEnd w:id="148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مولِّدة وخافت الحامل على نفسها من الوضع بدون المولدة يجوز مراجعة المولِّد، لكن يقتصر في ذلك بالنسبة إليها وإليه بقدر 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لوضوح أن الضرورات تقدر بقدرها، ومثل ذلك مراجعة المريض الطبيبة فيما إذا استلزم الفحص الكشف عنه أو اللمس له، والظاهر أنه لا يجب عليهما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مضطرة أو مضطراً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الأدلة عن مثله، إلا إذا كانت المتعة بكل سهولة وبدون محذور إطلاقاً، فالأحوط التمتع في الموردين، فتأمل</w:t>
      </w:r>
      <w:r>
        <w:rPr>
          <w:rFonts w:eastAsia="Amiri" w:cs="Amiri" w:ascii="Amiri" w:hAnsi="Amiri"/>
          <w:color w:val="111111"/>
          <w:sz w:val="28"/>
          <w:szCs w:val="28"/>
          <w:rtl w:val="true"/>
          <w:lang w:bidi="ar-SA"/>
        </w:rPr>
        <w:t>.</w:t>
      </w:r>
    </w:p>
    <w:p>
      <w:pPr>
        <w:pStyle w:val="Heading2"/>
        <w:numPr>
          <w:ilvl w:val="1"/>
          <w:numId w:val="1"/>
        </w:numPr>
        <w:rPr/>
      </w:pPr>
      <w:bookmarkStart w:id="1486" w:name="__RefHeading___Toc12184797_2142443653"/>
      <w:bookmarkStart w:id="1487" w:name="_Toc579"/>
      <w:bookmarkEnd w:id="1486"/>
      <w:r>
        <w:rPr>
          <w:rtl w:val="true"/>
        </w:rPr>
        <w:t>الولد للفراش</w:t>
      </w:r>
      <w:bookmarkEnd w:id="148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حملت المرأة ذات الزوج بماء غير الزوج، وعلمنا أن الجنين تولد من ذلك الماء لم يلحق الولد بالزوج، وإن شك أن الولد للزوج أو الأجنبي جرت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r>
        <w:rPr>
          <w:rStyle w:val="FootnoteAnchor"/>
          <w:rtl w:val="true"/>
        </w:rPr>
        <w:footnoteReference w:id="16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سعيد الأعرج،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رجلين وقعا على جارية في طهر واحد لمن يكون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 عنده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اللحوق في الصورة الأولى واضح، بل يكون ولد زنا في الحرام، وولد شبهة في الحلال، ولو كان هناك زانيان أو مشتبهان فالحاكم القرعة، وإذا كان زوج وشبهة فلا يبعد القرعة أيضاً</w:t>
      </w:r>
      <w:r>
        <w:rPr>
          <w:rFonts w:eastAsia="Amiri" w:cs="Amiri" w:ascii="Amiri" w:hAnsi="Amiri"/>
          <w:color w:val="111111"/>
          <w:sz w:val="28"/>
          <w:szCs w:val="28"/>
          <w:rtl w:val="true"/>
          <w:lang w:bidi="ar-SA"/>
        </w:rPr>
        <w:t>.</w:t>
      </w:r>
      <w:bookmarkStart w:id="1488" w:name="pg15710_227087"/>
    </w:p>
    <w:p>
      <w:pPr>
        <w:pStyle w:val="Heading2"/>
        <w:numPr>
          <w:ilvl w:val="1"/>
          <w:numId w:val="1"/>
        </w:numPr>
        <w:rPr/>
      </w:pPr>
      <w:bookmarkStart w:id="1489" w:name="__RefHeading___Toc12184799_2142443653"/>
      <w:bookmarkStart w:id="1490" w:name="_Toc580"/>
      <w:bookmarkEnd w:id="1488"/>
      <w:bookmarkEnd w:id="1489"/>
      <w:r>
        <w:rPr>
          <w:rtl w:val="true"/>
        </w:rPr>
        <w:t>فهرست المحتويات</w:t>
      </w:r>
      <w:bookmarkEnd w:id="1490"/>
    </w:p>
    <w:p>
      <w:pPr>
        <w:pStyle w:val="BookText"/>
        <w:rPr/>
      </w:pPr>
      <w:r>
        <w:rPr>
          <w:rFonts w:ascii="Amiri" w:hAnsi="Amiri" w:eastAsia="Amiri" w:cs="Amiri"/>
          <w:color w:val="111111"/>
          <w:sz w:val="28"/>
          <w:sz w:val="28"/>
          <w:szCs w:val="28"/>
          <w:rtl w:val="true"/>
          <w:lang w:bidi="ar-SA"/>
        </w:rPr>
        <w:t>وكالة العهر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وكالة الفساد والشذوذ الجنسي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المقاهي والمطاعم في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السلام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الإسلام و الأسلحة الاستراتيجية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حق تقرير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مجلس الأمم والانتماء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جامعة الدول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الروابط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المعاهدات والأحلاف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مصلحة الإسلام والمسلمين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الوكالات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انتخاب ملكات الجمال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الحفلات الراقصة والسهرات الحمراء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الاستمناء بالإيحاء والتنويم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التنويم الموهم للزنا واللواط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وجوب الغسل في الحالتين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السدر والكافور الاصطناعيان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المساجد بالأبنية الجاهزة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القصص الرومانسية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القصص الغرامية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التصاوير الجنسية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الأسنان الصناعية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العيون الصناعية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الأعضاء الصناعية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الجبيرة في العضو الصناعي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الشعر الصناعي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أنواع الشعر الصناعي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الجلد الصناعي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من أحكام الجلد الصناعي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ردم المستنقعات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بناء الدور المكشوفة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النشرات والإذاعات السرية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التزوير في التوقيع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الألعاب النارية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تبديل الإمضاء والخط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تزوير الشيب أو الشباب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التدليس في التزوير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الكذب في تسجيل الأعمار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من حقوق الدولة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المقاولات والمناقصات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المساومات والامتيازات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فتح الأسواق في البلاد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حرية العمران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الأحياء والجمعيات السكنية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الشروط النافذة في العمران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تحديد البنايات العالية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ترفيع سعر النقد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الماء للجميع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لا منع مع التلف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المجاعة الاصطناعية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تقليد الكفار في المناسبات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التلاعب بالأسواق التجارية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تحجيم الزرع والضرر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التعاون مع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منع التجول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حرية الاجتماعات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غلق العتبات المقدسة والمساجد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قطع المواصلات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التقاص بالثأر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العادات الباطلة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الأعراف والتقاليد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الكفارة الباطلة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الحداد المزيف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الغاية لا تبرر 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الإسلام وتطور الحياة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مشكلة التضخم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مشكلة التضخم الرجالي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قانون الأسر والرقية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الزوج المفقود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الجمال والتجميل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النظافة في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حدود العمل والثقافة للمرأة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التفاوت المصرفي للنقود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أجور الحوالات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اللغة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ترجمة الأحكام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إثبات حقانية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التكليف بقدر المستطاع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أحكام الجاهل بالإسلام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قيمة الإنسان الواقعية ليس بالموازين المعتادة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بيع الأوراق التجارية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التجنس بجنسيتين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بيع الجنسية أو الهوية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المسلم والقوانين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أوراق القروض النقدية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مصارعة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كبس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تخلخل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إضافة جسم غريب على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تقليل وزن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هجرة المكتبات الضخمة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الاعتداء على غير المعتدي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جزاء التعدي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تحالف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دفاع المسلم عن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إخراج النفائس من 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مصير الشيء النفيس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هجرة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المهملات والاستفادة منها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صرف الماء للزرع</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حرية الطرق والمواصلات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قانون المرور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ملء فراغ الشباب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النادي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الحلال يسد مسد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حرمة التحري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المصر على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مباهتة فاعل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الخبير بالأحكام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الإشاعات الكاذبة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وضع القوانين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دائمية الحكم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التحاكم إلى 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لا حكم للحاكم المزيف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حكام الجور والتحاكم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دفع المنكر بغير الحد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أضواء جديدة غير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فرض الظلام مع وجود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السفر إلى الفضاء والعمل حسب موازين تلك الجهات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السفر إلى القطبين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العبادة في الوجه المظلم للقمر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العبادة في الوجه المنير للقمر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العصيان في الفضاء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الصلاة خارج الكبسولة الفضائية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انعكاس نور الشمس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التغذي بأشعة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من مستثنيات الطمأنينة في الأعضاء الصناعية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الصلاة على الثلوج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تشكيل النقابات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حدود النقابات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فرض الترتيب في شؤون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الترتيب في شؤون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فرض الترتيب على أصحاب السيارات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الدولة وفرض 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الحريات الإسلامية هي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حرية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المتآمرون على أمن الدولة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المتآمرون والبغاة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البيوتات المكشوفة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الإشراف على دار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الانتحار بالهواء المسموم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التنفس بلا أجهزة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البقاء في الأجواء القاتلة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البقاء في محل يخشى فيه المرض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الصلاة في الطائرة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العلاقات الجنسية مع الأموات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معاشقة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معاشقة التماثيل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تطبيق حكم الكلي على الفرد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لو كان لرجل 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اتهام البريء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طفل بلا 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تشريح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الجيل الجديد في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الأحكام الشرعية لإنسان الكواكب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التعاطي بيننا وبين إنسان الكواكب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الجن والأرواح والشياطين وأحكامهم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كشف أسرار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حكم تنجيس المساجد المتحركة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الإجناب بالحلال في الفضاء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بيع محطات الفضاء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بيع مراسي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بيع طبقات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تأميم الغابات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تأميم البحار والصحاري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الاشتراكية في المعامل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التحاكم إلى العقول الالكترونية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رضا المتحاكمين بالعقل الالكتروني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حدود أحكام العقول الالكترونية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الخمر لو سقطت عن الإسكار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المسكرات الفضائية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من أحكام المسكر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الفواكه أو الأطعمة الموجبة للإسكار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العقل الآلي وتعيين أول الشهر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حصول العلم من العقل الآلي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الإضراب المستمر عن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الإضراب بإدامة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الإضراب الاحتجاجي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أحكام الإضراب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البلوغ المبكر في الفضاء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البلوغ المتأخر في الفضاء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التسريع في إنتاج الغلات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تركيب الحنطة مع محصول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عام الخمس في الكواكب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لو تبدلت أيام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لو لم تطلع الشمس أُسبوعاً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لو لم تغرب الشمس أُسبوعاُ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ظهور شمس جديدة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ضمان صاحب المرض المعدي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نوادي العراة والشذوذ الجنسي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أُجور المومسات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الارتباط بأرواح المعذبين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المواد التي تلصق بالجسم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شهادة الزور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البشرية والنضج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الذهب للرجال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تربية الطفل خارج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المؤسسات العامة للمساعدة والإنقاذ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مناسبات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لو تضاعف الوزن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تضاعف الوزن في الكواكب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الغاز الخارج في منابع النفط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استخدام الذرة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استماع نشرات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من شروط منع الاستماع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استماع الأخبار المضللة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الهاتف الصحراوي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إطلاق النار على المجرمين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المقتول على أيدي المجرمين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الصمود في المظاهرات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إنقاذ النفس من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قتل الأُخت والزوجة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تفريق المتظاهرين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القنابل المسيلة للدموع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تقديم وتأخير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تكثير وتقليل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تكثير دفعات الحيض وتقليله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إيجاد الحيض وإعدامه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من أحكام تحقق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قطع الحيض بالوسيلة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النفاس والاستحاضة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التلاعب بالاستحاضة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الفرار من المواقعة الجنسية بين الزوجين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النفقة بعد تحقيق الفرار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سحب الدم بالآلة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الحيض لا من المخرج المتعارف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تسريع نبع دم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تكثير أيام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تقطيع دم الحيض بالآلة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السجود على ما صار مأكولاً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السجود على ما صار غير مأكول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السجود على ما كان ملبوساً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الحرير من الحيوانات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تغيير مادة الحرير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لجنة مراسم الدفن في الهلال الأحمر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زيارة الأرواح للأئمة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نهج البلاغة في الإذاعات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الأدعية في الإذاعات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التبليغ الإسلامي عبر الإذاعات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استيجار الدراجة الهوائية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إثبات الاتهام بالوسائل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بصمات الأصابع</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مجال استناد الحاكم إلى 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الإيذاء عبر جهاز التنبيه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الإيذاء عبر وسائل النقل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الاصطدام بالسيارة </w:t>
      </w:r>
      <w:r>
        <w:rPr>
          <w:rFonts w:eastAsia="Amiri" w:cs="Amiri" w:ascii="Amiri" w:hAnsi="Amiri"/>
          <w:color w:val="111111"/>
          <w:sz w:val="28"/>
          <w:szCs w:val="28"/>
          <w:lang w:bidi="ar-SA"/>
        </w:rPr>
        <w:t>186</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أحكام الاصطدام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مستثنيات الدين وأحكامها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اصطدام القطار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القتل بالاصطدام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الأطفال وارتكاب المحرمات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من أحكام الغصب في الأموال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فضاء المسجد وحدوده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التقاط صور العمارات والأبنية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تصوير مواقع الجيش والسلاح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فضح المسلم المستور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كشف أموال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فضاء الكعبة وحدوده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الاتصال بصلاة الجماعة عبر الراديو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من أحكام النقل الجوي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اختطاف الطائرات والسيارات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تبديل الصفيف إلى الدفيف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تبديل الدفيف إلى الصفيف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التصرف في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تنصيف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تمديد حمل الجنين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تقليص حمل الجنين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تربية الجنين خارج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التركيب بين الحيوانات المحرمة والمحللة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تسميم الأجواء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أجهزة التنبيه المؤذية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تغيير لون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تحويل الدم إلى لبن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فصائل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تغيير الفأر طائراً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الخفاش بلا جناح</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من أحكام تغيير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شفافية جسد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شفافية جسد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تحنيط الأموات لبقاء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التحنيط لو أتلف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جوف الأُنثى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جوف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الزنا قبل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الزنا بعد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تشبّه الرجل بالمرأة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تشبّه المرأة بالرجل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إجراء الصيغة بالقلب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جائزة نوبل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إجراء العقد بالآلة أو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الغش بالاستعطاف</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الاستعطاف لأجل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الاستنفاع بالحيوان مخادعة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جرائم الشحاذين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احتكار المرافق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الإسراف في الموقوفات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الاسترزاق عن طريق الغرائب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الخداع في الغرائب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التصرف في الشؤون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إيذاء الناس مادياً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التصرف في ممتلكات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التصرف في ممتلكات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تعارض المصلحتين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دورة المياه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الحدائق العامة وأحكامها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قطف الزهور من الحدائق</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توسيع الشوارع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العبادة مع العمل في وسائل النقل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الهروب من السجن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من أحكام الضيافة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التصرف في الأمكنة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التستر بغير الثوب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رؤية المحرمات بالمرايا المعاكسة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من أحكام النظر بواسطة الأجهزة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الرؤية المشوهة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اندراس المقابر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تبديل المقبرة أو نقلها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خروج الجثة من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نقل القبر بالأجهزة الحديثة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التيمم في السجن المغصوب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الفرار بنقب السجن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الهيروئين والمخدرات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مهرب المخدرات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الكواكب الأُخرى وأول الشهر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التاريخ في الكواكب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اختلاف أول الشهر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حكم الإعدام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الكسوف المرئي في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ظهور الآيات في الكواكب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الأعياد في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التوقيت في الكواكب البعيدة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لو كان للكواكب توقيت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الإقامة في المحطات الفضائية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نفقات ارتياد الفضاء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الموت في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الموت في المحطات الفضائية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الاعتكاف في الفضاء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التمركز خارج الجاذبية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ائتلاف الأفراد بالزكاة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الزكاة للبعثات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ضمان المتظاهرين للمتلفات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موارد جديدة لصرف الزكاة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الخمس في أحجار الفضاء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الكوكب إذا كان معدناً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المستخرجات من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لو اجتازت الطائرة بالمواقيت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المدارس العلمية المغتصبة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الوباء في مكة والمواقف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من واجب العلماء إزاء البدعة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سكوت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الأُمور العامة للمسلمين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المعاهدات الدولية مع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الاستعمار السياسي والاقتصادي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المعاهدات الاقتصادية مع الأجانب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الشركات الاستعمارية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الشركات المساهمة مع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تطهير مظاهر الخمور والفجور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من واجب الدول الإسلامية تجاه الدول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دعم الفئات والدول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وجوب الإنقاذ عيني وكفائي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المؤسسات والمنظمات المندسة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مقاطعة المؤسسات الاستعمارية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التطلع على عورات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المحلات التجارية واستخدام الفتيات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المحلات التجارية واستخدام الفتيان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السياقة للنساء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استخدام السائق غير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استخدام الكافر للطبخ والغسل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ترك المرأة وحدها مع الأجنبي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استخدام الفتيات في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السكرتيرة المكشفة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خياطة الرجل للنساء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المنازع النسائية في المحلات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في محلات المصورين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إشعال الفتن بين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حدود إلقاء 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عدم جواز إيذاء أبناء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إيذاء الأسرى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المقابلة بالمثل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خطف الأبرياء وتعذيبهم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الاختطاف لأجل حق مشروع</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مخادعة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استمناء الحيوان للعلاج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نزو الحيوانات فيما بينها </w:t>
      </w:r>
      <w:r>
        <w:rPr>
          <w:rFonts w:eastAsia="Amiri" w:cs="Amiri" w:ascii="Amiri" w:hAnsi="Amiri"/>
          <w:color w:val="111111"/>
          <w:sz w:val="28"/>
          <w:szCs w:val="28"/>
          <w:lang w:bidi="ar-SA"/>
        </w:rPr>
        <w:t>282</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تسجيل الأملاك بأسماء بديلة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اختطاف أولاد التجار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الإسلام تقدمي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ذبح الحيوانات في الشوارع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تجميل المحلات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حدود التصرفات الفردية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مراجعة الطبيب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التراب المطهر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العملية الجراحية ونسبة النجاح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نصرة المظلوم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الصوم مع اختلاف الآفاق</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تصوير وتمثيل ذكريات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التأليف حول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مفاتيح لأبواب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الهوايات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مراسلة الفتيات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سرقة الأسماء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الضغط على أهل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الديبلوماسيات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تكوين الجمعيات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الحجز على فاعل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التحالف مع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الأجنحة على الطرق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الأبواب على الطرق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النافذة على بيت الجار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تأجير الوسائل الحديثة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السياقة بلا إجازة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الدكتور ضامن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إعارة الأسلحة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إجارة الأسلحة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الإيداع في المصارف الربوية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المسروق إذا ثبت كونه 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الصفقات الفضائية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الإفلاس في الدول والشركات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تصفية الشركات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الوكالات التجارية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السكنى داخل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الوقف الضائع</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السيول المصطنعة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خرق حاجز الصوت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الأصوات المسببة للإجهاض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تهديم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إعادة الوقف من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الترفيه عن الزائرين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الفوضى في مصارف الأوقاف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صرف الوقف في غير مورده </w:t>
      </w:r>
      <w:r>
        <w:rPr>
          <w:rFonts w:eastAsia="Amiri" w:cs="Amiri" w:ascii="Amiri" w:hAnsi="Amiri"/>
          <w:color w:val="111111"/>
          <w:sz w:val="28"/>
          <w:szCs w:val="28"/>
          <w:lang w:bidi="ar-SA"/>
        </w:rPr>
        <w:t>299</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الوقف لا يبطل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الادعاء الخادع للحكومات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الانهزامية الفكرية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الوصية في آلة التسجيل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الوصية بقراءة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كيفية إنفاذ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توسيع المراكز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المراكز المقدسة منطلقات تبليغية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تخدير السمك للصيد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تخدير الطيور والوحوش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القنابل غير المبيدة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أحواض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الوصية بالوسائل الحديثة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حريم حقول البترول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حدود التعميق في الآبار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حريم المراكز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ملكية القنوات والخلجان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من حقوق الذمي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من أحكام المعادن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الزواج من نجوم السينما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الزواج من ملكات الجمال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الزواج من المليونيرات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مراقصة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تبديل الأزواج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لعبة المفاتيح الحمراء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النظر إلى الكافرات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نكاح الشغار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التمتع بالراقصات</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الحلق والختان بالمحاليل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إزالة الوشم بالآلات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اللبن المجفف</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الامتناع عن النسل المشوه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التوائم المختلفين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واجبات دور الحضانة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الإجهاض مباشرة أو تسبيباً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مطالبة طلاق الخلع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كشف هوية الجنين بالأشعة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موت المتوارثين سوية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اتخاذ الحمام الراعب</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تأسيس حديقة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لا للمؤسسات التبشيرية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تناقل ما يوهن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من أحكام المراكز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تصوير المراكز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المساجد الأثرية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إعادة المراكز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إشاعة الجنس في المدارس والإعلام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ركن التعارف بين الجنسين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التعذيب القاتل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تسلق الجبال والألعاب الرياضية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إزالة البكارة بالعملية الجراحية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تعقيب الطفل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المتلف ضامن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من أحكام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التقاط صور الحوادث</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رش الماء في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من حقوق العامل</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العمل في مناجم الفحم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من حقوق صاحب المنجم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المصارعة الحرة وأحكامها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الطوابع الباطلة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التعامل مع المصارف</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من أحكام المصارف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التأمين على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التأمين من الكوارث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من أحكام التأمين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من واجب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تقوية الأمصال الشعرية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إزالة السمنة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الجنين لو كان مضراً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تحبيل الدابة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الكسل الجنسي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مكافحة الكسل الجنسي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الممارسة الجنسية المؤذية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من حقوق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وطء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استعمال الآلة المطاطية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الألعاب الخطرة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الاستمناء بالتخيل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خرق الغلاف الجوي للأرض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مكافحة الكوارث الطبيعية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إبادة الحشرات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تخفيف آلام المخاض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التسكين والتخدير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الحد من سراية الأمراض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حرية زيارة المراكز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تسعير الأجناس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لا شفاعة مع ثبوت الجرم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لا شفاعة لأهل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مدح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الإعانة على البغاء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تثقيل الوزن وتخفيفه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الوزن خارج الجاذبية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تغيير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البول إذا تغير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الفضلات المتغيرة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العدة في القطبين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العدة في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التحديدات الشرعية في القطبين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الرضاع بالآلة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الحيض الآلي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من أحكام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اختلاف العيد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الاختلاف في الأضحى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الاختلاف في المناسبات المستحبة والمكروهة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الصلاة والآفاق المختلفة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نذر يوم 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الصلاة في الطائرة العمودية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الصوم في الآفاق القطبية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إذا تسرعت حركة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إذا تثبّطت حركة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الغلات الكيماوية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لو تغيّرت الحنطة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تغيير الإبل بالتزريق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الذهب إذا صار فلزاً آخر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المتعدد الأيدي والأرجل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لو انخسفت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الآيات في الكواكب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تكرر الآيات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الزلازل المستمرة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الزلزلة في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الكسوفان بالمجهر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الإحياء بعد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العودة بعد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من أحكام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رؤية ما وراء الأجسام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لو انقلب الرجل امرأة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من أحكام انقلاب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أثمان اليانصيب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الأموال المختلطة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الجلود المستوردة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الجنين إذا 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حق الشرف</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الواجب تجاه الإنسان المختطف</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لو كان الطلب غير مشروع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إذا حكم الجائر بالإعدام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الموت خلال التنويم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لا دية للمنتحر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 المغتصب هدر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دفع القتل بالرشوة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التعرض لمني الأجنبي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أهمية الحفاظ على الجنين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المواجهة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التكشف لفحوصات الطبيب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مراجعة المولِّد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وكالة العهر في هذه الصفحة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وكالة العهر في هذه الصفحة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وكالة العهر في هذه الصفحة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وكالة العهر في هذه الصفحة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الشماتة بالمؤمن، وفعل ما يوجب الشماتة وان لم يكن بالقول، فإنه بالإضافة إلى الدليل الخاص إهانة وإذلال وتحقير وهتك وكلها 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قدح المؤمن لأنه من السباب والهتك والإهانة والإيذاء وغير ذلك من العناوين العامة، فالأدلة على حرمتها تدل على حرمته؛ لأنه أحد صغرياتها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الشماتة بالمؤمن، وفعل ما يوجب الشماتة وان لم يكن بالقول، فإنه بالإضافة إلى الدليل الخاص إهانة وإذلال وتحقير وهتك وكلها 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قدح المؤمن لأنه من السباب والهتك والإهانة والإيذاء وغير ذلك من العناوين العامة، فالأدلة على حرمتها تدل على حرمته؛ لأنه أحد صغرياتها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الشماتة بالمؤمن، وفعل ما يوجب الشماتة وان لم يكن بالقول، فإنه بالإضافة إلى الدليل الخاص إهانة وإذلال وتحقير وهتك وكلها 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قدح المؤمن لأنه من السباب والهتك والإهانة والإيذاء وغير ذلك من العناوين العامة، فالأدلة على حرمتها تدل على حرمته؛ لأنه أحد صغرياتها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حيث ذكر عدة أقوال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حيث ذكر عدة أقوال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حيث ذكر عدة أقوال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من يجب جهاده فالواجب على المسلمين النفور إليهم، إما لكفهم وإما لنقلهم إلى الإسلام، فإن بدأوا فالواجب محاربتهم، وإن كفوا وجب بحسب المكنة، وأقله في كل عام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الدول العربية في هذه الصفحة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الدول العربية في هذه الصفحة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والأحلاف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والأحلاف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والأحلاف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والأحلاف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والأحلاف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الوكالات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الوكالات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الوكالات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الطهارة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 يوجب الغسل باعتبار خروج منيها، وإن كان ذلك بعد غسلها عن الجماع؛ لما دل من أن المرأة يخرج منها المني، وإن خروج منيها يوجب الغسل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الإدخال بغلاف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الإدخال بغلاف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المكاسب المحرمة في مستثنيات الكذب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المكاسب المحرمة في مستثنيات الكذب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المكاسب المحرمة في مستثنيات الكذب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المكاسب المحرمة في مستثنيات الكذب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تهييج الشهوة بالأجنبية ونحوها محرم شرعاً،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فَيَطْمَعَ الَّذي في قَلْبِهِ 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مناطه شامل للمقام، ولا خصوصية في الآية لنساء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وإنما هن المخاطبات من باب المورد بقرينة سياق الآية، أما تهييجها بقراءة كتاب مثير أو ركوب فرس يوجبه أو تذكر كذلك، أو لمس لجسد نفسه إلى أمثالها فليس بمحرم؛ إذ لا دليل عليه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فما بعد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التصوير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شرح 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التصوير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شرح 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التصوير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شرح 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التصوير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التصوير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شرح 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شرح 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الصناعي وأحكامه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الصناعي وأحكامه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دفن الأجزاء المبانة من الميت حتى الشعر والسن والظفر، وأمّا السن أو الظفر من الحي فلا يجب دفنهما وإن كان معهما شيء يسير من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يستحب دفنهما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متاحف الفراعنة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الصناعي وأحكامه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مطبق الشفتين من الباطن، وكذا مطبق الجفنين، فالمناط في الظاهر فيهما ما يظهر منهما بعد التطبيق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الجبيرة في العضو الصناعي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مطبق الشفتين من الباطن، وكذا مطبق الجفنين، فالمناط في الظاهر فيهما ما يظهر منهما بعد التطبيق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مطبق الشفتين من الباطن، وكذا مطبق الجفنين، فالمناط في الظاهر فيهما ما يظهر منهما بعد التطبيق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الجبيرة في العضو الصناعي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الجبيرة في العضو الصناعي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الأعضاء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الأعضاء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الأعضاء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الأعضاء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الأعضاء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الأعضاء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الأعضاء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الأعضاء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الأعضاء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الجلد الصناعي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الجلد الصناعي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الجلد الصناعي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الاقتصاد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وكتاب السياسة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وقع ورق القرآن أو غيره من المحترمات في بيت الخلاء أو بالوعته وجب إخراجه، ولو بأجرة، وإن لم يمكن فالأحوط والأولى سد بابه، وترك التخلي فيه إلى أن يضمحل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الاقتصاد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وكتاب السياسة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وقع ورق القرآن أو غيره من المحترمات في بيت الخلاء أو بالوعته وجب إخراجه، ولو بأجرة، وإن لم يمكن فالأحوط والأولى سد بابه، وترك التخلي فيه إلى أن يضمحل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الاقتصاد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وكتاب السياسة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وقع ورق القرآن أو غيره من المحترمات في بيت الخلاء أو بالوعته وجب إخراجه، ولو بأجرة، وإن لم يمكن فالأحوط والأولى سد بابه، وترك التخلي فيه إلى أن يضمحل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أبي عمير، عن عمر بن أذينة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كتبت إلى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أسأله عن رجل له كرم أيبيع العنب والتمر ممن يعلم أنه يجعله خمراً أو سكراً؟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باعه حلالاً في الإبان الذي يحل شربه أو أكله فلا بأس ببيعه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بيع العنب ممن يعمله خمراً بقصد أن يعمله، وكذا بيع الخشب بقصد أن يعمله صنماً أو صليباً؛ لأن فيه إعانة على الإثم والعدوان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إشكال ولا خلاف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لم يقصد ذلك فالأكثر على عدم التحريم، للأخبار المستفيضة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أبي عمير، عن عمر بن أذينة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كتبت إلى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أسأله عن رجل له كرم أيبيع العنب والتمر ممن يعلم أنه يجعله خمراً أو سكراً؟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باعه حلالاً في الإبان الذي يحل شربه أو أكله فلا بأس ببيعه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بيع العنب ممن يعمله خمراً بقصد أن يعمله، وكذا بيع الخشب بقصد أن يعمله صنماً أو صليباً؛ لأن فيه إعانة على الإثم والعدوان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إشكال ولا خلاف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لم يقصد ذلك فالأكثر على عدم التحريم، للأخبار المستفيضة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أبي عمير، عن عمر بن أذينة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كتبت إلى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أسأله عن رجل له كرم أيبيع العنب والتمر ممن يعلم أنه يجعله خمراً أو سكراً؟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باعه حلالاً في الإبان الذي يحل شربه أو أكله فلا بأس ببيعه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بيع العنب ممن يعمله خمراً بقصد أن يعمله، وكذا بيع الخشب بقصد أن يعمله صنماً أو صليباً؛ لأن فيه إعانة على الإثم والعدوان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إشكال ولا خلاف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لم يقصد ذلك فالأكثر على عدم التحريم، للأخبار المستفيضة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أبي عمير، عن عمر بن أذينة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كتبت إلى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أسأله عن رجل له كرم أيبيع العنب والتمر ممن يعلم أنه يجعله خمراً أو سكراً؟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باعه حلالاً في الإبان الذي يحل شربه أو أكله فلا بأس ببيعه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بيع العنب ممن يعمله خمراً بقصد أن يعمله، وكذا بيع الخشب بقصد أن يعمله صنماً أو صليباً؛ لأن فيه إعانة على الإثم والعدوان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إشكال ولا خلاف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لم يقصد ذلك فالأكثر على عدم التحريم، للأخبار المستفيضة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النشرات والإذاعات السرية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النشرات والإذاعات السرية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النشرات والإذاعات السرية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التزوير في التوقيع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الواجبات والمحرمات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على الإنسان المؤمن أن يهين نفسه ويذلها، كما يحرم على الغير إهانته وإذلاله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التزوير في التوقيع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التزوير في التوقيع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الواجبات والمحرمات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على الإنسان المؤمن أن يهين نفسه ويذلها، كما يحرم على الغير إهانته وإذلاله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التزوير في التوقيع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التزوير في التوقيع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الواجبات والمحرمات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على الإنسان المؤمن أن يهين نفسه ويذلها، كما يحرم على الغير إهانته وإذلاله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الواجبات والمحرمات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على الإنسان المؤمن أن يهين نفسه ويذلها، كما يحرم على الغير إهانته وإذلاله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فضال، عن الحسن بن الجهم،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اختضب بالسواد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أراك قد اختضبت بالسواد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الخضاب أجراً، والخضاب والتهيئة مما يزيد اللّه عز وجل في عفة النساء، ولقد ترك النساء العفة بترك أزواجهن لهن التهيئة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التزوير في التوقيع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في تسجيل الأعمار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جامع المدارك</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فضال، عن الحسن بن الجهم،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اختضب بالسواد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أراك قد اختضبت بالسواد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الخضاب أجراً، والخضاب والتهيئة مما يزيد اللّه عز وجل في عفة النساء، ولقد ترك النساء العفة بترك أزواجهن لهن التهيئة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فضال، عن الحسن بن الجهم،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اختضب بالسواد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أراك قد اختضبت بالسواد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الخضاب أجراً، والخضاب والتهيئة مما يزيد اللّه عز وجل في عفة النساء، ولقد ترك النساء العفة بترك أزواجهن لهن التهيئة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التزوير في التوقيع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في تسجيل الأعمار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التزوير في التوقيع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في تسجيل الأعمار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جامع المدارك</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جامع المدارك</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الواجبات والمحرمات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التدليس الذي علم من الشريعة عدم جوازه، وقد يكون من أقسام الغش في البيع ونحوه، وكذلك التدليس في الحديث مما يوجب الإضلال، سواء في الراوي أم في المروي عنه، أم في نفس الرواية، ومنه تدليس الماشطة وتدليس ولي المرأة وإظهارها بكراً إلى غير ذلك</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التزوير في التوقيع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التزوير في التوقيع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التزوير في التوقيع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التزوير في التوقيع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التزوير في التوقيع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في مستثنيات الكذب، بحث الكذب عند الاضطرار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الكذب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في مستثنيات الكذب، بحث الكذب عند الاضطرار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كتاب الزكاة،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في مستثنيات الكذب، بحث الكذب عند الاضطرار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في مستثنيات الكذب، بحث الكذب عند الاضطرار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كتاب الزكاة،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الكذب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في مستثنيات الكذب، بحث الكذب عند الاضطرار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كتاب الزكاة،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كتاب الزكاة،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حقوق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المقاولات والمناقصات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حقوق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المقاولات والمناقصات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المقاولات والمناقصات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حقوق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حقوق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المقاولات والمناقصات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المقاولات والمناقصات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القواعد الفقهية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القواعد الفقهية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المساومات والامتيازات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المساومات والامتيازات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حقوق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حقوق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تحديد البنايات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تحديد البنايات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تحديد البنايات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الاقتصاد</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موسوعة الفقه، كتاب السياسة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الاقتصاد</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موسوعة الفقه، كتاب السياسة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حرية العمران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السيد البجنوردي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السيد البجنوردي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السيد البجنوردي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ترفيع سعر النقد في هذه الصفحة، ومسألة التلاعب بالأسواق التجارية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ترفيع سعر النقد في هذه الصفحة، ومسألة التلاعب بالأسواق التجارية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ترفيع سعر النقد في هذه الصفحة، ومسألة التلاعب بالأسواق التجارية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التلاعب بالأسواق التجارية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التلاعب بالأسواق التجارية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تحديد البنايات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تحديد البنايات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خَلَقَ لَكُم مَّا فِي الأَرْضِ جَمِيعاً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خَلَقَ لَكُم مَّا فِي الأَرْضِ جَمِيعاً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خَلَقَ لَكُم مَّا فِي الأَرْضِ جَمِيعاً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الأمر بالمعروف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توقف النهي على الإضرار المالي، كما لو كان بائع الخمر لا ينقلع إلا بكسر أواني خمره، أو إحراق دكانه فالظاهر الجواز تكليفاً وعدم الضمان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الجواز تكليفاً فلإطلاقات أدلة الأمر والنهي، مع تلازمها عرفاً في كثير من الأحيان لهذه الأمور؛ ولذا نقول بالوجوب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بأن بين أدلة حرمة الإتلاف وبين أدلة الأمر والنهي عموماً من وجه، فلا وجه لتقديم أدلة الأمر والنهي على أدلة الإتلاف غير تام؛ إذ أدلة الأمر والنهي حاكمة، كحكومتها على أدلة حرمة الإيذاء فيما لو استلزم الأمر والنهي الإيذاء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الإذن في الشيء إذن في لوازمه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الأمر بالمعروف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توقف النهي على الإضرار المالي، كما لو كان بائع الخمر لا ينقلع إلا بكسر أواني خمره، أو إحراق دكانه فالظاهر الجواز تكليفاً وعدم الضمان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الجواز تكليفاً فلإطلاقات أدلة الأمر والنهي، مع تلازمها عرفاً في كثير من الأحيان لهذه الأمور؛ ولذا نقول بالوجوب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بأن بين أدلة حرمة الإتلاف وبين أدلة الأمر والنهي عموماً من وجه، فلا وجه لتقديم أدلة الأمر والنهي على أدلة الإتلاف غير تام؛ إذ أدلة الأمر والنهي حاكمة، كحكومتها على أدلة حرمة الإيذاء فيما لو استلزم الأمر والنهي الإيذاء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الإذن في الشيء إذن في لوازمه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الأمر بالمعروف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توقف النهي على الإضرار المالي، كما لو كان بائع الخمر لا ينقلع إلا بكسر أواني خمره، أو إحراق دكانه فالظاهر الجواز تكليفاً وعدم الضمان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الجواز تكليفاً فلإطلاقات أدلة الأمر والنهي، مع تلازمها عرفاً في كثير من الأحيان لهذه الأمور؛ ولذا نقول بالوجوب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بأن بين أدلة حرمة الإتلاف وبين أدلة الأمر والنهي عموماً من وجه، فلا وجه لتقديم أدلة الأمر والنهي على أدلة الإتلاف غير تام؛ إذ أدلة الأمر والنهي حاكمة، كحكومتها على أدلة حرمة الإيذاء فيما لو استلزم الأمر والنهي الإيذاء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الإذن في الشيء إذن في لوازمه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الأمر بالمعروف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توقف النهي على الإضرار المالي، كما لو كان بائع الخمر لا ينقلع إلا بكسر أواني خمره، أو إحراق دكانه فالظاهر الجواز تكليفاً وعدم الضمان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الجواز تكليفاً فلإطلاقات أدلة الأمر والنهي، مع تلازمها عرفاً في كثير من الأحيان لهذه الأمور؛ ولذا نقول بالوجوب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بأن بين أدلة حرمة الإتلاف وبين أدلة الأمر والنهي عموماً من وجه، فلا وجه لتقديم أدلة الأمر والنهي على أدلة الإتلاف غير تام؛ إذ أدلة الأمر والنهي حاكمة، كحكومتها على أدلة حرمة الإيذاء فيما لو استلزم الأمر والنهي الإيذاء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الإذن في الشيء إذن في لوازمه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الأمر بالمعروف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توقف النهي على الإضرار المالي، كما لو كان بائع الخمر لا ينقلع إلا بكسر أواني خمره، أو إحراق دكانه فالظاهر الجواز تكليفاً وعدم الضمان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الجواز تكليفاً فلإطلاقات أدلة الأمر والنهي، مع تلازمها عرفاً في كثير من الأحيان لهذه الأمور؛ ولذا نقول بالوجوب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بأن بين أدلة حرمة الإتلاف وبين أدلة الأمر والنهي عموماً من وجه، فلا وجه لتقديم أدلة الأمر والنهي على أدلة الإتلاف غير تام؛ إذ أدلة الأمر والنهي حاكمة، كحكومتها على أدلة حرمة الإيذاء فيما لو استلزم الأمر والنهي الإيذاء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الإذن في الشيء إذن في لوازمه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لبس لباس الشهرة بأن يلبس خلاف زيه من حيث جنس اللباس، أو من حيث لونه، أو من حيث وضعه وتفصيله وخياطته كأن يلبس العالم لباس الجندي أو بالعكس مثلاً، وكذا يحرم على الأحوط لبس الرجال ما يختص بالنساء وبالعكس، والأحوط ترك الصلاة فيهما وإن كان الأقوى عدم البطلان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فقهية،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لبس لباس الشهرة بأن يلبس خلاف زيه من حيث جنس اللباس، أو من حيث لونه، أو من حيث وضعه وتفصيله وخياطته كأن يلبس العالم لباس الجندي أو بالعكس مثلاً، وكذا يحرم على الأحوط لبس الرجال ما يختص بالنساء وبالعكس، والأحوط ترك الصلاة فيهما وإن كان الأقوى عدم البطلان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لبس لباس الشهرة بأن يلبس خلاف زيه من حيث جنس اللباس، أو من حيث لونه، أو من حيث وضعه وتفصيله وخياطته كأن يلبس العالم لباس الجندي أو بالعكس مثلاً، وكذا يحرم على الأحوط لبس الرجال ما يختص بالنساء وبالعكس، والأحوط ترك الصلاة فيهما وإن كان الأقوى عدم البطلان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فقهية،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لبس لباس الشهرة بأن يلبس خلاف زيه من حيث جنس اللباس، أو من حيث لونه، أو من حيث وضعه وتفصيله وخياطته كأن يلبس العالم لباس الجندي أو بالعكس مثلاً، وكذا يحرم على الأحوط لبس الرجال ما يختص بالنساء وبالعكس، والأحوط ترك الصلاة فيهما وإن كان الأقوى عدم البطلان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لبس لباس الشهرة بأن يلبس خلاف زيه من حيث جنس اللباس، أو من حيث لونه، أو من حيث وضعه وتفصيله وخياطته كأن يلبس العالم لباس الجندي أو بالعكس مثلاً، وكذا يحرم على الأحوط لبس الرجال ما يختص بالنساء وبالعكس، والأحوط ترك الصلاة فيهما وإن كان الأقوى عدم البطلان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الأصول، بحث أدلة التسامح، للسيد المعلق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ترفيع سعر 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الأصول، بحث أدلة التسامح، للسيد المعلق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ترفيع سعر 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الحديث الذي أورده السيد المصنف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تسلكوا مسالك أعدائي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الأصول، بحث أدلة التسامح، للسيد المعلق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ترفيع سعر 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عيسى بن يقطين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معونة الظالمين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عيسى بن يقطين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عيسى بن يقطين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التعاون مع الأمن والاستخبارات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معونة الظالمين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الحكم في الإسلام</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وكتاب الدولة الإسلامية</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الحكم في الإسلام</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وكتاب الدولة الإسلامية</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الحكم في الإسلام</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وكتاب الدولة الإسلامية</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الحكم في الإسلام</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وكتاب الدولة الإسلامية</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الحكم في الإسلام</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وكتاب الدولة الإسلامية</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غلق العتبات المقدسة والمساجد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غلق العتبات المقدسة والمساجد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غلق العتبات المقدسة والمساجد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به السيد المعلق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الأجواء العامة المحيطة بالعائلة أو العشيرة أو عرف البلد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السياسة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به السيد المعلق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الأجواء العامة المحيطة بالعائلة أو العشيرة أو عرف البلد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السياسة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وموسوعة الفقه، كتاب الواجبات والمحرمات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والمراد بالبدعة أن يأتي الإنسان بشيء وينسبه إلى الدين بدون أن يكون له دليل عام أو خاص،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يبدع صلاة ذات خمس ركعات أو ذكراً خاصاً بعنوان أن الشارع أمر به، أما مثل بناء المدارس والحسينيات ونحوها فهو داخل في تعظيم الشعائر، وإيواء المؤمنين والتعاون على البر وغير ذلك من العناوين العامة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به السيد المعلق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الأجواء العامة المحيطة بالعائلة أو العشيرة أو عرف البلد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السياسة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وموسوعة الفقه، كتاب الواجبات والمحرمات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والمراد بالبدعة أن يأتي الإنسان بشيء وينسبه إلى الدين بدون أن يكون له دليل عام أو خاص،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يبدع صلاة ذات خمس ركعات أو ذكراً خاصاً بعنوان أن الشارع أمر به، أما مثل بناء المدارس والحسينيات ونحوها فهو داخل في تعظيم الشعائر، وإيواء المؤمنين والتعاون على البر وغير ذلك من العناوين العامة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تترّس الكفّار بنسائهم وصبيانهم، فإن كانت الحرب ملتحمة جاز قتالهم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تترّسوا بمسلم فإن لم تكن الحرب قائمة لم يجز الرمي، وكذا لو أمكنت القدرة عليهم بدون الرمي، أو اُمن شرّهم، فإن خالفوا ورموهم وجب القود بقتل المسلم مع العمد والكفّارة، وإلاّ فالدية على العاقلة مع الخطأ والكفّارة عليه، وإن كانت الحرب قائمة جاز رميهم، ويقصد بالرمي المشركين، هذا إذا خيف منهم لو تركوا، ولو لم يخف لكن لا يقدر عليهم إلاّ بالرّمي فالوجه الجواز</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تترّس الكفّار بنسائهم وصبيانهم، فإن كانت الحرب ملتحمة جاز قتالهم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تترّسوا بمسلم فإن لم تكن الحرب قائمة لم يجز الرمي، وكذا لو أمكنت القدرة عليهم بدون الرمي، أو اُمن شرّهم، فإن خالفوا ورموهم وجب القود بقتل المسلم مع العمد والكفّارة، وإلاّ فالدية على العاقلة مع الخطأ والكفّارة عليه، وإن كانت الحرب قائمة جاز رميهم، ويقصد بالرمي المشركين، هذا إذا خيف منهم لو تركوا، ولو لم يخف لكن لا يقدر عليهم إلاّ بالرّمي فالوجه الجواز</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ارتباطهم بعضهم ببعض مما يجعل لهم علاقات إجرامية لاحقة بعد الخروج من السجن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ارتباطهم بعضهم ببعض مما يجعل لهم علاقات إجرامية لاحقة بعد الخروج من السجن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ارتباطهم بعضهم ببعض مما يجعل لهم علاقات إجرامية لاحقة بعد الخروج من السجن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الطلاق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مقتضى القاعدة جواز طلاق الحاكم لها إذا كان عسر أو حرج أو ضرر عليها بدون الزوج، سواء كان الزوج معلوم المكان أم مجهوله، كما إذا سجن مثلاً أربع سنوات أو ما أشبه ذلك</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الطلاق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مقتضى القاعدة جواز طلاق الحاكم لها إذا كان عسر أو حرج أو ضرر عليها بدون الزوج، سواء كان الزوج معلوم المكان أم مجهوله، كما إذا سجن مثلاً أربع سنوات أو ما أشبه ذلك</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الطلاق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مقتضى القاعدة جواز طلاق الحاكم لها إذا كان عسر أو حرج أو ضرر عليها بدون الزوج، سواء كان الزوج معلوم المكان أم مجهوله، كما إذا سجن مثلاً أربع سنوات أو ما أشبه ذلك</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تخللوا فإنه من النظافة، والنظافة من الإيمان، والإيمان وصاحبه في الجنة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تخللوا فإنه من النظافة، والنظافة من الإيمان، والإيمان وصاحبه في الجنة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تخللوا فإنه من النظافة، والنظافة من الإيمان، والإيمان وصاحبه في الجنة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تخللوا فإنه من النظافة، والنظافة من الإيمان، والإيمان وصاحبه في الجنة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الذي أورده المصنف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اللّه جميل يحب الجمال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تقليد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تخللوا فإنه من النظافة، والنظافة من الإيمان، والإيمان وصاحبه في الجنة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الذي أورده المصنف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النظافة من الإيمان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تقليد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والتجميل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وعلة تحريم الربا لما نهى اللّه عز وجل عنه، ولما فيه من فساد الأموال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وعلة تحريم الربا لما نهى اللّه عز وجل عنه، ولما فيه من فساد الأموال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كلمة من المرادفات العربية لها معنى يختلف عن معنى المرادف الآخر، وهذا ما لا ينتقل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كلمة من المرادفات العربية لها معنى يختلف عن معنى المرادف الآخر، وهذا ما لا ينتقل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كلمة من المرادفات العربية لها معنى يختلف عن معنى المرادف الآخر، وهذا ما لا ينتقل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كلمة من المرادفات العربية لها معنى يختلف عن معنى المرادف الآخر، وهذا ما لا ينتقل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الواجب العيني ما يتعلق بكل مكلف ولا يسقط بفعل الغير، ويقابله الواجب الكفائي،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 فيه وجود الفعل من أي مكلف كان، فهو يجب على جميع المكلفين، ولكن يكتفى بفعل بعضهم فيسقط عن الآخرين، ولا يستحق العقاب بتركه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تركوه جميعاً من دون أن يقوم به واحد فالجميع منهم يستحقون العقاب، كما يستحق الثواب كل من اشترك في فعله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الواجب المشروط لا ينقلب مطلقاً عند حصول شرطه، بل يبقى كما كان قبل حصوله مشروطاً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 شرط يقيد به الحكم يرجع إلى الموضوع، ويكون قيداً لموضوع الحكم فيلزم أخذه مفروض الوجود حين التكليف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الواجب العيني ما يتعلق بكل مكلف ولا يسقط بفعل الغير، ويقابله الواجب الكفائي،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 فيه وجود الفعل من أي مكلف كان، فهو يجب على جميع المكلفين، ولكن يكتفى بفعل بعضهم فيسقط عن الآخرين، ولا يستحق العقاب بتركه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تركوه جميعاً من دون أن يقوم به واحد فالجميع منهم يستحقون العقاب، كما يستحق الثواب كل من اشترك في فعله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الواجب العيني ما يتعلق بكل مكلف ولا يسقط بفعل الغير، ويقابله الواجب الكفائي،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 فيه وجود الفعل من أي مكلف كان، فهو يجب على جميع المكلفين، ولكن يكتفى بفعل بعضهم فيسقط عن الآخرين، ولا يستحق العقاب بتركه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تركوه جميعاً من دون أن يقوم به واحد فالجميع منهم يستحقون العقاب، كما يستحق الثواب كل من اشترك في فعله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الواجب المشروط لا ينقلب مطلقاً عند حصول شرطه، بل يبقى كما كان قبل حصوله مشروطاً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 شرط يقيد به الحكم يرجع إلى الموضوع، ويكون قيداً لموضوع الحكم فيلزم أخذه مفروض الوجود حين التكليف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الواجب المشروط لا ينقلب مطلقاً عند حصول شرطه، بل يبقى كما كان قبل حصوله مشروطاً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 شرط يقيد به الحكم يرجع إلى الموضوع، ويكون قيداً لموضوع الحكم فيلزم أخذه مفروض الوجود حين التكليف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الجنسية أو الهوية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الجنسية أو الهوية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الأوراق التجارية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الأوراق التجارية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الأوراق التجارية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الأوراق التجارية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الطلاق والخلع</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 في جواز استعمال الحيل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التوصل بالحيل المباحة دون المحرمة في إسقاط ما لولا الحيلة لثبت، ولو توصل بالمحرمة أثم وتمت الحيلة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باب واسع في جميع أبواب الفقه والغرض منه التوصل إلى تحصيل أسباب يترتب عليها الأحكام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ذكره هنا من الحيل المحللة ما إذا خافت المرأة من تزويج زوجها بامرأة معينة فحملت ولدها على العقد عليها قبله، أو شراء أمة فاشتراها كذلك ووطأها تمت الحيلة</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الطلاق والخلع</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 في جواز استعمال الحيل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التوصل بالحيل المباحة دون المحرمة في إسقاط ما لولا الحيلة لثبت، ولو توصل بالمحرمة أثم وتمت الحيلة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باب واسع في جميع أبواب الفقه والغرض منه التوصل إلى تحصيل أسباب يترتب عليها الأحكام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ذكره هنا من الحيل المحللة ما إذا خافت المرأة من تزويج زوجها بامرأة معينة فحملت ولدها على العقد عليها قبله، أو شراء أمة فاشتراها كذلك ووطأها تمت الحيلة</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الطلاق والخلع</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الرابع في جواز استعمال الحيل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التوصل بالحيل المباحة دون المحرمة في إسقاط ما لولا الحيلة لثبت، ولو توصل بالمحرمة أثم وتمت الحيلة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باب واسع في جميع أبواب الفقه والغرض منه التوصل إلى تحصيل أسباب يترتب عليها الأحكام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ذكره هنا من الحيل المحللة ما إذا خافت المرأة من تزويج زوجها بامرأة معينة فحملت ولدها على العقد عليها قبله، أو شراء أمة فاشتراها كذلك ووطأها تمت الحيلة</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السكوني بإسناده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 ناقة معقولة وعليها جهازها،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صاحبها؟ مروه فليستعد غداً للخصومة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السكوني بإسناده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أبصر ناقة معقولة وعليها جهازها،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صاحبها؟ مروه فليستعد غداً للخصومة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الواجبات والمحرمات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إيذاء الحيوان بغير الطرق الواردة شرعاً، في مثل ذبح الحيوان المحلل أو ما أشبه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إيذاء الحيوان في الحرم فهو حرام آكد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الطهارة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وتبيين الفقه، كتاب الطهارة تقريرات بحث المؤلف</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الطهارة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وتبيين الفقه، كتاب الطهارة تقريرات بحث المؤلف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الطهارة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وتبيين الفقه، كتاب الطهارة تقريرات بحث المؤلف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كبس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كبس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كبس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كبس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كبس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الطهارة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 الماء المطلق غني عن التعريف؛ لكونه من أوضح المفاهيم العرفية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يقع الشك في بعض المياه لشبهة مفهومية، كما لو شك في أنَّ المياه الزاجية ونحوها مطلق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تبيين الفقه كتاب الطهارة تقريرات بحث المؤلف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الطهارة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 الماء المطلق غني عن التعريف؛ لكونه من أوضح المفاهيم العرفية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يقع الشك في بعض المياه لشبهة مفهومية، كما لو شك في أنَّ المياه الزاجية ونحوها مطلق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تبيين الفقه كتاب الطهارة تقريرات بحث المؤلف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الطهارة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 الماء المطلق غني عن التعريف؛ لكونه من أوضح المفاهيم العرفية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يقع الشك في بعض المياه لشبهة مفهومية، كما لو شك في أنَّ المياه الزاجية ونحوها مطلق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تبيين الفقه كتاب الطهارة تقريرات بحث المؤلف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الطهارة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 الماء المطلق غني عن التعريف؛ لكونه من أوضح المفاهيم العرفية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يقع الشك في بعض المياه لشبهة مفهومية، كما لو شك في أنَّ المياه الزاجية ونحوها مطلق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تبيين الفقه كتاب الطهارة تقريرات بحث المؤلف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الطهارة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 الماء المطلق غني عن التعريف؛ لكونه من أوضح المفاهيم العرفية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يقع الشك في بعض المياه لشبهة مفهومية، كما لو شك في أنَّ المياه الزاجية ونحوها مطلق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تبيين الفقه كتاب الطهارة تقريرات بحث المؤلف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النفائس من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 السيد الشيرازي</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 السيد الشيرازي</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تحالف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 السيد الشيرازي</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الإعتداء على غير المعتدي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الإعتداء على غير المعتدي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الإعتداء على غير المعتدي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الإعتداء على غير المعتدي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الإعتداء على غير المعتدي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الإعتداء على غير المعتدي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الإعتداء على غير المتعدي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الإعتداء على غير المعتدي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محبوب، عن علي بن رئاب،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أخو المؤمن كالجسد الواحد، إن اشتكى شيئاً منه وجد ألم ذلك في سائر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بن حنبل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المؤمنين في توادهم وتعاطفهم وتراحمهم مثل الجسد إذا اشتكى منه شيء تداعى له سائر الجسد بالسهر والحمى</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محبوب، عن علي بن رئاب،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أخو المؤمن كالجسد الواحد، إن اشتكى شيئاً منه وجد ألم ذلك في سائر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بن حنبل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المؤمنين في توادهم وتعاطفهم وتراحمهم مثل الجسد إذا اشتكى منه شيء تداعى له سائر الجسد بالسهر والحمى</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التعدّي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محبوب، عن علي بن رئاب،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أخو المؤمن كالجسد الواحد، إن اشتكى شيئاً منه وجد ألم ذلك في سائر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بن حنبل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المؤمنين في توادهم وتعاطفهم وتراحمهم مثل الجسد إذا اشتكى منه شيء تداعى له سائر الجسد بالسهر والحمى</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 المكتبات الضخمة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لا ضمان في تلف الأمر بالمعروف والنهي عن المنكر؛ لما تقدم من التلازم العرفي بدلالة الاقتضاء بين الأمر بالمعروف وبين التلف ككسر قنينة الخمر، فالأمر بالأمر يستفاد منه عرفاً إجازة ذلك إجازة لا يعقبها الضمان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 المكتبات الضخمة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لا ضمان في تلف الأمر بالمعروف والنهي عن المنكر؛ لما تقدم من التلازم العرفي بدلالة الاقتضاء بين الأمر بالمعروف وبين التلف ككسر قنينة الخمر، فالأمر بالأمر يستفاد منه عرفاً إجازة ذلك إجازة لا يعقبها الضمان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لا ضمان في تلف الأمر بالمعروف والنهي عن المنكر؛ لما تقدم من التلازم العرفي بدلالة الاقتضاء بين الأمر بالمعروف وبين التلف ككسر قنينة الخمر، فالأمر بالأمر يستفاد منه عرفاً إجازة ذلك إجازة لا يعقبها الضمان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 المكتبات الضخمة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النفائس من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أولى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لوجود المبدأ في صيغة أفعل التفضيل، وغيره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 المكتبات الضخمة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 المكتبات الضخمة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مصير الشيء النفيس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 المكتبات الضخمة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ينقل عنه أنه كان يقول بأن الإسراف لا يقصد به إتلاف كيس ضخم من السكر، فإن ذلك لا يصدر من عاقل، بل الإسراف يتحقق بالمتبقي من السُكر في استكانة الشاي، وهذا الذي نهي عنه واُكد لغفلة العامة عنه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مصير الشيء النفيس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أولى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لوجود المبدأ في صيغة أفعل التفضيل، وغيره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ينقل عنه أنه كان يقول بأن الإسراف لا يقصد به إتلاف كيس ضخم من السكر، فإن ذلك لا يصدر من عاقل، بل الإسراف يتحقق بالمتبقي من السُكر في استكانة الشاي، وهذا الذي نهي عنه واُكد لغفلة العامة عنه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 المكتبات الضخمة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السند في 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صالح بن السندي، عن جعفر بن بشير، عن داود الرقي،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داود الرقي،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القصد أمر يحبه اللّه عز وجل، وإنَّ السرف أمر يبغضه اللّه حتى طرحك النواة، فإنها تصلح للشيء وحتى صبك فضل شرابك</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السند في 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صالح بن السندي، عن جعفر بن بشير، عن داود الرقي،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السند في 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صالح بن السندي، عن جعفر بن بشير، عن داود الرقي،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السيد البجنوردي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والفقه 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السيد البجنوردي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والفقه 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السيد البجنوردي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والفقه 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حرية الطرق والمواصلات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ترك الإعانة على الإثم دفع للمنكر ودفع المنكر واجب كرفعه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ترك الإعانة على الإثم دفع للمنكر ودفع المنكر واجب كرفعه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ترك الإعانة على الإثم دفع للمنكر ودفع المنكر واجب كرفعه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ملء فراغ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ملء فراغ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ملء فراغ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ملء فراغ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ملء فراغ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جفوة في الكلام وخرق في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لسان العرب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العَجْرَفَةُ والعَجْرَفِيَّة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الجَفْوة في الكلام، والخُرْق في العمَل، والسرعة في المشي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جفوة في الكلام وخرق في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لسان العرب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العَجْرَفَةُ والعَجْرَفِيَّة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الجَفْوة في الكلام، والخُرْق في العمَل، والسرعة في المشي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جفوة في الكلام وخرق في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لسان العرب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العَجْرَفَةُ والعَجْرَفِيَّة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الجَفْوة في الكلام، والخُرْق في العمَل، والسرعة في المشي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جفوة في الكلام وخرق في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لسان العرب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العَجْرَفَةُ والعَجْرَفِيَّة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الجَفْوة في الكلام، والخُرْق في العمَل، والسرعة في المشي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جفوة في الكلام وخرق في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لسان العرب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العَجْرَفَةُ والعَجْرَفِيَّة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الجَفْوة في الكلام، والخُرْق في العمَل، والسرعة في المشي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داود بن سرحان،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يتعلمون من بدعهم، يكتب اللّه لكم بذلك الحسنات، ويرفع لكم به الدرجات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والوقيعة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بالمباهتة إلزامهم بالحجج القاطعة وجعلهم متحيرين لا يحيرون جواباً،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فبهت الذي كفر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الإشاعات الكاذبة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الإشاعات الكاذبة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داود بن سرحان،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يتعلمون من بدعهم، يكتب اللّه لكم بذلك الحسنات، ويرفع لكم به الدرجات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والوقيعة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بالمباهتة إلزامهم بالحجج القاطعة وجعلهم متحيرين لا يحيرون جواباً،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فبهت الذي كفر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داود بن سرحان،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يتعلمون من بدعهم، يكتب اللّه لكم بذلك الحسنات، ويرفع لكم به الدرجات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والوقيعة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بالمباهتة إلزامهم بالحجج القاطعة وجعلهم متحيرين لا يحيرون جواباً،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فبهت الذي كفر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الإشاعات الكاذبة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الإشاعات الكاذبة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الخبير بالأحكام الإسلامية في هذه الصفحة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مباهتة فاعل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الاحتيال للإنقاذ</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الخبير بالأحكام الإسلامية في هذه الصفحة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الاحتيال للإنقاذ</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الخبير بالأحكام الإسلامية في هذه الصفحة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مباهتة فاعل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الاحتيال للإنقاذ</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الاحتيال للإنقاذ</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الخبير بالأحكام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مباهتة فاعل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الخبير بالأحكام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مباهتة فاعل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الخبير بالأحكام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مباهتة فاعل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وكتاب 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وكتاب 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وكتاب 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المسألة أدرجها صاحب العروة في كتاب القضاء، انظر العروة الوثقى</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باب شرائط القاضي وصفاته، 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وكتاب الاجتهاد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التحاكم إلى الطاغوت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النائيني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ورد في غير مورد من الكتاب والسنة إطلاق النهار واليوم على ما بعد طلوع الفجر، كإطلاق الليل على ما قبل ذلك</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النائيني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ورد في غير مورد من الكتاب والسنة إطلاق النهار واليوم على ما بعد طلوع الفجر، كإطلاق الليل على ما قبل ذلك</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النائيني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ورد في غير مورد من الكتاب والسنة إطلاق النهار واليوم على ما بعد طلوع الفجر، كإطلاق الليل على ما قبل ذلك</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مستفادة من بعض الروايات، منها ما ورد في الوسائل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النفساء متى تصلي؟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تقعد بقدر حيضها وتستظهر بيومين، فإن انقطع الدم وإلا اغتسلت واحتشت واستثفرت وصلّت، فإن جاز الدم الكرسف تعصبت واغتسلت، ثم صلت الغداة بغسل والظهر والعصر بغسل والمغرب والعشاء بغسل، وإن لم يجز الدم الكرسف صلت بغسل واحد،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والحائض؟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ذلك سواء، فإن انقطع عنها الدم وإلا فهي مستحاضة تصنع مثل النفساء، سواء ثم تصلي ولا تدع الصلاة على حال، فإنّ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عماد دينكم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مستفادة من بعض الروايات، منها ما ورد في الوسائل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النفساء متى تصلي؟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تقعد بقدر حيضها وتستظهر بيومين، فإن انقطع الدم وإلا اغتسلت واحتشت واستثفرت وصلّت، فإن جاز الدم الكرسف تعصبت واغتسلت، ثم صلت الغداة بغسل والظهر والعصر بغسل والمغرب والعشاء بغسل، وإن لم يجز الدم الكرسف صلت بغسل واحد،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والحائض؟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ذلك سواء، فإن انقطع عنها الدم وإلا فهي مستحاضة تصنع مثل النفساء، سواء ثم تصلي ولا تدع الصلاة على حال، فإنّ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عماد دينكم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مستفادة من بعض الروايات، منها ما ورد في الوسائل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النفساء متى تصلي؟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تقعد بقدر حيضها وتستظهر بيومين، فإن انقطع الدم وإلا اغتسلت واحتشت واستثفرت وصلّت، فإن جاز الدم الكرسف تعصبت واغتسلت، ثم صلت الغداة بغسل والظهر والعصر بغسل والمغرب والعشاء بغسل، وإن لم يجز الدم الكرسف صلت بغسل واحد،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والحائض؟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ذلك سواء، فإن انقطع عنها الدم وإلا فهي مستحاضة تصنع مثل النفساء، سواء ثم تصلي ولا تدع الصلاة على حال، فإنّ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عماد دينكم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مستفادة من بعض الروايات، منها ما ورد في الوسائل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النفساء متى تصلي؟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تقعد بقدر حيضها وتستظهر بيومين، فإن انقطع الدم وإلا اغتسلت واحتشت واستثفرت وصلّت، فإن جاز الدم الكرسف تعصبت واغتسلت، ثم صلت الغداة بغسل والظهر والعصر بغسل والمغرب والعشاء بغسل، وإن لم يجز الدم الكرسف صلت بغسل واحد،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والحائض؟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ذلك سواء، فإن انقطع عنها الدم وإلا فهي مستحاضة تصنع مثل النفساء، سواء ثم تصلي ولا تدع الصلاة على حال، فإنّ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عماد دينكم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إلى الفضاء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مستفادة من بعض الروايات، منها ما ورد في الوسائل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النفساء متى تصلي؟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تقعد بقدر حيضها وتستظهر بيومين، فإن انقطع الدم وإلا اغتسلت واحتشت واستثفرت وصلّت، فإن جاز الدم الكرسف تعصبت واغتسلت، ثم صلت الغداة بغسل والظهر والعصر بغسل والمغرب والعشاء بغسل، وإن لم يجز الدم الكرسف صلت بغسل واحد،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والحائض؟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ذلك سواء، فإن انقطع عنها الدم وإلا فهي مستحاضة تصنع مثل النفساء، سواء ثم تصلي ولا تدع الصلاة على حال، فإنّ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عماد دينكم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الشهر في القمر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 في الأشبار إنّما هو بالغالب لا بالنّادر؛ لأنّ إحالة الشّرع في ذلك إنّما هو على المتعارف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 الذي ذكرناه تحقيق لا تقريب، لأنّه تقدير شرعيّ تعلَّق به حكم شرعيّ فيناط به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الشهر في القمر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 في الأشبار إنّما هو بالغالب لا بالنّادر؛ لأنّ إحالة الشّرع في ذلك إنّما هو على المتعارف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 الذي ذكرناه تحقيق لا تقريب، لأنّه تقدير شرعيّ تعلَّق به حكم شرعيّ فيناط به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فرض كون المكلف في المكان الذي نهاره ستة أشهر</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إشكال في وجوب متابعة القطع والعمل عليه ما دام موجوداً؛ لأنه بنفسه طريق إلى الواقع، وليس طريقيته قابلة لجعل الشارع إثباتاً أو نفياً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الشهر في القمر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 في الأشبار إنّما هو بالغالب لا بالنّادر؛ لأنّ إحالة الشّرع في ذلك إنّما هو على المتعارف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 الذي ذكرناه تحقيق لا تقريب، لأنّه تقدير شرعيّ تعلَّق به حكم شرعيّ فيناط به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أفعال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الوجه، وحده من قصاص الشعر إلى الذقن طولاً، وما اشتمل عليه الإبهام والوسطى عرضاً، والأنزع والأغم ومن خرج وجهه أو يده عن المتعارف يرجع كل منهم إلى المتعارف، فيلاحظ أنّ اليد المتعارفة في الوجه المتعارف إلى أي موضع تصل، وأن الوجه المتعارف أين قصاصه فيغسل ذلك المقدار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فأتبعه شهاب ثاقب،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فلحقه وأصابه نار مضيئة 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المنير المضيء</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فأتبعه شهاب ثاقب،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فلحقه وأصابه نار مضيئة 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المنير المضيء</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فأتبعه شهاب ثاقب،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فلحقه وأصابه نار مضيئة 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المنير المضيء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فأتبعه شهاب ثاقب،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فلحقه وأصابه نار مضيئة 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المنير المضيء</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فأتبعه شهاب ثاقب،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فلحقه وأصابه نار مضيئة 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المنير المضيء</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الصناعي وأحكامه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الصناعي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وغيرها من المسائل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الصناعي وأحكامه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الصناعي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وغيرها من المسائل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الصناعي وأحكامه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الصناعي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وغيرها من المسائل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تشكيل النقابات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زرارة،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لولا أنّي أكره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استعان بقوم حتى إذا ظفر بعدوه قتلهم لضربت أعناق قوم كثير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يتوى حق امرئ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يتوى حق امرئ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يتوى حق امرئ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الحريات الإسلامية هي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يتوى حق امرئ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الحريات الإسلامية هي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يتوى حق امرئ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الترتيب في شؤون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الترتيب في شؤون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الترتيب في شؤون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الترتيب في شؤون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لسان العرب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الرَّفيفُ الرَّوْشَنُ، والرَّوْشَنُ الكُوَّة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لسان العرب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الرَّفيفُ الرَّوْشَنُ، والرَّوْشَنُ الكُوَّة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لسان العرب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الرَّفيفُ الرَّوْشَنُ، والرَّوْشَنُ الكُوَّة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لسان العرب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الرَّفيفُ الرَّوْشَنُ، والرَّوْشَنُ الكُوَّة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المتآمرون على أمن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لسان العرب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الرَّفيفُ الرَّوْشَنُ، والرَّوْشَنُ الكُوَّة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المتآمرون على أمن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لسان العرب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الرَّفيفُ الرَّوْشَنُ، والرَّوْشَنُ الكُوَّة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شك في وجود الناظر أو كونه محترماً فالأحوط الستر</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الانتحار بالهواء المسموم في هذه الصفحة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هشام بن سالم،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المجذمين وهو راكب حماره، وهم يتغدون فدعوه إلى الغداء،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إني لولا أني صائم لفعلت، فلما صار إلى منزله أمر بطعام فصنع، وأمر أن يتنوقوا فيه، ثم دعاهم فتغدوا عنده وتغدى معهم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هشام بن سالم،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المجذمين وهو راكب حماره، وهم يتغدون فدعوه إلى الغداء،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إني لولا أني صائم لفعلت، فلما صار إلى منزله أمر بطعام فصنع، وأمر أن يتنوقوا فيه، ثم دعاهم فتغدوا عنده وتغدى معهم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الاجتهاد والتقليد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هشام بن سالم،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المجذمين وهو راكب حماره، وهم يتغدون فدعوه إلى الغداء،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إني لولا أني صائم لفعلت، فلما صار إلى منزله أمر بطعام فصنع، وأمر أن يتنوقوا فيه، ثم دعاهم فتغدوا عنده وتغدى معهم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البقاء في الأجواء القاتلة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الاجتهاد والتقليد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جَذَمه يَجْذِمه جَذْماً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فهو جذِيم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 اليَد،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ذهبت أنامِلُه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مستفادة من بعض الروايات، منها ما ورد في الوسائل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النفساء متى تصلي؟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تقعد بقدر حيضها وتستظهر بيومين، فإن انقطع الدم وإلا اغتسلت واحتشت واستثفرت وصلّت، فإن جاز الدم الكرسف تعصبت واغتسلت، ثم صلت الغداة بغسل والظهر والعصر بغسل والمغرب والعشاء بغسل، وإن لم يجز الدم الكرسف صلت بغسل واحد،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والحائض؟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ذلك سواء، فإن انقطع عنها الدم وإلا فهي مستحاضة تصنع مثل النفساء، سواء ثم تصلي ولا تدع الصلاة على حال، فإنّ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عماد دينكم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مستفادة من بعض الروايات، منها ما ورد في الوسائل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النفساء متى تصلي؟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تقعد بقدر حيضها وتستظهر بيومين، فإن انقطع الدم وإلا اغتسلت واحتشت واستثفرت وصلّت، فإن جاز الدم الكرسف تعصبت واغتسلت، ثم صلت الغداة بغسل والظهر والعصر بغسل والمغرب والعشاء بغسل، وإن لم يجز الدم الكرسف صلت بغسل واحد،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والحائض؟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ذلك سواء، فإن انقطع عنها الدم وإلا فهي مستحاضة تصنع مثل النفساء، سواء ثم تصلي ولا تدع الصلاة على حال، فإنّ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عماد دينكم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مستفادة من بعض الروايات، منها ما ورد في الوسائل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النفساء متى تصلي؟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تقعد بقدر حيضها وتستظهر بيومين، فإن انقطع الدم وإلا اغتسلت واحتشت واستثفرت وصلّت، فإن جاز الدم الكرسف تعصبت واغتسلت، ثم صلت الغداة بغسل والظهر والعصر بغسل والمغرب والعشاء بغسل، وإن لم يجز الدم الكرسف صلت بغسل واحد،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والحائض؟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ذلك سواء، فإن انقطع عنها الدم وإلا فهي مستحاضة تصنع مثل النفساء، سواء ثم تصلي ولا تدع الصلاة على حال، فإنّ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عماد دينكم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الطهارة، السيد الخوئي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المقام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تغسيل كل من الزوج والزوجة صاحبه، هل يشترط أن يكون من فوق الثياب أو الدرع الذي هو بمعنى القميص في المقام، أو يجوز أن يغسل كل منهما الآخر ولو مجرداً ؟ ذهب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العلماء كما عن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اعتبار كون الغسل من فوق الثياب والدرع لئلا يقع نظر كل منهما إلى بدن الآخر وعورته، وعن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بين تغسيل الزوج زوجته فيعتبر وتغسيل الزوجة زوجها فلا يعتبر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الجنسية مع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الطهارة، السيد الخوئي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المقام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تغسيل كل من الزوج والزوجة صاحبه، هل يشترط أن يكون من فوق الثياب أو الدرع الذي هو بمعنى القميص في المقام، أو يجوز أن يغسل كل منهما الآخر ولو مجرداً ؟ ذهب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العلماء كما عن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اعتبار كون الغسل من فوق الثياب والدرع لئلا يقع نظر كل منهما إلى بدن الآخر وعورته، وعن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بين تغسيل الزوج زوجته فيعتبر وتغسيل الزوجة زوجها فلا يعتبر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الطهارة، السيد الخوئي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المقام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تغسيل كل من الزوج والزوجة صاحبه، هل يشترط أن يكون من فوق الثياب أو الدرع الذي هو بمعنى القميص في المقام، أو يجوز أن يغسل كل منهما الآخر ولو مجرداً ؟ ذهب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العلماء كما عن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اعتبار كون الغسل من فوق الثياب والدرع لئلا يقع نظر كل منهما إلى بدن الآخر وعورته، وعن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بين تغسيل الزوج زوجته فيعتبر وتغسيل الزوجة زوجها فلا يعتبر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الجنسية مع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الجنسية مع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التشبيب بالمرأة المعروفة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وفحوى ما دلَّ على حرمة ما يوجب ولو بعيداً تهيج القوة الشهوية بالنسبة الى غير الحليلة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التشبيب بالمرأة المعروفة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وفحوى ما دلَّ على حرمة ما يوجب ولو بعيداً تهيج القوة الشهوية بالنسبة الى غير الحليلة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الجنسية مع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الجنسية مع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الجنسية مع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ذكرنا يظهر أن معنى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تدور مدار الأسماء، أنّها تدور مدار أسماء موضوعاتها التي هي المعيار في وجودها وعدمها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العلاقات الجنسية مع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ذكرنا يظهر أن معنى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تدور مدار الأسماء، أنّها تدور مدار أسماء موضوعاتها التي هي المعيار في وجودها وعدمها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الذهب المعروف بالفرنكي لا بأس بما صنع منه؛ لأنه في الحقيقة ليس ذهباً، وكذا الفضة المسماة بالورشو، فإنها ليست فضة، بل هي صفر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 الفرنكي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الذهب الأبيض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البلاتين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الذهب المعروف بالفرنكي لا بأس بما صنع منه؛ لأنه في الحقيقة ليس ذهباً، وكذا الفضة المسماة بالورشو، فإنها ليست فضة، بل هي صفر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 الفرنكي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الذهب الأبيض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البلاتين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التقوى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تشريح بدن الميت المسلم وتقطيع أجزائه، وإذا جرحه أحد أو شق بطنه أو قطع بعض أوصاله، أو قطع بعض أعضائه، أو بعض أجهزته، أو بعض عظامه، أو كسرها، وجبت عليه الدية المقدرة شرعاً لذلك الشيء، والمذكورة في كتاب الديات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التقوى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تشريح بدن الميت المسلم وتقطيع أجزائه، وإذا جرحه أحد أو شق بطنه أو قطع بعض أوصاله، أو قطع بعض أعضائه، أو بعض أجهزته، أو بعض عظامه، أو كسرها، وجبت عليه الدية المقدرة شرعاً لذلك الشيء، والمذكورة في كتاب الديات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التقوى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تشريح بدن الميت المسلم وتقطيع أجزائه، وإذا جرحه أحد أو شق بطنه أو قطع بعض أوصاله، أو قطع بعض أعضائه، أو بعض أجهزته، أو بعض عظامه، أو كسرها، وجبت عليه الدية المقدرة شرعاً لذلك الشيء، والمذكورة في كتاب الديات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نسب إلى جملة من الأشاعرة إنكار الحسن والقبح العقليين، وأنّ العقل لا يدرك حسن الأشياء وقبحها، بل بالغ بعضهم وأنكر ثبوت جهة الحسن والقبح للأشياء، وأنّ الحسن ما حسنه الشارع والقبيح ما قبحه، وليست الأحكام تدور مدار المصالح والمفاسد، بل الشارع يكون مقترحا في أحكامه من دون أن يكون هناك مرجح، وأنه لا مانع من الترجيع بلا مرجح، ولما كان هذا القول في غاية السخافة والسقوط أعرض عنه المحققون من الأشاعرة، والتزموا بثبوت المصالح والمفاسد، ولكن اكتفوا بالمصلحة والمفسدة النوعية القائمة بالطبيعة في صحة تعلق الأمر ببعض أفراد تلك الطبيعة، وإن لم تكن لتلك الأفراد خصوصية توجب تعلق الأمر بها، بل كانت الأفراد متساوية الأقدام بالنسبة إلى الطبيعة التي تقوم بها المصلحة، ويصح ترجيح بعض الأفراد على بعض بلا مرجح بعد ما كان هناك مرجح في أصل 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ولهم على ذلك براهين، ويمثلون لذلك برغيفي الجايع وطريقي الهارب مع تساوى الرغيفين والطريقين من جميع الجهات، فإنه لا إشكال في اختيار أحد الرغيفين والطريقين، مع أنه ليس في اختيار ذلك مرجح أصلاً؛ لأن المفروض تساوي الفردين في الغرض من جميع الجهات</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جامع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أبيه، عن الصفار، عن محمد بن عيسى، عن القاسم الصيقل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إليه جعلت فداك هل اغتسل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غسل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موته؟ فأجابه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مطهر، ولكن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وجرت به السنة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القرآن إلى الأذهان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القرآن إلى الأذهان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القرآن إلى الأذهان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القرآن إلى الأذهان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الجيل الجديد في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عالم وعالم لا واحد له من لفظه، كالرهط والجيش وغير ذلك، والعالم في عرف اللغة عبارة عن الجماعة من العقلاء؛ لأنهم يقولون جاءني عالم من الناس ولا يقولون جاءني عالم من البقر، وفي عرف الناس عبارة عن جميع المخلوقات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الجيل الجديد في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 والميم والصاد أصلان أحدهما يدل على لبس شيء والانشيام فيه، والآخر على نزو شيء وحركة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القميص للإنسان معروف،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تقمصه إذا لبسه، ثم يستعار ذلك في كل شيء دخل فيه الإنسان،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تقمص الإمارة وتقمص الولاية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 والميم والصاد أصلان أحدهما يدل على لبس شيء والانشيام فيه، والآخر على نزو شيء وحركة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القميص للإنسان معروف،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تقمصه إذا لبسه، ثم يستعار ذلك في كل شيء دخل فيه الإنسان،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تقمص الإمارة وتقمص الولاية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فَبِأَيِّ آلاء رَبِّكُمَا تُكَذِّبَانِ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 المجلسي في بحار الأنوار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الرازي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فبأي آلاء ربكما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للإنس والجن، أو الذكر والأنثى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وقوله تعالى في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كَافِرِينَ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فَبِأَيِّ آلاء رَبِّكُمَا تُكَذِّبَانِ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 المجلسي في بحار الأنوار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الرازي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فبأي آلاء ربكما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للإنس والجن، أو الذكر والأنثى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وقوله تعالى في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كَافِرِينَ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 والميم والصاد أصلان أحدهما يدل على لبس شيء والانشيام فيه، والآخر على نزو شيء وحركة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القميص للإنسان معروف،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تقمصه إذا لبسه، ثم يستعار ذلك في كل شيء دخل فيه الإنسان،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تقمص الإمارة وتقمص الولاية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الشرعية لإنسان 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 والميم والصاد أصلان أحدهما يدل على لبس شيء والانشيام فيه، والآخر على نزو شيء وحركة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القميص للإنسان معروف،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تقمصه إذا لبسه، ثم يستعار ذلك في كل شيء دخل فيه الإنسان،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تقمص الإمارة وتقمص الولاية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فَبِأَيِّ آلاء رَبِّكُمَا تُكَذِّبَانِ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 المجلسي في بحار الأنوار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الرازي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فبأي آلاء ربكما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للإنس والجن، أو الذكر والأنثى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وقوله تعالى في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كَافِرِينَ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 في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كَافِرِينَ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الزواج من الجنية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النضيد والدر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أبان بن تغلب الكندي، عن جعفر بن محمّد الصادق، عن أبيه، عن جده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يخطب في يوم الجمعة على منبر الكوفة إذ سمع وَجْبَةً عظيمة، وعدو الرجال يتواقعون بعضهم على بعض،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ثعبان عظيم قد دخل من باب المسجد، ونفزع منه فنريد أن نقتله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تقربنّه أحد منكم، طرِّقوا له فإنّه رسولٌ جاء في حاجة، فطرَّقوا له، فما زال يتخلّل حتّى صعد المنبر، فوضع فاه في أُذن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 في أُذنه نقيقاً، وتطاول وأمير المؤمنين يحرّك رأسه، ثمّ نقّ أمير المؤمنين له بمثل نقيقه، ونزل عن المنبر وسار بين الجماعة، فالتفتوا فلم يروه،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ما هذا الثعبان؟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درجان بن مالك، خليفتي على الجنّ المسلمين، وذلك أنّهم اختلفوا في أشياء فأنفذوه عليّ، وقد جاء وسألني عنها، وأخبرته بجواب مسائله فرجع</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محمد بن الحسن القمي في العقد النضيد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ولهذا أهل الكوفة يسمّون الباب الذي دخل منه الثعبان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الثعبان، فأراد بنو أُميّة إطفاء هذه الفضيلة، فنصبوا على ذلك الباب فيلاً مدّة طويلة حتّى سمّي باب الفيل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يكون معه أهله في السفر لا يجد الماء أيأتي أهله؟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أن يفعل إلا أن يخاف علی نفسه،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بذلك اللذة أو يكون شبقاً إلى النساء؟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الشبق يخاف على نفسه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للشخص إجناب نفسه ولو لم يقدر على الغسل، وكان بعد دخول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لم يتمكن من التيمم أيضاً لا يجوز ذلك</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يكون معه أهله في السفر لا يجد الماء أيأتي أهله؟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أن يفعل إلا أن يخاف علی نفسه،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بذلك اللذة أو يكون شبقاً إلى النساء؟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الشبق يخاف على نفسه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يكون معه أهله في السفر لا يجد الماء أيأتي أهله؟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أن يفعل إلا أن يخاف علی نفسه،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بذلك اللذة أو يكون شبقاً إلى النساء؟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الشبق يخاف على نفسه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للشخص إجناب نفسه ولو لم يقدر على الغسل، وكان بعد دخول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لم يتمكن من التيمم أيضاً لا يجوز ذلك</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للشخص إجناب نفسه ولو لم يقدر على الغسل، وكان بعد دخول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لم يتمكن من التيمم أيضاً لا يجوز ذلك</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سبق إلى ما لا يسبقه إليه المسلم هو أحق به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عادي الأرض لله ولرسوله، ثم هي لكم مني، فمن أحيا مواتا فهي له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سبق إلى ما لا يسبقه إليه المسلم هو أحق به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سبق إلى ما لا يسبقه إليه المسلم هو أحق به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عادي الأرض لله ولرسوله، ثم هي لكم مني، فمن أحيا مواتا فهي له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خَلَقَ لَكُم مَّا فِي الأَرْضِ جَمِيعاً ثُمَّ اسْتَوَى إِلَى السَّمَاء فَسَوَّاهُنَّ سَبْعَ سَمَاوَاتٍ وَهُوَ بِكُلِّ شَيْءٍ عَلِيمٌ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الاقتصاد</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الاقتصاد</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سبق إلى ما لا يسبقه إليه المسلم هو أحق به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محطات الفضاء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محطات الفضاء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محطات الفضاء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تأميم البحار والصحاري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محطات الفضاء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محطات الفضاء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محطات الفضاء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تأميم البحار والصحاري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تأميم البحار والصحاري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خَلَقَ لَكُم مَّا فِي الأَرْضِ جَمِيعاً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الاقتصاد</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الاقتصاد</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تأميم الغابات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خَلَقَ لَكُم مَّا فِي الأَرْضِ جَمِيعاً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تأميم الغابات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نهى عن بيع الماء والكلأ والنار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الشركة والمضاربة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الشركة والمضاربة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الشركة والمضاربة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الشركة والمضاربة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المتحاكمين بالعقل الالكتروني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الشركة والمضاربة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المتحاكمين بالعقل الالكتروني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القضاء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القضاء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القضاء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الأطعمة والأشربة</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لو سقطت عن الإسكار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العلم من العقل الآلي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لو سقطت عن الإسكار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لو سقطت عن الإسكار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المسكرات الفضائية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لو سقطت عن الإسكار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العلم من العقل الآلي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الآلي وتعيين أول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رجل صلى ركعتين من المكتوبة فسلم وهو يرى أنه قد أتم الصلاة وتكلم، ثم ذكر أنّه لم يصلِّ ركعتين،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 ما بقي من صلاته ولا شيء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السيد الخوئي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تترس الكفار بذمي أو مستأمن أو عبد، فالحكم في جواز الرمي والدية والكفارة على ما تقدم، لكن الواجب في العبد القيمة لا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تترس كافر بترس مسلم أو ركب فرسه فرمى إليه مسلم فأتلفه، فإن كان في غير التحام القتال فعليه الضمان، وإن كان في حال الالتحام، فإن أمكنه أن لا يصيب الترس والفرس فأصابه ضمن، وإن لم يمكنه الدفع إلا بإصابته، فإن جعلناه كالمكره لم يضمن؛ لأنّ المكره في المال يكون طريقاً في الضمان، وهنا لا ضمان على الحربي حتى يجعل المسلم طريقاً، وإن جعلناه مختاراً لزمه الضمان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أني أكره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استعان بقوم حتى إذا ظفر بعدوه قتلهم، لضربت أعناق قوم كثير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مسلم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مخرمة بن بكير،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نافعاً مولى ابن عمر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 اللّه بن أبي بكر بن أبي قحافة يحدث عبد اللّه بن عمر، عن عائشة زوج النبي صلى اللّه عليه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لولا أن قومك حديثو عهد بجاهلية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بكفر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لأنفقت كنز الكعبة في سبيل اللّه، ولجعلت بابها بالأرض، ولأدخلت فيها من الحجر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أني أكره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استعان بقوم حتى إذا ظفر بعدوه قتلهم، لضربت أعناق قوم كثير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نهاية الدراية في شرح الكفاية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وجوبه بالكفّ فعمدة الوجه فيه التعارف الخارجي،فإنّ المطلقات منصرفة إلى الأفراد المتعارفة الخارجية؛ ولذا يفهم من الأمر بالمشي ما هو المتعارف منه، فلا يشمل المشي من القفاء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بينهم أنّ المطلق لا ينصرف إلى النادر لا أنّه منصرف عنه، فلا يتمّ ما ذكرت، فإنّه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 غير الغالب تارة يكون نادراً وجوده في الخارج، وبواسطة ندرة وجوده لا يكون متعارفاً، كالغسل بماء الكبريت والزاج، فإنّ الغسل بهما نادر لقلّة وجودهما، ففي مثل ذلك لا ندّعي الانصراف وتقيّد المطلق بالغالب، فإنّه لا وجه لهذه الدعوى بعد تمامية مقدّمات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وأخرى يكون الفرد النادر مع القدرة عليه خارجاً، كالفرد الغالب، ومع ذلك لا يكون متداولاً، ففي مثل ذلك يقرب ما ذكرنا من دعوى الانصراف والمراجعة إلى المحاورات العرفية يرشدك إلى ما ذكرنا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الوصائل إلى الرسائل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الوصائل إلى الرسائل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الوصائل إلى الرسائل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في شرح الكفاية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في شرح الكفاية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كتاب الطهارة، السيد الخوئي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الوصائل إلى الرسائل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كتاب الطهارة، السيد الخوئي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الشهر في القمر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الشهر في القمر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الرضاع بالآلة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الصوم</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يخفى أنّ المعيار في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الرؤية بالعين المجردة العادية في الآفاق المعتدلة ونحوها، فالرؤية بالآلة قبل خروجه عن تحت الشعاع، والرؤية بالعين الخارفة كذلك، والرؤِية في الآفاق الرحوية وما أشبه لا اعتبار بها؛ لأنَّ مصب النص والفتوى ما ذكرناه والاعتبار في بلد غير متعارف</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الشهر في القمر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تبدلت أيام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تبدلت أيام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الوصول إلى شرح كفاية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تسديد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الوصول إلى شرح كفاية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تسديد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الوصول إلى شرح كفاية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تسديد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الوصول إلى شرح كفاية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تسديد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الوصول إلى شرح كفاية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تسديد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الوصول إلى شرح كفاية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تسديد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والماخور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الريبة ومجتمعه، وربما قيل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لسان العرب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وكانت العرب تسمي بيوتَ الخَمَّارين الحوانيتَ، وأَهلُ العراق يسمونها المَواخِير،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حانوتٌ وماخُورٌ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كتاب الواجبات والمحرمات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كتاب الواجبات والمحرمات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والماخور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الريبة ومجتمعه، وربما قيل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لسان العرب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وكانت العرب تسمي بيوتَ الخَمَّارين الحوانيتَ، وأَهلُ العراق يسمونها المَواخِير،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حانوتٌ وماخُورٌ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 الخمس أيضاً في الحلال المختلط بالحرام، إذا كان بحيث لا يتميز قدره، ولا يعرف صاحبه على المشهور بين الشيخ ومن تأخر عنه، بل عن الغنية الإجماع عليه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الأعمال المحرمة كعمل الصور المجسمة، والغناء، عدا المغنية لزف العرائس، إذا لم تغن بالباطل، ولم يدخل عليها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وأجرة الزانية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جامع المدارك</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حرمة أجرة الزانية فلعلها من الضروريات حيث لا مهر لبغي، والفعل الحرام لا أجرة له كما بين في محله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 الخمس أيضاً في الحلال المختلط بالحرام، إذا كان بحيث لا يتميز قدره، ولا يعرف صاحبه على المشهور بين الشيخ ومن تأخر عنه، بل عن الغنية الإجماع عليه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 الخمس أيضاً في الحلال المختلط بالحرام، إذا كان بحيث لا يتميز قدره، ولا يعرف صاحبه على المشهور بين الشيخ ومن تأخر عنه، بل عن الغنية الإجماع عليه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الأعمال المحرمة كعمل الصور المجسمة، والغناء، عدا المغنية لزف العرائس، إذا لم تغن بالباطل، ولم يدخل عليها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وأجرة الزانية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جامع المدارك</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حرمة أجرة الزانية فلعلها من الضروريات حيث لا مهر لبغي، والفعل الحرام لا أجرة له كما بين في محله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 الخمس أيضاً في الحلال المختلط بالحرام، إذا كان بحيث لا يتميز قدره، ولا يعرف صاحبه على المشهور بين الشيخ ومن تأخر عنه، بل عن الغنية الإجماع عليه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الأعمال المحرمة كعمل الصور المجسمة، والغناء، عدا المغنية لزف العرائس، إذا لم تغن بالباطل، ولم يدخل عليها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وأجرة الزانية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جامع المدارك</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حرمة أجرة الزانية فلعلها من الضروريات حيث لا مهر لبغي، والفعل الحرام لا أجرة له كما بين في محله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 الخمس أيضاً في الحلال المختلط بالحرام، إذا كان بحيث لا يتميز قدره، ولا يعرف صاحبه على المشهور بين الشيخ ومن تأخر عنه، بل عن الغنية الإجماع عليه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أخبرني الشريف أبو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الزبير بن أبي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الرحمن بن عبد اللّه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هشام بن عبد الملك فدخل المسجد الحرام متكئاً على يد سالم مولاه، ومحمد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 في المسجد، فقال له سالم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هذا محمد بن علي، 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المفتون به أهل العراق؟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إليه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لك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الذي يأكل الناس ويشربون إلى أن يفصل بينهم يوم القيامة؟ قال له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يحشر الناس على مثل قرص النقي، فيها أنهار متفجرة، يأكلون ويشربون حتى يفرغ من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فرأى هشام أنه قد ظفر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اذهب إليه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أشغلهم عن الأكل والشرب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في النار أشغل ولم يشغلوا عن أن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أفيضوا علينا من الماء أو مما رزقكم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 هشام لا يرجع كلاماً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أبو عيينة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من أهل الشام أتولاكم وأبرأ من عدوكم، وأبي كان يتولى بني أمية، وكان له مال كثير، ولم يكن له ولد غيري، وكان مسكنه بالرملة، وكانت له جنينة يتخلى فيها بنفسه، فلما مات طلبت المال فلم أظفر به، ولا أشك أنه دفنه وأخفاه مني،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أفتحب أن تراه وتسأله أين موضع ماله؟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واللّه، إني فقير 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أبو جعفر كتاباً وختمه بخاتمه،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بهذا الكتاب الليلة إلى البقيع حتى تتوسطه، ثم تنادي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درجان يا درجان، فإنه يأتيك رجل معتم فأدفع إليه كتابي،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رسول محمد بن علي بن الحسين، فإنه يأتيك به فأسأله عمّا بدا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الرجل الكتاب وانطلق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من الغد أتيت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لأنظر ما حال الرجل، فإذا هو على الباب ينتظر أن يؤذن له، فإذن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فدخلنا جميعاً،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يعلم عند من يضع العلم، قد انطلقت البارحة وفعلت ما أمرت، فأتاني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تبرح من موضعك حتى آتيك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فأتاني برجل أسود،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 اللّهب ودخان الجحيم والعذاب الأليم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غيرك عن صورتك وهيئتك؟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كنت أتولى بني أمية وأفضلهم على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فعذبني اللّه بذلك، وكنت أنت تتولاهم، فكنت أبغضك على ذلك، وحرمتك مالي فزويته عنك، وأنا اليوم على ذلك من النادمين، فانطلق يا بني إلى جنينتي فاحتفر تحت الزيتونة، وخذ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مائة ألف وخمسون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فادفع إلى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 ألفاً، والباقي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منطلق حتى آخذ المال وآتيك بمالك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من قابل دخلت على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الرجل صاحب المال؟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بخمسين ألف درهم، فقضيت منها ديناً كان علي، وابتعت منها أرضاً بناحية خيبر، ووصلت منها أهل الحاجة من أهل بيتي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والقواعد الفقهية، للسيد البجنوردي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والقواعد الفقهية، للسيد البجنوردي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والقواعد الفقهية، للسيد البجنوردي</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التقليد والقضاء</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الذي يطالب به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التقليد والقضاء</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التقليد والقضاء</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الذي يطالب به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الذي يطالب به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التقليد والقضاء</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ديدى كه نابينا و چاه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خاموش بنشينى گناه است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 كتاب الأمر بالمعروف والنهي عن المنكر</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 كتاب الأمر بالمعروف والنهي عن المنكر</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ديدى كه نابينا و چاه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خاموش بنشينى گناه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بيان قاعدة اللطف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مرادهم من 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إعطاء كل ذي حق حقه، أي ما يستحقه، أو بيان المصالح والمفاسد، أو مطلق الإحسان والإكرام والإنعام، أو بيان ما يقرب العبد إليه وما يبعده عنه، أو ما يقرب أحد هذه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واللطف ببعض هذه المعاني مما لا ينبغي الريب في وجوبه عليه مطلقاً، كالمعنيين الأولين، وببعض آخر مما لا شك في وجوبه أيضاً في الجملة، وإن لم يجب عليه بجميع أنواعه وجميع ما يكون لطفا بذلك المعنى، كالثالث، وببعض آخر مما يمكن الكلام في وجوبه، كالمعنى الأخير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ديدى كه نابينا و چاه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خاموش بنشينى گناه است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الصلاة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الصلاة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أبان بن تغلب،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التارك شفاء المجروح من جرحه شريك لجارحه لا محالة؛ وذلك أنّ الجارح أراد فساد المجروح، والتارك لإشفائه لم يشأ صلاحه، فإذا لم يشأ صلاحه فقد شاء فساده اضطراراً، فكذلك لا تحدثوا بالحكمة غير أهلها فتجهلوا، ولا تمنعوها أهلها فتأثموا، وليكن أحدكم بمنزلة الطبيب المداوي إن رأى موضعاً لدوائه وإلا أمسك</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أبان بن تغلب،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التارك شفاء المجروح من جرحه شريك لجارحه لا محالة؛ وذلك أنّ الجارح أراد فساد المجروح، والتارك لإشفائه لم يشأ صلاحه، فإذا لم يشأ صلاحه فقد شاء فساده اضطراراً، فكذلك لا تحدثوا بالحكمة غير أهلها فتجهلوا، ولا تمنعوها أهلها فتأثموا، وليكن أحدكم بمنزلة الطبيب المداوي إن رأى موضعاً لدوائه وإلا أمسك</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أبان بن تغلب،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التارك شفاء المجروح من جرحه شريك لجارحه لا محالة؛ وذلك أنّ الجارح أراد فساد المجروح، والتارك لإشفائه لم يشأ صلاحه، فإذا لم يشأ صلاحه فقد شاء فساده اضطراراً، فكذلك لا تحدثوا بالحكمة غير أهلها فتجهلوا، ولا تمنعوها أهلها فتأثموا، وليكن أحدكم بمنزلة الطبيب المداوي إن رأى موضعاً لدوائه وإلا أمسك</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أبان بن تغلب،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التارك شفاء المجروح من جرحه شريك لجارحه لا محالة؛ وذلك أنّ الجارح أراد فساد المجروح، والتارك لإشفائه لم يشأ صلاحه، فإذا لم يشأ صلاحه فقد شاء فساده اضطراراً، فكذلك لا تحدثوا بالحكمة غير أهلها فتجهلوا، ولا تمنعوها أهلها فتأثموا، وليكن أحدكم بمنزلة الطبيب المداوي إن رأى موضعاً لدوائه وإلا أمسك</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المسائل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تجب موالاة اللّه والأنبياء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وفاطمة الزهراء وأولياء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تجب معاداة أعداء اللّه وأعداء الأنبياء، وأعداء الأئمة، وأعداء فاطمة الزهراء وأعداء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يجب إظهار الموالاة لله وللأنبياء والأئمة وفاطمة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يجب إظهار المعاداة لأعداء اللّه وأعداء الأنبياء والأئمة وفاطمة الزهراء</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المسائل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تجب موالاة اللّه والأنبياء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وفاطمة الزهراء وأولياء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تجب معاداة أعداء اللّه وأعداء الأنبياء، وأعداء الأئمة، وأعداء فاطمة الزهراء وأعداء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يجب إظهار الموالاة لله وللأنبياء والأئمة وفاطمة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يجب إظهار المعاداة لأعداء اللّه وأعداء الأنبياء والأئمة وفاطمة الزهراء</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المسائل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تجب موالاة اللّه والأنبياء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وفاطمة الزهراء وأولياء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تجب معاداة أعداء اللّه وأعداء الأنبياء، وأعداء الأئمة، وأعداء فاطمة الزهراء وأعداء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يجب إظهار الموالاة لله وللأنبياء والأئمة وفاطمة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يجب إظهار المعاداة لأعداء اللّه وأعداء الأنبياء والأئمة وفاطمة الزهراء</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الخمس في 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الخمس في 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الخمس في 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الخمس في 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الخمس في 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تضاعف الوزن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الإسراف في ماء الوضوء مكروه، لكن الإسباغ مستحب، وقد مرّ أنّه يستحب أن يكون ماء الوضوء بمقدار مُد، والظاهر أنّ ذلك لتمام ما يصرف فيه من أفعاله ومقدماته من المضمضة والاستنشاق وغسل اليدين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الواجبات والمحرمات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الإسراف في ماء الوضوء مكروه، لكن الإسباغ مستحب، وقد مرّ أنّه يستحب أن يكون ماء الوضوء بمقدار مُد، والظاهر أنّ ذلك لتمام ما يصرف فيه من أفعاله ومقدماته من المضمضة والاستنشاق وغسل اليدين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الإسراف في ماء الوضوء مكروه، لكن الإسباغ مستحب، وقد مرّ أنّه يستحب أن يكون ماء الوضوء بمقدار مُد، والظاهر أنّ ذلك لتمام ما يصرف فيه من أفعاله ومقدماته من المضمضة والاستنشاق وغسل اليدين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الواجبات والمحرمات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الإسراف في ماء الوضوء مكروه، لكن الإسباغ مستحب، وقد مرّ أنّه يستحب أن يكون ماء الوضوء بمقدار مُد، والظاهر أنّ ذلك لتمام ما يصرف فيه من أفعاله ومقدماته من المضمضة والاستنشاق وغسل اليدين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الواجبات والمحرمات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الجهاد،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غزواته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وسراياه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الجهاد،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غزواته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وسراياه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منتهى الدراية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منتهى الدراية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منتهى الدراية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منتهى الدراية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والتكسب بحفظ كتب الضلال وكتبه على غير ما ذكرناه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نزهة الناظر في الجمع بين 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بيع الملاهي كالعود وشبهه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وبيع كتب الضلال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والتكسب بحفظ كتب الضلال وكتبه على غير ما ذكرناه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نزهة الناظر في الجمع بين 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بيع الملاهي كالعود وشبهه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وبيع كتب الضلال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والتكسب بحفظ كتب الضلال وكتبه على غير ما ذكرناه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نزهة الناظر في الجمع بين 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بيع الملاهي كالعود وشبهه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وبيع كتب الضلال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عرفت سابقاً وجوب تغسيل كل مسلم، لكن يستثنى من ذلك طائفتان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المقتول في المعركة عند الجهاد مع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نائبه الخاص، ويلحق به كل من قتل في حفظ بيضة الإسلام في حال الغيبة من غير فرق بين الحر والعبد، والمقتول بالحديد أو غيره عمداً أو خطأ، رجلاً كان أو امرأة أو صبياً أو مجنوناً إذا كان الجهاد واجباً عليهم فلا يجب تغسيلهم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عرفت سابقاً وجوب تغسيل كل مسلم، لكن يستثنى من ذلك طائفتان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المقتول في المعركة عند الجهاد مع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نائبه الخاص، ويلحق به كل من قتل في حفظ بيضة الإسلام في حال الغيبة من غير فرق بين الحر والعبد، والمقتول بالحديد أو غيره عمداً أو خطأ، رجلاً كان أو امرأة أو صبياً أو مجنوناً إذا كان الجهاد واجباً عليهم فلا يجب تغسيلهم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عرفت سابقاً وجوب تغسيل كل مسلم، لكن يستثنى من ذلك طائفتان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المقتول في المعركة عند الجهاد مع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نائبه الخاص، ويلحق به كل من قتل في حفظ بيضة الإسلام في حال الغيبة من غير فرق بين الحر والعبد، والمقتول بالحديد أو غيره عمداً أو خطأ، رجلاً كان أو امرأة أو صبياً أو مجنوناً إذا كان الجهاد واجباً عليهم فلا يجب تغسيلهم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عرفت سابقاً وجوب تغسيل كل مسلم، لكن يستثنى من ذلك طائفتان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المقتول في المعركة عند الجهاد مع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نائبه الخاص، ويلحق به كل من قتل في حفظ بيضة الإسلام في حال الغيبة من غير فرق بين الحر والعبد، والمقتول بالحديد أو غيره عمداً أو خطأ، رجلاً كان أو امرأة أو صبياً أو مجنوناً إذا كان الجهاد واجباً عليهم فلا يجب تغسيلهم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عرفت سابقاً وجوب تغسيل كل مسلم، لكن يستثنى من ذلك طائفتان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المقتول في المعركة عند الجهاد مع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نائبه الخاص، ويلحق به كل من قتل في حفظ بيضة الإسلام في حال الغيبة من غير فرق بين الحر والعبد، والمقتول بالحديد أو غيره عمداً أو خطأ، رجلاً كان أو امرأة أو صبياً أو مجنوناً إذا كان الجهاد واجباً عليهم فلا يجب تغسيلهم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قتل نفسه متعمداً فهو في نار جهنم خالداً فيها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قتل نفسه متعمداً فهو في نار جهنم خالداً فيها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الكافي، للحلبي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قتل نفسه متعمداً فهو في نار جهنم خالداً فيها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الشعائر الحسينية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السيد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الشعائر الدينية، سهواً، أو أعتبر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الحسينية هي الشعائر الدينية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محمد بن عمرو بن سعيد رفعه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امرأة أتت عمر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إني فجرت فأقم فيَّ حد اللّه عز وجل، فأمر برجمها، وكان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سلها كيف فجرت، فسألها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في فلاة من الأرض فأصابني عطش شديد، فرفعت لي خيمة فأتيتها فأصبت فيها رجلاً أعرابياً فسألته ماء فأبى عليَّ أن يسقيني إلا أن أمكنه من نفسي، فوليت منه هاربة فاشتد بيَّ العطش حتى غارت عيناي وذهب لساني، فلما بلغ مني العطش أتيته فسقاني ووقع علي،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التي 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اضطر غير باغٍ ولا عادٍ فلا إثم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غير باغية ولا عادية فخلِّ سبيلها،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علي لهلك عمر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محمد بن عمرو بن سعيد رفعه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امرأة أتت عمر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إني فجرت فأقم فيَّ حد اللّه عز وجل، فأمر برجمها، وكان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سلها كيف فجرت، فسألها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في فلاة من الأرض فأصابني عطش شديد، فرفعت لي خيمة فأتيتها فأصبت فيها رجلاً أعرابياً فسألته ماء فأبى عليَّ أن يسقيني إلا أن أمكنه من نفسي، فوليت منه هاربة فاشتد بيَّ العطش حتى غارت عيناي وذهب لساني، فلما بلغ مني العطش أتيته فسقاني ووقع علي،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التي 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اضطر غير باغٍ ولا عادٍ فلا إثم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غير باغية ولا عادية فخلِّ سبيلها،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علي لهلك عمر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محمد بن عمرو بن سعيد رفعه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امرأة أتت عمر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إني فجرت فأقم فيَّ حد اللّه عز وجل، فأمر برجمها، وكان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سلها كيف فجرت، فسألها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في فلاة من الأرض فأصابني عطش شديد، فرفعت لي خيمة فأتيتها فأصبت فيها رجلاً أعرابياً فسألته ماء فأبى عليَّ أن يسقيني إلا أن أمكنه من نفسي، فوليت منه هاربة فاشتد بيَّ العطش حتى غارت عيناي وذهب لساني، فلما بلغ مني العطش أتيته فسقاني ووقع علي،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التي 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اضطر غير باغٍ ولا عادٍ فلا إثم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غير باغية ولا عادية فخلِّ سبيلها،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علي لهلك عمر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النار على المجرمين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النار على المجرمين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الحسن بن علي بن يقطين، عن أخيه الحسين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حججت مع أبي ومعي أخت لي، فلما قدمنا مكة حاضت فجزعت جزعاً شديداً خوفاً أن يفوتها الحج، فقال لي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أبي يقرئك السلام ويقول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فتاة لي قد حججت بها وقد حاضت وجزعت جزعاً شديداً مخافة أن يفوتها الحج فما تأمرها؟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المسجد الحرام فوقفت بحذاه، فلما نظر إليَّ أشار إليَّ فأتيته وقلت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أبي يقرئك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وأديت إليه ما أمرني به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أبلغه السلام وقل له فليأمرها أن تأخذ قطنة بماء اللبن فلتستدخلها فإن الدم سينقطع عنها وتقضي مناسكها كلها،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فانصرفت إلى أبي فأديت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فأمرها بذلك ففعلته فانقطع عنها الدم وشهدت المناسك كلها، فلما أن ارتحلت من مكة بعد الحج وصارت في المحمل عاد إليها الدم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الحسن بن علي بن يقطين، عن أخيه الحسين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حججت مع أبي ومعي أخت لي، فلما قدمنا مكة حاضت فجزعت جزعاً شديداً خوفاً أن يفوتها الحج، فقال لي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أبي يقرئك السلام ويقول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فتاة لي قد حججت بها وقد حاضت وجزعت جزعاً شديداً مخافة أن يفوتها الحج فما تأمرها؟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المسجد الحرام فوقفت بحذاه، فلما نظر إليَّ أشار إليَّ فأتيته وقلت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أبي يقرئك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وأديت إليه ما أمرني به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أبلغه السلام وقل له فليأمرها أن تأخذ قطنة بماء اللبن فلتستدخلها فإن الدم سينقطع عنها وتقضي مناسكها كلها،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فانصرفت إلى أبي فأديت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فأمرها بذلك ففعلته فانقطع عنها الدم وشهدت المناسك كلها، فلما أن ارتحلت من مكة بعد الحج وصارت في المحمل عاد إليها الدم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المتقدم في الحاشية السابقة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إراقة الماء الكافي للوضوء أو الغسل بعد دخول الوقت إذا علم بعدم وجدان ماء آخر، ولو كان على وضوء لا يجوز له إبطاله إذا علم بعدم وجود الماء، بل الأحوط عدم الإراقة وعدم الإبطال قبل الوقت أيضاً مع العلم بعدم وجدانه بعد الوقت، ولو عصى فأراق أو أبطل يصح تيممه وصلاته، وإن كان الأحوط القضاء</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وتأخير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منية الطالب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منية الطالب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منية الطالب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وتأخير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منية الطالب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وتأخير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منية الطالب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وتأخير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وتأخير الحيض،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تكثير وتقليل الحيض،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تكثير دفعات الحيض وتقليله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وتأخير الحيض،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تكثير وتقليل الحيض،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تكثير دفعات الحيض وتقليله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وتأخير الحيض،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تكثير وتقليل الحيض،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تكثير دفعات الحيض وتقليله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الفرار من المواقعة الجنسية بين الزوجين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الفرار من المواقعة الجنسية بين الزوجين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تكثير أيام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تكثير أيام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تكثير أيام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تحقق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تحقق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الشيخ الأنصاري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الشيخ الأنصاري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تحقق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نشز الشيء،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لمتن من الأرض مرتفع، والجميع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ونشزت المرأة تنشز فهي ناشز،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استعصت على زوجها إذا ضربها وجفاها فهي ناشز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النُّشُوزُ يكون بين الزوجين وهو كراهة كل واحد منهما صاحبه، واشتقاقُه من النَّشَزِ وهو ما ارتفع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ونَشَزَت المرأَةُ بزوجها وعلى زوجها تَنْشِزُ وتَنْشُز نُشُوزاً، وهي ناشِزٌ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 عليه واستعصت عليه وأَبغضته وخرجت عن طاعته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مسائل متعددة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تقديم وتأخير الحيض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تكثير دفعات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 الحيض بالوسيلة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النفاس والاستحاضة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التلاعب بالاستحاضة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مسائل متعددة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تقديم وتأخير الحيض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تكثير دفعات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 الحيض بالوسيلة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النفاس والاستحاضة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التلاعب بالاستحاضة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منهاج الصالحين، السيد الخوئي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نفقة الزوجة الدائمة فتجب على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أنَّ وجوب النفقة مشروط بعدم النشوز، وهو التمرد على الزوج بمنعه عن حقوقه، أو بفعل المنفرات له عنها، وإن كان مثل سبه وشتمه وفيه إشكال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منهاج الصالحين، السيد الخوئي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نفقة الزوجة الدائمة فتجب على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أنَّ وجوب النفقة مشروط بعدم النشوز، وهو التمرد على الزوج بمنعه عن حقوقه، أو بفعل المنفرات له عنها، وإن كان مثل سبه وشتمه وفيه إشكال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نشز الشيء،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لمتن من الأرض مرتفع، والجميع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ونشزت المرأة تنشز فهي ناشز،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استعصت على زوجها إذا ضربها وجفاها فهي ناشز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النُّشُوزُ يكون بين الزوجين وهو كراهة كل واحد منهما صاحبه، واشتقاقُه من النَّشَزِ وهو ما ارتفع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ونَشَزَت المرأَةُ بزوجها وعلى زوجها تَنْشِزُ وتَنْشُز نُشُوزاً، وهي ناشِزٌ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 عليه واستعصت عليه وأَبغضته وخرجت عن طاعته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مسائل متعددة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تقديم وتأخير الحيض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تكثير دفعات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 الحيض بالوسيلة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النفاس والاستحاضة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التلاعب بالاستحاضة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الشك في رضا المالك لا يجوز التصرف، ويجري عليه حكم الغصب، فلا بد فيما إذا كان ملكاً للغير من الإذن في التصرف فيه صريحاً، أو فحوى أو شاهد حال قطعي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الشك في رضا المالك لا يجوز التصرف، ويجري عليه حكم الغصب، فلا بد فيما إذا كان ملكاً للغير من الإذن في التصرف فيه صريحاً، أو فحوى أو شاهد حال قطعي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والحاصل أنَّ أصالة الاحترام من غير إناطة بالإسلام هي المعول عليها في كافة الأموال بالسيرة العقلائية، وحكومة العقل الفاضي بقبح الظلم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الشك في رضا المالك لا يجوز التصرف، ويجري عليه حكم الغصب، فلا بد فيما إذا كان ملكاً للغير من الإذن في التصرف فيه صريحاً، أو فحوى أو شاهد حال قطعي</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الحيض بالوسيلة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والحاصل أنَّ أصالة الاحترام من غير إناطة بالإسلام هي المعول عليها في كافة الأموال بالسيرة العقلائية، وحكومة العقل الفاضي بقبح الظلم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الحيض بالوسيلة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الشك في رضا المالك لا يجوز التصرف، ويجري عليه حكم الغصب، فلا بد فيما إذا كان ملكاً للغير من الإذن في التصرف فيه صريحاً، أو فحوى أو شاهد حال قطعي</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الطهارة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فرق بين أن يخرج من المخرج الأصلي أو العارضي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اختلفوا في ذلك، في أنّه هل يحكم بحيضيته مطلقاً، أو مع انسداد المخرج المعتاد، أو لا يحكم في العارضي مطلقاً حتى مع انسداد المعتاد، أو غير ذلك من التفاصيل التي تقدمت في مبحث الحدث الأصغر، وذلك لوحدة الدليل في جميع الأحداث، فحال الحيض والمني حال البول والغائط</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الطهارة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فرق بين أن يخرج من المخرج الأصلي أو العارضي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اختلفوا في ذلك، في أنّه هل يحكم بحيضيته مطلقاً، أو مع انسداد المخرج المعتاد، أو لا يحكم في العارضي مطلقاً حتى مع انسداد المعتاد، أو غير ذلك من التفاصيل التي تقدمت في مبحث الحدث الأصغر، وذلك لوحدة الدليل في جميع الأحداث، فحال الحيض والمني حال البول والغائط</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الجواز في أكثر من مسألة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إيجاد الحيض وإعدامه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الجواز في أكثر من مسألة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إيجاد الحيض وإعدامه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مسائل متعددة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وتأخير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الحيض بالوسيلة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وغيرها من المسائل ذات العلاقة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استحالة العذرة أو الدهن المتنجس دخاناً، والمني حيواناً، ولو نوقش في بعض الأمثلة المذكورة، فالمثال غير عزيز على المتتبع المتأمل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ذكرنا يظهر أنَّ معنى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تدور مدار الأسماء، أنها تدور مدار أسماء موضوعاتها، التي هي المعيار في وجودها وعدمها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تبدل حقيقة الشيء وصورته النوعية إلى صورة أخرى، فإنها تطهر النجس، بل والمتنجس، كالعذرة تصير تراباً، والخشبة المتنجسة إذا صارت رماداً، والبول أو الماء المتنجس بخاراً، والكلب ملحاً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استحالة العذرة أو الدهن المتنجس دخاناً، والمني حيواناً، ولو نوقش في بعض الأمثلة المذكورة، فالمثال غير عزيز على المتتبع المتأمل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ذكرنا يظهر أنَّ معنى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تدور مدار الأسماء، أنها تدور مدار أسماء موضوعاتها، التي هي المعيار في وجودها وعدمها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الحيض بالوسيلة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تبدل حقيقة الشيء وصورته النوعية إلى صورة أخرى، فإنها تطهر النجس، بل والمتنجس، كالعذرة تصير تراباً، والخشبة المتنجسة إذا صارت رماداً، والبول أو الماء المتنجس بخاراً، والكلب ملحاً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الحيض بالوسيلة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تكثير أيام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تكثير أيام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سحب الدم بالآلة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سحب الدم بالآلة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تسريع نبع دم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تسريع نبع دم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تسريع نبع دم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تسريع نبع دم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تسريع نبع دم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الفقه، تقريرات بحث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 من الحيوانات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 من الحيوانات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 من الحيوانات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 من الحيوانات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الأدعية في الإذاعات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الأدعية في الإذاعات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الأدعية في الإذاعات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الأدعية في الإذاعات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الأدعية في الإذاعات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 الإذاعات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الأدعية في الإذاعات في هذه الصفحة،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 الإذاعات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 الإذاعات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الأدعية في الإذاعات في هذه الصفحة،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 الإذاعات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 الإذاعات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 الإذاعات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الأدعية في الإذاعات في هذه الصفحة،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 الإذاعات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بحث النائيني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الشك في رضا المالك لا يجوز التصرف، ويجري عليه حكم الغصب، فلا بد فيما إذا كان ملكاً للغير من الإذن في التصرف فيه صريحاً، أو فحوى أو شاهد حال قطعي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بحث النائيني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بحث النائيني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الشك في رضا المالك لا يجوز التصرف، ويجري عليه حكم الغصب، فلا بد فيما إذا كان ملكاً للغير من الإذن في التصرف فيه صريحاً، أو فحوى أو شاهد حال قطعي</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الشك في رضا المالك لا يجوز التصرف، ويجري عليه حكم الغصب، فلا بد فيما إذا كان ملكاً للغير من الإذن في التصرف فيه صريحاً، أو فحوى أو شاهد حال قطعي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بحث النائيني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بحث النائيني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كتاب الطهارة، السيد الخوئي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الاعتراف بالمسجلة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كتاب الطهارة، السيد الخوئي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كتاب الطهارة، السيد الخوئي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الاعتراف بالمسجلة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الاعتراف بالمسجلة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الاتهام بالوسائل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الاتهام بالوسائل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الاتهام بالوسائل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الاتهام بالوسائل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الاتهام بالوسائل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الاتهام بالوسائل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الوكالة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الوكالة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الوكالة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الواضح أنَّ أذية اللّه سبحانه وتعالى عبارة عن أذية أوليائه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أذية المؤمنين والمؤمنات فهو واضح، والمراد بالأذية الأذية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أنّه كما يحرم أذية المؤمنين والمؤمنات باللسان كذلك يحرم بغير اللسان من القلم والإشارة وغيرهما، وهكذا يحرم أذية الكافر المحترم، سواء كان معاهداً أم ذمياً أم محايداً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الوكالة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الوكالة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الواضح أنَّ أذية اللّه سبحانه وتعالى عبارة عن أذية أوليائه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أذية المؤمنين والمؤمنات فهو واضح، والمراد بالأذية الأذية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أنّه كما يحرم أذية المؤمنين والمؤمنات باللسان كذلك يحرم بغير اللسان من القلم والإشارة وغيرهما، وهكذا يحرم أذية الكافر المحترم، سواء كان معاهداً أم ذمياً أم محايداً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الواضح أنَّ أذية اللّه سبحانه وتعالى عبارة عن أذية أوليائه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أذية المؤمنين والمؤمنات فهو واضح، والمراد بالأذية الأذية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أنّه كما يحرم أذية المؤمنين والمؤمنات باللسان كذلك يحرم بغير اللسان من القلم والإشارة وغيرهما، وهكذا يحرم أذية الكافر المحترم، سواء كان معاهداً أم ذمياً أم محايداً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الإيذاء عبر جهاز التنبيه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الإيذاء عبر جهاز التنبيه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الإيذاء عبر جهاز التنبيه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الإيذاء عبر جهاز التنبيه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الإيذاء عبر جهاز التنبيه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اصطدام 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دهس القطار إنساناً أو دابة أو أتلف مالاً كان على السائق الدية والضمان، وإن لم يكن السائق قادراً على إيقاف القطار، إلا أن يكون المدهوس هو السبب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الإيذاء عبر جهاز التنبيه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الاصطدام بالسيارة في هذه الصفحة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عدم العلم والعمد في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الاصطدام بالسيارة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القرض</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وكذلك الدائن لا يحق له أن يأخذ مال المديون باعتباره ديناً له إلا برضاه، وإلا كان تصرفاً في سلطة المديون، وحال وكيل المديون حال المديون أيضاً لما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مورد التقاص القهري لا بأس بذلك؛ لأنَّ الشارع وهو الولي المطلق أجازه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القرض</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وكذلك الدائن لا يحق له أن يأخذ مال المديون باعتباره ديناً له إلا برضاه، وإلا كان تصرفاً في سلطة المديون، وحال وكيل المديون حال المديون أيضاً لما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مورد التقاص القهري لا بأس بذلك؛ لأنَّ الشارع وهو الولي المطلق أجازه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عدم العلم والعمد في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الاصطدام بالسيارة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عدم العلم والعمد في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الاصطدام بالسيارة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القرض</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وكذلك الدائن لا يحق له أن يأخذ مال المديون باعتباره ديناً له إلا برضاه، وإلا كان تصرفاً في سلطة المديون، وحال وكيل المديون حال المديون أيضاً لما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مورد التقاص القهري لا بأس بذلك؛ لأنَّ الشارع وهو الولي المطلق أجازه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الاقتصاد</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يلحق بالباب السابق،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المال، وهو كان مكاناً كبيراً يجمع فيه أموال الدولة من الخمس والزكاة والجزية والخراج وغيرها، من الأغنام والآبال والأبقار والتمر وسائر الغلات والنقدين وغيرها، ويقسمها الحاكم الإسلامى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رواتب موظفي الدولة والمحتاجين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ضرورات الدولة من مصارف الجهاد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بقي في بيت المال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يبقى 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قسمه الإمام بين المسلمين بالتساوي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السياسة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الاصطدام بالسيارة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المنضود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والضابط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العمد يتعمد الفعل والقصد، والخطأ المحض لا يتعمد الفعل ولا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الروضة البهية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الخطأ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القاتل غير قاصد لقتل هذا الشخص ولم تكن الآلة قاتلة، كما إذا رمى بحجر طيراً فأصاب إنساناً فقتله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المنضود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والضابط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العمد يتعمد الفعل والقصد، والخطأ المحض لا يتعمد الفعل ولا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الروضة البهية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الخطأ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القاتل غير قاصد لقتل هذا الشخص ولم تكن الآلة قاتلة، كما إذا رمى بحجر طيراً فأصاب إنساناً فقتله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الخطأ المحض، بأن لم يقصد قتله ولا ضربه، بل أخطأ في قتله، بأن رمى سهماً لصيد غزال مثلاً فأصاب إنساناً اشتباهاً وقتله، ومن هذا النوع ما إذا لم يكن له قصد أصلاً، مثل أن يحرك رجله في النوم فيزحزح إنساناً ويلقيه من فوق فيموت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المنضود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والضابط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العمد يتعمد الفعل والقصد، والخطأ المحض لا يتعمد الفعل ولا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الروضة البهية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الخطأ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القاتل غير قاصد لقتل هذا الشخص ولم تكن الآلة قاتلة، كما إذا رمى بحجر طيراً فأصاب إنساناً فقتله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الخطأ المحض، بأن لم يقصد قتله ولا ضربه، بل أخطأ في قتله، بأن رمى سهماً لصيد غزال مثلاً فأصاب إنساناً اشتباهاً وقتله، ومن هذا النوع ما إذا لم يكن له قصد أصلاً، مثل أن يحرك رجله في النوم فيزحزح إنساناً ويلقيه من فوق فيموت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المنضود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والضابط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العمد يتعمد الفعل والقصد، والخطأ المحض لا يتعمد الفعل ولا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الروضة البهية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الخطأ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القاتل غير قاصد لقتل هذا الشخص ولم تكن الآلة قاتلة، كما إذا رمى بحجر طيراً فأصاب إنساناً فقتله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المسألة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الوصائل إلى الرسائل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الكلام في المقصد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القطع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عبارة عما إذا كان وجدان الإنسان إلى طرف بحيث يمنع عن نقيضه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مطابقاً للواقع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طابق الواقع سمّي يقيناً، وإن لم يطابق سمي جهلاً مركباً؛ لأنّه يجهل الواقع، ويجهل أنّه يجهل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موضوع القطع، أمّا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لا إشكال عقلاً وعقلائياً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إنّه تكويني لا شأن للتشريع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حجية القطع، وأنّه يحتج المولى على العبد إن ترك العمل على طبقه، ويحتج العبد على المولى إن عمل بقطعه، وهذا هو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جوب متابعة القطع، وإلا فمع قطع النظر عن الاحتجاج المذكور يمكن للإنسان أن يقطع ويخالفه، والعمل عليه جرياً ورائه بالعمل، إذا كان القطع يوجبه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عرفت أنه لا شبهة في أنّ القطع يوجب استحقاق العقوبة على المخالفة، والمثوبة على الموافقة في صورة الإصابة، فهل يوجب استحقاقها في صورة عدم الإصابة على التجري بمخالفته، واستحقاق المثوبة على الانقياد بموافقته، أو لا يوجب شيئاً؟ الحق أنّه يوجبه؛ لشهادة الوجدان بصحة مؤاخذته، وذمه على تجريه، وهتكه لحرمة مولاه، وخروجه عن رسوم عبوديته، وكونه بصدد الطغيان، وعزمه على العصيان، وصحة مثوبته، ومدحه على قيامه بما هو قضية عبوديته، من العزم على موافقته والبناء على إطاعته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الترتب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تفويت الملاك المولوي سبب لاستحقاق العقوبة، وحيث إنّ العبد في المقام فوت على المولى ملاكين لذا يستحق عقوبتين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يقرب هذا الوجه بأن الملاك في طرف الأهم مركب من جزءين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المشترك بين الأهم والمهم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وشدة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المختصة بالأهم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في مقدور المكلف الحصول على كلا الملاكين بفعل الأهم، كما يمكنه تفويت أحدهما بفعل المهم، وتفويت كليهما بترك الاثنين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المستحدثة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من مجوزات التصرف في ملك الغير رضاؤه بذلك ولو لم ينشأ صريحاً، ولكن انكشف بشاهد الحال، حتى أنّ القوم صرحوا بأنه يكفي في تحقق الرضا المبيح للتصرف وجوده شأناً، بأن يكون المالك بالقوة راضياً بذلك التصرف، وإن صدر من غير اطلاعه أو في حال نومه، أو نحو ذلك مما يمتنع أن يتحقق معه الرضا الفعلي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فيمكن استكشاف رضا أصحاب الأموال بتصرف العابرين، من أنهم بعدما رأوا ابتلاء الناس بالعبور على أملاكهم، وعدم عود الأملاك إليهم لا محالة يكونون راضين بهذا التصرف، غاية الأمر قد يكون الرضا فعلياً، وقد يكون شأنياً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المستحدثة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إذا هدمت الحكومة الدور وما شاكل وجعلتها شوارع تخرج تلك الأراضي عن ملك أصحابها؛ لأنّ الملكية من الأمور الاعتبارية، والاعتبار بما أنه من الأفعال فلا بد وأن يترتب عليه أثر، وإلا يكون لغواً وصدوره من الحكيم محال، والأرض التي جعلت شارعاً ويعلم عدم رجوعها إلى صاحبها، بما أنه لا يترتب على اعتبار ملكيتها لمالكها أثر خارجي، يكون اعتبارها لغواً لا يصدر من الحكيم، فلا محالة تخرج عن ملكيته بذلك</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تغير عنوان المسجد بأن غصب وجعل داراً أو صار خراباً، بحيث لا يمكن تعميره ولا الصلاة فيه، وقلنا بجواز جعله مكاناً للزرع، ففي جواز تنجيسه وعدم وجوب تطهيره كما قيل إشكال، والأظهر عدم جواز الأول، بل وجوب الثاني أيضاً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وبلغني عن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لأخيك المؤمن على رجل حق فدفعه عنه، ولم يكن له من البينة إلا واحدة، وكان الشاهد ثقة، فسألته عن شهادته، فإذا أقامها عندك شهدت معه عند الحاكم على مثال ما شهد، لئلا يتوى حق امرئ مسلم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وبلغني عن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لأخيك المؤمن على رجل حق فدفعه عنه، ولم يكن له من البينة إلا واحدة، وكان الشاهد ثقة، فسألته عن شهادته، فإذا أقامها عندك شهدت معه عند الحاكم على مثال ما شهد، لئلا يتوى حق امرئ مسلم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وبلغني عن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لأخيك المؤمن على رجل حق فدفعه عنه، ولم يكن له من البينة إلا واحدة، وكان الشاهد ثقة، فسألته عن شهادته، فإذا أقامها عندك شهدت معه عند الحاكم على مثال ما شهد، لئلا يتوى حق امرئ مسلم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تصوير مواقع الجيش في هذه الصفحة،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فضخ المسلم المستور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تصوير مواقع الجيش في هذه الصفحة،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فضخ المسلم المستور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وبلغني عن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لأخيك المؤمن على رجل حق فدفعه عنه، ولم يكن له من البينة إلا واحدة، وكان الشاهد ثقة، فسألته عن شهادته، فإذا أقامها عندك شهدت معه عند الحاكم على مثال ما شهد، لئلا يتوى حق امرئ مسلم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روى على مؤمن رواية يريد بها شينه، وهدم مروءته ليسقط من أعين الناس أخرجه اللّه من ولايته إلى ولاية الشيطان فلا يقبله الشيطان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روى على مؤمن رواية يريد بها شينه، وهدم مروءته ليسقط من أعين الناس أخرجه اللّه من ولايته إلى ولاية الشيطان فلا يقبله الشيطان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روى على مؤمن رواية يريد بها شينه، وهدم مروءته ليسقط من أعين الناس أخرجه اللّه من ولايته إلى ولاية الشيطان فلا يقبله الشيطان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يشترط في الجماعة مضافاً إلى ما مر في المسائل المتقدمة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يكون بين الإمام والمأموم حائل يمنع عن مشاهدته، وكذا بين بعض المأمومين مع الآخر ممن يكون واسطة في اتصاله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المرأة فلا بأس بالحائل بينها وبين الإمام أو غيره من المأمومين مع كون الإمام رجلاً، بشرط أن تتمكن من المتابعة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يكون موقف الإمام أعلى من موقف المأمومين علواً معتداً به دفعيا كالأبنية ونحوها، لا انحدارياً على الأصح</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يشترط في الجماعة مضافاً إلى ما مر في المسائل المتقدمة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يكون بين الإمام والمأموم حائل يمنع عن مشاهدته، وكذا بين بعض المأمومين مع الآخر ممن يكون واسطة في اتصاله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المرأة فلا بأس بالحائل بينها وبين الإمام أو غيره من المأمومين مع كون الإمام رجلاً، بشرط أن تتمكن من المتابعة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يكون موقف الإمام أعلى من موقف المأمومين علواً معتداً به دفعيا كالأبنية ونحوها، لا انحدارياً على الأصح</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في شرح منتخب المسائل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والإنصاف إنّ تحقّق إجماع كاشف عن رأي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الإشكال، فالمتعيّن أن يستدلّ على عدم الجواز بوجه آخر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إطلاق دليل الوضوء لا يشمل التصرّف الغصبي</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وكيف كان، فهنا عنوانان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الإكراه، ودفع الضرر المخوف عن نفسه وعن غيره من المؤمنين من دون إكراه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يباح به كل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متعلقاً بالنفس جاز له كل محرم حتى الإضرار المالي بالغير، لكن الأقوى استقرار الضمان عليه إذا تحقق سببه؛ لعدم الإكراه المانع عن الضمان، أو استقراره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ونص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أني أكره أن يقال إن محمداً استعان بقوم حتى إذا ظفر بعدوه قتلهم لضربت أعناق قوم كثير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إحداث الفلس للسمك</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ونص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أني أكره أن يقال إن محمداً استعان بقوم حتى إذا ظفر بعدوه قتلهم لضربت أعناق قوم كثير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إحداث الفلس للسمك</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ونص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أني أكره أن يقال إن محمداً استعان بقوم حتى إذا ظفر بعدوه قتلهم لضربت أعناق قوم كثير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إحداث الفلس للسمك</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ونص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أني أكره أن يقال إن محمداً استعان بقوم حتى إذا ظفر بعدوه قتلهم لضربت أعناق قوم كثير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ونص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أني أكره أن يقال إن محمداً استعان بقوم حتى إذا ظفر بعدوه قتلهم لضربت أعناق قوم كثير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إحداث الفلس للسمك</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إحداث الفلس للسمك</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الحكم تارة يجعل على نهج القضية الحقيقية، وأخرى يجعل على نهج القضية الخارجية، والقضية الخارجية هي القضية التي يجعل فيها الحاكم حكمه على أفراد موجودة فعلاً في الخارج في زمان إصدار الحكم، أو في أي زمان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والقضية الحقيقية هي القضية التي يلتفت فيها الحاكم إلى تقديره وذهنه بدلاً عن الواقع الخارجي، فيشكل قضية شرطية شرطها هو الموضوع المقدر الوجود وجزاؤها هو الحكم،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الإنسان عالماً فأكرمه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الصفيف إلى دفيف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الاقتصاد</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تبديد القمر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الصفيف إلى دفيف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الصفيف إلى دفيف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الصفيف إلى دفيف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الاقتصاد</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الاقتصاد</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تبديد القمر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الخمس في 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تقليص حمل الجنين في هذه الصفحة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الخمس في 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الخمس في 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تقليص حمل الجنين في هذه الصفحة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تقليص حمل الجنين في هذه الصفحة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تربية الجنين خارج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الخمس في 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إحياء الموات</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إحياء الموات</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الدم الأبيض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فرض العلم بكونه 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نجس، كما في خبر فصد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إذا صب عليه دواء غير لونه إلى البياض</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الوجه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روايات الحرمة أخذ في موضوعها العصير، وهذا ليس عصيراً، بل هو دبس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واعترض عليه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مطهرية الانقلاب تحتاج إلى نص خاص، وأنَّ ما ذكره الشهيد خلط بين الانقلاب والاستحالة، فالاستحالة مطهرة على القاعدة؛ لتبدل الصورة النوعية فيها بخلاف الانقلاب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كتاب تبيين الفقه كتاب الطهارة تقريرات بحث المؤلف</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الدم الأبيض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فرض العلم بكونه 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نجس، كما في خبر فصد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إذا صب عليه دواء غير لونه إلى البياض</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الدم الأبيض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فرض العلم بكونه 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نجس، كما في خبر فصد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إذا صب عليه دواء غير لونه إلى البياض</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الدم الأبيض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فرض العلم بكونه 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نجس، كما في خبر فصد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إذا صب عليه دواء غير لونه إلى البياض</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الوجه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روايات الحرمة أخذ في موضوعها العصير، وهذا ليس عصيراً، بل هو دبس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واعترض عليه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مطهرية الانقلاب تحتاج إلى نص خاص، وأنَّ ما ذكره الشهيد خلط بين الانقلاب والاستحالة، فالاستحالة مطهرة على القاعدة؛ لتبدل الصورة النوعية فيها بخلاف الانقلاب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كتاب تبيين الفقه كتاب الطهارة تقريرات بحث المؤلف</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الوجه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روايات الحرمة أخذ في موضوعها العصير، وهذا ليس عصيراً، بل هو دبس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واعترض عليه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مطهرية الانقلاب تحتاج إلى نص خاص، وأنَّ ما ذكره الشهيد خلط بين الانقلاب والاستحالة، فالاستحالة مطهرة على القاعدة؛ لتبدل الصورة النوعية فيها بخلاف الانقلاب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كتاب تبيين الفقه كتاب الطهارة تقريرات بحث المؤلف</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الدم الأبيض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فرض العلم بكونه 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نجس، كما في خبر فصد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إذا صب عليه دواء غير لونه إلى البياض</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لون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لون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لون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لون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لون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الصفيف إلى دفيف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الصفيف إلى دفيف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الصفيف إلى دفيف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الصفيف إلى دفيف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وتقدم تقدم سابقاً فراجع</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الصفيف إلى دفيف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الفأر طائراً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تغيير الحيوان في هذه الصفحة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الصفيف إلى دفيف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الفأر طائراً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حرمته ميتاً كحرمته وهو حي</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حرمته ميتاً كحرمته وهو حي</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حرمته ميتاً كحرمته وهو حي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تحنيط الأموات لبقاء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يجوز النظر إلى العضو المبان من الأجنبي، مثل اليد والأنف واللسان ونحوها، لا مثل السن والظفر والشعر ونحوها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جوف الأنثى في هذه الصفحة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عبيد اللّه بن علي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أيما رجل فجر بامرأة ثم بدا له أن يتزوجها حلالاً،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سفاح وآخره نكاح ومثله مثل النخلة أصاب الرجل من ثمرها حراما ثم اشتراها بعد فكانت له حلالاً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فجر بامرأة ثم بدا له أن يتزوجها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أوله سفاح وآخره نكاح، أوله حرام وآخره حلال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 قبل الزواج في هذه الصفحة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عبيد اللّه بن علي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أيما رجل فجر بامرأة ثم بدا له أن يتزوجها حلالاً،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سفاح وآخره نكاح ومثله مثل النخلة أصاب الرجل من ثمرها حراما ثم اشتراها بعد فكانت له حلالاً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فجر بامرأة ثم بدا له أن يتزوجها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أوله سفاح وآخره نكاح، أوله حرام وآخره حلال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خديجة،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المتشبهين من الرجال بالنساء، والمتشبهات من النساء بالرجال،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المخنثون واللاتي ينكحن بعضهن بعضاً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خديجة،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المتشبهين من الرجال بالنساء، والمتشبهات من النساء بالرجال،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المخنثون واللاتي ينكحن بعضهن بعضاً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خديجة،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المتشبهين من الرجال بالنساء، والمتشبهات من النساء بالرجال،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المخنثون واللاتي ينكحن بعضهن بعضاً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حرمة حلق اللحية، بل ادعي عليه الإجماع مكرراً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لمبعوثي كسرى لما رآهما قد حلقا لحيتيهما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 كما بهذا؟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يعنيان كسرى،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ربي أمرني بإعفاء لحيتي وقص شاربي</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حرمة حلق اللحية، بل ادعي عليه الإجماع مكرراً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لمبعوثي كسرى لما رآهما قد حلقا لحيتيهما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 كما بهذا؟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يعنيان كسرى،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ربي أمرني بإعفاء لحيتي وقص شاربي</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لبس لباس الشهرة بأن يلبس خلاف زيه من حيث جنس اللباس، أو من حيث لونه، أو من حيث وضعه وتفصيله وخياطته، كأن يلبس العالم لباس الجندي أو بالعكس مثلاً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النائيني في 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الأقوى اختصاص ذلك بما إذا خرج الرجل عن زي الرجال رأساً وأخذ بزي النساء، وكذلك العكس، دون ما إذا تلبس كل منهما بملابس الآخر مدة يسيرة لغرض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السيد الحكيم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الأظهر الاختصاص بصورة التشبه</w:t>
      </w:r>
      <w:r>
        <w:rPr>
          <w:rFonts w:eastAsia="IRNazanin" w:cs="IRNazanin"/>
          <w:b w:val="false"/>
          <w:bCs w:val="false"/>
          <w:i w:val="false"/>
          <w:iCs w:val="false"/>
          <w:color w:val="333333"/>
          <w:sz w:val="20"/>
          <w:szCs w:val="20"/>
          <w:rtl w:val="true"/>
        </w:rPr>
        <w:t>»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لبس لباس الشهرة بأن يلبس خلاف زيه من حيث جنس اللباس، أو من حيث لونه، أو من حيث وضعه وتفصيله وخياطته، كأن يلبس العالم لباس الجندي أو بالعكس مثلاً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 الرجل بالمرأة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الاعتراف بالمسجلة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الاعتراف بالمسجلة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الاعتراف بالمسجلة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المقدمات القريبة، مثل صب الماء في كفه، وفي هذه يكره مباشرة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صب الماء على أعضائه، مع كونه هو المباشر لإجرائه، وغسل أعضائه، وفي هذه الصورة وإن كان لا يخلو تصدي الغير عن إشكال، إلا أنَّ الظاهر صحته، فينحصر البطلان فيما لو باشر الغير غسله أو أعانه على المباشرة، بأن يكون الإجراء والغسل منهما معاً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الاعتراف بالمسجلة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الاعتراف بالمسجلة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المقدمات القريبة، مثل صب الماء في كفه، وفي هذه يكره مباشرة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صب الماء على أعضائه، مع كونه هو المباشر لإجرائه، وغسل أعضائه، وفي هذه الصورة وإن كان لا يخلو تصدي الغير عن إشكال، إلا أنَّ الظاهر صحته، فينحصر البطلان فيما لو باشر الغير غسله أو أعانه على المباشرة، بأن يكون الإجراء والغسل منهما معاً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المقدمات القريبة، مثل صب الماء في كفه، وفي هذه يكره مباشرة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صب الماء على أعضائه، مع كونه هو المباشر لإجرائه، وغسل أعضائه، وفي هذه الصورة وإن كان لا يخلو تصدي الغير عن إشكال، إلا أنَّ الظاهر صحته، فينحصر البطلان فيما لو باشر الغير غسله أو أعانه على المباشرة، بأن يكون الإجراء والغسل منهما معاً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غش المسلم وغير المسلم من محترم المال، ويدل عليه الأدلة الثلاثة، ففي صحيح هشام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أبيع السابري في الظلال فمرَّ عليَّ أبو الحسن الأول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راكباً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هشام، إنَّ البيع في الظلام غش، والغش لا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 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غش المسلم وغير المسلم من محترم المال، ويدل عليه الأدلة الثلاثة، ففي صحيح هشام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أبيع السابري في الظلال فمرَّ عليَّ أبو الحسن الأول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راكباً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هشام، إنَّ البيع في الظلام غش، والغش لا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 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غش المسلم وغير المسلم من محترم المال، ويدل عليه الأدلة الثلاثة، ففي صحيح هشام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أبيع السابري في الظلال فمرَّ عليَّ أبو الحسن الأول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راكباً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هشام، إنَّ البيع في الظلام غش، والغش لا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 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غش المسلم وغير المسلم من محترم المال، ويدل عليه الأدلة الثلاثة، ففي صحيح هشام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أبيع السابري في الظلال فمرَّ عليَّ أبو الحسن الأول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راكباً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هشام، إنَّ البيع في الظلام غش، والغش لا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 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غش المسلم وغير المسلم من محترم المال، ويدل عليه الأدلة الثلاثة، ففي صحيح هشام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أبيع السابري في الظلال فمرَّ عليَّ أبو الحسن الأول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راكباً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هشام، إنَّ البيع في الظلام غش، والغش لا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 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 بالاستعطاف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 بالاستعطاف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 بالاستعطاف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يتوى حق امرئ مسلم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يتوى حق امرئ مسلم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 على حسب ما يقفها أهلها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 على حسب ما يوقفها أهلها إن شاء اللّه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يتوى حق امرئ مسلم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 على حسب ما يقفها أهلها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 على حسب ما يوقفها أهلها إن شاء اللّه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سليمان،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الجبن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لك حلال حتى يجيئك شاهدان يشهدان عندك أنَّ فيه ميتة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سليمان،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الجبن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لك حلال حتى يجيئك شاهدان يشهدان عندك أنَّ فيه ميتة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سليمان،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الجبن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لك حلال حتى يجيئك شاهدان يشهدان عندك أنَّ فيه ميتة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الكذب بالأدلة الأربعة، والآيات والروايات فيه متواترة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وحيث إنّ الخدعة المحرمة حرام فكون الإنسان فاعلاً لها يكون فاعلاً للحرام، وليس بعنوان جديد، أما إذا خدع الطرف جاز للإنسان أيضاً الخدعة في قبال خدعته من باب جزاء سيئة سيئة بمثلها، ولذا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خدعة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غش المسلم وغير المسلم من محترم المال، ويدل عليه الأدلة الثلاثة، ففي صحيح هشام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أبيع السابري في الظلال فمرَّ عليَّ أبو الحسن الأول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راكباً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هشام، إنَّ البيع في الظلام غش، والغش لا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 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الاقتصاد</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التصرف في ممتلكات 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التصرف في ممتلكات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التصرف في ممتلكات 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التصرف في ممتلكات 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التصرف في ممتلكات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التصرف في ممتلكات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الأمر بالمعروف والنهي عن المنكر</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توقف النهي على الإضرار المالي، كما لو كان بائع الخمر لا ينقلع إلا بكسر أواني خمره، أو إحراق دكانه فالظاهر الجواز تكليفاً وعدم الضمان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الجواز تكليفاً فلإطلاقات أدلة الأمر والنهي، مع تلازمها عرفاً في كثير من الأحيان لهذه الأمور، ولذا نقول بالوجوب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عدم الضمان وضعاً فلأن أدلة الضمان محكومة بأدلة الأمر والنهي، حسب ما يراه العرف</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الأمر بالمعروف والنهي عن المنكر</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توقف النهي على الإضرار المالي، كما لو كان بائع الخمر لا ينقلع إلا بكسر أواني خمره، أو إحراق دكانه فالظاهر الجواز تكليفاً وعدم الضمان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الجواز تكليفاً فلإطلاقات أدلة الأمر والنهي، مع تلازمها عرفاً في كثير من الأحيان لهذه الأمور، ولذا نقول بالوجوب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عدم الضمان وضعاً فلأن أدلة الضمان محكومة بأدلة الأمر والنهي، حسب ما يراه العرف</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الفقه في شرح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الأسوة،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لَكُمْ فِي رَسُولِ اللَّهِ أُسْوَةٌ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فكلما كان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لسائر المسلمين، إلاّ ما خرج بالدليل</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لو تترسوا بمسلم فإن لم تكن الحرب قائمة لم يجز الرمي، وكذا لو أمكنت القدرة عليهم بدون الرمي أو أمن شرهم، فلو خالفوا ورموا كان الحكم فيه كالحكم في غير هذا المكان إن كان القتل عمداً، وجب القود والكفارة على قاتله، وإن كان خطأ فالدية على عاقلته والكفارة عليه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المشقة موجبة لليسر، وهذه القاعدة يعود إليها جميع رُخص الشرع، كأكل الميتة في المخمصة، ومخالفة الحق للتقية عند الخوف على النفس أو البضع أو المال أو القريب أو بعض المؤمنين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الفقه في شرح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الأسوة،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لَكُمْ فِي رَسُولِ اللَّهِ أُسْوَةٌ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فكلما كان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لسائر المسلمين، إلاّ ما خرج بالدليل</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قانون فعل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 لم يعلم وجهه فهل يجب علينا متابعته مطلقا أو يستحب مطلقا أو يباح أو يجب التوقف فيه أقوال؟ أقواها القول الثاني، دليلنا أصالة البراءة من الوجوب عدم دليل قائم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أن احتمال الحظر من جهة كونه من الخصائص نادر ولا يلتفت إليه، فإنّ الغالب موافقة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لأمتهم وتابعيهم، فالأصل هو المشاركة إلا ما أخرجه الدليل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الفقه في شرح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الأسوة،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لَكُمْ فِي رَسُولِ اللَّهِ أُسْوَةٌ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فكلما كان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لسائر المسلمين، إلاّ ما خرج بالدليل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هذه السنة كانت غزوة خالد بن الوليد بني جَذيمة، وكان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قد بعث السرايا بعد الفتح فيما حول مكة يدعون الناس إلى الإسلام ولم يأمرهم بقتال، وكان ممن بعث خالد بن الوليد بعثه داعياً ولم يبعثه مقاتلاً، فنزل على الغميصاء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من مياه جذيمة بن عامر بن عبد مناة بن كنانة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جَذيمة أصابت في الجاهلية عوف بن عبد عوف، أبا عبد الرحمن بن عوف والفاكه بن المغيرة عم خالد، كانا أقبلا تاجرين من اليمن فأخذت ما معهما وقتلتهما، فلما نزل خالد ذلك الماء أخذ بنو جذيمة السلاح، فقال لهم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ضعوا السلاح فإنّ الناس قد أسلموا، فوضعوا السلاح فأمر خالد بهم فكتفوا ثم عرضهم على السيف، فقتل منهم مَنْ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انتهى الخبر إلى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رفع يديه إلى السماء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أبرأ إليك مما صنع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أرسل علياً ومعه مال وأمره أنْ ينظر في أمرهم، فودي لهم الدماء والأموال حتى إنه ليدي ميلغة الكلب، وبقي معه من المال فضلة فقال لهم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بقي لكم مال أو دم لم يؤدَ؟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أعطيكم هذه البقية احتياطاً لرسول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ففعل، ثم رجع إلى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فأخبره،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 وأحسنت</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حماد بن عيسى، عن سوار، عن الحسن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هزم طلحة والزبير أقبل الناس منهزمين، فمروا بامرأة حامل على الطريق ففزعت منهم فطرحت ما في بطنها حياً، فاضطرب حتى مات ثم ماتت أمه من بعده، فمر بها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 وهي مطروحة وولدها على الطريق، فسألهم عن أمرها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كانت حبلى ففزعت حين رأت القتال والهزيمة،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فسألهم أيهما مات قبل صاحبه؟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ابنها مات قبلها،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بزوجها أبي الغلام الميت فورثه من ابنه ثلثي الدية، وورث أمه ثلث الدية، ثم ورث الزوج من امرأته الميتة نصف ثلث الدية الذي ورثته من ابنها، وورث قرابة المرأة الميتة الباقي، ثم ورث الزوج أيضاً من دية امرأته الميتة نصف الدية، وهو ألفان وخمسمائة درهم، وورث قرابة المرأة الميتة نصف الدية، وهو ألفان وخمسمائة درهم، وذلك أنه لم يكن لها ولد غير الذي رمت به حين فزعت،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وأدى ذلك كله من بيت مال البصرة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قانون الأرض لا يحترم حيث إنّ المنفذ له هو البوليس؛ ولذلك لا يسيطر إلا على بقع خاصة من المجتمع الظاهرة للبوليس؛ ولذا كثرت الجرائم والمفاسد في كل الأرض، بينما قانون اللّه سبحانه يحترم من الأعماق، حيث احترام المؤمن لله وخشيته منه؛ ولذا تقل الجرائم عند المتدينين، إنْ لم تتعدم رأساً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قانون الأرض لا يحترم حيث إنّ المنفذ له هو البوليس؛ ولذلك لا يسيطر إلا على بقع خاصة من المجتمع الظاهرة للبوليس؛ ولذا كثرت الجرائم والمفاسد في كل الأرض، بينما قانون اللّه سبحانه يحترم من الأعماق، حيث احترام المؤمن لله وخشيته منه؛ ولذا تقل الجرائم عند المتدينين، إنْ لم تتعدم رأساً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قانون الأرض لا يحترم حيث إنّ المنفذ له هو البوليس؛ ولذلك لا يسيطر إلا على بقع خاصة من المجتمع الظاهرة للبوليس؛ ولذا كثرت الجرائم والمفاسد في كل الأرض، بينما قانون اللّه سبحانه يحترم من الأعماق، حيث احترام المؤمن لله وخشيته منه؛ ولذا تقل الجرائم عند المتدينين، إنْ لم تتعدم رأساً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دورة المياه في هذه الصفحة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 الزهور من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العامة وأحكامها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الخمس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علم أنّه مال الغير لكنه لم يعرف الاحترام، كان أصالة الاحترام محكماً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دورة 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الخمس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علم أنّه مال الغير لكنه لم يعرف الاحترام، كان أصالة الاحترام محكماً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العامة وأحكامها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الخمس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علم أنّه مال الغير لكنه لم يعرف الاحترام، كان أصالة الاحترام محكماً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دورة 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العامة وأحكامها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دورة 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العامة وأحكامها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العامة وأحكامها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جميل يحب الجمال، ويحب أن يرى أثر النعمة على عبده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نوع 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جميل يحب الجمال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وحفظ للأوقات عن الإتلاف، وحفظ عن الحوادث المرورية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جميل يحب الجمال، ويحب أن يرى أثر النعمة على عبده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ودلالة هذه الرواية على المقصود مما لا شبهة فيه، فإنّ الواقف يقف على أن تبقى العين وينتفع بمنافعها، والرواية الشريفة يمضي ذلك، وتدل على أنّ الوقف لا بد وأن يلاحظ فيه غرض الواقف حتى لو كان مشترطاً فيه عدم البيع أصلاً لكان متبعاً بحسب مقتضى العموم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وقفاً للذرية، بحيث يوقف أرضاً خاصاً لهم لتكون منفعته لهم، طبقة بعد طبقة وجيلاً بعد 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جواز بيعه فالظاهر أنه مما لا إشكال فيه كما سيأتي، فإن المانع الذي كان في التحرير غير موجود هنا كما لا يخفى، فإن الإضافة المالكية موجودة وتصرف الموقوف عليهم متعذر لفرض عروض الجهة المجوزة للبيع، وليس في البين ما يمنع عن التصرف كأدلة حرمة التصرف في مال الغير فتكون أصالة الإباحة محكمة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 وقفاً للذرية، بحيث يوقف أرضاً خاصاً لهم لتكون منفعته لهم، طبقة بعد طبقة وجيلاً بعد 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جواز بيعه فالظاهر أنه مما لا إشكال فيه كما سيأتي، فإن المانع الذي كان في التحرير غير موجود هنا كما لا يخفى، فإن الإضافة المالكية موجودة وتصرف الموقوف عليهم متعذر لفرض عروض الجهة المجوزة للبيع، وليس في البين ما يمنع عن التصرف كأدلة حرمة التصرف في مال الغير فتكون أصالة الإباحة محكمة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وبإسناده، عن جميل بن دراج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قال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تكون السفينة قريبة من الجد فأخرج وأصلي؟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فيها، أما ترضى بصلاة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شاطئ النهر، والجدد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الصلبة التي يسهل المشي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المجاشعي، عن الرضا،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 الواجد بالدين يحل عرضه وعقوبته ما لم يكن دينه فيما يكره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 الدين،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لوي</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يجب على المرتد الفطري بعد التوبة تعريض نفسه للقتل، بل يجوز له الممانعة منه، وإن وجب قتله على غيره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الشك في رضا المالك لا يجوز التصرف، ويجري عليه حكم الغصب، فلا بد فيما إذا كان ملكاً للغير من الإذن في التصرف فيه صريحاً أو فحوى أو شاهد حال قطعي</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الحاكم الجامع للشرائط لا يجوز نقضه ولو لمجتهد آخر إلا إذا تبين خطأه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الشك في رضا المالك لا يجوز التصرف، ويجري عليه حكم الغصب، فلا بد فيما إذا كان ملكاً للغير من الإذن في التصرف فيه صريحاً أو فحوى أو شاهد حال قطعي</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 على حسب ما يقفها أهلها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 على حسب ما يوقفها أهلها إن شاء اللّه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العامة وأحكامها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 على حسب ما يقفها أهلها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 على حسب ما يوقفها أهلها إن شاء اللّه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العامة وأحكامها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العامة وأحكامها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 على حسب ما يقفها أهلها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 على حسب ما يوقفها أهلها إن شاء اللّه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 على حسب ما يقفها أهلها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 على حسب ما يوقفها أهلها إن شاء اللّه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العامة وأحكامها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العامة وأحكامها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الرجل يصلي في قميص واحد؟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كثيفاً فلا بأس به، والمرأة تصلي في الدرع والمقنعة إذا كان الدرع كثيفا، يعني إذا كان ستيراً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الرجل يصلي في قميص واحد؟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كثيفاً فلا بأس به، والمرأة تصلي في الدرع والمقنعة إذا كان الدرع كثيفا، يعني إذا كان ستيراً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الرجل يصلي في قميص واحد؟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كثيفاً فلا بأس به، والمرأة تصلي في الدرع والمقنعة إذا كان الدرع كثيفا، يعني إذا كان ستيراً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يستثنى من عدم جواز النظر من الأجنبي والأجنبية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المعالجة وما يتوقف عليه من معرفة نبض العروق، والكسر والجرح والفصد والحجامة ونحو ذلك، إذا لم يمكن بالمماثل، بل يجوز المس واللمس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الضرورة كما إذا توقف الاستنقاذ من الغرق أو الحرق أو نحوهما عليه أو على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معارضة كل ما هو أهم في نظر الشارع مراعاته من مراعاة حرمة النظر أو اللمس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الشهادة تحملاً أو أداءً مع دعاء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من النساء اللاتي لا يرجون نكاحاً بالنسبة إلى ما هو المعتاد له من كشف بعض الشعر والذراع ونحو ذلك، لا مثل الثدي والبطن ونحوهما مما يعتاد سترهن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المميز من الصبي والصبية فإنه يجوز النظر إليهما، بل اللمس ولا يجب التستر منهما، بل الظاهر جواز النظر إليهما قبل البلوغ إذا لم يبلغا مبلغا يترتب على النظر منهما أو إليهما ثوران الشهوة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يستثنى من عدم جواز النظر من الأجنبي والأجنبية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المعالجة وما يتوقف عليه من معرفة نبض العروق، والكسر والجرح والفصد والحجامة ونحو ذلك، إذا لم يمكن بالمماثل، بل يجوز المس واللمس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الضرورة كما إذا توقف الاستنقاذ من الغرق أو الحرق أو نحوهما عليه أو على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معارضة كل ما هو أهم في نظر الشارع مراعاته من مراعاة حرمة النظر أو اللمس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الشهادة تحملاً أو أداءً مع دعاء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من النساء اللاتي لا يرجون نكاحاً بالنسبة إلى ما هو المعتاد له من كشف بعض الشعر والذراع ونحو ذلك، لا مثل الثدي والبطن ونحوهما مما يعتاد سترهن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المميز من الصبي والصبية فإنه يجوز النظر إليهما، بل اللمس ولا يجب التستر منهما، بل الظاهر جواز النظر إليهما قبل البلوغ إذا لم يبلغا مبلغا يترتب على النظر منهما أو إليهما ثوران الشهوة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موسى بن محمد أخي أبي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يحيى بن أكثم سأله في المسائل التي سأله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الخنثى وقول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تورث الخنثى من المبال مَنْ ينظر إليه إذا بال؟ وشهادة الجار إلى نفسه لا تقبل مع أنه عسى أن يكون امرأة، وقد نظر إليها الرجال، أو يكون رجلاً وقد نظر إليه النساء، وهذا مما لا يحل، فأجاب أبو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أما قول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الخنثى أنه يورث من المبال فهو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قوم عدول يأخذ كل واحد منهم مرآة وتقوم الخنثى خلفهم عريانة، فينظرون في المرايا فيرون شبحاً فيحكمون عليه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موسى بن محمد أخي أبي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يحيى بن أكثم سأله في المسائل التي سأله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الخنثى وقول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تورث الخنثى من المبال مَنْ ينظر إليه إذا بال؟ وشهادة الجار إلى نفسه لا تقبل مع أنه عسى أن يكون امرأة، وقد نظر إليها الرجال، أو يكون رجلاً وقد نظر إليه النساء، وهذا مما لا يحل، فأجاب أبو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أما قول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الخنثى أنه يورث من المبال فهو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قوم عدول يأخذ كل واحد منهم مرآة وتقوم الخنثى خلفهم عريانة، فينظرون في المرايا فيرون شبحاً فيحكمون عليه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موسى بن محمد أخي أبي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يحيى بن أكثم سأله في المسائل التي سأله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الخنثى وقول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تورث الخنثى من المبال مَنْ ينظر إليه إذا بال؟ وشهادة الجار إلى نفسه لا تقبل مع أنه عسى أن يكون امرأة، وقد نظر إليها الرجال، أو يكون رجلاً وقد نظر إليه النساء، وهذا مما لا يحل، فأجاب أبو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أما قول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الخنثى أنه يورث من المبال فهو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قوم عدول يأخذ كل واحد منهم مرآة وتقوم الخنثى خلفهم عريانة، فينظرون في المرايا فيرون شبحاً فيحكمون عليه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موسى بن محمد أخي أبي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يحيى بن أكثم سأله في المسائل التي سأله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الخنثى وقول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تورث الخنثى من المبال مَنْ ينظر إليه إذا بال؟ وشهادة الجار إلى نفسه لا تقبل مع أنه عسى أن يكون امرأة، وقد نظر إليها الرجال، أو يكون رجلاً وقد نظر إليه النساء، وهذا مما لا يحل، فأجاب أبو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أما قول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الخنثى أنه يورث من المبال فهو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قوم عدول يأخذ كل واحد منهم مرآة وتقوم الخنثى خلفهم عريانة، فينظرون في المرايا فيرون شبحاً فيحكمون عليه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موسى بن محمد أخي أبي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يحيى بن أكثم سأله في المسائل التي سأله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الخنثى وقول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تورث الخنثى من المبال مَنْ ينظر إليه إذا بال؟ وشهادة الجار إلى نفسه لا تقبل مع أنه عسى أن يكون امرأة، وقد نظر إليها الرجال، أو يكون رجلاً وقد نظر إليه النساء، وهذا مما لا يحل، فأجاب أبو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أما قول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الخنثى أنه يورث من المبال فهو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قوم عدول يأخذ كل واحد منهم مرآة وتقوم الخنثى خلفهم عريانة، فينظرون في المرايا فيرون شبحاً فيحكمون عليه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سبق إلى موضع فهو أحق به في يومه وليلته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تغير عنوان المسجد بأن غصب وجعل داراً أو صار خرابا بحيث لا يمكن تعميره، ولا الصلاة فيه، وقلنا بجواز جعله مكاناً للزرع، ففي جواز تنجيسه وعدم وجوب تطهيره كما قيل إشكال، والأظهر عدم جواز الأول، بل وجوب الثاني أيضاً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المستحدثة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الموضع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موقف الشريعة المقدسة من العبور في الشوارع التي افتتحت في ملك الغير بلا رضا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الجواز إذا قلنا بجواز الاستملاك، إنّما الكلام لو بنينا على عدم الجواز، فقد ذكر في وجه جواز العبور فيها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الشوارع المستحدثة أموال لا يمكن إيصالها إلى أصحابها، فيلحقها حكم مجهول المالك وهو التصدق</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تغير عنوان المسجد بأن غصب وجعل داراً أو صار خرابا بحيث لا يمكن تعميره، ولا الصلاة فيه، وقلنا بجواز جعله مكاناً للزرع، ففي جواز تنجيسه وعدم وجوب تطهيره كما قيل إشكال، والأظهر عدم جواز الأول، بل وجوب الثاني أيضاً</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سبق إلى موضع فهو أحق به في يومه وليلته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سبق إلى موضع فهو أحق به في يومه وليلته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تغير عنوان المسجد بأن غصب وجعل داراً أو صار خرابا بحيث لا يمكن تعميره، ولا الصلاة فيه، وقلنا بجواز جعله مكاناً للزرع، ففي جواز تنجيسه وعدم وجوب تطهيره كما قيل إشكال، والأظهر عدم جواز الأول، بل وجوب الثاني أيضاً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تغير عنوان المسجد بأن غصب وجعل داراً أو صار خرابا بحيث لا يمكن تعميره، ولا الصلاة فيه، وقلنا بجواز جعله مكاناً للزرع، ففي جواز تنجيسه وعدم وجوب تطهيره كما قيل إشكال، والأظهر عدم جواز الأول، بل وجوب الثاني أيضاً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المستحدثة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الموضع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موقف الشريعة المقدسة من العبور في الشوارع التي افتتحت في ملك الغير بلا رضا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الجواز إذا قلنا بجواز الاستملاك، إنّما الكلام لو بنينا على عدم الجواز، فقد ذكر في وجه جواز العبور فيها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الشوارع المستحدثة أموال لا يمكن إيصالها إلى أصحابها، فيلحقها حكم مجهول المالك وهو التصدق</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المستحدثة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الموضع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موقف الشريعة المقدسة من العبور في الشوارع التي افتتحت في ملك الغير بلا رضا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الجواز إذا قلنا بجواز الاستملاك، إنّما الكلام لو بنينا على عدم الجواز، فقد ذكر في وجه جواز العبور فيها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الشوارع المستحدثة أموال لا يمكن إيصالها إلى أصحابها، فيلحقها حكم مجهول المالك وهو التصدق</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المال المذخور في الأرض أو الجبل أو الجدار أو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جميع هذه يكون ملكاً لواجده، وعليه الخمس</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المستحدثة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المقام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البحث عن المساجد الواقعة في الشوارع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فيه في مواضع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عنوان المسجدية هل يزول شرعاً بزواله عرفا أم لا؟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العبور في المساجد الواقعة في الشوارع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الموضع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فالأظهر عدم زوال عنوان المسجدية شرعاً بزواله عرفاً، ففي وقف المساجد لا ينقل الواقف المال إلى اللّه تعالى، ولا إلى المسلمين، ولا المصلين، ولا يكون من قبيل فك الملك خاصة، بل المسجدية من العناوين الاعتبارية العقلائية الممضاة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الموضع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 جواز العبور فيه، فإن الاستطراق في المسجد جائز، وتخريب الغاصب الظالم إياه، ومنع الناس من الصلاة فيه لا يوجب تبديل جواز الاستطراق بعدمه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المال المذخور في الأرض أو الجبل أو الجدار أو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جميع هذه يكون ملكاً لواجده، وعليه الخمس</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الحكم في الإسلام</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الإمام يأتي دور الفقيه الجامع للشرائط في الولاية، والضرورة قامت على ولايته في الجملة في أُمور الحسبة، التي يؤتى بها قربة إلى اللّه سبحانه؛ ولذا سميت بالحسبة، من الاحتساب له سبحانه رجاء ثوابه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الكلام في ولايته العامة في باب التنفيذ، كولاية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يكون الأصل العموم إلا ما خرج، أو أنّ الفقيه لا ولاية عامة له إلا ما دل الدليل على حقه في التولي، والظاهر الأول</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الحكم في الإسلام</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الإمام يأتي دور الفقيه الجامع للشرائط في الولاية، والضرورة قامت على ولايته في الجملة في أُمور الحسبة، التي يؤتى بها قربة إلى اللّه سبحانه؛ ولذا سميت بالحسبة، من الاحتساب له سبحانه رجاء ثوابه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الكلام في ولايته العامة في باب التنفيذ، كولاية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يكون الأصل العموم إلا ما خرج، أو أنّ الفقيه لا ولاية عامة له إلا ما دل الدليل على حقه في التولي، والظاهر الأول</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الحكم في الإسلام</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الإمام يأتي دور الفقيه الجامع للشرائط في الولاية، والضرورة قامت على ولايته في الجملة في أُمور الحسبة، التي يؤتى بها قربة إلى اللّه سبحانه؛ ولذا سميت بالحسبة، من الاحتساب له سبحانه رجاء ثوابه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الكلام في ولايته العامة في باب التنفيذ، كولاية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يكون الأصل العموم إلا ما خرج، أو أنّ الفقيه لا ولاية عامة له إلا ما دل الدليل على حقه في التولي، والظاهر الأول</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 إلى كفاية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 إلى كفاية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 إلى كفاية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 إلى كفاية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 إلى كفاية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تبيّن خطأ الحاكم في حكمه انتقض، وحينئذٍ فإن كان قبل العمل به فلا إشكال، وإن كان بعده، فإمّا أن يكون في قتل أو قطع، وإمّا أن يكون في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المال موجوداً استردّ، وإن كان تالفاً فإن كان قد أخذه المحكوم له ضمن عوضه، وإن لم يكن أخذه لعدم كونه ممّا يرجع إليه، فإن كان عالماً بفساد دعواه فكذلك؛ لكونه السبب في إتلافه على المحكوم عليه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تبيّن خطأ الحاكم في حكمه انتقض، وحينئذٍ فإن كان قبل العمل به فلا إشكال، وإن كان بعده، فإمّا أن يكون في قتل أو قطع، وإمّا أن يكون في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المال موجوداً استردّ، وإن كان تالفاً فإن كان قد أخذه المحكوم له ضمن عوضه، وإن لم يكن أخذه لعدم كونه ممّا يرجع إليه، فإن كان عالماً بفساد دعواه فكذلك؛ لكونه السبب في إتلافه على المحكوم عليه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تبيّن خطأ الحاكم في حكمه انتقض، وحينئذٍ فإن كان قبل العمل به فلا إشكال، وإن كان بعده، فإمّا أن يكون في قتل أو قطع، وإمّا أن يكون في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المال موجوداً استردّ، وإن كان تالفاً فإن كان قد أخذه المحكوم له ضمن عوضه، وإن لم يكن أخذه لعدم كونه ممّا يرجع إليه، فإن كان عالماً بفساد دعواه فكذلك؛ لكونه السبب في إتلافه على المحكوم عليه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والإضرار المحرم يشمل المؤمن والكافر المحترم، بل والحيوان كما يشمل الإضرار المالي والبدني والنفسي والعرضي والفكري، وهو داخل في الإضرار النفسي</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مسائل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مصير الشيء النفيس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والإضرار المحرم يشمل المؤمن والكافر المحترم، بل والحيوان كما يشمل الإضرار المالي والبدني والنفسي والعرضي والفكري، وهو داخل في الإضرار النفسي</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مسائل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مصير الشيء النفيس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مسائل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مصير الشيء النفيس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 الطين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يحيى الواسطي، عن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الطين حرام كله كلحم الخنزير، ومَنْ أكله ثم مات فيه لم أصلَّ عليه، إلا طين القبر، فإنَّ فيه شفاء من كل داء، ومَنْ أكله لشهوة لم يكن له فيه 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والإضرار المحرم يشمل المؤمن والكافر المحترم، بل والحيوان كما يشمل الإضرار المالي والبدني والنفسي والعرضي والفكري، وهو داخل في الإضرار النفسي</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 الطين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إنَّ المحكي عن الأكثر التعزير مع ذلك، وهو مقتضى القاعدة؛ لأنّه في كل معصية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إنَّ المحكي عن الأكثر التعزير مع ذلك، وهو مقتضى القاعدة؛ لأنّه في كل معصية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إنَّ المحكي عن الأكثر التعزير مع ذلك، وهو مقتضى القاعدة؛ لأنّه في كل معصية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مسائل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التعذيب بالوسائل القديمة والحديثة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مسائل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التعذيب بالوسائل القديمة والحديثة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إنَّ المحكي عن الأكثر التعزير مع ذلك، وهو مقتضى القاعدة؛ لأنّه في كل معصية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مسائل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التعذيب بالوسائل القديمة والحديثة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فرض كون المكلف في المكان الذي نهاره ستة أشهر، وليله ستة أشهر، أو نهاره ثلاثة وليله ستة أو نحو ذلك، فلا يبعد كون المدار في صومه وصلاته على البلدان المتعارفة المتوسطة، مخيراً بين أفراد المتوسط</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فرض كون المكلف في المكان الذي نهاره ستة أشهر، وليله ستة أشهر، أو نهاره ثلاثة وليله ستة أو نحو ذلك، فلا يبعد كون المدار في صومه وصلاته على البلدان المتعارفة المتوسطة، مخيراً بين أفراد المتوسط</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فرض كون المكلف في المكان الذي نهاره ستة أشهر، وليله ستة أشهر، أو نهاره ثلاثة وليله ستة أو نحو ذلك، فلا يبعد كون المدار في صومه وصلاته على البلدان المتعارفة المتوسطة، مخيراً بين أفراد المتوسط</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الأخرى وأول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فرض كون المكلف في المكان الذي نهاره ستة أشهر، وليله ستة أشهر، أو نهاره ثلاثة وليله ستة أو نحو ذلك، فلا يبعد كون المدار في صومه وصلاته على البلدان المتعارفة المتوسطة، مخيراً بين أفراد المتوسط</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الأخرى وأول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الأخرى وأول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الأخرى وأول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الأخرى وأول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الأخرى وأول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الأخرى وأول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الأخرى وأول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الأخرى وأول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الأخرى وأول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الأخرى وأول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الأخرى وأول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الأخرى وأول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الأخرى وأول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فيعتبر في مثله تعيين كونه من رمضان، كما أنّ الأحوط في المتوخي،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المحبوس الذي اشتبه عليه شهر رمضان وعمل بالظن أيضاً ذلك،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قصد كونه من رمضان، بل وجوب ذلك لا يخلو عن قوة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قبلة المتحير،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حيث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أيضاً أنّه يصلي إلى أربع جوانب</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فيعتبر في مثله تعيين كونه من رمضان، كما أنّ الأحوط في المتوخي،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المحبوس الذي اشتبه عليه شهر رمضان وعمل بالظن أيضاً ذلك،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قصد كونه من رمضان، بل وجوب ذلك لا يخلو عن قوة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قبلة المتحير،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حيث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أيضاً أنّه يصلي إلى أربع جوانب</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فيعتبر في مثله تعيين كونه من رمضان، كما أنّ الأحوط في المتوخي،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المحبوس الذي اشتبه عليه شهر رمضان وعمل بالظن أيضاً ذلك،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قصد كونه من رمضان، بل وجوب ذلك لا يخلو عن قوة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قبلة المتحير،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حيث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أيضاً أنّه يصلي إلى أربع جوانب</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علی المسائل المتجددة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بالماطور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باب مكروهات الدفن،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الحادي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الميت من بلد موته إلى بلد آخر، إلا إلى المشاهد المشرفة والأماكن المقدسة والمواضع المحترمة، كالنقل من عرفات إلى مكة، والنقل إلى النجف، فإنَّ الدفن فيه يدفع عذاب القبر وسؤال الملكين، وإلى كربلاء والكاظمين وسائر قبور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 إلى مقابر العلماء والصلحاء، بل لا يبعد استحباب النقل من بعض المشاهد إلى آخر لبعض المرجحات الشرعية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باب مكروهات الدفن،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الحادي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الميت من بلد موته إلى بلد آخر، إلا إلى المشاهد المشرفة والأماكن المقدسة والمواضع المحترمة، كالنقل من عرفات إلى مكة، والنقل إلى النجف، فإنَّ الدفن فيه يدفع عذاب القبر وسؤال الملكين، وإلى كربلاء والكاظمين وسائر قبور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 إلى مقابر العلماء والصلحاء، بل لا يبعد استحباب النقل من بعض المشاهد إلى آخر لبعض المرجحات الشرعية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باب مكروهات الدفن،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الحادي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الميت من بلد موته إلى بلد آخر، إلا إلى المشاهد المشرفة والأماكن المقدسة والمواضع المحترمة، كالنقل من عرفات إلى مكة، والنقل إلى النجف، فإنَّ الدفن فيه يدفع عذاب القبر وسؤال الملكين، وإلى كربلاء والكاظمين وسائر قبور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 إلى مقابر العلماء والصلحاء، بل لا يبعد استحباب النقل من بعض المشاهد إلى آخر لبعض المرجحات الشرعية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باب مكروهات الدفن،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الحادي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الميت من بلد موته إلى بلد آخر، إلا إلى المشاهد المشرفة والأماكن المقدسة والمواضع المحترمة، كالنقل من عرفات إلى مكة، والنقل إلى النجف، فإنَّ الدفن فيه يدفع عذاب القبر وسؤال الملكين، وإلى كربلاء والكاظمين وسائر قبور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 إلى مقابر العلماء والصلحاء، بل لا يبعد استحباب النقل من بعض المشاهد إلى آخر لبعض المرجحات الشرعية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الاعتكاف في الفضاء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الاعتكاف في الفضاء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الاعتكاف في الفضاء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الاعتكاف في الفضاء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يعلو ولا يعلى عليه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يعلو ولا يعلى عليه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الفرار بنقب 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المشقة موجبة لليسر، وهذه القاعدة يعود إليها جميع رخص الشرع، كأكل الميتة في المخمصة، ومخالفة الحق للتقية عند الخوف على النفس أو البضع أو المال أو القريب أو بعض المؤمنين، بل يجوز إظهار كلمة الكفر عند التقية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الحوادث الواقعة فارجعوا فيها إلى رواة حديثنا، فإنهم حجتي عليكم وأنا حجة اللّه عليهم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المشقة موجبة لليسر، وهذه القاعدة يعود إليها جميع رخص الشرع، كأكل الميتة في المخمصة، ومخالفة الحق للتقية عند الخوف على النفس أو البضع أو المال أو القريب أو بعض المؤمنين، بل يجوز إظهار كلمة الكفر عند التقية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الأمر بالمعروف والنهي عن المنكر</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توقف النهي على الإضرار المالي، كما لو كان بائع الخمر لا ينقلع إلا بكسر أواني خمره، أو إحراق دكانه فالظاهر الجواز تكليفاً وعدم الضمان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الجواز تكليفاً فلإطلاقات أدلة الأمر والنهي، مع تلازمها عرفاً في كثير من الأحيان لهذه الأمور، ولذا نقول بالوجوب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عدم الضمان وضعاً فلأن أدلة الضمان محكومة بأدلة الأمر والنهي، حسب ما يراه العرف</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المشقة موجبة لليسر، وهذه القاعدة يعود إليها جميع رخص الشرع، كأكل الميتة في المخمصة، ومخالفة الحق للتقية عند الخوف على النفس أو البضع أو المال أو القريب أو بعض المؤمنين، بل يجوز إظهار كلمة الكفر عند التقية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الحوادث الواقعة فارجعوا فيها إلى رواة حديثنا، فإنهم حجتي عليكم وأنا حجة اللّه عليهم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الحوادث الواقعة فارجعوا فيها إلى رواة حديثنا، فإنهم حجتي عليكم وأنا حجة اللّه عليهم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الحسينية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الحسينية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الحسينية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الحسينية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الحسينية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الخمس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غرق شيء في البحر واعرض مالكه عنه فأخرجه الغواص ملكه، لأن الإعراض يوجب زوال الملكية عرفاً فيتبعه الشرع؛ إذ لا دليل خاص على بقاء الملكية، فإنَّ الشارع أمضى الملكية العرفية باستثناء موارد خاصة قال بعدم الملك فيما يراه العرف ملكاً كالخمر والخنزير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الخمس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غرق شيء في البحر واعرض مالكه عنه فأخرجه الغواص ملكه، لأن الإعراض يوجب زوال الملكية عرفاً فيتبعه الشرع؛ إذ لا دليل خاص على بقاء الملكية، فإنَّ الشارع أمضى الملكية العرفية باستثناء موارد خاصة قال بعدم الملك فيما يراه العرف ملكاً كالخمر والخنزير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الخمس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غرق شيء في البحر واعرض مالكه عنه فأخرجه الغواص ملكه، لأن الإعراض يوجب زوال الملكية عرفاً فيتبعه الشرع؛ إذ لا دليل خاص على بقاء الملكية، فإنَّ الشارع أمضى الملكية العرفية باستثناء موارد خاصة قال بعدم الملك فيما يراه العرف ملكاً كالخمر والخنزير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السكوني،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غرقت السفينة وما فيها فأصابه الناس فما قذف به البحر على ساحله فهو لأهله، وهم أحق به، وما غاص عليه الناس وتركه صاحبه فهو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سفينة انكسرت في البحر فأخرج بعضها بالغوص، وأخرج البحر بعض ما غرق فيها،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ما أخرجه البحر فهو لأهله اللّه أخرجه، وأما ما أخرج بالغوص فهو لهم وهم أحق به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السكوني،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غرقت السفينة وما فيها فأصابه الناس فما قذف به البحر على ساحله فهو لأهله، وهم أحق به، وما غاص عليه الناس وتركه صاحبه فهو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سفينة انكسرت في البحر فأخرج بعضها بالغوص، وأخرج البحر بعض ما غرق فيها،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ما أخرجه البحر فهو لأهله اللّه أخرجه، وأما ما أخرج بالغوص فهو لهم وهم أحق به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الغوص وهو إخراج الجواهر من البحر مثل اللؤلؤ والمرجان وغيرهما، معدنياً كان أو نباتياً، لا مثل السمك ونحوه من الحيوانات</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الريان بن 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الذي يجب علي يا مولاي في غلة رحى في أرض قطيعة لي، وفي ثمن سمك وبردي وقصب أبيعه من أجمة هذه القطيعة؟ فكتب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عليك فيه الخمس إن شاء اللّه تعالى</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الريان بن 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الذي يجب علي يا مولاي في غلة رحى في أرض قطيعة لي، وفي ثمن سمك وبردي وقصب أبيعه من أجمة هذه القطيعة؟ فكتب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عليك فيه الخمس إن شاء اللّه تعالى</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الاعتكاف في الفضاء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الريان بن 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الذي يجب علي يا مولاي في غلة رحى في أرض قطيعة لي، وفي ثمن سمك وبردي وقصب أبيعه من أجمة هذه القطيعة؟ فكتب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عليك فيه الخمس إن شاء اللّه تعالى</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جمهور العمي يرفعه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ظهرت البدع في أمتي فليظهر العالم علمه، فمن لم يفعل فعليه لعنة اللّه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جمهور العمي يرفعه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ظهرت البدع في أمتي فليظهر العالم علمه، فمن لم يفعل فعليه لعنة اللّه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الأمر بالمعروف</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يشترط التأثير في الجملة حتى يجب الأمر بالمعروف والنهي عن المنكر، والتأثير على أقسام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تدريجي يؤثر بتجمع الأمر والنهي، وإمّا دفعي يحصل التأثير بمرة واحدة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إنسان واحد أو أفراد كما أذا أمره عشرة ائتمر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مباشري أو تسبيبي، فقد يأمر زيداً فينفعه وقد يأمره فينتفع به عمرو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حالي أو استقبالي فقد يأمر الآن ويفيد بعد عشر سنوات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انقلاعي بأن ينقلع فاعل المنكر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سكوت العلماء في هذه الصفحة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الأمر بالمعروف</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وقد تقدم سابقاً، فراجع</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الحاكم الإسلامي هو الذي يجمع بين شرطين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مرضياً لله سبحانه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منتخباً من قبل أكثرية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الشرط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الولاية لله سبحانه، عقلاً وشرعاً، فلا يحق لأحد تولي الأمر بدون رضاه سبحانه، أمّا عقلاً فلأن اللّه سبحانه خالق الخلق ومالك الملك وكما لا 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يتصرف أحد في ملك أحد إلا برضاه، كذلك لا يجوز التصرف في ملك اللّه إلا برضاه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الشيخ الأنصاري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الحاكم الإسلامي هو الذي يجمع بين شرطين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مرضياً لله سبحانه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منتخباً من قبل أكثرية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الشرط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الولاية لله سبحانه، عقلاً وشرعاً، فلا يحق لأحد تولي الأمر بدون رضاه سبحانه، أمّا عقلاً فلأن اللّه سبحانه خالق الخلق ومالك الملك وكما لا 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يتصرف أحد في ملك أحد إلا برضاه، كذلك لا يجوز التصرف في ملك اللّه إلا برضاه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الحاكم الإسلامي هو الذي يجمع بين شرطين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مرضياً لله سبحانه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منتخباً من قبل أكثرية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الشرط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الولاية لله سبحانه، عقلاً وشرعاً، فلا يحق لأحد تولي الأمر بدون رضاه سبحانه، أمّا عقلاً فلأن اللّه سبحانه خالق الخلق ومالك الملك وكما لا 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يتصرف أحد في ملك أحد إلا برضاه، كذلك لا يجوز التصرف في ملك اللّه إلا برضاه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الشيخ الأنصاري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الحاكم الإسلامي هو الذي يجمع بين شرطين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مرضياً لله سبحانه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منتخباً من قبل أكثرية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الشرط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الولاية لله سبحانه، عقلاً وشرعاً، فلا يحق لأحد تولي الأمر بدون رضاه سبحانه، أمّا عقلاً فلأن اللّه سبحانه خالق الخلق ومالك الملك وكما لا 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يتصرف أحد في ملك أحد إلا برضاه، كذلك لا يجوز التصرف في ملك اللّه إلا برضاه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الشيخ الأنصاري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السياسة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الحاكم الإسلامي هو الذي يجمع بين شرطين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مرضياً لله سبحانه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منتخباً من قبل أكثرية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الشرط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الولاية لله سبحانه، عقلاً وشرعاً، فلا يحق لأحد تولي الأمر بدون رضاه سبحانه، أمّا عقلاً فلأن اللّه سبحانه خالق الخلق ومالك الملك وكما لا 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يتصرف أحد في ملك أحد إلا برضاه، كذلك لا يجوز التصرف في ملك اللّه إلا برضاه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الوصائل إلى الرسائل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الظاهر جواز استصحاب الشرائع السابقة إذا ثبتت في شريعتنا بنص أو إجماع أو ما أشبه ذلك، ولم يثبت نسخ تلك الشريعة في شريعتنا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البيع،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البيع،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يعلو ولا يعلى عليه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يعلو ولا يعلى عليه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يعلو ولا يعلى عليه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المحرّمات</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عدم جواز نقل المصحف إلى الكافر، ذكره الشيخ والمحقق في الجهاد، والعلامة في كتبه، وجمهور من تأخر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الإسكافي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أختار أن يرهن الكافر مصحفاً، وما يجب على المسلم تعظيمه، ولا صغيراً من الأطفال،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واستدلوا عليه بوجوب احترام المصحف، وفحوى المنع من بيع العبد المسلم من 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ذكروه حسن وإن كان وجهه لا يخلو عن تأمل أو منع</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عدم جواز نقل المصحف إلى الكافر، ذكره الشيخ والمحقق في الجهاد، والعلامة في كتبه، وجمهور من تأخر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الإسكافي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أختار أن يرهن الكافر مصحفاً، وما يجب على المسلم تعظيمه، ولا صغيراً من الأطفال،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واستدلوا عليه بوجوب احترام المصحف، وفحوى المنع من بيع العبد المسلم من 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ذكروه حسن وإن كان وجهه لا يخلو عن تأمل أو منع</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عدم جواز نقل المصحف إلى الكافر، ذكره الشيخ والمحقق في الجهاد، والعلامة في كتبه، وجمهور من تأخر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الإسكافي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أختار أن يرهن الكافر مصحفاً، وما يجب على المسلم تعظيمه، ولا صغيراً من الأطفال،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واستدلوا عليه بوجوب احترام المصحف، وفحوى المنع من بيع العبد المسلم من 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ذكروه حسن وإن كان وجهه لا يخلو عن تأمل أو منع</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الدولية مع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الدولية مع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الاستعمار السياسي والاقتصادي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الدولية مع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الدولية مع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الاستعمار السياسي والاقتصادي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الدولية مع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الدولية مع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الدولية مع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الاستعمار السياسي والاقتصادي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الدولية مع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المؤسسات والمنظمات المندسّة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الاجتهاد والتقليد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إذا علمنا أنّ الشارع أدى ما عليه فاللازم علينا الإطاعة، وهذا الوجوب المذكور في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يراد به الوجوب الفطري إذا كان مستنده القريب حكم العقل بدفع الضرر المحتمل، وإما يراد به الوجوب العقلي إذا كان مستنده القريب حكم العقل بوجوب شكر المنعم، ومستنده البعيد حكم العقل بوجوب دفع الضرر المحتمل</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الاجتهاد والتقليد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إذا علمنا أنّ الشارع أدى ما عليه فاللازم علينا الإطاعة، وهذا الوجوب المذكور في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يراد به الوجوب الفطري إذا كان مستنده القريب حكم العقل بدفع الضرر المحتمل، وإما يراد به الوجوب العقلي إذا كان مستنده القريب حكم العقل بوجوب شكر المنعم، ومستنده البعيد حكم العقل بوجوب دفع الضرر المحتمل</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الاجتهاد والتقليد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جواز التقليد العالم القائل بالانسداد، خلافاً لصاحب الكفاية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المؤسسات والمنظمات المندسّة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المؤسسات والمنظمات المندسّة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بيع العنب ممن يعمله خمرا بقصد أن يعمله، وكذا بيع الخشب بقصد أن يعمله صنماً أو صليباً؛ لأنّ فيه إعانة على الإثم والعدوان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إشكال ولا خلاف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لم يقصد ذلك، فالأكثر على عدم التحريم، للأخبار المستفيضة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بيع العنب ممن يعمله خمرا بقصد أن يعمله، وكذا بيع الخشب بقصد أن يعمله صنماً أو صليباً؛ لأنّ فيه إعانة على الإثم والعدوان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إشكال ولا خلاف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لم يقصد ذلك، فالأكثر على عدم التحريم، للأخبار المستفيضة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الاجتهاد والتقليد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إذا علمنا أنّ الشارع أدى ما عليه فاللازم علينا الإطاعة، وهذا الوجوب المذكور في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يراد به الوجوب الفطري إذا كان مستنده القريب حكم العقل بدفع الضرر المحتمل، وإما يراد به الوجوب العقلي إذا كان مستنده القريب حكم العقل بوجوب شكر المنعم، ومستنده البعيد حكم العقل بوجوب دفع الضرر المحتمل</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يحرم لتحريم ما يقصد منه شأناً، بمعنى أنّ من شأنه أن يقصد منه الحرام، وتحريم هذا مقصور على النص؛ إذ لا يدخل ذلك تحت الإعانة، خصوصاً مع عدم العلم بصرف الغير له في الحرام، كبيع السلاح من أعداء الدين مع عدم قصد تقويهم، بل وعدم العلم باستعمالهم لهذا المبيع الخاص في حرب المسلمين، إلا أن المعروف بين الأصحاب حرمته، بل لا خلاف فيها، والأخبار بها مستفيضة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المؤسسات والمنظمات المندسّة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يحرم لتحريم ما يقصد منه شأناً، بمعنى أنّ من شأنه أن يقصد منه الحرام، وتحريم هذا مقصور على النص؛ إذ لا يدخل ذلك تحت الإعانة، خصوصاً مع عدم العلم بصرف الغير له في الحرام، كبيع السلاح من أعداء الدين مع عدم قصد تقويهم، بل وعدم العلم باستعمالهم لهذا المبيع الخاص في حرب المسلمين، إلا أن المعروف بين الأصحاب حرمته، بل لا خلاف فيها، والأخبار بها مستفيضة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يحرم لتحريم ما يقصد منه شأناً، بمعنى أنّ من شأنه أن يقصد منه الحرام، وتحريم هذا مقصور على النص؛ إذ لا يدخل ذلك تحت الإعانة، خصوصاً مع عدم العلم بصرف الغير له في الحرام، كبيع السلاح من أعداء الدين مع عدم قصد تقويهم، بل وعدم العلم باستعمالهم لهذا المبيع الخاص في حرب المسلمين، إلا أن المعروف بين الأصحاب حرمته، بل لا خلاف فيها، والأخبار بها مستفيضة</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المؤسسات والمنظمات المندسّة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ظهر من الوصي عجز، عن الاستقلال بإنفاذ الوصية لكبر أو هرم أو غير ذلك من موانع الاستقلال، ولو على جهة التوكيل والاستيجار ضم إليه مساعد، ولا ينعزل بذلك، بلا خلاف أجده فيه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الشركات الاستعمارية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الشركات الاستعمارية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الدولية مع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الدولية مع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الاجتهاد والتقليد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وقد تقدم سابقاً، فراجع</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الاجتهاد والتقليد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وقد تقدم سابقاً، فراجع</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الدولية مع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الاجتهاد والتقليد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وقد تقدم سابقاً، فراجع</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الاقتصادية مع الأجانب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الشركات الاستعمارية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الاقتصادية مع الأجانب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المعاهدات الاقتصادية مع الأجانب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الشركات الاستعمارية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الشركات الاستعمارية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مظاهر الخمور والفجور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مظاهر الخمور والفجور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الحدود</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الدعائم، أنّه روى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إنْ أراد القتل لم يسع للمرءٍ المسلم إلا المدافعة عن نفسه وماله، وما أُصيب من اللص فعرف أهله در عليهم، والجاسوس والعين إذا ظفر بهما قتلا، ويؤيد الهدر ما ورد في فقاءٍ عين الناظر من شق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العلاءٍ بن الفضيل،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اطلع الرجل على قوم يشرف عليهم، أو ينظر من خلل شيءٍ لهم فرموه فأصابوه فقتلوه، أو فقأوا عينه فليس عليهم غرم</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في حال التخلي، بل في سائر الأحوال ستر العورة عن الناظر المحترم، سواء كان من المحارم أم لا، رجلا كان أو امرأة، حتى عن المجنون والطفل المميز، كما أنه يحرم على الناظر أيضاً النظر إلى عورة الغير ولو كان مجنوناً أو طفلاً مميزاً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الحدود</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الدعائم، أنّه روى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إنْ أراد القتل لم يسع للمرءٍ المسلم إلا المدافعة عن نفسه وماله، وما أُصيب من اللص فعرف أهله در عليهم، والجاسوس والعين إذا ظفر بهما قتلا، ويؤيد الهدر ما ورد في فقاءٍ عين الناظر من شق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العلاءٍ بن الفضيل،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اطلع الرجل على قوم يشرف عليهم، أو ينظر من خلل شيءٍ لهم فرموه فأصابوه فقتلوه، أو فقأوا عينه فليس عليهم غرم</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في حال التخلي، بل في سائر الأحوال ستر العورة عن الناظر المحترم، سواء كان من المحارم أم لا، رجلا كان أو امرأة، حتى عن المجنون والطفل المميز، كما أنه يحرم على الناظر أيضاً النظر إلى عورة الغير ولو كان مجنوناً أو طفلاً مميزاً</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في حال التخلي، بل في سائر الأحوال ستر العورة عن الناظر المحترم، سواء كان من المحارم أم لا، رجلا كان أو امرأة، حتى عن المجنون والطفل المميز، كما أنه يحرم على الناظر أيضاً النظر إلى عورة الغير ولو كان مجنوناً أو طفلاً مميزاً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تَأْكُلُواْ أَمْوَالَكُم بَيْنَكُم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تَأْكُلُواْ أَمْوَالَكُم بَيْنَكُم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تَأْكُلُواْ أَمْوَالَكُم بَيْنَكُم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المحلاّت التجارية واستخدام الفتيات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المحلاّت التجارية واستخدام الفتيات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المحلاّت التجارية واستخدام الفتيات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المحلاّت التجارية واستخدام الفتيات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المحلاّت التجارية واستخدام الفتيات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السياقة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السياقة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السياقة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السياقة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شرح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شرح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الإجارة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انفراد الطبيب بالمرأة في غرفة مسدودة الأبواب؛ لأنّه من الخلوة بالأجنبية، كما لا يصحّ العكس أيضاً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شرح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السياقة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الإجارة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انفراد الطبيب بالمرأة في غرفة مسدودة الأبواب؛ لأنّه من الخلوة بالأجنبية، كما لا يصحّ العكس أيضاً</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السياقة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النكاح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يجوز لكل من الاجنبيين أن يدخل على الآخر، وإن لم يكن في الغرفة زوجان؛ وذلك لما تقدم من احتياج الدخول إلى الرضا، ويضاف هنا إلى عدم تحقق الخلوة بالأجنبية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المحلات التجارية واستخدام الفتيات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المحلات التجارية واستخدام الفتيات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المحلات التجارية واستخدام الفتيات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المحلات التجارية واستخدام الفتيات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استخدام الفتيات في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المحلات التجارية واستخدام الفتيات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استخدام الفتيات في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النكاح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لا بأس بها من وراء الثوب، بدون الغمز واللذة وإلا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جوازه من وراء الثوب فلأنه ليس يلمس بالإضافة إلى بعض الأدلة المتقدمة، وأما حرمة الغمز، فلأنه مثار الريبة وخوف الفتنة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النكاح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لا بأس بها من وراء الثوب، بدون الغمز واللذة وإلا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جوازه من وراء الثوب فلأنه ليس يلمس بالإضافة إلى بعض الأدلة المتقدمة، وأما حرمة الغمز، فلأنه مثار الريبة وخوف الفتنة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النكاح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لا بأس بها من وراء الثوب، بدون الغمز واللذة وإلا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جوازه من وراء الثوب فلأنه ليس يلمس بالإضافة إلى بعض الأدلة المتقدمة، وأما حرمة الغمز، فلأنه مثار الريبة وخوف الفتنة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النكاح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لا بأس بها من وراء الثوب، بدون الغمز واللذة وإلا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جوازه من وراء الثوب فلأنه ليس يلمس بالإضافة إلى بعض الأدلة المتقدمة، وأما حرمة الغمز، فلأنه مثار الريبة وخوف الفتنة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النكاح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لا بأس بها من وراء الثوب، بدون الغمز واللذة وإلا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جوازه من وراء الثوب فلأنه ليس يلمس بالإضافة إلى بعض الأدلة المتقدمة، وأما حرمة الغمز، فلأنه مثار الريبة وخوف الفتنة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جعفر بن عمر،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يدخل الرجال على النساء إلا بإذنهن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النكاح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وقد تقدم فراجع</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جعفر بن عمر،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يدخل الرجال على النساء إلا بإذنهن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النكاح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وقد تقدم فراجع</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كتاب النكاح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وقد تقدم فراجع</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وجاء نعيم بن مسعود الأشجعي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إني قد أسلمت ولم يعلم بي أحد من قومي، فمرني بأمرك، فقال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أنت فينا رجل واحد، فخذل عنّا ما استطعت، فإنّما الحرب خدعة، فانطلق نعيم بن مسعود حتى أتى بني قريظة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لكم صديق، واللّه ما أنتم وقريش وغطفان من محمد بمنزلة واحدة، إنَّ البلد بلدكم وبه أموالكم وأبناؤكم ونساؤكم، وإنما قريش وغطفان بلادهم غيرها، وإنما جاؤوا حتى نزلوا معكم، فإن رأوا فرصة انتهزوها، وإن رأوا غير ذلك رجعوا إلى بلادهم، وخلوا بينكم وبين الرجل، ولا طاقة لكم به، فلا تقاتلوا حتى تأخذوا رهنا من أشرافهم تستوثقون به أن لا يبرحوا حتى يناجزوا محمداً،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أشرت برأي، ثم ذهب فأتى أبا سفيان وأشراف قريش،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قريش، إنكم قد عرفتم ودي إياكم وفراقي محمداً ودينه، وإني قد جئتكم بنصيحة فاكتموا عليّ،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نفعل ما أنت عندنا بمتهم،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تعلمون أنّ بني قريظة قد ندموا على ما صنعوا فيما بينهم وبين محمد، فبعثوا إليه أنه لا يرضيك عنّا إلا أن نأخذ من القوم رهنا من أشرافهم وندفعهم إليك فتضرب أعناقهم، ثم نكون معك عليهم حتى نخرجهم من بلادك،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فإن بعثوا إليكم يسألونكم نفراً من رجالكم فلا تعطوهم رجلاً واحداً واحذروا، ثم جاء غطفان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غطفان، إنّي رجل منكم، ثم قال لهم ما قال لقريش، فلما أصبح أبو سفيان وذلك يوم السبت في شوال سنة خمس من الهجرة، بعث إليهم أبو سفيان عكرمة بن أبي جهل في نفر من قريش إنّ أبا سفيان يقول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اليهود، إنَّ الكراع والخف قد هلكتا، وإنا لسنا بدار مقام فاخرجوا إلى محمد حتى نناجزه، فبعثوا إليه إنّ اليوم السبت وهو يوم لا نعمل فيه شيئاً، ولسنا مع ذلك بالذي نقاتل معكم حتى تعطونا رهناً من رجالكم نستوثق بهم لا تذهبوا وتدعونا حتى نناجز محمداً، فقال أبو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حذرنا واللّه هذا نعيم، فبعث إليهم أبو سفيان إنّا لا نعطيكم رجلاً واحداً، فإن شئتم أن تخرجوا وتقاتلوا، وإن شئتم فاقعدوا، فقالت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واللّه الذي قال لنا نعيم، فبعثوا إليهم إنا واللّه لا نقاتل حتى تعطونا رهناً، وخذل اللّه بينهم، وبعث اللّه سبحانه عليهم الريح في ليال شاتية باردة شديدة البرد حتى انصرفوا راجعين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كتاب اللّه المنزل</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ينبغي الإرفاق بالأسير، 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إطعام الأسير والإحسان إليه حق واجب على مَنْ أسره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الجهاد</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ينبغي الإرفاق بالأسير، 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إطعام الأسير والإحسان إليه حق واجب على مَنْ أسره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مباهتة فاعل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مباهتة فاعل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مباهتة فاعل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إيذاء أبناء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مباهتة فاعل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المقابلة بالمثل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المسألة إلى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 عليها، ونحن نذكرها كما هي في كتاب المسائل المتجددة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المسألة إلى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 عليها، ونحن نذكرها كما هي في كتاب المسائل المتجددة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المسألة إلى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 عليها، ونحن نذكرها كما هي في كتاب المسائل المتجددة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المقابلة بالمثل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المقابلة بالمثل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المقابلة بالمثل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الإسناد،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استوى يوماه فهو مغبون، ومَنْ كان آخر يوميه شرهما فهو ملعون، ومَنْ لم يعرف الزيادة في نفسه كان إلى النقصان أقرب، ومَنْ كان إلى النقصان أقرب فالموت خير له من الحياة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وينصره ظالماً ومظلوماً، فأما نصرته ظالماً فيرده عن ظلمه، وأما نصرته مظلوماً فيعينه على أخذ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مالك عن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انصر أخاك ظالماً أو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نصرته مظلوماً فكيف أنصره ظالما؟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تكفه عن الظلم فذاك نصرك إياه</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واحتوش القوم فلاناً وتحاوشوه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جعلوه وسطهم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هذه الغزوة نزل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بأصحابه عند عين، فنام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وعمّار هناك في دقعاء من التراب، فأيقظهما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وحرّك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يا أبا 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لما عليه من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أُخبرك بأشقى الناس؟ أحمر ثمود عاقر الناقة، والذي يضربك يا علي على هذه، ووضع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يده على رأسه الشريف، حتى يبلّ منها هذه، ووضع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 على لحيته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الغزوات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التحالف مع العشائر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إرهاب قريش؛ لما سبق من أنهم فرضوا حصاراً اقتصاديّاً على المدينة</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تطلع عليه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من 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وطلع علينا فلان يطلع طلوعاً إذا هجم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وأطلع فلان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 واطلع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على الشيء، وأطلع غيره إطلاعاً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طلعت عليه الشمس</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كتاب الوكالة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سبق إلى ما لا يسبقه إليه المسلم هو أحق به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 الأعلى مولى آل سام،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نزلت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قوا أنفسكم وأهليكم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رجل من المسلمين يبكي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عجزت عن نفسي كلفت أهلي،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حسبك أن تأمرهم بما تأمر به نفسك وتنهاهم عما تنهى عنه نفسك</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 نهى عن نكاح يراد به غير وجه اللّه والعفة، ونهى عن النكاح للرياء والسمعة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نكاح الشغار باطل عندنا، والشغار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يقول 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زوجتك بنتي على أن تزوجني بنتك، على أن يكون بضع كل واحد منهما مهر الأخرى، فحقيقته أنّه ملك الرجل بضع بنته بالنكاح، ثم ملكه أيضاً من بنته مهراً لها، فجعل بضع البنت ملكاً للرجل بالزوجية وملكاً لابنته مهراً</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والراعبي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الحمام، والأنثى راعبية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لسان العرب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ورَعَّبَتِ الحمامةُ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هَديلَها وشَدَّتْه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وحَمامةٌ راعِبِيَّة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تُرَعِّبُ في صَوْتِها تَرْعِيباً، وهو شِدّة الصوت، جاءَ على لفظِ النَّسَب، وليس به؛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نَسَبٌ إِلى موضِعٍ لا أَعرِفُ صِيغة اسمِه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النوفلي، عن السكوني،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السحت ثمن الميتة وثمن الكلب، وثمن الخمر ومهر البغي والرشوة في الحكم، وأجر الكاهن</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يكون فيه حلال وحرام فهو حلال لك أبداً حتى أن تعرف الحرام منه بعينه فتدعه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المهارشة بالكلاب، وهو تحريش بعضها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التحريش</w:t>
      </w:r>
      <w:r>
        <w:rPr>
          <w:rFonts w:eastAsia="IRNazanin" w:cs="IRNazanin"/>
          <w:b w:val="false"/>
          <w:bCs w:val="false"/>
          <w:i w:val="false"/>
          <w:iCs w:val="false"/>
          <w:color w:val="333333"/>
          <w:sz w:val="20"/>
          <w:szCs w:val="20"/>
          <w:rtl w:val="true"/>
        </w:rPr>
        <w:t>...»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باب جواز قتل كلب الهراش،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عن النوفلي، عن السكوني،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الكلب الأسود البهيم لا تأكل صيده؛ لأن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بقتله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القواعد الفقهية،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قاعدة الإلزام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قاعدة مشهورة دلّ عليها النصّ والإجماع، بل ربما العقل أيضاً، حيث إن مقتضى عدم إلزام الناس بالإسلام يلازم تقريرهم على أحكامهم</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حماد بن عيسى، عن سوار، عن الحسن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عليا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هزم طلحة والزبير أقبل الناس منهزمين، فمروا بامرأة حامل على الطريق ففزعت منهم فطرحت ما في بطنها حياً، فاضطرب حتى مات ثم ماتت أمه من بعده، فمر بها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 وهي مطروحة وولدها على الطريق، فسألهم عن أمرها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كانت حبلى ففزعت حين رأت القتال والهزيمة،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فسألهم أيهما مات قبل صاحبه؟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ابنها مات قبلها،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بزوجها أبي الغلام الميت فورثه من ابنه ثلثي الدية، وورث أمه ثلث الدية، ثم ورث الزوج من امرأته الميتة نصف ثلث الدية الذي ورثته من ابنها، وورث قرابة المرأة الميتة الباقي، ثم ورث الزوج أيضاً من دية امرأته الميتة نصف الدية، وهو ألفان وخمسمائة درهم، وورث قرابة المرأة الميتة نصف الدية، وهو ألفان وخمسمائة درهم، وذلك أنه لم يكن لها ولد غير الذي رمت به حين فزعت،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وأدى ذلك كله من بيت مال البصرة</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حريز، عن أبي أسامة أو غيره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صعدت مرة جبل أبي قبيس والناس يصلون المغرب، فرأيت الشمس لم تغب، إنما توارت خلف الجبل عن الناس، فلقيت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فأخبرته بذلك 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فعلت ذلك؟ بئس ما صنعت، إنما نصليها إذا لم نرها فوق الجبل غابت أو غارت ما لم يتجللها سحاب أو ظلمة تظلمها، وإنّما عليك مشرقك ومغربك، وليس على الناس أن يبحثوا</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تجد لسنتنا تحويلاً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فجرت هذه السنة في رد الشمس على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الأمة، رد اللّه عليه الشمس مرتين، مرة في أيام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ومرة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في أيامه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فروي عن أسماء بنت عميس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نائم ذات يوم ورأسه في حجر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ففاتته العصر حتى غابت الشمس،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علياً كان في طاعتك وطاعة رسولك، فاردد عليه الشمس، قالت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فرأيتها واللّه غربت ثم طلعت بعد ما غربت، ولم يبق جبل ولا أرض طلعت عليه حتى قام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فتوضأ وصلى ثم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بعد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جويرية بن مسهر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أقبلنا مع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 الخوارج حتى إذا قطعنا في أرض بابل، حضرت صلاة العصر فنزل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الناس،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أيها الناس، إنّ هذه أرض ملعونة قد عذبت في الدهر ثلاث مرات، وفي خبر آخر مرتين، وهي تتوقع الثالثة، وهي إحدى المؤتفكات، وهي أول أرض عبد فيها وثن، وإنه لا يحل لنبي ولا لوصي نبي أن يصلي فيها، فمَنْ أراد منكم أن يصلي فليصل، فمال الناس عن جنبي الطريق يصلون، وركب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بغلة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ومضى، قال جويرية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لأتبعن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ولأقلدنه صلاتي اليوم، فمضيت خلفه فواللّه ما جزنا جسر سوراء حتى غابت الشمس فشككت، فالتفت إلي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جويرية أشككت؟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 أمير المؤمنين، فنزل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ناحية فتوضأ ثم قام، فنطق بكلام لا أحسنه إلا كأنه بالعبراني، ثم نادى الصلاة فنظرت اللّه إلى الشمس قد خرجت من بين جبلين لها صرير، فصلى العصر وصليت معه، فلما فرغنا من صلاتنا عاد الليل كما كان، فالتفت إلي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جويرية بن مسهر، اللّه عز 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فسبح باسم ربك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سألت اللّه عز وجل باسمه العظيم فرد علي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 جويرية لما رأى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وصي نبي ورب الكعبة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عمير، عن بعض رجاله،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رجلاً من خيار بني إسرائيل وعلمائهم خطب امرأة منهم فأنعمت له، وخطبها ابن عم لذلك الرجل وكان فاسقاً رديئاً فلم ينعموا له، فحسد ابن عمه الذي أنعموا له فقعد له فقتله غيلة، ثم حمله إلى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نبي اللّه هذا ابن عمى فقد قتل، فقال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وكان القتل في بني إسرائيل عظيماً جداً، فعظم ذلك على موسى، فاجتمع إليه بنو إسرائيل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ترى يا نبي اللّه؟ وكان في بني إسرائيل رجل له بقرة وكان له ابن بار، وكان عند ابنه سلعة فجاء قوم يطلبون سلعته وكان مفتاح بيته تحت رأس أبيه وكان نائماً، وكره ابنه أن ينبهه وينغص عليه نومه فانصرف القوم فلم يشتروا سلعته، فلما انتبه أبوه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ماذا صنعت في سلعتك؟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قائمة لم أبعها؛ لأنّ المفتاح كان تحت رأسك فكرهت أن أنبهك وأنغص عليك نومك، قال له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جعلت هذه البقرة لك عوضاً عما فاتك من ربح سلعتك، وشكر اللّه لابنه ما فعل بأبيه، وأمر موسى بني إسرائيل أن يذبحوا تلك البقرة بعينها، فلما اجتمعوا إلى موسى وبكوا وضجوا قال لهم موسى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يأمركم أن تذبحوا 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فتعجبوا وقالوا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أتتخذنا هزواً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نأتيك بقتيل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اذبحوا بقرة، فقال لهم موسى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باللّه أن أكون من الجاهلين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فعلموا أنهم قد أخطأوا فقالوا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 لنا ربك يبين لنا ما هي قال إنه يقول إنها بقرة لا فارض ولا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والفارض التي قد ضربها الفحل ولم تحمل، والبكر التي لم يضربها الفحل، فقالوا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 لنا ربك يبين لنا ما لونها قال إنه يقول إنها بقرة صفراء فاقع 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شديدة الصفرة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 الناظرين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ادع لنا ربك يبين لنا ما هي إن البقر تشابه علينا وإنا إن شاء اللّه لمهتدون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إنه يقول إنها بقرة لا ذلول تثير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تسقي 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تسقي الزرع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 لا شية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نقطة فيها إلا الصفرة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الآن جئت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بقرة فلان فذهبوا ليشتروها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أبيعها إلا بملء جلدها ذهباً، فرجعوا إلى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فأخبروه فقال لهم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لكم من ذبحها بعينها، فاشتروها بملء جلدها ذهباً فذبحوها، ثم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ما تأمرنا؟ فأوحى اللّه تبارك وتعالى إليه 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اضربوه ببعضها وقولوا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قتلك؟ فأخذوا الذنب فضربوه به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قتلك يا فلان؟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ابن فلان ابن عمي الذي جاء به،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فقلنا اضربوه ببعضها كذلك يحيي اللّه الموتى ويريكم آياته لعلكم تعقلون</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المسألة في صورة الموت ثم الإحياء لا إخراج الروح المؤقت</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وجدت في بعض كتب أصحابنا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من أهل الشام أتى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زوجته،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أبي 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بعد ذلك كلاماً نزهت عن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كنتم في دعواكم صادقين فحولني امرأة وحول امرأتي رجلاً، كالمستهزئ في كلامه، فغضب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ونظر إليه شزراً، وحرك شفتيه ودعا بما لم يفهم، ثم نظر إليهما، وأحد النظر، فرجع الشامي إلى نفسه وأطرق خجلاً، ووضع يده على وجهه، ثم ولى مسرعاً، وأقبلت امرأته،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إني صرت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وذهبا حينا من الزمان، ثم عادا إليه وقد ولد لهما مولود، وتضرعا إلى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تائبين ومعتذرين مما فرطا فيه، وطلبا منه انقلابهما إلى حالتهما الأولى، فأجابهما إلى ذلك، ورفع يده،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كانا صادقين في توبتيهما فتب عليهما، وحولهما إلى ما كانا عليه، فرجعا إلى ذلك لا شك فيه ولا شبهة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المتقدمة في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انقلب الرجل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هذه السنة كانت غزوة خالد بن الوليد بني جَذيمة، وكان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قد بعث السرايا بعد الفتح فيما حول مكة يدعون الناس إلى الإسلام ولم يأمرهم بقتال، وكان ممن بعث خالد بن الوليد بعثه داعياً ولم يبعثه مقاتلاً، فنزل على الغميصاء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من مياه جذيمة بن عامر بن عبد مناة بن كنانة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جَذيمة أصابت في الجاهلية عوف بن عبد عوف، أبا عبد الرحمن بن عوف والفاكه بن المغيرة عم خالد، كانا أقبلا تاجرين من اليمن فأخذت ما معهما وقتلتهما، فلما نزل خالد ذلك الماء أخذ بنو جذيمة السلاح، فقال لهم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ضعوا السلاح فإنّ الناس قد أسلموا، فوضعوا السلاح فأمر خالد بهم فكتفوا ثم عرضهم على السيف، فقتل منهم مَنْ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انتهى الخبر إلى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رفع يديه إلى السماء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أبرأ إليك مما صنع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أرسل علياً ومعه مال وأمره أنْ ينظر في أمرهم، فودي لهم الدماء والأموال حتى إنه ليدي ميلغة الكلب، وبقي معه من المال فضلة فقال لهم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بقي لكم مال أو دم لم يؤدَ؟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أعطيكم هذه البقية احتياطاً لرسول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ففعل، ثم رجع إلى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فأخبره،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 وأحسنت</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يتوى حق امرئ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موسى بن محمد أخي أبي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يحيى بن أكثم سأله في المسائل التي سأله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الخنثى وقول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تورث الخنثى من المبال مَنْ ينظر إليه إذا بال؟ وشهادة الجار إلى نفسه لا تقبل مع أنه عسى أن يكون امرأة، وقد نظر إليها الرجال، أو يكون رجلاً وقد نظر إليه النساء، وهذا مما لا يحل، فأجاب أبو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أما قول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الخنثى أنه يورث من المبال فهو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قوم عدول يأخذ كل واحد منهم مرآة وتقوم الخنثى خلفهم عريانة، فينظرون في المرايا فيرون شبحاً فيحكمون عليه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الحسن الصيقل،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عن رجل اشترى جارية ثم وقع عليها قبل أن يستبرئ رحمها،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ما صنع يستغفر اللّه ولا يعود،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باعها من آخر ولم يستبرئ رحمها، ثم باعها الثاني من رجل آخر فوقع عليها ولم يستبرئ رحمها، فاستبان حملها عند الثالث؟ فقال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الولد للفراش وللعاهر الحجر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400</Pages>
  <Words>20836</Words>
  <Characters>95545</Characters>
  <CharactersWithSpaces>114262</CharactersWithSpaces>
  <Paragraphs>2229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2026-08-25T03:34:16Z</dcterms:created>
  <dc:creator>ghaemiyeh.com</dc:creator>
  <dc:description/>
  <dc:language>en-US</dc:language>
  <cp:lastModifiedBy/>
  <dcterms:modified xsi:type="dcterms:W3CDTF">2026-08-25T07:04:33Z</dcterms:modified>
  <cp:revision>1</cp:revision>
  <dc:subject/>
  <dc:title>موسوعة الفقیه الشیرازی جلد 17</dc:title>
</cp:coreProperties>
</file>

<file path=docProps/custom.xml><?xml version="1.0" encoding="utf-8"?>
<Properties xmlns="http://schemas.openxmlformats.org/officeDocument/2006/custom-properties" xmlns:vt="http://schemas.openxmlformats.org/officeDocument/2006/docPropsVTypes"/>
</file>