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الأصول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4389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97439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74393_2142443653">
            <w:r>
              <w:rPr>
                <w:webHidden/>
                <w:rStyle w:val="IndexLink"/>
                <w:rtl w:val="true"/>
              </w:rPr>
              <w:t>قاعدة لا ضرر ولا ضرار</w:t>
            </w:r>
            <w:r>
              <w:rPr>
                <w:rStyle w:val="IndexLink"/>
                <w:rtl w:val="true"/>
              </w:rPr>
              <w:tab/>
            </w:r>
            <w:r>
              <w:rPr>
                <w:rStyle w:val="IndexLink"/>
              </w:rPr>
              <w:t>13</w:t>
            </w:r>
          </w:hyperlink>
        </w:p>
        <w:p>
          <w:pPr>
            <w:pStyle w:val="Contents3"/>
            <w:tabs>
              <w:tab w:val="clear" w:pos="8459"/>
              <w:tab w:val="right" w:pos="9026" w:leader="dot"/>
            </w:tabs>
            <w:rPr/>
          </w:pPr>
          <w:hyperlink w:anchor="__RefHeading___Toc6974395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974397_2142443653">
            <w:r>
              <w:rPr>
                <w:webHidden/>
                <w:rStyle w:val="IndexLink"/>
                <w:rtl w:val="true"/>
              </w:rPr>
              <w:t xml:space="preserve">الأمر الأوّل </w:t>
            </w:r>
            <w:r>
              <w:rPr>
                <w:rStyle w:val="IndexLink"/>
                <w:rtl w:val="true"/>
              </w:rPr>
              <w:t>:</w:t>
            </w:r>
            <w:r>
              <w:rPr>
                <w:rStyle w:val="IndexLink"/>
                <w:rtl w:val="true"/>
              </w:rPr>
              <w:t>في مدرك هذه القاعدة</w:t>
            </w:r>
            <w:r>
              <w:rPr>
                <w:rStyle w:val="IndexLink"/>
                <w:rtl w:val="true"/>
              </w:rPr>
              <w:t>:</w:t>
              <w:tab/>
            </w:r>
            <w:r>
              <w:rPr>
                <w:rStyle w:val="IndexLink"/>
              </w:rPr>
              <w:t>13</w:t>
            </w:r>
          </w:hyperlink>
        </w:p>
        <w:p>
          <w:pPr>
            <w:pStyle w:val="Contents3"/>
            <w:tabs>
              <w:tab w:val="clear" w:pos="8459"/>
              <w:tab w:val="right" w:pos="9026" w:leader="dot"/>
            </w:tabs>
            <w:rPr/>
          </w:pPr>
          <w:hyperlink w:anchor="__RefHeading___Toc6974399_2142443653">
            <w:r>
              <w:rPr>
                <w:webHidden/>
                <w:rStyle w:val="IndexLink"/>
                <w:rtl w:val="true"/>
              </w:rPr>
              <w:t>الأمر الثاني</w:t>
            </w:r>
            <w:r>
              <w:rPr>
                <w:rStyle w:val="IndexLink"/>
                <w:rtl w:val="true"/>
              </w:rPr>
              <w:t xml:space="preserve">: </w:t>
            </w:r>
            <w:r>
              <w:rPr>
                <w:rStyle w:val="IndexLink"/>
                <w:rtl w:val="true"/>
              </w:rPr>
              <w:t>في بيان مفردات هذه الفقرة</w:t>
            </w:r>
            <w:r>
              <w:rPr>
                <w:rStyle w:val="IndexLink"/>
                <w:rtl w:val="true"/>
              </w:rPr>
              <w:t>:</w:t>
              <w:tab/>
            </w:r>
            <w:r>
              <w:rPr>
                <w:rStyle w:val="IndexLink"/>
              </w:rPr>
              <w:t>17</w:t>
            </w:r>
          </w:hyperlink>
        </w:p>
        <w:p>
          <w:pPr>
            <w:pStyle w:val="Contents3"/>
            <w:tabs>
              <w:tab w:val="clear" w:pos="8459"/>
              <w:tab w:val="right" w:pos="9026" w:leader="dot"/>
            </w:tabs>
            <w:rPr/>
          </w:pPr>
          <w:hyperlink w:anchor="__RefHeading___Toc6974401_2142443653">
            <w:r>
              <w:rPr>
                <w:webHidden/>
                <w:rStyle w:val="IndexLink"/>
                <w:rtl w:val="true"/>
              </w:rPr>
              <w:t xml:space="preserve">الأمر الثالث </w:t>
            </w:r>
            <w:r>
              <w:rPr>
                <w:rStyle w:val="IndexLink"/>
                <w:rtl w:val="true"/>
              </w:rPr>
              <w:t>:</w:t>
            </w:r>
            <w:r>
              <w:rPr>
                <w:rStyle w:val="IndexLink"/>
                <w:rtl w:val="true"/>
              </w:rPr>
              <w:t>هل تشمل القاعدة الأحكام العدميّة أم لا؟</w:t>
            </w:r>
            <w:r>
              <w:rPr>
                <w:rStyle w:val="IndexLink"/>
                <w:rtl w:val="true"/>
              </w:rPr>
              <w:tab/>
            </w:r>
            <w:r>
              <w:rPr>
                <w:rStyle w:val="IndexLink"/>
              </w:rPr>
              <w:t>24</w:t>
            </w:r>
          </w:hyperlink>
        </w:p>
        <w:p>
          <w:pPr>
            <w:pStyle w:val="Contents3"/>
            <w:tabs>
              <w:tab w:val="clear" w:pos="8459"/>
              <w:tab w:val="right" w:pos="9026" w:leader="dot"/>
            </w:tabs>
            <w:rPr/>
          </w:pPr>
          <w:hyperlink w:anchor="__RefHeading___Toc6974403_2142443653">
            <w:r>
              <w:rPr>
                <w:webHidden/>
                <w:rStyle w:val="IndexLink"/>
                <w:rtl w:val="true"/>
              </w:rPr>
              <w:t>الأمر الرابع</w:t>
            </w:r>
            <w:r>
              <w:rPr>
                <w:rStyle w:val="IndexLink"/>
                <w:rtl w:val="true"/>
              </w:rPr>
              <w:t xml:space="preserve">: </w:t>
            </w:r>
            <w:r>
              <w:rPr>
                <w:rStyle w:val="IndexLink"/>
                <w:rtl w:val="true"/>
              </w:rPr>
              <w:t>هل المراد من الضرر المنفيّ في القاعدة هو الضرر الشخصيّ أو النوعيّ؟</w:t>
            </w:r>
            <w:r>
              <w:rPr>
                <w:rStyle w:val="IndexLink"/>
                <w:rtl w:val="true"/>
              </w:rPr>
              <w:tab/>
            </w:r>
            <w:r>
              <w:rPr>
                <w:rStyle w:val="IndexLink"/>
              </w:rPr>
              <w:t>27</w:t>
            </w:r>
          </w:hyperlink>
        </w:p>
        <w:p>
          <w:pPr>
            <w:pStyle w:val="Contents3"/>
            <w:tabs>
              <w:tab w:val="clear" w:pos="8459"/>
              <w:tab w:val="right" w:pos="9026" w:leader="dot"/>
            </w:tabs>
            <w:rPr/>
          </w:pPr>
          <w:hyperlink w:anchor="__RefHeading___Toc6974405_2142443653">
            <w:r>
              <w:rPr>
                <w:webHidden/>
                <w:rStyle w:val="IndexLink"/>
                <w:rtl w:val="true"/>
              </w:rPr>
              <w:t>الأمر الخامس</w:t>
            </w:r>
            <w:r>
              <w:rPr>
                <w:rStyle w:val="IndexLink"/>
                <w:rtl w:val="true"/>
              </w:rPr>
              <w:t xml:space="preserve">: </w:t>
            </w:r>
            <w:r>
              <w:rPr>
                <w:rStyle w:val="IndexLink"/>
                <w:rtl w:val="true"/>
              </w:rPr>
              <w:t>في دعوى عدم شمول الحديث لمورد نفسه</w:t>
            </w:r>
            <w:r>
              <w:rPr>
                <w:rStyle w:val="IndexLink"/>
                <w:rtl w:val="true"/>
              </w:rPr>
              <w:t>:</w:t>
              <w:tab/>
            </w:r>
            <w:r>
              <w:rPr>
                <w:rStyle w:val="IndexLink"/>
              </w:rPr>
              <w:t>29</w:t>
            </w:r>
          </w:hyperlink>
        </w:p>
        <w:p>
          <w:pPr>
            <w:pStyle w:val="Contents3"/>
            <w:tabs>
              <w:tab w:val="clear" w:pos="8459"/>
              <w:tab w:val="right" w:pos="9026" w:leader="dot"/>
            </w:tabs>
            <w:rPr/>
          </w:pPr>
          <w:hyperlink w:anchor="__RefHeading___Toc6974407_2142443653">
            <w:r>
              <w:rPr>
                <w:webHidden/>
                <w:rStyle w:val="IndexLink"/>
                <w:rtl w:val="true"/>
              </w:rPr>
              <w:t>الأمر السابع</w:t>
            </w:r>
            <w:r>
              <w:rPr>
                <w:rStyle w:val="IndexLink"/>
                <w:rtl w:val="true"/>
              </w:rPr>
              <w:t xml:space="preserve">: </w:t>
            </w:r>
            <w:r>
              <w:rPr>
                <w:rStyle w:val="IndexLink"/>
                <w:rtl w:val="true"/>
              </w:rPr>
              <w:t>شمول القاعدة للحكم الضرريّ، تكليفيّاً كان أم وضعيّاً</w:t>
            </w:r>
            <w:r>
              <w:rPr>
                <w:rStyle w:val="IndexLink"/>
                <w:rtl w:val="true"/>
              </w:rPr>
              <w:tab/>
            </w:r>
            <w:r>
              <w:rPr>
                <w:rStyle w:val="IndexLink"/>
              </w:rPr>
              <w:t>37</w:t>
            </w:r>
          </w:hyperlink>
        </w:p>
        <w:p>
          <w:pPr>
            <w:pStyle w:val="Contents3"/>
            <w:tabs>
              <w:tab w:val="clear" w:pos="8459"/>
              <w:tab w:val="right" w:pos="9026" w:leader="dot"/>
            </w:tabs>
            <w:rPr/>
          </w:pPr>
          <w:hyperlink w:anchor="__RefHeading___Toc6974409_2142443653">
            <w:r>
              <w:rPr>
                <w:webHidden/>
                <w:rStyle w:val="IndexLink"/>
                <w:rtl w:val="true"/>
              </w:rPr>
              <w:t xml:space="preserve">الأمر الثامن </w:t>
            </w:r>
            <w:r>
              <w:rPr>
                <w:rStyle w:val="IndexLink"/>
                <w:rtl w:val="true"/>
              </w:rPr>
              <w:t>:</w:t>
            </w:r>
            <w:r>
              <w:rPr>
                <w:rStyle w:val="IndexLink"/>
                <w:rtl w:val="true"/>
              </w:rPr>
              <w:t>في تعارض الضررين</w:t>
            </w:r>
            <w:r>
              <w:rPr>
                <w:rStyle w:val="IndexLink"/>
                <w:rtl w:val="true"/>
              </w:rPr>
              <w:t>:</w:t>
              <w:tab/>
            </w:r>
            <w:r>
              <w:rPr>
                <w:rStyle w:val="IndexLink"/>
              </w:rPr>
              <w:t>38</w:t>
            </w:r>
          </w:hyperlink>
        </w:p>
        <w:p>
          <w:pPr>
            <w:pStyle w:val="Contents3"/>
            <w:tabs>
              <w:tab w:val="clear" w:pos="8459"/>
              <w:tab w:val="right" w:pos="9026" w:leader="dot"/>
            </w:tabs>
            <w:rPr/>
          </w:pPr>
          <w:hyperlink w:anchor="__RefHeading___Toc6974411_2142443653">
            <w:r>
              <w:rPr>
                <w:webHidden/>
                <w:rStyle w:val="IndexLink"/>
                <w:rtl w:val="true"/>
              </w:rPr>
              <w:t xml:space="preserve">الأمر التاسع </w:t>
            </w:r>
            <w:r>
              <w:rPr>
                <w:rStyle w:val="IndexLink"/>
                <w:rtl w:val="true"/>
              </w:rPr>
              <w:t>:</w:t>
            </w:r>
            <w:r>
              <w:rPr>
                <w:rStyle w:val="IndexLink"/>
                <w:rtl w:val="true"/>
              </w:rPr>
              <w:t xml:space="preserve">في تعارض القاعدة مع قاعدة </w:t>
            </w:r>
            <w:r>
              <w:rPr>
                <w:rStyle w:val="IndexLink"/>
                <w:rtl w:val="true"/>
              </w:rPr>
              <w:t>«</w:t>
            </w:r>
            <w:r>
              <w:rPr>
                <w:rStyle w:val="IndexLink"/>
                <w:rtl w:val="true"/>
              </w:rPr>
              <w:t>الناس مسلّطون على أموالهم</w:t>
            </w:r>
            <w:r>
              <w:rPr>
                <w:rStyle w:val="IndexLink"/>
                <w:rtl w:val="true"/>
              </w:rPr>
              <w:t>»:</w:t>
              <w:tab/>
            </w:r>
            <w:r>
              <w:rPr>
                <w:rStyle w:val="IndexLink"/>
              </w:rPr>
              <w:t>41</w:t>
            </w:r>
          </w:hyperlink>
        </w:p>
        <w:p>
          <w:pPr>
            <w:pStyle w:val="Contents2"/>
            <w:tabs>
              <w:tab w:val="clear" w:pos="8743"/>
              <w:tab w:val="right" w:pos="9026" w:leader="dot"/>
            </w:tabs>
            <w:rPr/>
          </w:pPr>
          <w:hyperlink w:anchor="__RefHeading___Toc6974413_2142443653">
            <w:r>
              <w:rPr>
                <w:webHidden/>
                <w:rStyle w:val="IndexLink"/>
                <w:rtl w:val="true"/>
              </w:rPr>
              <w:t>الاستصحاب</w:t>
            </w:r>
            <w:r>
              <w:rPr>
                <w:rStyle w:val="IndexLink"/>
                <w:rtl w:val="true"/>
              </w:rPr>
              <w:tab/>
            </w:r>
            <w:r>
              <w:rPr>
                <w:rStyle w:val="IndexLink"/>
              </w:rPr>
              <w:t>47</w:t>
            </w:r>
          </w:hyperlink>
        </w:p>
        <w:p>
          <w:pPr>
            <w:pStyle w:val="Contents3"/>
            <w:tabs>
              <w:tab w:val="clear" w:pos="8459"/>
              <w:tab w:val="right" w:pos="9026" w:leader="dot"/>
            </w:tabs>
            <w:rPr/>
          </w:pPr>
          <w:hyperlink w:anchor="__RefHeading___Toc6974415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6974417_2142443653">
            <w:r>
              <w:rPr>
                <w:webHidden/>
                <w:rStyle w:val="IndexLink"/>
                <w:rtl w:val="true"/>
              </w:rPr>
              <w:t xml:space="preserve">الأمر الأوّل </w:t>
            </w:r>
            <w:r>
              <w:rPr>
                <w:rStyle w:val="IndexLink"/>
                <w:rtl w:val="true"/>
              </w:rPr>
              <w:t>:</w:t>
            </w:r>
            <w:r>
              <w:rPr>
                <w:rStyle w:val="IndexLink"/>
                <w:rtl w:val="true"/>
              </w:rPr>
              <w:t>في بيان الأقوال التي وردت في جريانه وحجّيّته</w:t>
            </w:r>
            <w:r>
              <w:rPr>
                <w:rStyle w:val="IndexLink"/>
                <w:rtl w:val="true"/>
              </w:rPr>
              <w:t>:</w:t>
              <w:tab/>
            </w:r>
            <w:r>
              <w:rPr>
                <w:rStyle w:val="IndexLink"/>
              </w:rPr>
              <w:t>47</w:t>
            </w:r>
          </w:hyperlink>
        </w:p>
        <w:p>
          <w:pPr>
            <w:pStyle w:val="Contents3"/>
            <w:tabs>
              <w:tab w:val="clear" w:pos="8459"/>
              <w:tab w:val="right" w:pos="9026" w:leader="dot"/>
            </w:tabs>
            <w:rPr/>
          </w:pPr>
          <w:hyperlink w:anchor="__RefHeading___Toc6974419_2142443653">
            <w:r>
              <w:rPr>
                <w:webHidden/>
                <w:rStyle w:val="IndexLink"/>
                <w:rtl w:val="true"/>
              </w:rPr>
              <w:t xml:space="preserve">الأمر الثاني </w:t>
            </w:r>
            <w:r>
              <w:rPr>
                <w:rStyle w:val="IndexLink"/>
                <w:rtl w:val="true"/>
              </w:rPr>
              <w:t>:</w:t>
            </w:r>
            <w:r>
              <w:rPr>
                <w:rStyle w:val="IndexLink"/>
                <w:rtl w:val="true"/>
              </w:rPr>
              <w:t>في بيان المعنى الاصطلاحيّ للاستصحاب</w:t>
            </w:r>
            <w:r>
              <w:rPr>
                <w:rStyle w:val="IndexLink"/>
                <w:rtl w:val="true"/>
              </w:rPr>
              <w:t>:</w:t>
              <w:tab/>
            </w:r>
            <w:r>
              <w:rPr>
                <w:rStyle w:val="IndexLink"/>
              </w:rPr>
              <w:t>48</w:t>
            </w:r>
          </w:hyperlink>
        </w:p>
        <w:p>
          <w:pPr>
            <w:pStyle w:val="Contents3"/>
            <w:tabs>
              <w:tab w:val="clear" w:pos="8459"/>
              <w:tab w:val="right" w:pos="9026" w:leader="dot"/>
            </w:tabs>
            <w:rPr/>
          </w:pPr>
          <w:hyperlink w:anchor="__RefHeading___Toc6974421_2142443653">
            <w:r>
              <w:rPr>
                <w:webHidden/>
                <w:rStyle w:val="IndexLink"/>
                <w:rtl w:val="true"/>
              </w:rPr>
              <w:t>الأمر الثالث</w:t>
            </w:r>
            <w:r>
              <w:rPr>
                <w:rStyle w:val="IndexLink"/>
                <w:rtl w:val="true"/>
              </w:rPr>
              <w:t xml:space="preserve">: </w:t>
            </w:r>
            <w:r>
              <w:rPr>
                <w:rStyle w:val="IndexLink"/>
                <w:rtl w:val="true"/>
              </w:rPr>
              <w:t>هل الاستصحاب من المسائل الاُصوليّة أم لا؟</w:t>
            </w:r>
            <w:r>
              <w:rPr>
                <w:rStyle w:val="IndexLink"/>
                <w:rtl w:val="true"/>
              </w:rPr>
              <w:tab/>
            </w:r>
            <w:r>
              <w:rPr>
                <w:rStyle w:val="IndexLink"/>
              </w:rPr>
              <w:t>49</w:t>
            </w:r>
          </w:hyperlink>
        </w:p>
        <w:p>
          <w:pPr>
            <w:pStyle w:val="Contents3"/>
            <w:tabs>
              <w:tab w:val="clear" w:pos="8459"/>
              <w:tab w:val="right" w:pos="9026" w:leader="dot"/>
            </w:tabs>
            <w:rPr/>
          </w:pPr>
          <w:hyperlink w:anchor="__RefHeading___Toc6974423_2142443653">
            <w:r>
              <w:rPr>
                <w:webHidden/>
                <w:rStyle w:val="IndexLink"/>
                <w:rtl w:val="true"/>
              </w:rPr>
              <w:t>الأمر الرابع</w:t>
            </w:r>
            <w:r>
              <w:rPr>
                <w:rStyle w:val="IndexLink"/>
                <w:rtl w:val="true"/>
              </w:rPr>
              <w:t xml:space="preserve">: </w:t>
            </w:r>
            <w:r>
              <w:rPr>
                <w:rStyle w:val="IndexLink"/>
                <w:rtl w:val="true"/>
              </w:rPr>
              <w:t>يتقوّم الاستصحاب باليقين والشكّ</w:t>
            </w:r>
            <w:r>
              <w:rPr>
                <w:rStyle w:val="IndexLink"/>
                <w:rtl w:val="true"/>
              </w:rPr>
              <w:t>:</w:t>
              <w:tab/>
            </w:r>
            <w:r>
              <w:rPr>
                <w:rStyle w:val="IndexLink"/>
              </w:rPr>
              <w:t>50</w:t>
            </w:r>
          </w:hyperlink>
        </w:p>
        <w:p>
          <w:pPr>
            <w:pStyle w:val="Contents3"/>
            <w:tabs>
              <w:tab w:val="clear" w:pos="8459"/>
              <w:tab w:val="right" w:pos="9026" w:leader="dot"/>
            </w:tabs>
            <w:rPr/>
          </w:pPr>
          <w:hyperlink w:anchor="__RefHeading___Toc6974425_2142443653">
            <w:r>
              <w:rPr>
                <w:webHidden/>
                <w:rStyle w:val="IndexLink"/>
                <w:rtl w:val="true"/>
              </w:rPr>
              <w:t xml:space="preserve">الأمر الخامس </w:t>
            </w:r>
            <w:r>
              <w:rPr>
                <w:rStyle w:val="IndexLink"/>
                <w:rtl w:val="true"/>
              </w:rPr>
              <w:t>:</w:t>
            </w:r>
            <w:r>
              <w:rPr>
                <w:rStyle w:val="IndexLink"/>
                <w:rtl w:val="true"/>
              </w:rPr>
              <w:t>اشتراط الفعليّة في الشكّ واليقين</w:t>
            </w:r>
            <w:r>
              <w:rPr>
                <w:rStyle w:val="IndexLink"/>
                <w:rtl w:val="true"/>
              </w:rPr>
              <w:t>:</w:t>
              <w:tab/>
            </w:r>
            <w:r>
              <w:rPr>
                <w:rStyle w:val="IndexLink"/>
              </w:rPr>
              <w:t>52</w:t>
            </w:r>
          </w:hyperlink>
        </w:p>
        <w:p>
          <w:pPr>
            <w:pStyle w:val="Contents3"/>
            <w:tabs>
              <w:tab w:val="clear" w:pos="8459"/>
              <w:tab w:val="right" w:pos="9026" w:leader="dot"/>
            </w:tabs>
            <w:rPr/>
          </w:pPr>
          <w:hyperlink w:anchor="__RefHeading___Toc6974427_2142443653">
            <w:r>
              <w:rPr>
                <w:webHidden/>
                <w:rStyle w:val="IndexLink"/>
                <w:rtl w:val="true"/>
              </w:rPr>
              <w:t xml:space="preserve">الأمر السادس </w:t>
            </w:r>
            <w:r>
              <w:rPr>
                <w:rStyle w:val="IndexLink"/>
                <w:rtl w:val="true"/>
              </w:rPr>
              <w:t>:</w:t>
            </w:r>
            <w:r>
              <w:rPr>
                <w:rStyle w:val="IndexLink"/>
                <w:rtl w:val="true"/>
              </w:rPr>
              <w:t>في انقسامات الاستصحاب</w:t>
            </w:r>
            <w:r>
              <w:rPr>
                <w:rStyle w:val="IndexLink"/>
                <w:rtl w:val="true"/>
              </w:rPr>
              <w:t>:</w:t>
              <w:tab/>
            </w:r>
            <w:r>
              <w:rPr>
                <w:rStyle w:val="IndexLink"/>
              </w:rPr>
              <w:t>54</w:t>
            </w:r>
          </w:hyperlink>
        </w:p>
        <w:p>
          <w:pPr>
            <w:pStyle w:val="Contents4"/>
            <w:tabs>
              <w:tab w:val="clear" w:pos="8176"/>
              <w:tab w:val="right" w:pos="9026" w:leader="dot"/>
            </w:tabs>
            <w:rPr/>
          </w:pPr>
          <w:hyperlink w:anchor="__RefHeading___Toc6974429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6974431_2142443653">
            <w:r>
              <w:rPr>
                <w:webHidden/>
                <w:rStyle w:val="IndexLink"/>
                <w:rtl w:val="true"/>
              </w:rPr>
              <w:t>التفصيل بين الأحكام الكلّيّة والأحكام الجزئيّة</w:t>
            </w:r>
            <w:r>
              <w:rPr>
                <w:rStyle w:val="IndexLink"/>
                <w:rtl w:val="true"/>
              </w:rPr>
              <w:t>:</w:t>
              <w:tab/>
            </w:r>
            <w:r>
              <w:rPr>
                <w:rStyle w:val="IndexLink"/>
              </w:rPr>
              <w:t>55</w:t>
            </w:r>
          </w:hyperlink>
        </w:p>
        <w:p>
          <w:pPr>
            <w:pStyle w:val="Contents4"/>
            <w:tabs>
              <w:tab w:val="clear" w:pos="8176"/>
              <w:tab w:val="right" w:pos="9026" w:leader="dot"/>
            </w:tabs>
            <w:rPr/>
          </w:pPr>
          <w:hyperlink w:anchor="__RefHeading___Toc6974433_2142443653">
            <w:r>
              <w:rPr>
                <w:webHidden/>
                <w:rStyle w:val="IndexLink"/>
                <w:rtl w:val="true"/>
              </w:rPr>
              <w:t>التفصيل بين ما كان دليله العقل وما دليله النقل</w:t>
            </w:r>
            <w:r>
              <w:rPr>
                <w:rStyle w:val="IndexLink"/>
                <w:rtl w:val="true"/>
              </w:rPr>
              <w:t>:</w:t>
              <w:tab/>
            </w:r>
            <w:r>
              <w:rPr>
                <w:rStyle w:val="IndexLink"/>
              </w:rPr>
              <w:t>59</w:t>
            </w:r>
          </w:hyperlink>
        </w:p>
        <w:p>
          <w:pPr>
            <w:pStyle w:val="Contents3"/>
            <w:tabs>
              <w:tab w:val="clear" w:pos="8459"/>
              <w:tab w:val="right" w:pos="9026" w:leader="dot"/>
            </w:tabs>
            <w:rPr/>
          </w:pPr>
          <w:hyperlink w:anchor="__RefHeading___Toc6974435_2142443653">
            <w:r>
              <w:rPr>
                <w:webHidden/>
                <w:rStyle w:val="IndexLink"/>
                <w:rtl w:val="true"/>
              </w:rPr>
              <w:t>الأمر السابع</w:t>
            </w:r>
            <w:r>
              <w:rPr>
                <w:rStyle w:val="IndexLink"/>
                <w:rtl w:val="true"/>
              </w:rPr>
              <w:t xml:space="preserve">: </w:t>
            </w:r>
            <w:r>
              <w:rPr>
                <w:rStyle w:val="IndexLink"/>
                <w:rtl w:val="true"/>
              </w:rPr>
              <w:t>في أدلّة حجّيّة الاستصحاب</w:t>
            </w:r>
            <w:r>
              <w:rPr>
                <w:rStyle w:val="IndexLink"/>
                <w:rtl w:val="true"/>
              </w:rPr>
              <w:t>:</w:t>
              <w:tab/>
            </w:r>
            <w:r>
              <w:rPr>
                <w:rStyle w:val="IndexLink"/>
              </w:rPr>
              <w:t>61</w:t>
            </w:r>
          </w:hyperlink>
        </w:p>
        <w:p>
          <w:pPr>
            <w:pStyle w:val="Contents4"/>
            <w:tabs>
              <w:tab w:val="clear" w:pos="8176"/>
              <w:tab w:val="right" w:pos="9026" w:leader="dot"/>
            </w:tabs>
            <w:rPr/>
          </w:pPr>
          <w:hyperlink w:anchor="__RefHeading___Toc6974437_2142443653">
            <w:r>
              <w:rPr>
                <w:webHidden/>
                <w:rStyle w:val="IndexLink"/>
                <w:rtl w:val="true"/>
              </w:rPr>
              <w:t>الدليل الأوّل</w:t>
            </w:r>
            <w:r>
              <w:rPr>
                <w:rStyle w:val="IndexLink"/>
                <w:rtl w:val="true"/>
              </w:rPr>
              <w:t xml:space="preserve">: </w:t>
            </w:r>
            <w:r>
              <w:rPr>
                <w:rStyle w:val="IndexLink"/>
                <w:rtl w:val="true"/>
              </w:rPr>
              <w:t>بناء العقلاء وسيرتهم</w:t>
            </w:r>
            <w:r>
              <w:rPr>
                <w:rStyle w:val="IndexLink"/>
                <w:rtl w:val="true"/>
              </w:rPr>
              <w:t>:</w:t>
              <w:tab/>
            </w:r>
            <w:r>
              <w:rPr>
                <w:rStyle w:val="IndexLink"/>
              </w:rPr>
              <w:t>61</w:t>
            </w:r>
          </w:hyperlink>
        </w:p>
        <w:p>
          <w:pPr>
            <w:pStyle w:val="Contents4"/>
            <w:tabs>
              <w:tab w:val="clear" w:pos="8176"/>
              <w:tab w:val="right" w:pos="9026" w:leader="dot"/>
            </w:tabs>
            <w:rPr/>
          </w:pPr>
          <w:hyperlink w:anchor="__RefHeading___Toc6974439_2142443653">
            <w:r>
              <w:rPr>
                <w:webHidden/>
                <w:rStyle w:val="IndexLink"/>
                <w:rtl w:val="true"/>
              </w:rPr>
              <w:t>الدليل الثاني</w:t>
            </w:r>
            <w:r>
              <w:rPr>
                <w:rStyle w:val="IndexLink"/>
                <w:rtl w:val="true"/>
              </w:rPr>
              <w:t xml:space="preserve">: </w:t>
            </w:r>
            <w:r>
              <w:rPr>
                <w:rStyle w:val="IndexLink"/>
                <w:rtl w:val="true"/>
              </w:rPr>
              <w:t>الإجماع</w:t>
            </w:r>
            <w:r>
              <w:rPr>
                <w:rStyle w:val="IndexLink"/>
                <w:rtl w:val="true"/>
              </w:rPr>
              <w:t>:</w:t>
              <w:tab/>
            </w:r>
            <w:r>
              <w:rPr>
                <w:rStyle w:val="IndexLink"/>
              </w:rPr>
              <w:t>66</w:t>
            </w:r>
          </w:hyperlink>
        </w:p>
        <w:p>
          <w:pPr>
            <w:pStyle w:val="Contents4"/>
            <w:tabs>
              <w:tab w:val="clear" w:pos="8176"/>
              <w:tab w:val="right" w:pos="9026" w:leader="dot"/>
            </w:tabs>
            <w:rPr/>
          </w:pPr>
          <w:hyperlink w:anchor="__RefHeading___Toc6974441_2142443653">
            <w:r>
              <w:rPr>
                <w:webHidden/>
                <w:rStyle w:val="IndexLink"/>
                <w:rtl w:val="true"/>
              </w:rPr>
              <w:t>الدليل الثالث</w:t>
            </w:r>
            <w:r>
              <w:rPr>
                <w:rStyle w:val="IndexLink"/>
                <w:rtl w:val="true"/>
              </w:rPr>
              <w:t xml:space="preserve">: </w:t>
            </w:r>
            <w:r>
              <w:rPr>
                <w:rStyle w:val="IndexLink"/>
                <w:rtl w:val="true"/>
              </w:rPr>
              <w:t>الأخبار</w:t>
            </w:r>
            <w:r>
              <w:rPr>
                <w:rStyle w:val="IndexLink"/>
                <w:rtl w:val="true"/>
              </w:rPr>
              <w:t>:</w:t>
              <w:tab/>
            </w:r>
            <w:r>
              <w:rPr>
                <w:rStyle w:val="IndexLink"/>
              </w:rPr>
              <w:t>67</w:t>
            </w:r>
          </w:hyperlink>
        </w:p>
        <w:p>
          <w:pPr>
            <w:pStyle w:val="Contents5"/>
            <w:tabs>
              <w:tab w:val="clear" w:pos="7892"/>
              <w:tab w:val="right" w:pos="9026" w:leader="dot"/>
            </w:tabs>
            <w:rPr/>
          </w:pPr>
          <w:hyperlink w:anchor="__RefHeading___Toc6974443_2142443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974445_2142443653">
            <w:r>
              <w:rPr>
                <w:webHidden/>
                <w:rStyle w:val="IndexLink"/>
                <w:rtl w:val="true"/>
              </w:rPr>
              <w:t>وأمّا دلالةً</w:t>
            </w:r>
            <w:r>
              <w:rPr>
                <w:rStyle w:val="IndexLink"/>
                <w:rtl w:val="true"/>
              </w:rPr>
              <w:t>:</w:t>
              <w:tab/>
            </w:r>
            <w:r>
              <w:rPr>
                <w:rStyle w:val="IndexLink"/>
              </w:rPr>
              <w:t>70</w:t>
            </w:r>
          </w:hyperlink>
        </w:p>
        <w:p>
          <w:pPr>
            <w:pStyle w:val="Contents2"/>
            <w:tabs>
              <w:tab w:val="clear" w:pos="8743"/>
              <w:tab w:val="right" w:pos="9026" w:leader="dot"/>
            </w:tabs>
            <w:rPr/>
          </w:pPr>
          <w:hyperlink w:anchor="__RefHeading___Toc6974447_2142443653">
            <w:r>
              <w:rPr>
                <w:webHidden/>
                <w:rStyle w:val="IndexLink"/>
                <w:rtl w:val="true"/>
              </w:rPr>
              <w:t>تنبيهات الاستصحاب</w:t>
            </w:r>
            <w:r>
              <w:rPr>
                <w:rStyle w:val="IndexLink"/>
                <w:rtl w:val="true"/>
              </w:rPr>
              <w:tab/>
            </w:r>
            <w:r>
              <w:rPr>
                <w:rStyle w:val="IndexLink"/>
              </w:rPr>
              <w:t>107</w:t>
            </w:r>
          </w:hyperlink>
        </w:p>
        <w:p>
          <w:pPr>
            <w:pStyle w:val="Contents3"/>
            <w:tabs>
              <w:tab w:val="clear" w:pos="8459"/>
              <w:tab w:val="right" w:pos="9026" w:leader="dot"/>
            </w:tabs>
            <w:rPr/>
          </w:pPr>
          <w:hyperlink w:anchor="__RefHeading___Toc6974449_2142443653">
            <w:r>
              <w:rPr>
                <w:webHidden/>
                <w:rStyle w:val="IndexLink"/>
                <w:rtl w:val="true"/>
              </w:rPr>
              <w:t>التنبيه الأوّل</w:t>
            </w:r>
            <w:r>
              <w:rPr>
                <w:rStyle w:val="IndexLink"/>
                <w:rtl w:val="true"/>
              </w:rPr>
              <w:t xml:space="preserve">: </w:t>
            </w:r>
            <w:r>
              <w:rPr>
                <w:rStyle w:val="IndexLink"/>
                <w:rtl w:val="true"/>
              </w:rPr>
              <w:t>في استصحاب الكلّيّ</w:t>
            </w:r>
            <w:r>
              <w:rPr>
                <w:rStyle w:val="IndexLink"/>
                <w:rtl w:val="true"/>
              </w:rPr>
              <w:t>:</w:t>
              <w:tab/>
            </w:r>
            <w:r>
              <w:rPr>
                <w:rStyle w:val="IndexLink"/>
              </w:rPr>
              <w:t>107</w:t>
            </w:r>
          </w:hyperlink>
        </w:p>
        <w:p>
          <w:pPr>
            <w:pStyle w:val="Contents4"/>
            <w:tabs>
              <w:tab w:val="clear" w:pos="8176"/>
              <w:tab w:val="right" w:pos="9026" w:leader="dot"/>
            </w:tabs>
            <w:rPr/>
          </w:pPr>
          <w:hyperlink w:anchor="__RefHeading___Toc6974451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974453_2142443653">
            <w:r>
              <w:rPr>
                <w:webHidden/>
                <w:rStyle w:val="IndexLink"/>
                <w:rtl w:val="true"/>
              </w:rPr>
              <w:t>تذييل وتعقيب</w:t>
            </w:r>
            <w:r>
              <w:rPr>
                <w:rStyle w:val="IndexLink"/>
                <w:rtl w:val="true"/>
              </w:rPr>
              <w:t>:</w:t>
              <w:tab/>
            </w:r>
            <w:r>
              <w:rPr>
                <w:rStyle w:val="IndexLink"/>
              </w:rPr>
              <w:t>119</w:t>
            </w:r>
          </w:hyperlink>
        </w:p>
        <w:p>
          <w:pPr>
            <w:pStyle w:val="Contents3"/>
            <w:tabs>
              <w:tab w:val="clear" w:pos="8459"/>
              <w:tab w:val="right" w:pos="9026" w:leader="dot"/>
            </w:tabs>
            <w:rPr/>
          </w:pPr>
          <w:hyperlink w:anchor="__RefHeading___Toc6974455_2142443653">
            <w:r>
              <w:rPr>
                <w:webHidden/>
                <w:rStyle w:val="IndexLink"/>
                <w:rtl w:val="true"/>
              </w:rPr>
              <w:t>التنبيه الثاني</w:t>
            </w:r>
            <w:r>
              <w:rPr>
                <w:rStyle w:val="IndexLink"/>
                <w:rtl w:val="true"/>
              </w:rPr>
              <w:t xml:space="preserve">: </w:t>
            </w:r>
            <w:r>
              <w:rPr>
                <w:rStyle w:val="IndexLink"/>
                <w:rtl w:val="true"/>
              </w:rPr>
              <w:t>استصحاب الاُمور التدريجيّة غير القارّة</w:t>
            </w:r>
            <w:r>
              <w:rPr>
                <w:rStyle w:val="IndexLink"/>
                <w:rtl w:val="true"/>
              </w:rPr>
              <w:t>:</w:t>
              <w:tab/>
            </w:r>
            <w:r>
              <w:rPr>
                <w:rStyle w:val="IndexLink"/>
              </w:rPr>
              <w:t>123</w:t>
            </w:r>
          </w:hyperlink>
        </w:p>
        <w:p>
          <w:pPr>
            <w:pStyle w:val="Contents4"/>
            <w:tabs>
              <w:tab w:val="clear" w:pos="8176"/>
              <w:tab w:val="right" w:pos="9026" w:leader="dot"/>
            </w:tabs>
            <w:rPr/>
          </w:pPr>
          <w:hyperlink w:anchor="__RefHeading___Toc6974457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974459_2142443653">
            <w:r>
              <w:rPr>
                <w:webHidden/>
                <w:rStyle w:val="IndexLink"/>
                <w:rtl w:val="true"/>
              </w:rPr>
              <w:t>أمّا استصحاب نفس الزمان</w:t>
            </w:r>
            <w:r>
              <w:rPr>
                <w:rStyle w:val="IndexLink"/>
                <w:rtl w:val="true"/>
              </w:rPr>
              <w:t>:</w:t>
              <w:tab/>
            </w:r>
            <w:r>
              <w:rPr>
                <w:rStyle w:val="IndexLink"/>
              </w:rPr>
              <w:t>124</w:t>
            </w:r>
          </w:hyperlink>
        </w:p>
        <w:p>
          <w:pPr>
            <w:pStyle w:val="Contents3"/>
            <w:tabs>
              <w:tab w:val="clear" w:pos="8459"/>
              <w:tab w:val="right" w:pos="9026" w:leader="dot"/>
            </w:tabs>
            <w:rPr/>
          </w:pPr>
          <w:hyperlink w:anchor="__RefHeading___Toc6974461_2142443653">
            <w:r>
              <w:rPr>
                <w:webHidden/>
                <w:rStyle w:val="IndexLink"/>
                <w:rtl w:val="true"/>
              </w:rPr>
              <w:t>التنبيه الثالث</w:t>
            </w:r>
            <w:r>
              <w:rPr>
                <w:rStyle w:val="IndexLink"/>
                <w:rtl w:val="true"/>
              </w:rPr>
              <w:t xml:space="preserve">: </w:t>
            </w:r>
            <w:r>
              <w:rPr>
                <w:rStyle w:val="IndexLink"/>
                <w:rtl w:val="true"/>
              </w:rPr>
              <w:t>في الاستصحاب التعليقيّ والتنجيزيّ</w:t>
            </w:r>
            <w:r>
              <w:rPr>
                <w:rStyle w:val="IndexLink"/>
                <w:rtl w:val="true"/>
              </w:rPr>
              <w:t>:</w:t>
              <w:tab/>
            </w:r>
            <w:r>
              <w:rPr>
                <w:rStyle w:val="IndexLink"/>
              </w:rPr>
              <w:t>134</w:t>
            </w:r>
          </w:hyperlink>
        </w:p>
        <w:p>
          <w:pPr>
            <w:pStyle w:val="Contents4"/>
            <w:tabs>
              <w:tab w:val="clear" w:pos="8176"/>
              <w:tab w:val="right" w:pos="9026" w:leader="dot"/>
            </w:tabs>
            <w:rPr/>
          </w:pPr>
          <w:hyperlink w:anchor="__RefHeading___Toc6974463_2142443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6974465_2142443653">
            <w:r>
              <w:rPr>
                <w:webHidden/>
                <w:rStyle w:val="IndexLink"/>
                <w:rtl w:val="true"/>
              </w:rPr>
              <w:t>الأمر الأوّل</w:t>
            </w:r>
            <w:r>
              <w:rPr>
                <w:rStyle w:val="IndexLink"/>
                <w:rtl w:val="true"/>
              </w:rPr>
              <w:t>:</w:t>
              <w:tab/>
            </w:r>
            <w:r>
              <w:rPr>
                <w:rStyle w:val="IndexLink"/>
              </w:rPr>
              <w:t>134</w:t>
            </w:r>
          </w:hyperlink>
        </w:p>
        <w:p>
          <w:pPr>
            <w:pStyle w:val="Contents4"/>
            <w:tabs>
              <w:tab w:val="clear" w:pos="8176"/>
              <w:tab w:val="right" w:pos="9026" w:leader="dot"/>
            </w:tabs>
            <w:rPr/>
          </w:pPr>
          <w:hyperlink w:anchor="__RefHeading___Toc6974467_2142443653">
            <w:r>
              <w:rPr>
                <w:webHidden/>
                <w:rStyle w:val="IndexLink"/>
                <w:rtl w:val="true"/>
              </w:rPr>
              <w:t>الأمر الثاني</w:t>
            </w:r>
            <w:r>
              <w:rPr>
                <w:rStyle w:val="IndexLink"/>
                <w:rtl w:val="true"/>
              </w:rPr>
              <w:t>:</w:t>
              <w:tab/>
            </w:r>
            <w:r>
              <w:rPr>
                <w:rStyle w:val="IndexLink"/>
              </w:rPr>
              <w:t>135</w:t>
            </w:r>
          </w:hyperlink>
        </w:p>
        <w:p>
          <w:pPr>
            <w:pStyle w:val="Contents4"/>
            <w:tabs>
              <w:tab w:val="clear" w:pos="8176"/>
              <w:tab w:val="right" w:pos="9026" w:leader="dot"/>
            </w:tabs>
            <w:rPr/>
          </w:pPr>
          <w:hyperlink w:anchor="__RefHeading___Toc6974469_2142443653">
            <w:r>
              <w:rPr>
                <w:webHidden/>
                <w:rStyle w:val="IndexLink"/>
                <w:rtl w:val="true"/>
              </w:rPr>
              <w:t>الأمر الثالث</w:t>
            </w:r>
            <w:r>
              <w:rPr>
                <w:rStyle w:val="IndexLink"/>
                <w:rtl w:val="true"/>
              </w:rPr>
              <w:t>:</w:t>
              <w:tab/>
            </w:r>
            <w:r>
              <w:rPr>
                <w:rStyle w:val="IndexLink"/>
              </w:rPr>
              <w:t>135</w:t>
            </w:r>
          </w:hyperlink>
        </w:p>
        <w:p>
          <w:pPr>
            <w:pStyle w:val="Contents4"/>
            <w:tabs>
              <w:tab w:val="clear" w:pos="8176"/>
              <w:tab w:val="right" w:pos="9026" w:leader="dot"/>
            </w:tabs>
            <w:rPr/>
          </w:pPr>
          <w:hyperlink w:anchor="__RefHeading___Toc6974471_2142443653">
            <w:r>
              <w:rPr>
                <w:webHidden/>
                <w:rStyle w:val="IndexLink"/>
                <w:rtl w:val="true"/>
              </w:rPr>
              <w:t>الأمر الرابع</w:t>
            </w:r>
            <w:r>
              <w:rPr>
                <w:rStyle w:val="IndexLink"/>
                <w:rtl w:val="true"/>
              </w:rPr>
              <w:t>:</w:t>
              <w:tab/>
            </w:r>
            <w:r>
              <w:rPr>
                <w:rStyle w:val="IndexLink"/>
              </w:rPr>
              <w:t>138</w:t>
            </w:r>
          </w:hyperlink>
        </w:p>
        <w:p>
          <w:pPr>
            <w:pStyle w:val="Contents3"/>
            <w:tabs>
              <w:tab w:val="clear" w:pos="8459"/>
              <w:tab w:val="right" w:pos="9026" w:leader="dot"/>
            </w:tabs>
            <w:rPr/>
          </w:pPr>
          <w:hyperlink w:anchor="__RefHeading___Toc6974473_2142443653">
            <w:r>
              <w:rPr>
                <w:webHidden/>
                <w:rStyle w:val="IndexLink"/>
                <w:rtl w:val="true"/>
              </w:rPr>
              <w:t xml:space="preserve">التنبيه الرابع </w:t>
            </w:r>
            <w:r>
              <w:rPr>
                <w:rStyle w:val="IndexLink"/>
                <w:rtl w:val="true"/>
              </w:rPr>
              <w:t>:</w:t>
            </w:r>
            <w:r>
              <w:rPr>
                <w:rStyle w:val="IndexLink"/>
                <w:rtl w:val="true"/>
              </w:rPr>
              <w:t>في استصحاب أحكام الشرائع السابقة</w:t>
            </w:r>
            <w:r>
              <w:rPr>
                <w:rStyle w:val="IndexLink"/>
                <w:rtl w:val="true"/>
              </w:rPr>
              <w:t>:</w:t>
              <w:tab/>
            </w:r>
            <w:r>
              <w:rPr>
                <w:rStyle w:val="IndexLink"/>
              </w:rPr>
              <w:t>154</w:t>
            </w:r>
          </w:hyperlink>
        </w:p>
        <w:p>
          <w:pPr>
            <w:pStyle w:val="Contents4"/>
            <w:tabs>
              <w:tab w:val="clear" w:pos="8176"/>
              <w:tab w:val="right" w:pos="9026" w:leader="dot"/>
            </w:tabs>
            <w:rPr/>
          </w:pPr>
          <w:hyperlink w:anchor="__RefHeading___Toc6974475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6974477_2142443653">
            <w:r>
              <w:rPr>
                <w:webHidden/>
                <w:rStyle w:val="IndexLink"/>
                <w:rtl w:val="true"/>
              </w:rPr>
              <w:t>الاستصحاب في نفس النبوّة</w:t>
            </w:r>
            <w:r>
              <w:rPr>
                <w:rStyle w:val="IndexLink"/>
                <w:rtl w:val="true"/>
              </w:rPr>
              <w:t>:</w:t>
              <w:tab/>
            </w:r>
            <w:r>
              <w:rPr>
                <w:rStyle w:val="IndexLink"/>
              </w:rPr>
              <w:t>158</w:t>
            </w:r>
          </w:hyperlink>
        </w:p>
        <w:p>
          <w:pPr>
            <w:pStyle w:val="Contents5"/>
            <w:tabs>
              <w:tab w:val="clear" w:pos="7892"/>
              <w:tab w:val="right" w:pos="9026" w:leader="dot"/>
            </w:tabs>
            <w:rPr/>
          </w:pPr>
          <w:hyperlink w:anchor="__RefHeading___Toc6974479_214244365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974481_2142443653">
            <w:r>
              <w:rPr>
                <w:webHidden/>
                <w:rStyle w:val="IndexLink"/>
                <w:rtl w:val="true"/>
              </w:rPr>
              <w:t>الاحتمال الأوّل</w:t>
            </w:r>
            <w:r>
              <w:rPr>
                <w:rStyle w:val="IndexLink"/>
                <w:rtl w:val="true"/>
              </w:rPr>
              <w:t>:</w:t>
              <w:tab/>
            </w:r>
            <w:r>
              <w:rPr>
                <w:rStyle w:val="IndexLink"/>
              </w:rPr>
              <w:t>158</w:t>
            </w:r>
          </w:hyperlink>
        </w:p>
        <w:p>
          <w:pPr>
            <w:pStyle w:val="Contents6"/>
            <w:tabs>
              <w:tab w:val="clear" w:pos="7609"/>
              <w:tab w:val="right" w:pos="9026" w:leader="dot"/>
            </w:tabs>
            <w:rPr/>
          </w:pPr>
          <w:hyperlink w:anchor="__RefHeading___Toc6974483_2142443653">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974485_2142443653">
            <w:r>
              <w:rPr>
                <w:webHidden/>
                <w:rStyle w:val="IndexLink"/>
                <w:rtl w:val="true"/>
              </w:rPr>
              <w:t>الناحية الاُولى</w:t>
            </w:r>
            <w:r>
              <w:rPr>
                <w:rStyle w:val="IndexLink"/>
                <w:rtl w:val="true"/>
              </w:rPr>
              <w:t>:</w:t>
              <w:tab/>
            </w:r>
            <w:r>
              <w:rPr>
                <w:rStyle w:val="IndexLink"/>
              </w:rPr>
              <w:t>159</w:t>
            </w:r>
          </w:hyperlink>
        </w:p>
        <w:p>
          <w:pPr>
            <w:pStyle w:val="Contents6"/>
            <w:tabs>
              <w:tab w:val="clear" w:pos="7609"/>
              <w:tab w:val="right" w:pos="9026" w:leader="dot"/>
            </w:tabs>
            <w:rPr/>
          </w:pPr>
          <w:hyperlink w:anchor="__RefHeading___Toc6974487_2142443653">
            <w:r>
              <w:rPr>
                <w:webHidden/>
                <w:rStyle w:val="IndexLink"/>
                <w:rtl w:val="true"/>
              </w:rPr>
              <w:t>والناحية الثانية</w:t>
            </w:r>
            <w:r>
              <w:rPr>
                <w:rStyle w:val="IndexLink"/>
                <w:rtl w:val="true"/>
              </w:rPr>
              <w:t>:</w:t>
              <w:tab/>
            </w:r>
            <w:r>
              <w:rPr>
                <w:rStyle w:val="IndexLink"/>
              </w:rPr>
              <w:t>160</w:t>
            </w:r>
          </w:hyperlink>
        </w:p>
        <w:p>
          <w:pPr>
            <w:pStyle w:val="Contents5"/>
            <w:tabs>
              <w:tab w:val="clear" w:pos="7892"/>
              <w:tab w:val="right" w:pos="9026" w:leader="dot"/>
            </w:tabs>
            <w:rPr/>
          </w:pPr>
          <w:hyperlink w:anchor="__RefHeading___Toc6974489_2142443653">
            <w:r>
              <w:rPr>
                <w:webHidden/>
                <w:rStyle w:val="IndexLink"/>
                <w:rtl w:val="true"/>
              </w:rPr>
              <w:t>الاحتمال الثاني</w:t>
            </w:r>
            <w:r>
              <w:rPr>
                <w:rStyle w:val="IndexLink"/>
                <w:rtl w:val="true"/>
              </w:rPr>
              <w:t>:</w:t>
              <w:tab/>
            </w:r>
            <w:r>
              <w:rPr>
                <w:rStyle w:val="IndexLink"/>
              </w:rPr>
              <w:t>161</w:t>
            </w:r>
          </w:hyperlink>
        </w:p>
        <w:p>
          <w:pPr>
            <w:pStyle w:val="Contents5"/>
            <w:tabs>
              <w:tab w:val="clear" w:pos="7892"/>
              <w:tab w:val="right" w:pos="9026" w:leader="dot"/>
            </w:tabs>
            <w:rPr/>
          </w:pPr>
          <w:hyperlink w:anchor="__RefHeading___Toc6974491_2142443653">
            <w:r>
              <w:rPr>
                <w:webHidden/>
                <w:rStyle w:val="IndexLink"/>
                <w:rtl w:val="true"/>
              </w:rPr>
              <w:t>الاحتمال الثالث</w:t>
            </w:r>
            <w:r>
              <w:rPr>
                <w:rStyle w:val="IndexLink"/>
                <w:rtl w:val="true"/>
              </w:rPr>
              <w:t>:</w:t>
              <w:tab/>
            </w:r>
            <w:r>
              <w:rPr>
                <w:rStyle w:val="IndexLink"/>
              </w:rPr>
              <w:t>162</w:t>
            </w:r>
          </w:hyperlink>
        </w:p>
        <w:p>
          <w:pPr>
            <w:pStyle w:val="Contents3"/>
            <w:tabs>
              <w:tab w:val="clear" w:pos="8459"/>
              <w:tab w:val="right" w:pos="9026" w:leader="dot"/>
            </w:tabs>
            <w:rPr/>
          </w:pPr>
          <w:hyperlink w:anchor="__RefHeading___Toc6974493_2142443653">
            <w:r>
              <w:rPr>
                <w:webHidden/>
                <w:rStyle w:val="IndexLink"/>
                <w:rtl w:val="true"/>
              </w:rPr>
              <w:t xml:space="preserve">التنبيه الخامس </w:t>
            </w:r>
            <w:r>
              <w:rPr>
                <w:rStyle w:val="IndexLink"/>
                <w:rtl w:val="true"/>
              </w:rPr>
              <w:t>:</w:t>
            </w:r>
            <w:r>
              <w:rPr>
                <w:rStyle w:val="IndexLink"/>
                <w:rtl w:val="true"/>
              </w:rPr>
              <w:t>في عدم اعتبار الاُصول المثبتة</w:t>
            </w:r>
            <w:r>
              <w:rPr>
                <w:rStyle w:val="IndexLink"/>
                <w:rtl w:val="true"/>
              </w:rPr>
              <w:t>:</w:t>
              <w:tab/>
            </w:r>
            <w:r>
              <w:rPr>
                <w:rStyle w:val="IndexLink"/>
              </w:rPr>
              <w:t>166</w:t>
            </w:r>
          </w:hyperlink>
        </w:p>
        <w:p>
          <w:pPr>
            <w:pStyle w:val="Contents4"/>
            <w:tabs>
              <w:tab w:val="clear" w:pos="8176"/>
              <w:tab w:val="right" w:pos="9026" w:leader="dot"/>
            </w:tabs>
            <w:rPr/>
          </w:pPr>
          <w:hyperlink w:anchor="__RefHeading___Toc6974495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6974497_2142443653">
            <w:r>
              <w:rPr>
                <w:webHidden/>
                <w:rStyle w:val="IndexLink"/>
                <w:rtl w:val="true"/>
              </w:rPr>
              <w:t>الموارد الّتي تمسّكوا فيها بالأصل المثبت</w:t>
            </w:r>
            <w:r>
              <w:rPr>
                <w:rStyle w:val="IndexLink"/>
                <w:rtl w:val="true"/>
              </w:rPr>
              <w:t>:</w:t>
              <w:tab/>
            </w:r>
            <w:r>
              <w:rPr>
                <w:rStyle w:val="IndexLink"/>
              </w:rPr>
              <w:t>178</w:t>
            </w:r>
          </w:hyperlink>
        </w:p>
        <w:p>
          <w:pPr>
            <w:pStyle w:val="Contents3"/>
            <w:tabs>
              <w:tab w:val="clear" w:pos="8459"/>
              <w:tab w:val="right" w:pos="9026" w:leader="dot"/>
            </w:tabs>
            <w:rPr/>
          </w:pPr>
          <w:hyperlink w:anchor="__RefHeading___Toc6974499_2142443653">
            <w:r>
              <w:rPr>
                <w:webHidden/>
                <w:rStyle w:val="IndexLink"/>
                <w:rtl w:val="true"/>
              </w:rPr>
              <w:t xml:space="preserve">التنبيه السادس </w:t>
            </w:r>
            <w:r>
              <w:rPr>
                <w:rStyle w:val="IndexLink"/>
                <w:rtl w:val="true"/>
              </w:rPr>
              <w:t>:</w:t>
            </w:r>
            <w:r>
              <w:rPr>
                <w:rStyle w:val="IndexLink"/>
                <w:rtl w:val="true"/>
              </w:rPr>
              <w:t>الشكّ في التقدّم والتأخّر مع العلم بحصوله في زمان خاصّ</w:t>
            </w:r>
            <w:r>
              <w:rPr>
                <w:rStyle w:val="IndexLink"/>
                <w:rtl w:val="true"/>
              </w:rPr>
              <w:t>:</w:t>
              <w:tab/>
            </w:r>
            <w:r>
              <w:rPr>
                <w:rStyle w:val="IndexLink"/>
              </w:rPr>
              <w:t>183</w:t>
            </w:r>
          </w:hyperlink>
        </w:p>
        <w:p>
          <w:pPr>
            <w:pStyle w:val="Contents3"/>
            <w:tabs>
              <w:tab w:val="clear" w:pos="8459"/>
              <w:tab w:val="right" w:pos="9026" w:leader="dot"/>
            </w:tabs>
            <w:rPr/>
          </w:pPr>
          <w:hyperlink w:anchor="__RefHeading___Toc6974501_2142443653">
            <w:r>
              <w:rPr>
                <w:webHidden/>
                <w:rStyle w:val="IndexLink"/>
                <w:rtl w:val="true"/>
              </w:rPr>
              <w:t xml:space="preserve">التنبيه السابع </w:t>
            </w:r>
            <w:r>
              <w:rPr>
                <w:rStyle w:val="IndexLink"/>
                <w:rtl w:val="true"/>
              </w:rPr>
              <w:t>:</w:t>
            </w:r>
            <w:r>
              <w:rPr>
                <w:rStyle w:val="IndexLink"/>
                <w:rtl w:val="true"/>
              </w:rPr>
              <w:t>في جريان استصحاب الصحّة</w:t>
            </w:r>
            <w:r>
              <w:rPr>
                <w:rStyle w:val="IndexLink"/>
                <w:rtl w:val="true"/>
              </w:rPr>
              <w:t>:</w:t>
              <w:tab/>
            </w:r>
            <w:r>
              <w:rPr>
                <w:rStyle w:val="IndexLink"/>
              </w:rPr>
              <w:t>193</w:t>
            </w:r>
          </w:hyperlink>
        </w:p>
        <w:p>
          <w:pPr>
            <w:pStyle w:val="Contents3"/>
            <w:tabs>
              <w:tab w:val="clear" w:pos="8459"/>
              <w:tab w:val="right" w:pos="9026" w:leader="dot"/>
            </w:tabs>
            <w:rPr/>
          </w:pPr>
          <w:hyperlink w:anchor="__RefHeading___Toc6974503_2142443653">
            <w:r>
              <w:rPr>
                <w:webHidden/>
                <w:rStyle w:val="IndexLink"/>
                <w:rtl w:val="true"/>
              </w:rPr>
              <w:t>التنبيه الثامن</w:t>
            </w:r>
            <w:r>
              <w:rPr>
                <w:rStyle w:val="IndexLink"/>
                <w:rtl w:val="true"/>
              </w:rPr>
              <w:t xml:space="preserve">: </w:t>
            </w:r>
            <w:r>
              <w:rPr>
                <w:rStyle w:val="IndexLink"/>
                <w:rtl w:val="true"/>
              </w:rPr>
              <w:t>الاستصحاب في الاُمور العقائديّة</w:t>
            </w:r>
            <w:r>
              <w:rPr>
                <w:rStyle w:val="IndexLink"/>
                <w:rtl w:val="true"/>
              </w:rPr>
              <w:tab/>
            </w:r>
            <w:r>
              <w:rPr>
                <w:rStyle w:val="IndexLink"/>
              </w:rPr>
              <w:t>194</w:t>
            </w:r>
          </w:hyperlink>
        </w:p>
        <w:p>
          <w:pPr>
            <w:pStyle w:val="Contents3"/>
            <w:tabs>
              <w:tab w:val="clear" w:pos="8459"/>
              <w:tab w:val="right" w:pos="9026" w:leader="dot"/>
            </w:tabs>
            <w:rPr/>
          </w:pPr>
          <w:hyperlink w:anchor="__RefHeading___Toc6974505_2142443653">
            <w:r>
              <w:rPr>
                <w:webHidden/>
                <w:rStyle w:val="IndexLink"/>
                <w:rtl w:val="true"/>
              </w:rPr>
              <w:t xml:space="preserve">التنبيه التاسع </w:t>
            </w:r>
            <w:r>
              <w:rPr>
                <w:rStyle w:val="IndexLink"/>
                <w:rtl w:val="true"/>
              </w:rPr>
              <w:t>:</w:t>
            </w:r>
            <w:r>
              <w:rPr>
                <w:rStyle w:val="IndexLink"/>
                <w:rtl w:val="true"/>
              </w:rPr>
              <w:t>الرجوع إلى عموم العامّ أو استصحاب حكم المخصّص</w:t>
            </w:r>
            <w:r>
              <w:rPr>
                <w:rStyle w:val="IndexLink"/>
                <w:rtl w:val="true"/>
              </w:rPr>
              <w:t>:</w:t>
              <w:tab/>
            </w:r>
            <w:r>
              <w:rPr>
                <w:rStyle w:val="IndexLink"/>
              </w:rPr>
              <w:t>199</w:t>
            </w:r>
          </w:hyperlink>
        </w:p>
        <w:p>
          <w:pPr>
            <w:pStyle w:val="Contents3"/>
            <w:tabs>
              <w:tab w:val="clear" w:pos="8459"/>
              <w:tab w:val="right" w:pos="9026" w:leader="dot"/>
            </w:tabs>
            <w:rPr/>
          </w:pPr>
          <w:hyperlink w:anchor="__RefHeading___Toc6974507_2142443653">
            <w:r>
              <w:rPr>
                <w:webHidden/>
                <w:rStyle w:val="IndexLink"/>
                <w:rtl w:val="true"/>
              </w:rPr>
              <w:t>هذا في مقام الثبوت</w:t>
            </w:r>
            <w:r>
              <w:rPr>
                <w:rStyle w:val="IndexLink"/>
                <w:rtl w:val="true"/>
              </w:rPr>
              <w:t>.</w:t>
              <w:tab/>
            </w:r>
            <w:r>
              <w:rPr>
                <w:rStyle w:val="IndexLink"/>
              </w:rPr>
              <w:t>204</w:t>
            </w:r>
          </w:hyperlink>
        </w:p>
        <w:p>
          <w:pPr>
            <w:pStyle w:val="Contents3"/>
            <w:tabs>
              <w:tab w:val="clear" w:pos="8459"/>
              <w:tab w:val="right" w:pos="9026" w:leader="dot"/>
            </w:tabs>
            <w:rPr/>
          </w:pPr>
          <w:hyperlink w:anchor="__RefHeading___Toc6974509_2142443653">
            <w:r>
              <w:rPr>
                <w:webHidden/>
                <w:rStyle w:val="IndexLink"/>
                <w:rtl w:val="true"/>
              </w:rPr>
              <w:t>التنبيه العاشر</w:t>
            </w:r>
            <w:r>
              <w:rPr>
                <w:rStyle w:val="IndexLink"/>
                <w:rtl w:val="true"/>
              </w:rPr>
              <w:t xml:space="preserve">: </w:t>
            </w:r>
            <w:r>
              <w:rPr>
                <w:rStyle w:val="IndexLink"/>
                <w:rtl w:val="true"/>
              </w:rPr>
              <w:t>تعذّر بعض قيود المركّب</w:t>
            </w:r>
            <w:r>
              <w:rPr>
                <w:rStyle w:val="IndexLink"/>
                <w:rtl w:val="true"/>
              </w:rPr>
              <w:t>:</w:t>
              <w:tab/>
            </w:r>
            <w:r>
              <w:rPr>
                <w:rStyle w:val="IndexLink"/>
              </w:rPr>
              <w:t>208</w:t>
            </w:r>
          </w:hyperlink>
        </w:p>
        <w:p>
          <w:pPr>
            <w:pStyle w:val="Contents3"/>
            <w:tabs>
              <w:tab w:val="clear" w:pos="8459"/>
              <w:tab w:val="right" w:pos="9026" w:leader="dot"/>
            </w:tabs>
            <w:rPr/>
          </w:pPr>
          <w:hyperlink w:anchor="__RefHeading___Toc6974511_2142443653">
            <w:r>
              <w:rPr>
                <w:webHidden/>
                <w:rStyle w:val="IndexLink"/>
                <w:rtl w:val="true"/>
              </w:rPr>
              <w:t xml:space="preserve">التنبيه الحادي عشر </w:t>
            </w:r>
            <w:r>
              <w:rPr>
                <w:rStyle w:val="IndexLink"/>
                <w:rtl w:val="true"/>
              </w:rPr>
              <w:t>:</w:t>
            </w:r>
            <w:r>
              <w:rPr>
                <w:rStyle w:val="IndexLink"/>
                <w:rtl w:val="true"/>
              </w:rPr>
              <w:t>المراد من الشكّ في البقاء</w:t>
            </w:r>
            <w:r>
              <w:rPr>
                <w:rStyle w:val="IndexLink"/>
                <w:rtl w:val="true"/>
              </w:rPr>
              <w:t>:</w:t>
              <w:tab/>
            </w:r>
            <w:r>
              <w:rPr>
                <w:rStyle w:val="IndexLink"/>
              </w:rPr>
              <w:t>210</w:t>
            </w:r>
          </w:hyperlink>
        </w:p>
        <w:p>
          <w:pPr>
            <w:pStyle w:val="Contents2"/>
            <w:tabs>
              <w:tab w:val="clear" w:pos="8743"/>
              <w:tab w:val="right" w:pos="9026" w:leader="dot"/>
            </w:tabs>
            <w:rPr/>
          </w:pPr>
          <w:hyperlink w:anchor="__RefHeading___Toc6974513_2142443653">
            <w:r>
              <w:rPr>
                <w:webHidden/>
                <w:rStyle w:val="IndexLink"/>
                <w:rtl w:val="true"/>
              </w:rPr>
              <w:t>خاتمة</w:t>
            </w:r>
            <w:r>
              <w:rPr>
                <w:rStyle w:val="IndexLink"/>
                <w:rtl w:val="true"/>
              </w:rPr>
              <w:tab/>
            </w:r>
            <w:r>
              <w:rPr>
                <w:rStyle w:val="IndexLink"/>
              </w:rPr>
              <w:t>213</w:t>
            </w:r>
          </w:hyperlink>
        </w:p>
        <w:p>
          <w:pPr>
            <w:pStyle w:val="Contents3"/>
            <w:tabs>
              <w:tab w:val="clear" w:pos="8459"/>
              <w:tab w:val="right" w:pos="9026" w:leader="dot"/>
            </w:tabs>
            <w:rPr/>
          </w:pPr>
          <w:hyperlink w:anchor="__RefHeading___Toc6974515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6974517_2142443653">
            <w:r>
              <w:rPr>
                <w:webHidden/>
                <w:rStyle w:val="IndexLink"/>
                <w:rtl w:val="true"/>
              </w:rPr>
              <w:t xml:space="preserve">الأمر الأوّل </w:t>
            </w:r>
            <w:r>
              <w:rPr>
                <w:rStyle w:val="IndexLink"/>
                <w:rtl w:val="true"/>
              </w:rPr>
              <w:t>:</w:t>
            </w:r>
            <w:r>
              <w:rPr>
                <w:rStyle w:val="IndexLink"/>
                <w:rtl w:val="true"/>
              </w:rPr>
              <w:t>الكلام في وحدة القضيّة المتيقّنة والمشكوكة</w:t>
            </w:r>
            <w:r>
              <w:rPr>
                <w:rStyle w:val="IndexLink"/>
                <w:rtl w:val="true"/>
              </w:rPr>
              <w:t>:</w:t>
              <w:tab/>
            </w:r>
            <w:r>
              <w:rPr>
                <w:rStyle w:val="IndexLink"/>
              </w:rPr>
              <w:t>213</w:t>
            </w:r>
          </w:hyperlink>
        </w:p>
        <w:p>
          <w:pPr>
            <w:pStyle w:val="Contents4"/>
            <w:tabs>
              <w:tab w:val="clear" w:pos="8176"/>
              <w:tab w:val="right" w:pos="9026" w:leader="dot"/>
            </w:tabs>
            <w:rPr/>
          </w:pPr>
          <w:hyperlink w:anchor="__RefHeading___Toc6974519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974521_2142443653">
            <w:r>
              <w:rPr>
                <w:webHidden/>
                <w:rStyle w:val="IndexLink"/>
                <w:rtl w:val="true"/>
              </w:rPr>
              <w:t>فإذا عرفت هذا، فاعلم</w:t>
            </w:r>
            <w:r>
              <w:rPr>
                <w:rStyle w:val="IndexLink"/>
                <w:rtl w:val="true"/>
              </w:rPr>
              <w:t>:</w:t>
              <w:tab/>
            </w:r>
            <w:r>
              <w:rPr>
                <w:rStyle w:val="IndexLink"/>
              </w:rPr>
              <w:t>219</w:t>
            </w:r>
          </w:hyperlink>
        </w:p>
        <w:p>
          <w:pPr>
            <w:pStyle w:val="Contents3"/>
            <w:tabs>
              <w:tab w:val="clear" w:pos="8459"/>
              <w:tab w:val="right" w:pos="9026" w:leader="dot"/>
            </w:tabs>
            <w:rPr/>
          </w:pPr>
          <w:hyperlink w:anchor="__RefHeading___Toc6974523_2142443653">
            <w:r>
              <w:rPr>
                <w:webHidden/>
                <w:rStyle w:val="IndexLink"/>
                <w:rtl w:val="true"/>
              </w:rPr>
              <w:t xml:space="preserve">الأمر الثاني </w:t>
            </w:r>
            <w:r>
              <w:rPr>
                <w:rStyle w:val="IndexLink"/>
                <w:rtl w:val="true"/>
              </w:rPr>
              <w:t>:</w:t>
            </w:r>
            <w:r>
              <w:rPr>
                <w:rStyle w:val="IndexLink"/>
                <w:rtl w:val="true"/>
              </w:rPr>
              <w:t>هل تشمل أخبار الاستصحاب قاعدة اليقين أم لا؟</w:t>
            </w:r>
            <w:r>
              <w:rPr>
                <w:rStyle w:val="IndexLink"/>
                <w:rtl w:val="true"/>
              </w:rPr>
              <w:tab/>
            </w:r>
            <w:r>
              <w:rPr>
                <w:rStyle w:val="IndexLink"/>
              </w:rPr>
              <w:t>229</w:t>
            </w:r>
          </w:hyperlink>
        </w:p>
        <w:p>
          <w:pPr>
            <w:pStyle w:val="Contents3"/>
            <w:tabs>
              <w:tab w:val="clear" w:pos="8459"/>
              <w:tab w:val="right" w:pos="9026" w:leader="dot"/>
            </w:tabs>
            <w:rPr/>
          </w:pPr>
          <w:hyperlink w:anchor="__RefHeading___Toc6974525_2142443653">
            <w:r>
              <w:rPr>
                <w:webHidden/>
                <w:rStyle w:val="IndexLink"/>
                <w:rtl w:val="true"/>
              </w:rPr>
              <w:t>الأمر الثالث</w:t>
            </w:r>
            <w:r>
              <w:rPr>
                <w:rStyle w:val="IndexLink"/>
                <w:rtl w:val="true"/>
              </w:rPr>
              <w:t xml:space="preserve">: </w:t>
            </w:r>
            <w:r>
              <w:rPr>
                <w:rStyle w:val="IndexLink"/>
                <w:rtl w:val="true"/>
              </w:rPr>
              <w:t>في تقدّم الأمارات على الاستصحاب</w:t>
            </w:r>
            <w:r>
              <w:rPr>
                <w:rStyle w:val="IndexLink"/>
                <w:rtl w:val="true"/>
              </w:rPr>
              <w:t>:</w:t>
              <w:tab/>
            </w:r>
            <w:r>
              <w:rPr>
                <w:rStyle w:val="IndexLink"/>
              </w:rPr>
              <w:t>236</w:t>
            </w:r>
          </w:hyperlink>
        </w:p>
        <w:p>
          <w:pPr>
            <w:pStyle w:val="Contents3"/>
            <w:tabs>
              <w:tab w:val="clear" w:pos="8459"/>
              <w:tab w:val="right" w:pos="9026" w:leader="dot"/>
            </w:tabs>
            <w:rPr/>
          </w:pPr>
          <w:hyperlink w:anchor="__RefHeading___Toc6974527_2142443653">
            <w:r>
              <w:rPr>
                <w:webHidden/>
                <w:rStyle w:val="IndexLink"/>
                <w:rtl w:val="true"/>
              </w:rPr>
              <w:t xml:space="preserve">الأمر الخامس </w:t>
            </w:r>
            <w:r>
              <w:rPr>
                <w:rStyle w:val="IndexLink"/>
                <w:rtl w:val="true"/>
              </w:rPr>
              <w:t>:</w:t>
            </w:r>
            <w:r>
              <w:rPr>
                <w:rStyle w:val="IndexLink"/>
                <w:rtl w:val="true"/>
              </w:rPr>
              <w:t>في تعارض الاستصحابين</w:t>
            </w:r>
            <w:r>
              <w:rPr>
                <w:rStyle w:val="IndexLink"/>
                <w:rtl w:val="true"/>
              </w:rPr>
              <w:t>:</w:t>
              <w:tab/>
            </w:r>
            <w:r>
              <w:rPr>
                <w:rStyle w:val="IndexLink"/>
              </w:rPr>
              <w:t>251</w:t>
            </w:r>
          </w:hyperlink>
        </w:p>
        <w:p>
          <w:pPr>
            <w:pStyle w:val="Contents3"/>
            <w:tabs>
              <w:tab w:val="clear" w:pos="8459"/>
              <w:tab w:val="right" w:pos="9026" w:leader="dot"/>
            </w:tabs>
            <w:rPr/>
          </w:pPr>
          <w:hyperlink w:anchor="__RefHeading___Toc6974529_2142443653">
            <w:r>
              <w:rPr>
                <w:webHidden/>
                <w:rStyle w:val="IndexLink"/>
                <w:rtl w:val="true"/>
              </w:rPr>
              <w:t>الأمر السادس</w:t>
            </w:r>
            <w:r>
              <w:rPr>
                <w:rStyle w:val="IndexLink"/>
                <w:rtl w:val="true"/>
              </w:rPr>
              <w:t xml:space="preserve">: </w:t>
            </w:r>
            <w:r>
              <w:rPr>
                <w:rStyle w:val="IndexLink"/>
                <w:rtl w:val="true"/>
              </w:rPr>
              <w:t>تقدّم التجاوز والفراغ وأصالة الصحّة على الاستصحاب بالتخصيص</w:t>
            </w:r>
            <w:r>
              <w:rPr>
                <w:rStyle w:val="IndexLink"/>
                <w:rtl w:val="true"/>
              </w:rPr>
              <w:t>:</w:t>
              <w:tab/>
            </w:r>
            <w:r>
              <w:rPr>
                <w:rStyle w:val="IndexLink"/>
              </w:rPr>
              <w:t>252</w:t>
            </w:r>
          </w:hyperlink>
        </w:p>
        <w:p>
          <w:pPr>
            <w:pStyle w:val="Contents2"/>
            <w:tabs>
              <w:tab w:val="clear" w:pos="8743"/>
              <w:tab w:val="right" w:pos="9026" w:leader="dot"/>
            </w:tabs>
            <w:rPr/>
          </w:pPr>
          <w:hyperlink w:anchor="__RefHeading___Toc6974531_2142443653">
            <w:r>
              <w:rPr>
                <w:webHidden/>
                <w:rStyle w:val="IndexLink"/>
                <w:rtl w:val="true"/>
              </w:rPr>
              <w:t>قاعدة القرعة</w:t>
            </w:r>
            <w:r>
              <w:rPr>
                <w:rStyle w:val="IndexLink"/>
                <w:rtl w:val="true"/>
              </w:rPr>
              <w:tab/>
            </w:r>
            <w:r>
              <w:rPr>
                <w:rStyle w:val="IndexLink"/>
              </w:rPr>
              <w:t>257</w:t>
            </w:r>
          </w:hyperlink>
        </w:p>
        <w:p>
          <w:pPr>
            <w:pStyle w:val="Contents2"/>
            <w:tabs>
              <w:tab w:val="clear" w:pos="8743"/>
              <w:tab w:val="right" w:pos="9026" w:leader="dot"/>
            </w:tabs>
            <w:rPr/>
          </w:pPr>
          <w:hyperlink w:anchor="__RefHeading___Toc6974533_2142443653">
            <w:r>
              <w:rPr>
                <w:webHidden/>
                <w:rStyle w:val="IndexLink"/>
                <w:rtl w:val="true"/>
              </w:rPr>
              <w:t>الكلام في أصالة الصحّة</w:t>
            </w:r>
            <w:r>
              <w:rPr>
                <w:rStyle w:val="IndexLink"/>
                <w:rtl w:val="true"/>
              </w:rPr>
              <w:tab/>
            </w:r>
            <w:r>
              <w:rPr>
                <w:rStyle w:val="IndexLink"/>
              </w:rPr>
              <w:t>265</w:t>
            </w:r>
          </w:hyperlink>
        </w:p>
        <w:p>
          <w:pPr>
            <w:pStyle w:val="Contents3"/>
            <w:tabs>
              <w:tab w:val="clear" w:pos="8459"/>
              <w:tab w:val="right" w:pos="9026" w:leader="dot"/>
            </w:tabs>
            <w:rPr/>
          </w:pPr>
          <w:hyperlink w:anchor="__RefHeading___Toc6974535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6974537_2142443653">
            <w:r>
              <w:rPr>
                <w:webHidden/>
                <w:rStyle w:val="IndexLink"/>
                <w:rtl w:val="true"/>
              </w:rPr>
              <w:t>الأمر الأوّل</w:t>
            </w:r>
            <w:r>
              <w:rPr>
                <w:rStyle w:val="IndexLink"/>
                <w:rtl w:val="true"/>
              </w:rPr>
              <w:t>:</w:t>
              <w:tab/>
            </w:r>
            <w:r>
              <w:rPr>
                <w:rStyle w:val="IndexLink"/>
              </w:rPr>
              <w:t>265</w:t>
            </w:r>
          </w:hyperlink>
        </w:p>
        <w:p>
          <w:pPr>
            <w:pStyle w:val="Contents3"/>
            <w:tabs>
              <w:tab w:val="clear" w:pos="8459"/>
              <w:tab w:val="right" w:pos="9026" w:leader="dot"/>
            </w:tabs>
            <w:rPr/>
          </w:pPr>
          <w:hyperlink w:anchor="__RefHeading___Toc6974539_2142443653">
            <w:r>
              <w:rPr>
                <w:webHidden/>
                <w:rStyle w:val="IndexLink"/>
                <w:rtl w:val="true"/>
              </w:rPr>
              <w:t>الأمر الثاني</w:t>
            </w:r>
            <w:r>
              <w:rPr>
                <w:rStyle w:val="IndexLink"/>
                <w:rtl w:val="true"/>
              </w:rPr>
              <w:t>:</w:t>
              <w:tab/>
            </w:r>
            <w:r>
              <w:rPr>
                <w:rStyle w:val="IndexLink"/>
              </w:rPr>
              <w:t>266</w:t>
            </w:r>
          </w:hyperlink>
        </w:p>
        <w:p>
          <w:pPr>
            <w:pStyle w:val="Contents3"/>
            <w:tabs>
              <w:tab w:val="clear" w:pos="8459"/>
              <w:tab w:val="right" w:pos="9026" w:leader="dot"/>
            </w:tabs>
            <w:rPr/>
          </w:pPr>
          <w:hyperlink w:anchor="__RefHeading___Toc6974541_2142443653">
            <w:r>
              <w:rPr>
                <w:webHidden/>
                <w:rStyle w:val="IndexLink"/>
                <w:rtl w:val="true"/>
              </w:rPr>
              <w:t>أمّا الكتاب</w:t>
            </w:r>
            <w:r>
              <w:rPr>
                <w:rStyle w:val="IndexLink"/>
                <w:rtl w:val="true"/>
              </w:rPr>
              <w:t>:</w:t>
              <w:tab/>
            </w:r>
            <w:r>
              <w:rPr>
                <w:rStyle w:val="IndexLink"/>
              </w:rPr>
              <w:t>266</w:t>
            </w:r>
          </w:hyperlink>
        </w:p>
        <w:p>
          <w:pPr>
            <w:pStyle w:val="Contents3"/>
            <w:tabs>
              <w:tab w:val="clear" w:pos="8459"/>
              <w:tab w:val="right" w:pos="9026" w:leader="dot"/>
            </w:tabs>
            <w:rPr/>
          </w:pPr>
          <w:hyperlink w:anchor="__RefHeading___Toc6974543_2142443653">
            <w:r>
              <w:rPr>
                <w:webHidden/>
                <w:rStyle w:val="IndexLink"/>
                <w:rtl w:val="true"/>
              </w:rPr>
              <w:t>وأمّا السنّة</w:t>
            </w:r>
            <w:r>
              <w:rPr>
                <w:rStyle w:val="IndexLink"/>
                <w:rtl w:val="true"/>
              </w:rPr>
              <w:t>:</w:t>
              <w:tab/>
            </w:r>
            <w:r>
              <w:rPr>
                <w:rStyle w:val="IndexLink"/>
              </w:rPr>
              <w:t>267</w:t>
            </w:r>
          </w:hyperlink>
        </w:p>
        <w:p>
          <w:pPr>
            <w:pStyle w:val="Contents3"/>
            <w:tabs>
              <w:tab w:val="clear" w:pos="8459"/>
              <w:tab w:val="right" w:pos="9026" w:leader="dot"/>
            </w:tabs>
            <w:rPr/>
          </w:pPr>
          <w:hyperlink w:anchor="__RefHeading___Toc6974545_2142443653">
            <w:r>
              <w:rPr>
                <w:webHidden/>
                <w:rStyle w:val="IndexLink"/>
                <w:rtl w:val="true"/>
              </w:rPr>
              <w:t>الأمر الثالث</w:t>
            </w:r>
            <w:r>
              <w:rPr>
                <w:rStyle w:val="IndexLink"/>
                <w:rtl w:val="true"/>
              </w:rPr>
              <w:t>:</w:t>
              <w:tab/>
            </w:r>
            <w:r>
              <w:rPr>
                <w:rStyle w:val="IndexLink"/>
              </w:rPr>
              <w:t>268</w:t>
            </w:r>
          </w:hyperlink>
        </w:p>
        <w:p>
          <w:pPr>
            <w:pStyle w:val="Contents3"/>
            <w:tabs>
              <w:tab w:val="clear" w:pos="8459"/>
              <w:tab w:val="right" w:pos="9026" w:leader="dot"/>
            </w:tabs>
            <w:rPr/>
          </w:pPr>
          <w:hyperlink w:anchor="__RefHeading___Toc6974547_2142443653">
            <w:r>
              <w:rPr>
                <w:webHidden/>
                <w:rStyle w:val="IndexLink"/>
                <w:rtl w:val="true"/>
              </w:rPr>
              <w:t>الأمر الرابع</w:t>
            </w:r>
            <w:r>
              <w:rPr>
                <w:rStyle w:val="IndexLink"/>
                <w:rtl w:val="true"/>
              </w:rPr>
              <w:t>:</w:t>
              <w:tab/>
            </w:r>
            <w:r>
              <w:rPr>
                <w:rStyle w:val="IndexLink"/>
              </w:rPr>
              <w:t>269</w:t>
            </w:r>
          </w:hyperlink>
        </w:p>
        <w:p>
          <w:pPr>
            <w:pStyle w:val="Contents3"/>
            <w:tabs>
              <w:tab w:val="clear" w:pos="8459"/>
              <w:tab w:val="right" w:pos="9026" w:leader="dot"/>
            </w:tabs>
            <w:rPr/>
          </w:pPr>
          <w:hyperlink w:anchor="__RefHeading___Toc6974549_2142443653">
            <w:r>
              <w:rPr>
                <w:webHidden/>
                <w:rStyle w:val="IndexLink"/>
                <w:rtl w:val="true"/>
              </w:rPr>
              <w:t>الأمر الخامس</w:t>
            </w:r>
            <w:r>
              <w:rPr>
                <w:rStyle w:val="IndexLink"/>
                <w:rtl w:val="true"/>
              </w:rPr>
              <w:t>:</w:t>
              <w:tab/>
            </w:r>
            <w:r>
              <w:rPr>
                <w:rStyle w:val="IndexLink"/>
              </w:rPr>
              <w:t>270</w:t>
            </w:r>
          </w:hyperlink>
        </w:p>
        <w:p>
          <w:pPr>
            <w:pStyle w:val="Contents3"/>
            <w:tabs>
              <w:tab w:val="clear" w:pos="8459"/>
              <w:tab w:val="right" w:pos="9026" w:leader="dot"/>
            </w:tabs>
            <w:rPr/>
          </w:pPr>
          <w:hyperlink w:anchor="__RefHeading___Toc6974551_2142443653">
            <w:r>
              <w:rPr>
                <w:webHidden/>
                <w:rStyle w:val="IndexLink"/>
                <w:rtl w:val="true"/>
              </w:rPr>
              <w:t>الأمر السادس</w:t>
            </w:r>
            <w:r>
              <w:rPr>
                <w:rStyle w:val="IndexLink"/>
                <w:rtl w:val="true"/>
              </w:rPr>
              <w:t>:</w:t>
              <w:tab/>
            </w:r>
            <w:r>
              <w:rPr>
                <w:rStyle w:val="IndexLink"/>
              </w:rPr>
              <w:t>271</w:t>
            </w:r>
          </w:hyperlink>
        </w:p>
        <w:p>
          <w:pPr>
            <w:pStyle w:val="Contents3"/>
            <w:tabs>
              <w:tab w:val="clear" w:pos="8459"/>
              <w:tab w:val="right" w:pos="9026" w:leader="dot"/>
            </w:tabs>
            <w:rPr/>
          </w:pPr>
          <w:hyperlink w:anchor="__RefHeading___Toc6974553_2142443653">
            <w:r>
              <w:rPr>
                <w:webHidden/>
                <w:rStyle w:val="IndexLink"/>
                <w:rtl w:val="true"/>
              </w:rPr>
              <w:t xml:space="preserve">الأمر السابع </w:t>
            </w:r>
            <w:r>
              <w:rPr>
                <w:rStyle w:val="IndexLink"/>
                <w:rtl w:val="true"/>
              </w:rPr>
              <w:t>:</w:t>
              <w:tab/>
            </w:r>
            <w:r>
              <w:rPr>
                <w:rStyle w:val="IndexLink"/>
              </w:rPr>
              <w:t>281</w:t>
            </w:r>
          </w:hyperlink>
        </w:p>
        <w:p>
          <w:pPr>
            <w:pStyle w:val="Contents3"/>
            <w:tabs>
              <w:tab w:val="clear" w:pos="8459"/>
              <w:tab w:val="right" w:pos="9026" w:leader="dot"/>
            </w:tabs>
            <w:rPr/>
          </w:pPr>
          <w:hyperlink w:anchor="__RefHeading___Toc6974555_2142443653">
            <w:r>
              <w:rPr>
                <w:webHidden/>
                <w:rStyle w:val="IndexLink"/>
                <w:rtl w:val="true"/>
              </w:rPr>
              <w:t>الأمر الثامن</w:t>
            </w:r>
            <w:r>
              <w:rPr>
                <w:rStyle w:val="IndexLink"/>
                <w:rtl w:val="true"/>
              </w:rPr>
              <w:t>:</w:t>
              <w:tab/>
            </w:r>
            <w:r>
              <w:rPr>
                <w:rStyle w:val="IndexLink"/>
              </w:rPr>
              <w:t>283</w:t>
            </w:r>
          </w:hyperlink>
        </w:p>
        <w:p>
          <w:pPr>
            <w:pStyle w:val="Contents3"/>
            <w:tabs>
              <w:tab w:val="clear" w:pos="8459"/>
              <w:tab w:val="right" w:pos="9026" w:leader="dot"/>
            </w:tabs>
            <w:rPr/>
          </w:pPr>
          <w:hyperlink w:anchor="__RefHeading___Toc6974557_2142443653">
            <w:r>
              <w:rPr>
                <w:webHidden/>
                <w:rStyle w:val="IndexLink"/>
                <w:rtl w:val="true"/>
              </w:rPr>
              <w:t>الأمر التاسع</w:t>
            </w:r>
            <w:r>
              <w:rPr>
                <w:rStyle w:val="IndexLink"/>
                <w:rtl w:val="true"/>
              </w:rPr>
              <w:t>:</w:t>
              <w:tab/>
            </w:r>
            <w:r>
              <w:rPr>
                <w:rStyle w:val="IndexLink"/>
              </w:rPr>
              <w:t>284</w:t>
            </w:r>
          </w:hyperlink>
        </w:p>
        <w:p>
          <w:pPr>
            <w:pStyle w:val="Contents3"/>
            <w:tabs>
              <w:tab w:val="clear" w:pos="8459"/>
              <w:tab w:val="right" w:pos="9026" w:leader="dot"/>
            </w:tabs>
            <w:rPr/>
          </w:pPr>
          <w:hyperlink w:anchor="__RefHeading___Toc6974559_2142443653">
            <w:r>
              <w:rPr>
                <w:webHidden/>
                <w:rStyle w:val="IndexLink"/>
                <w:rtl w:val="true"/>
              </w:rPr>
              <w:t>الأمر العاشر</w:t>
            </w:r>
            <w:r>
              <w:rPr>
                <w:rStyle w:val="IndexLink"/>
                <w:rtl w:val="true"/>
              </w:rPr>
              <w:t>:</w:t>
              <w:tab/>
            </w:r>
            <w:r>
              <w:rPr>
                <w:rStyle w:val="IndexLink"/>
              </w:rPr>
              <w:t>287</w:t>
            </w:r>
          </w:hyperlink>
        </w:p>
        <w:p>
          <w:pPr>
            <w:pStyle w:val="Contents2"/>
            <w:tabs>
              <w:tab w:val="clear" w:pos="8743"/>
              <w:tab w:val="right" w:pos="9026" w:leader="dot"/>
            </w:tabs>
            <w:rPr/>
          </w:pPr>
          <w:hyperlink w:anchor="__RefHeading___Toc6974561_2142443653">
            <w:r>
              <w:rPr>
                <w:webHidden/>
                <w:rStyle w:val="IndexLink"/>
                <w:rtl w:val="true"/>
              </w:rPr>
              <w:t>الكلام في تعارض الاستصحابين</w:t>
            </w:r>
            <w:r>
              <w:rPr>
                <w:rStyle w:val="IndexLink"/>
                <w:rtl w:val="true"/>
              </w:rPr>
              <w:tab/>
            </w:r>
            <w:r>
              <w:rPr>
                <w:rStyle w:val="IndexLink"/>
              </w:rPr>
              <w:t>293</w:t>
            </w:r>
          </w:hyperlink>
        </w:p>
        <w:p>
          <w:pPr>
            <w:pStyle w:val="Contents3"/>
            <w:tabs>
              <w:tab w:val="clear" w:pos="8459"/>
              <w:tab w:val="right" w:pos="9026" w:leader="dot"/>
            </w:tabs>
            <w:rPr/>
          </w:pPr>
          <w:hyperlink w:anchor="__RefHeading___Toc6974563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6974565_2142443653">
            <w:r>
              <w:rPr>
                <w:webHidden/>
                <w:rStyle w:val="IndexLink"/>
                <w:rtl w:val="true"/>
              </w:rPr>
              <w:t>وأمّا القسم الثاني</w:t>
            </w:r>
            <w:r>
              <w:rPr>
                <w:rStyle w:val="IndexLink"/>
                <w:rtl w:val="true"/>
              </w:rPr>
              <w:t>:</w:t>
              <w:tab/>
            </w:r>
            <w:r>
              <w:rPr>
                <w:rStyle w:val="IndexLink"/>
              </w:rPr>
              <w:t>303</w:t>
            </w:r>
          </w:hyperlink>
        </w:p>
        <w:p>
          <w:pPr>
            <w:pStyle w:val="Contents2"/>
            <w:tabs>
              <w:tab w:val="clear" w:pos="8743"/>
              <w:tab w:val="right" w:pos="9026" w:leader="dot"/>
            </w:tabs>
            <w:rPr/>
          </w:pPr>
          <w:hyperlink w:anchor="__RefHeading___Toc6974567_2142443653">
            <w:r>
              <w:rPr>
                <w:webHidden/>
                <w:rStyle w:val="IndexLink"/>
                <w:rtl w:val="true"/>
              </w:rPr>
              <w:t>مبحث التعادل والتراجيح</w:t>
            </w:r>
            <w:r>
              <w:rPr>
                <w:rStyle w:val="IndexLink"/>
                <w:rtl w:val="true"/>
              </w:rPr>
              <w:tab/>
            </w:r>
            <w:r>
              <w:rPr>
                <w:rStyle w:val="IndexLink"/>
              </w:rPr>
              <w:t>309</w:t>
            </w:r>
          </w:hyperlink>
        </w:p>
        <w:p>
          <w:pPr>
            <w:pStyle w:val="Contents3"/>
            <w:tabs>
              <w:tab w:val="clear" w:pos="8459"/>
              <w:tab w:val="right" w:pos="9026" w:leader="dot"/>
            </w:tabs>
            <w:rPr/>
          </w:pPr>
          <w:hyperlink w:anchor="__RefHeading___Toc6974569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6974571_2142443653">
            <w:r>
              <w:rPr>
                <w:webHidden/>
                <w:rStyle w:val="IndexLink"/>
                <w:rtl w:val="true"/>
              </w:rPr>
              <w:t>الأمر الأوّل</w:t>
            </w:r>
            <w:r>
              <w:rPr>
                <w:rStyle w:val="IndexLink"/>
                <w:rtl w:val="true"/>
              </w:rPr>
              <w:t xml:space="preserve">: </w:t>
            </w:r>
            <w:r>
              <w:rPr>
                <w:rStyle w:val="IndexLink"/>
                <w:rtl w:val="true"/>
              </w:rPr>
              <w:t>في تعريفهما</w:t>
            </w:r>
            <w:r>
              <w:rPr>
                <w:rStyle w:val="IndexLink"/>
                <w:rtl w:val="true"/>
              </w:rPr>
              <w:t>:</w:t>
              <w:tab/>
            </w:r>
            <w:r>
              <w:rPr>
                <w:rStyle w:val="IndexLink"/>
              </w:rPr>
              <w:t>309</w:t>
            </w:r>
          </w:hyperlink>
        </w:p>
        <w:p>
          <w:pPr>
            <w:pStyle w:val="Contents3"/>
            <w:tabs>
              <w:tab w:val="clear" w:pos="8459"/>
              <w:tab w:val="right" w:pos="9026" w:leader="dot"/>
            </w:tabs>
            <w:rPr/>
          </w:pPr>
          <w:hyperlink w:anchor="__RefHeading___Toc6974573_2142443653">
            <w:r>
              <w:rPr>
                <w:webHidden/>
                <w:rStyle w:val="IndexLink"/>
                <w:rtl w:val="true"/>
              </w:rPr>
              <w:t xml:space="preserve">الأمر الثاني </w:t>
            </w:r>
            <w:r>
              <w:rPr>
                <w:rStyle w:val="IndexLink"/>
                <w:rtl w:val="true"/>
              </w:rPr>
              <w:t>:</w:t>
            </w:r>
            <w:r>
              <w:rPr>
                <w:rStyle w:val="IndexLink"/>
                <w:rtl w:val="true"/>
              </w:rPr>
              <w:t>في أنّه من المسائل الاُصوليّة</w:t>
            </w:r>
            <w:r>
              <w:rPr>
                <w:rStyle w:val="IndexLink"/>
                <w:rtl w:val="true"/>
              </w:rPr>
              <w:t>:</w:t>
              <w:tab/>
            </w:r>
            <w:r>
              <w:rPr>
                <w:rStyle w:val="IndexLink"/>
              </w:rPr>
              <w:t>310</w:t>
            </w:r>
          </w:hyperlink>
        </w:p>
        <w:p>
          <w:pPr>
            <w:pStyle w:val="Contents3"/>
            <w:tabs>
              <w:tab w:val="clear" w:pos="8459"/>
              <w:tab w:val="right" w:pos="9026" w:leader="dot"/>
            </w:tabs>
            <w:rPr/>
          </w:pPr>
          <w:hyperlink w:anchor="__RefHeading___Toc6974575_2142443653">
            <w:r>
              <w:rPr>
                <w:webHidden/>
                <w:rStyle w:val="IndexLink"/>
                <w:rtl w:val="true"/>
              </w:rPr>
              <w:t>الأمر الثالث</w:t>
            </w:r>
            <w:r>
              <w:rPr>
                <w:rStyle w:val="IndexLink"/>
                <w:rtl w:val="true"/>
              </w:rPr>
              <w:t xml:space="preserve">: </w:t>
            </w:r>
            <w:r>
              <w:rPr>
                <w:rStyle w:val="IndexLink"/>
                <w:rtl w:val="true"/>
              </w:rPr>
              <w:t>في تعريف التعارض</w:t>
            </w:r>
            <w:r>
              <w:rPr>
                <w:rStyle w:val="IndexLink"/>
                <w:rtl w:val="true"/>
              </w:rPr>
              <w:t>:</w:t>
              <w:tab/>
            </w:r>
            <w:r>
              <w:rPr>
                <w:rStyle w:val="IndexLink"/>
              </w:rPr>
              <w:t>311</w:t>
            </w:r>
          </w:hyperlink>
        </w:p>
        <w:p>
          <w:pPr>
            <w:pStyle w:val="Contents3"/>
            <w:tabs>
              <w:tab w:val="clear" w:pos="8459"/>
              <w:tab w:val="right" w:pos="9026" w:leader="dot"/>
            </w:tabs>
            <w:rPr/>
          </w:pPr>
          <w:hyperlink w:anchor="__RefHeading___Toc6974577_2142443653">
            <w:r>
              <w:rPr>
                <w:webHidden/>
                <w:rStyle w:val="IndexLink"/>
                <w:rtl w:val="true"/>
              </w:rPr>
              <w:t xml:space="preserve">الأمر الرابع </w:t>
            </w:r>
            <w:r>
              <w:rPr>
                <w:rStyle w:val="IndexLink"/>
                <w:rtl w:val="true"/>
              </w:rPr>
              <w:t>:</w:t>
            </w:r>
            <w:r>
              <w:rPr>
                <w:rStyle w:val="IndexLink"/>
                <w:rtl w:val="true"/>
              </w:rPr>
              <w:t>في شرائط حصول التعارض</w:t>
            </w:r>
            <w:r>
              <w:rPr>
                <w:rStyle w:val="IndexLink"/>
                <w:rtl w:val="true"/>
              </w:rPr>
              <w:t>:</w:t>
              <w:tab/>
            </w:r>
            <w:r>
              <w:rPr>
                <w:rStyle w:val="IndexLink"/>
              </w:rPr>
              <w:t>312</w:t>
            </w:r>
          </w:hyperlink>
        </w:p>
        <w:p>
          <w:pPr>
            <w:pStyle w:val="Contents3"/>
            <w:tabs>
              <w:tab w:val="clear" w:pos="8459"/>
              <w:tab w:val="right" w:pos="9026" w:leader="dot"/>
            </w:tabs>
            <w:rPr/>
          </w:pPr>
          <w:hyperlink w:anchor="__RefHeading___Toc6974579_2142443653">
            <w:r>
              <w:rPr>
                <w:webHidden/>
                <w:rStyle w:val="IndexLink"/>
                <w:rtl w:val="true"/>
              </w:rPr>
              <w:t xml:space="preserve">الأمر الخامس </w:t>
            </w:r>
            <w:r>
              <w:rPr>
                <w:rStyle w:val="IndexLink"/>
                <w:rtl w:val="true"/>
              </w:rPr>
              <w:t>:</w:t>
            </w:r>
            <w:r>
              <w:rPr>
                <w:rStyle w:val="IndexLink"/>
                <w:rtl w:val="true"/>
              </w:rPr>
              <w:t>في الفرق بين التعارض والتزاحم</w:t>
            </w:r>
            <w:r>
              <w:rPr>
                <w:rStyle w:val="IndexLink"/>
                <w:rtl w:val="true"/>
              </w:rPr>
              <w:t>:</w:t>
              <w:tab/>
            </w:r>
            <w:r>
              <w:rPr>
                <w:rStyle w:val="IndexLink"/>
              </w:rPr>
              <w:t>314</w:t>
            </w:r>
          </w:hyperlink>
        </w:p>
        <w:p>
          <w:pPr>
            <w:pStyle w:val="Contents3"/>
            <w:tabs>
              <w:tab w:val="clear" w:pos="8459"/>
              <w:tab w:val="right" w:pos="9026" w:leader="dot"/>
            </w:tabs>
            <w:rPr/>
          </w:pPr>
          <w:hyperlink w:anchor="__RefHeading___Toc6974581_2142443653">
            <w:r>
              <w:rPr>
                <w:webHidden/>
                <w:rStyle w:val="IndexLink"/>
                <w:rtl w:val="true"/>
              </w:rPr>
              <w:t>الأمر السادس</w:t>
            </w:r>
            <w:r>
              <w:rPr>
                <w:rStyle w:val="IndexLink"/>
                <w:rtl w:val="true"/>
              </w:rPr>
              <w:t xml:space="preserve">: </w:t>
            </w:r>
            <w:r>
              <w:rPr>
                <w:rStyle w:val="IndexLink"/>
                <w:rtl w:val="true"/>
              </w:rPr>
              <w:t>مرجّحات بابي التعارض والتزاحم</w:t>
            </w:r>
            <w:r>
              <w:rPr>
                <w:rStyle w:val="IndexLink"/>
                <w:rtl w:val="true"/>
              </w:rPr>
              <w:t>:</w:t>
              <w:tab/>
            </w:r>
            <w:r>
              <w:rPr>
                <w:rStyle w:val="IndexLink"/>
              </w:rPr>
              <w:t>318</w:t>
            </w:r>
          </w:hyperlink>
        </w:p>
        <w:p>
          <w:pPr>
            <w:pStyle w:val="Contents3"/>
            <w:tabs>
              <w:tab w:val="clear" w:pos="8459"/>
              <w:tab w:val="right" w:pos="9026" w:leader="dot"/>
            </w:tabs>
            <w:rPr/>
          </w:pPr>
          <w:hyperlink w:anchor="__RefHeading___Toc6974583_2142443653">
            <w:r>
              <w:rPr>
                <w:webHidden/>
                <w:rStyle w:val="IndexLink"/>
                <w:rtl w:val="true"/>
              </w:rPr>
              <w:t xml:space="preserve">الأمر السابع </w:t>
            </w:r>
            <w:r>
              <w:rPr>
                <w:rStyle w:val="IndexLink"/>
                <w:rtl w:val="true"/>
              </w:rPr>
              <w:t>:</w:t>
            </w:r>
            <w:r>
              <w:rPr>
                <w:rStyle w:val="IndexLink"/>
                <w:rtl w:val="true"/>
              </w:rPr>
              <w:t>في حكم التعارض</w:t>
            </w:r>
            <w:r>
              <w:rPr>
                <w:rStyle w:val="IndexLink"/>
                <w:rtl w:val="true"/>
              </w:rPr>
              <w:t>:</w:t>
              <w:tab/>
            </w:r>
            <w:r>
              <w:rPr>
                <w:rStyle w:val="IndexLink"/>
              </w:rPr>
              <w:t>327</w:t>
            </w:r>
          </w:hyperlink>
        </w:p>
        <w:p>
          <w:pPr>
            <w:pStyle w:val="Contents4"/>
            <w:tabs>
              <w:tab w:val="clear" w:pos="8176"/>
              <w:tab w:val="right" w:pos="9026" w:leader="dot"/>
            </w:tabs>
            <w:rPr/>
          </w:pPr>
          <w:hyperlink w:anchor="__RefHeading___Toc6974585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974587_2142443653">
            <w:r>
              <w:rPr>
                <w:webHidden/>
                <w:rStyle w:val="IndexLink"/>
                <w:rtl w:val="true"/>
              </w:rPr>
              <w:t>هل المرجّحات عرضيّة أم مترتّبة</w:t>
            </w:r>
            <w:r>
              <w:rPr>
                <w:rStyle w:val="IndexLink"/>
                <w:rtl w:val="true"/>
              </w:rPr>
              <w:t>:</w:t>
              <w:tab/>
            </w:r>
            <w:r>
              <w:rPr>
                <w:rStyle w:val="IndexLink"/>
              </w:rPr>
              <w:t>330</w:t>
            </w:r>
          </w:hyperlink>
        </w:p>
        <w:p>
          <w:pPr>
            <w:pStyle w:val="Contents4"/>
            <w:tabs>
              <w:tab w:val="clear" w:pos="8176"/>
              <w:tab w:val="right" w:pos="9026" w:leader="dot"/>
            </w:tabs>
            <w:rPr/>
          </w:pPr>
          <w:hyperlink w:anchor="__RefHeading___Toc6974589_2142443653">
            <w:r>
              <w:rPr>
                <w:webHidden/>
                <w:rStyle w:val="IndexLink"/>
                <w:rtl w:val="true"/>
              </w:rPr>
              <w:t>فإذا اتّضح ذلك نقول</w:t>
            </w:r>
            <w:r>
              <w:rPr>
                <w:rStyle w:val="IndexLink"/>
                <w:rtl w:val="true"/>
              </w:rPr>
              <w:t>:</w:t>
              <w:tab/>
            </w:r>
            <w:r>
              <w:rPr>
                <w:rStyle w:val="IndexLink"/>
              </w:rPr>
              <w:t>340</w:t>
            </w:r>
          </w:hyperlink>
        </w:p>
        <w:p>
          <w:pPr>
            <w:pStyle w:val="Contents3"/>
            <w:tabs>
              <w:tab w:val="clear" w:pos="8459"/>
              <w:tab w:val="right" w:pos="9026" w:leader="dot"/>
            </w:tabs>
            <w:rPr/>
          </w:pPr>
          <w:hyperlink w:anchor="__RefHeading___Toc6974591_2142443653">
            <w:r>
              <w:rPr>
                <w:webHidden/>
                <w:rStyle w:val="IndexLink"/>
                <w:rtl w:val="true"/>
              </w:rPr>
              <w:t xml:space="preserve">الأمر الثامن </w:t>
            </w:r>
            <w:r>
              <w:rPr>
                <w:rStyle w:val="IndexLink"/>
                <w:rtl w:val="true"/>
              </w:rPr>
              <w:t>:</w:t>
            </w:r>
            <w:r>
              <w:rPr>
                <w:rStyle w:val="IndexLink"/>
                <w:rtl w:val="true"/>
              </w:rPr>
              <w:t>فيما لو كان التعارض بين أكثر من دليلين</w:t>
            </w:r>
            <w:r>
              <w:rPr>
                <w:rStyle w:val="IndexLink"/>
                <w:rtl w:val="true"/>
              </w:rPr>
              <w:t>:</w:t>
              <w:tab/>
            </w:r>
            <w:r>
              <w:rPr>
                <w:rStyle w:val="IndexLink"/>
              </w:rPr>
              <w:t>352</w:t>
            </w:r>
          </w:hyperlink>
        </w:p>
        <w:p>
          <w:pPr>
            <w:pStyle w:val="Contents3"/>
            <w:tabs>
              <w:tab w:val="clear" w:pos="8459"/>
              <w:tab w:val="right" w:pos="9026" w:leader="dot"/>
            </w:tabs>
            <w:rPr/>
          </w:pPr>
          <w:hyperlink w:anchor="__RefHeading___Toc6974593_2142443653">
            <w:r>
              <w:rPr>
                <w:webHidden/>
                <w:rStyle w:val="IndexLink"/>
                <w:rtl w:val="true"/>
              </w:rPr>
              <w:t xml:space="preserve">الأمر التاسع </w:t>
            </w:r>
            <w:r>
              <w:rPr>
                <w:rStyle w:val="IndexLink"/>
                <w:rtl w:val="true"/>
              </w:rPr>
              <w:t>:</w:t>
            </w:r>
            <w:r>
              <w:rPr>
                <w:rStyle w:val="IndexLink"/>
                <w:rtl w:val="true"/>
              </w:rPr>
              <w:t>في مقتضى القاعدة الأوّليّة عند عدم المرجّح</w:t>
            </w:r>
            <w:r>
              <w:rPr>
                <w:rStyle w:val="IndexLink"/>
                <w:rtl w:val="true"/>
              </w:rPr>
              <w:t>:</w:t>
              <w:tab/>
            </w:r>
            <w:r>
              <w:rPr>
                <w:rStyle w:val="IndexLink"/>
              </w:rPr>
              <w:t>367</w:t>
            </w:r>
          </w:hyperlink>
        </w:p>
        <w:p>
          <w:pPr>
            <w:pStyle w:val="Contents4"/>
            <w:tabs>
              <w:tab w:val="clear" w:pos="8176"/>
              <w:tab w:val="right" w:pos="9026" w:leader="dot"/>
            </w:tabs>
            <w:rPr/>
          </w:pPr>
          <w:hyperlink w:anchor="__RefHeading___Toc6974595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6974597_2142443653">
            <w:r>
              <w:rPr>
                <w:webHidden/>
                <w:rStyle w:val="IndexLink"/>
                <w:rtl w:val="true"/>
              </w:rPr>
              <w:t>أمّا المقام الأوّل</w:t>
            </w:r>
            <w:r>
              <w:rPr>
                <w:rStyle w:val="IndexLink"/>
                <w:rtl w:val="true"/>
              </w:rPr>
              <w:t>:</w:t>
              <w:tab/>
            </w:r>
            <w:r>
              <w:rPr>
                <w:rStyle w:val="IndexLink"/>
              </w:rPr>
              <w:t>367</w:t>
            </w:r>
          </w:hyperlink>
        </w:p>
        <w:p>
          <w:pPr>
            <w:pStyle w:val="Contents4"/>
            <w:tabs>
              <w:tab w:val="clear" w:pos="8176"/>
              <w:tab w:val="right" w:pos="9026" w:leader="dot"/>
            </w:tabs>
            <w:rPr/>
          </w:pPr>
          <w:hyperlink w:anchor="__RefHeading___Toc6974599_2142443653">
            <w:r>
              <w:rPr>
                <w:webHidden/>
                <w:rStyle w:val="IndexLink"/>
                <w:rtl w:val="true"/>
              </w:rPr>
              <w:t>وأمّا المقام الثاني</w:t>
            </w:r>
            <w:r>
              <w:rPr>
                <w:rStyle w:val="IndexLink"/>
                <w:rtl w:val="true"/>
              </w:rPr>
              <w:t>:</w:t>
              <w:tab/>
            </w:r>
            <w:r>
              <w:rPr>
                <w:rStyle w:val="IndexLink"/>
              </w:rPr>
              <w:t>370</w:t>
            </w:r>
          </w:hyperlink>
        </w:p>
        <w:p>
          <w:pPr>
            <w:pStyle w:val="Contents3"/>
            <w:tabs>
              <w:tab w:val="clear" w:pos="8459"/>
              <w:tab w:val="right" w:pos="9026" w:leader="dot"/>
            </w:tabs>
            <w:rPr/>
          </w:pPr>
          <w:hyperlink w:anchor="__RefHeading___Toc6974601_2142443653">
            <w:r>
              <w:rPr>
                <w:webHidden/>
                <w:rStyle w:val="IndexLink"/>
                <w:rtl w:val="true"/>
              </w:rPr>
              <w:t xml:space="preserve">الأمر العاشر </w:t>
            </w:r>
            <w:r>
              <w:rPr>
                <w:rStyle w:val="IndexLink"/>
                <w:rtl w:val="true"/>
              </w:rPr>
              <w:t>:</w:t>
            </w:r>
            <w:r>
              <w:rPr>
                <w:rStyle w:val="IndexLink"/>
                <w:rtl w:val="true"/>
              </w:rPr>
              <w:t>حكم الخبرين بعد أن كان مقتضى الأصل تساقطهما</w:t>
            </w:r>
            <w:r>
              <w:rPr>
                <w:rStyle w:val="IndexLink"/>
                <w:rtl w:val="true"/>
              </w:rPr>
              <w:t>:</w:t>
              <w:tab/>
            </w:r>
            <w:r>
              <w:rPr>
                <w:rStyle w:val="IndexLink"/>
              </w:rPr>
              <w:t>373</w:t>
            </w:r>
          </w:hyperlink>
        </w:p>
        <w:p>
          <w:pPr>
            <w:pStyle w:val="Contents4"/>
            <w:tabs>
              <w:tab w:val="clear" w:pos="8176"/>
              <w:tab w:val="right" w:pos="9026" w:leader="dot"/>
            </w:tabs>
            <w:rPr/>
          </w:pPr>
          <w:hyperlink w:anchor="__RefHeading___Toc6974603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6974605_2142443653">
            <w:r>
              <w:rPr>
                <w:webHidden/>
                <w:rStyle w:val="IndexLink"/>
                <w:rtl w:val="true"/>
              </w:rPr>
              <w:t xml:space="preserve">فصل </w:t>
            </w:r>
            <w:r>
              <w:rPr>
                <w:rStyle w:val="IndexLink"/>
                <w:rtl w:val="true"/>
              </w:rPr>
              <w:t>:</w:t>
            </w:r>
            <w:r>
              <w:rPr>
                <w:rStyle w:val="IndexLink"/>
                <w:rtl w:val="true"/>
              </w:rPr>
              <w:t>في تقييد أدلّة التخيير بأدلّة الترجيح</w:t>
            </w:r>
            <w:r>
              <w:rPr>
                <w:rStyle w:val="IndexLink"/>
                <w:rtl w:val="true"/>
              </w:rPr>
              <w:t>:</w:t>
              <w:tab/>
            </w:r>
            <w:r>
              <w:rPr>
                <w:rStyle w:val="IndexLink"/>
              </w:rPr>
              <w:t>386</w:t>
            </w:r>
          </w:hyperlink>
        </w:p>
        <w:p>
          <w:pPr>
            <w:pStyle w:val="Contents5"/>
            <w:tabs>
              <w:tab w:val="clear" w:pos="7892"/>
              <w:tab w:val="right" w:pos="9026" w:leader="dot"/>
            </w:tabs>
            <w:rPr/>
          </w:pPr>
          <w:hyperlink w:anchor="__RefHeading___Toc6974607_2142443653">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6974609_2142443653">
            <w:r>
              <w:rPr>
                <w:webHidden/>
                <w:rStyle w:val="IndexLink"/>
                <w:rtl w:val="true"/>
              </w:rPr>
              <w:t>المرجّحات المدّعى أنّها منصوص عليها</w:t>
            </w:r>
            <w:r>
              <w:rPr>
                <w:rStyle w:val="IndexLink"/>
                <w:rtl w:val="true"/>
              </w:rPr>
              <w:t>:</w:t>
              <w:tab/>
            </w:r>
            <w:r>
              <w:rPr>
                <w:rStyle w:val="IndexLink"/>
              </w:rPr>
              <w:t>390</w:t>
            </w:r>
          </w:hyperlink>
        </w:p>
        <w:p>
          <w:pPr>
            <w:pStyle w:val="Contents6"/>
            <w:tabs>
              <w:tab w:val="clear" w:pos="7609"/>
              <w:tab w:val="right" w:pos="9026" w:leader="dot"/>
            </w:tabs>
            <w:rPr/>
          </w:pPr>
          <w:hyperlink w:anchor="__RefHeading___Toc6974611_2142443653">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6974613_2142443653">
            <w:r>
              <w:rPr>
                <w:webHidden/>
                <w:rStyle w:val="IndexLink"/>
              </w:rPr>
              <w:t>1</w:t>
            </w:r>
            <w:r>
              <w:rPr>
                <w:rStyle w:val="IndexLink"/>
                <w:rtl w:val="true"/>
              </w:rPr>
              <w:t xml:space="preserve">) </w:t>
            </w:r>
            <w:r>
              <w:rPr>
                <w:rStyle w:val="IndexLink"/>
                <w:rtl w:val="true"/>
              </w:rPr>
              <w:t>الترجيح بالأحدث</w:t>
            </w:r>
            <w:r>
              <w:rPr>
                <w:rStyle w:val="IndexLink"/>
                <w:rtl w:val="true"/>
              </w:rPr>
              <w:t>:</w:t>
              <w:tab/>
            </w:r>
            <w:r>
              <w:rPr>
                <w:rStyle w:val="IndexLink"/>
              </w:rPr>
              <w:t>391</w:t>
            </w:r>
          </w:hyperlink>
        </w:p>
        <w:p>
          <w:pPr>
            <w:pStyle w:val="Contents6"/>
            <w:tabs>
              <w:tab w:val="clear" w:pos="7609"/>
              <w:tab w:val="right" w:pos="9026" w:leader="dot"/>
            </w:tabs>
            <w:rPr/>
          </w:pPr>
          <w:hyperlink w:anchor="__RefHeading___Toc6974615_2142443653">
            <w:r>
              <w:rPr>
                <w:webHidden/>
                <w:rStyle w:val="IndexLink"/>
              </w:rPr>
              <w:t>2</w:t>
            </w:r>
            <w:r>
              <w:rPr>
                <w:rStyle w:val="IndexLink"/>
                <w:rtl w:val="true"/>
              </w:rPr>
              <w:t xml:space="preserve">) </w:t>
            </w:r>
            <w:r>
              <w:rPr>
                <w:rStyle w:val="IndexLink"/>
                <w:rtl w:val="true"/>
              </w:rPr>
              <w:t>الترجيح بالصفات</w:t>
            </w:r>
            <w:r>
              <w:rPr>
                <w:rStyle w:val="IndexLink"/>
                <w:rtl w:val="true"/>
              </w:rPr>
              <w:t>:</w:t>
              <w:tab/>
            </w:r>
            <w:r>
              <w:rPr>
                <w:rStyle w:val="IndexLink"/>
              </w:rPr>
              <w:t>391</w:t>
            </w:r>
          </w:hyperlink>
        </w:p>
        <w:p>
          <w:pPr>
            <w:pStyle w:val="Contents6"/>
            <w:tabs>
              <w:tab w:val="clear" w:pos="7609"/>
              <w:tab w:val="right" w:pos="9026" w:leader="dot"/>
            </w:tabs>
            <w:rPr/>
          </w:pPr>
          <w:hyperlink w:anchor="__RefHeading___Toc6974617_2142443653">
            <w:r>
              <w:rPr>
                <w:webHidden/>
                <w:rStyle w:val="IndexLink"/>
              </w:rPr>
              <w:t>3</w:t>
            </w:r>
            <w:r>
              <w:rPr>
                <w:rStyle w:val="IndexLink"/>
                <w:rtl w:val="true"/>
              </w:rPr>
              <w:t xml:space="preserve">) </w:t>
            </w:r>
            <w:r>
              <w:rPr>
                <w:rStyle w:val="IndexLink"/>
                <w:rtl w:val="true"/>
              </w:rPr>
              <w:t>الترجيح بالشهرة</w:t>
            </w:r>
            <w:r>
              <w:rPr>
                <w:rStyle w:val="IndexLink"/>
                <w:rtl w:val="true"/>
              </w:rPr>
              <w:t>:</w:t>
              <w:tab/>
            </w:r>
            <w:r>
              <w:rPr>
                <w:rStyle w:val="IndexLink"/>
              </w:rPr>
              <w:t>394</w:t>
            </w:r>
          </w:hyperlink>
        </w:p>
        <w:p>
          <w:pPr>
            <w:pStyle w:val="Contents6"/>
            <w:tabs>
              <w:tab w:val="clear" w:pos="7609"/>
              <w:tab w:val="right" w:pos="9026" w:leader="dot"/>
            </w:tabs>
            <w:rPr/>
          </w:pPr>
          <w:hyperlink w:anchor="__RefHeading___Toc6974619_2142443653">
            <w:r>
              <w:rPr>
                <w:webHidden/>
                <w:rStyle w:val="IndexLink"/>
              </w:rPr>
              <w:t>4</w:t>
            </w:r>
            <w:r>
              <w:rPr>
                <w:rStyle w:val="IndexLink"/>
                <w:rtl w:val="true"/>
              </w:rPr>
              <w:t xml:space="preserve">) </w:t>
            </w:r>
            <w:r>
              <w:rPr>
                <w:rStyle w:val="IndexLink"/>
                <w:rtl w:val="true"/>
              </w:rPr>
              <w:t>الترجيح بموافقة الكتاب</w:t>
            </w:r>
            <w:r>
              <w:rPr>
                <w:rStyle w:val="IndexLink"/>
                <w:rtl w:val="true"/>
              </w:rPr>
              <w:t>:</w:t>
              <w:tab/>
            </w:r>
            <w:r>
              <w:rPr>
                <w:rStyle w:val="IndexLink"/>
              </w:rPr>
              <w:t>397</w:t>
            </w:r>
          </w:hyperlink>
        </w:p>
        <w:p>
          <w:pPr>
            <w:pStyle w:val="Contents6"/>
            <w:tabs>
              <w:tab w:val="clear" w:pos="7609"/>
              <w:tab w:val="right" w:pos="9026" w:leader="dot"/>
            </w:tabs>
            <w:rPr/>
          </w:pPr>
          <w:hyperlink w:anchor="__RefHeading___Toc6974621_2142443653">
            <w:r>
              <w:rPr>
                <w:webHidden/>
                <w:rStyle w:val="IndexLink"/>
              </w:rPr>
              <w:t>5</w:t>
            </w:r>
            <w:r>
              <w:rPr>
                <w:rStyle w:val="IndexLink"/>
                <w:rtl w:val="true"/>
              </w:rPr>
              <w:t xml:space="preserve">) </w:t>
            </w:r>
            <w:r>
              <w:rPr>
                <w:rStyle w:val="IndexLink"/>
                <w:rtl w:val="true"/>
              </w:rPr>
              <w:t>الترجيح بمخالفة العامّة</w:t>
            </w:r>
            <w:r>
              <w:rPr>
                <w:rStyle w:val="IndexLink"/>
                <w:rtl w:val="true"/>
              </w:rPr>
              <w:t>:</w:t>
              <w:tab/>
            </w:r>
            <w:r>
              <w:rPr>
                <w:rStyle w:val="IndexLink"/>
              </w:rPr>
              <w:t>399</w:t>
            </w:r>
          </w:hyperlink>
        </w:p>
        <w:p>
          <w:pPr>
            <w:pStyle w:val="Contents5"/>
            <w:tabs>
              <w:tab w:val="clear" w:pos="7892"/>
              <w:tab w:val="right" w:pos="9026" w:leader="dot"/>
            </w:tabs>
            <w:rPr/>
          </w:pPr>
          <w:hyperlink w:anchor="__RefHeading___Toc6974623_2142443653">
            <w:r>
              <w:rPr>
                <w:webHidden/>
                <w:rStyle w:val="IndexLink"/>
                <w:rtl w:val="true"/>
              </w:rPr>
              <w:t>التعدّي من المرجّحات والمزايا المنصوصة</w:t>
            </w:r>
            <w:r>
              <w:rPr>
                <w:rStyle w:val="IndexLink"/>
                <w:rtl w:val="true"/>
              </w:rPr>
              <w:t>:</w:t>
              <w:tab/>
            </w:r>
            <w:r>
              <w:rPr>
                <w:rStyle w:val="IndexLink"/>
              </w:rPr>
              <w:t>399</w:t>
            </w:r>
          </w:hyperlink>
        </w:p>
        <w:p>
          <w:pPr>
            <w:pStyle w:val="Contents5"/>
            <w:tabs>
              <w:tab w:val="clear" w:pos="7892"/>
              <w:tab w:val="right" w:pos="9026" w:leader="dot"/>
            </w:tabs>
            <w:rPr/>
          </w:pPr>
          <w:hyperlink w:anchor="__RefHeading___Toc6974625_2142443653">
            <w:r>
              <w:rPr>
                <w:webHidden/>
                <w:rStyle w:val="IndexLink"/>
                <w:rtl w:val="true"/>
              </w:rPr>
              <w:t>أقسام المرجّحات المنصوصة</w:t>
            </w:r>
            <w:r>
              <w:rPr>
                <w:rStyle w:val="IndexLink"/>
                <w:rtl w:val="true"/>
              </w:rPr>
              <w:t>:</w:t>
              <w:tab/>
            </w:r>
            <w:r>
              <w:rPr>
                <w:rStyle w:val="IndexLink"/>
              </w:rPr>
              <w:t>403</w:t>
            </w:r>
          </w:hyperlink>
        </w:p>
        <w:p>
          <w:pPr>
            <w:pStyle w:val="Contents4"/>
            <w:tabs>
              <w:tab w:val="clear" w:pos="8176"/>
              <w:tab w:val="right" w:pos="9026" w:leader="dot"/>
            </w:tabs>
            <w:rPr/>
          </w:pPr>
          <w:hyperlink w:anchor="__RefHeading___Toc6974627_2142443653">
            <w:r>
              <w:rPr>
                <w:webHidden/>
                <w:rStyle w:val="IndexLink"/>
                <w:rtl w:val="true"/>
              </w:rPr>
              <w:t xml:space="preserve">فصل </w:t>
            </w:r>
            <w:r>
              <w:rPr>
                <w:rStyle w:val="IndexLink"/>
                <w:rtl w:val="true"/>
              </w:rPr>
              <w:t>:</w:t>
            </w:r>
            <w:r>
              <w:rPr>
                <w:rStyle w:val="IndexLink"/>
                <w:rtl w:val="true"/>
              </w:rPr>
              <w:t>في التعارض بين العامّين من وجه</w:t>
            </w:r>
            <w:r>
              <w:rPr>
                <w:rStyle w:val="IndexLink"/>
                <w:rtl w:val="true"/>
              </w:rPr>
              <w:t>:</w:t>
              <w:tab/>
            </w:r>
            <w:r>
              <w:rPr>
                <w:rStyle w:val="IndexLink"/>
              </w:rPr>
              <w:t>413</w:t>
            </w:r>
          </w:hyperlink>
        </w:p>
        <w:p>
          <w:pPr>
            <w:pStyle w:val="Contents5"/>
            <w:tabs>
              <w:tab w:val="clear" w:pos="7892"/>
              <w:tab w:val="right" w:pos="9026" w:leader="dot"/>
            </w:tabs>
            <w:rPr/>
          </w:pPr>
          <w:hyperlink w:anchor="__RefHeading___Toc6974629_2142443653">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974631_2142443653">
            <w:r>
              <w:rPr>
                <w:webHidden/>
                <w:rStyle w:val="IndexLink"/>
                <w:rtl w:val="true"/>
              </w:rPr>
              <w:t>في ترجيح أحد المتعارضين بالأصل</w:t>
            </w:r>
            <w:r>
              <w:rPr>
                <w:rStyle w:val="IndexLink"/>
                <w:rtl w:val="true"/>
              </w:rPr>
              <w:t>:</w:t>
              <w:tab/>
            </w:r>
            <w:r>
              <w:rPr>
                <w:rStyle w:val="IndexLink"/>
              </w:rPr>
              <w:t>416</w:t>
            </w:r>
          </w:hyperlink>
        </w:p>
        <w:p>
          <w:pPr>
            <w:pStyle w:val="Contents5"/>
            <w:tabs>
              <w:tab w:val="clear" w:pos="7892"/>
              <w:tab w:val="right" w:pos="9026" w:leader="dot"/>
            </w:tabs>
            <w:rPr/>
          </w:pPr>
          <w:hyperlink w:anchor="__RefHeading___Toc6974633_2142443653">
            <w:r>
              <w:rPr>
                <w:webHidden/>
                <w:rStyle w:val="IndexLink"/>
                <w:rtl w:val="true"/>
              </w:rPr>
              <w:t>وأمّا الترجيح بالظنون غير المعتبرة</w:t>
            </w:r>
            <w:r>
              <w:rPr>
                <w:rStyle w:val="IndexLink"/>
                <w:rtl w:val="true"/>
              </w:rPr>
              <w:t>:</w:t>
              <w:tab/>
            </w:r>
            <w:r>
              <w:rPr>
                <w:rStyle w:val="IndexLink"/>
              </w:rPr>
              <w:t>417</w:t>
            </w:r>
          </w:hyperlink>
        </w:p>
        <w:p>
          <w:pPr>
            <w:pStyle w:val="Contents2"/>
            <w:tabs>
              <w:tab w:val="clear" w:pos="8743"/>
              <w:tab w:val="right" w:pos="9026" w:leader="dot"/>
            </w:tabs>
            <w:rPr/>
          </w:pPr>
          <w:hyperlink w:anchor="__RefHeading___Toc6974635_2142443653">
            <w:r>
              <w:rPr>
                <w:webHidden/>
                <w:rStyle w:val="IndexLink"/>
                <w:rtl w:val="true"/>
              </w:rPr>
              <w:t>مبحث الاجتهاد والتقليدوفيه مقامان</w:t>
            </w:r>
            <w:r>
              <w:rPr>
                <w:rStyle w:val="IndexLink"/>
                <w:rtl w:val="true"/>
              </w:rPr>
              <w:t>:</w:t>
              <w:tab/>
            </w:r>
            <w:r>
              <w:rPr>
                <w:rStyle w:val="IndexLink"/>
              </w:rPr>
              <w:t>419</w:t>
            </w:r>
          </w:hyperlink>
        </w:p>
        <w:p>
          <w:pPr>
            <w:pStyle w:val="Contents3"/>
            <w:tabs>
              <w:tab w:val="clear" w:pos="8459"/>
              <w:tab w:val="right" w:pos="9026" w:leader="dot"/>
            </w:tabs>
            <w:rPr/>
          </w:pPr>
          <w:hyperlink w:anchor="__RefHeading___Toc6974637_2142443653">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6974639_2142443653">
            <w:r>
              <w:rPr>
                <w:webHidden/>
                <w:rStyle w:val="IndexLink"/>
                <w:rtl w:val="true"/>
              </w:rPr>
              <w:t>أمّا المقام الأوّل</w:t>
            </w:r>
            <w:r>
              <w:rPr>
                <w:rStyle w:val="IndexLink"/>
                <w:rtl w:val="true"/>
              </w:rPr>
              <w:t>:</w:t>
              <w:tab/>
            </w:r>
            <w:r>
              <w:rPr>
                <w:rStyle w:val="IndexLink"/>
              </w:rPr>
              <w:t>419</w:t>
            </w:r>
          </w:hyperlink>
        </w:p>
        <w:p>
          <w:pPr>
            <w:pStyle w:val="Contents4"/>
            <w:tabs>
              <w:tab w:val="clear" w:pos="8176"/>
              <w:tab w:val="right" w:pos="9026" w:leader="dot"/>
            </w:tabs>
            <w:rPr/>
          </w:pPr>
          <w:hyperlink w:anchor="__RefHeading___Toc6974641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6974643_2142443653">
            <w:r>
              <w:rPr>
                <w:webHidden/>
                <w:rStyle w:val="IndexLink"/>
                <w:rtl w:val="true"/>
              </w:rPr>
              <w:t xml:space="preserve">الأمر الأوّل </w:t>
            </w:r>
            <w:r>
              <w:rPr>
                <w:rStyle w:val="IndexLink"/>
                <w:rtl w:val="true"/>
              </w:rPr>
              <w:t>:</w:t>
            </w:r>
            <w:r>
              <w:rPr>
                <w:rStyle w:val="IndexLink"/>
                <w:rtl w:val="true"/>
              </w:rPr>
              <w:t>أنّه من المسائل الاُصوليّة أو الفقهيّة</w:t>
            </w:r>
            <w:r>
              <w:rPr>
                <w:rStyle w:val="IndexLink"/>
                <w:rtl w:val="true"/>
              </w:rPr>
              <w:t>:</w:t>
              <w:tab/>
            </w:r>
            <w:r>
              <w:rPr>
                <w:rStyle w:val="IndexLink"/>
              </w:rPr>
              <w:t>419</w:t>
            </w:r>
          </w:hyperlink>
        </w:p>
        <w:p>
          <w:pPr>
            <w:pStyle w:val="Contents4"/>
            <w:tabs>
              <w:tab w:val="clear" w:pos="8176"/>
              <w:tab w:val="right" w:pos="9026" w:leader="dot"/>
            </w:tabs>
            <w:rPr/>
          </w:pPr>
          <w:hyperlink w:anchor="__RefHeading___Toc6974645_2142443653">
            <w:r>
              <w:rPr>
                <w:webHidden/>
                <w:rStyle w:val="IndexLink"/>
                <w:rtl w:val="true"/>
              </w:rPr>
              <w:t xml:space="preserve">الأمر الثاني </w:t>
            </w:r>
            <w:r>
              <w:rPr>
                <w:rStyle w:val="IndexLink"/>
                <w:rtl w:val="true"/>
              </w:rPr>
              <w:t>:</w:t>
            </w:r>
            <w:r>
              <w:rPr>
                <w:rStyle w:val="IndexLink"/>
                <w:rtl w:val="true"/>
              </w:rPr>
              <w:t>تعريف الاجتهاد لغةً واصطلاحاً</w:t>
            </w:r>
            <w:r>
              <w:rPr>
                <w:rStyle w:val="IndexLink"/>
                <w:rtl w:val="true"/>
              </w:rPr>
              <w:t>:</w:t>
              <w:tab/>
            </w:r>
            <w:r>
              <w:rPr>
                <w:rStyle w:val="IndexLink"/>
              </w:rPr>
              <w:t>420</w:t>
            </w:r>
          </w:hyperlink>
        </w:p>
        <w:p>
          <w:pPr>
            <w:pStyle w:val="Contents5"/>
            <w:tabs>
              <w:tab w:val="clear" w:pos="7892"/>
              <w:tab w:val="right" w:pos="9026" w:leader="dot"/>
            </w:tabs>
            <w:rPr/>
          </w:pPr>
          <w:hyperlink w:anchor="__RefHeading___Toc6974647_2142443653">
            <w:r>
              <w:rPr>
                <w:webHidden/>
                <w:rStyle w:val="IndexLink"/>
                <w:rtl w:val="true"/>
              </w:rPr>
              <w:t>أمّا لغةً</w:t>
            </w:r>
            <w:r>
              <w:rPr>
                <w:rStyle w:val="IndexLink"/>
                <w:rtl w:val="true"/>
              </w:rPr>
              <w:t>:</w:t>
              <w:tab/>
            </w:r>
            <w:r>
              <w:rPr>
                <w:rStyle w:val="IndexLink"/>
              </w:rPr>
              <w:t>420</w:t>
            </w:r>
          </w:hyperlink>
        </w:p>
        <w:p>
          <w:pPr>
            <w:pStyle w:val="Contents5"/>
            <w:tabs>
              <w:tab w:val="clear" w:pos="7892"/>
              <w:tab w:val="right" w:pos="9026" w:leader="dot"/>
            </w:tabs>
            <w:rPr/>
          </w:pPr>
          <w:hyperlink w:anchor="__RefHeading___Toc6974649_2142443653">
            <w:r>
              <w:rPr>
                <w:webHidden/>
                <w:rStyle w:val="IndexLink"/>
                <w:rtl w:val="true"/>
              </w:rPr>
              <w:t>وأمّا اصطلاحاً</w:t>
            </w:r>
            <w:r>
              <w:rPr>
                <w:rStyle w:val="IndexLink"/>
                <w:rtl w:val="true"/>
              </w:rPr>
              <w:t>:</w:t>
              <w:tab/>
            </w:r>
            <w:r>
              <w:rPr>
                <w:rStyle w:val="IndexLink"/>
              </w:rPr>
              <w:t>420</w:t>
            </w:r>
          </w:hyperlink>
        </w:p>
        <w:p>
          <w:pPr>
            <w:pStyle w:val="Contents4"/>
            <w:tabs>
              <w:tab w:val="clear" w:pos="8176"/>
              <w:tab w:val="right" w:pos="9026" w:leader="dot"/>
            </w:tabs>
            <w:rPr/>
          </w:pPr>
          <w:hyperlink w:anchor="__RefHeading___Toc6974651_2142443653">
            <w:r>
              <w:rPr>
                <w:webHidden/>
                <w:rStyle w:val="IndexLink"/>
                <w:rtl w:val="true"/>
              </w:rPr>
              <w:t xml:space="preserve">الأمر الثالث </w:t>
            </w:r>
            <w:r>
              <w:rPr>
                <w:rStyle w:val="IndexLink"/>
                <w:rtl w:val="true"/>
              </w:rPr>
              <w:t>:</w:t>
            </w:r>
            <w:r>
              <w:rPr>
                <w:rStyle w:val="IndexLink"/>
                <w:rtl w:val="true"/>
              </w:rPr>
              <w:t>في مبادئ الاجتهاد</w:t>
            </w:r>
            <w:r>
              <w:rPr>
                <w:rStyle w:val="IndexLink"/>
                <w:rtl w:val="true"/>
              </w:rPr>
              <w:t>:</w:t>
              <w:tab/>
            </w:r>
            <w:r>
              <w:rPr>
                <w:rStyle w:val="IndexLink"/>
              </w:rPr>
              <w:t>422</w:t>
            </w:r>
          </w:hyperlink>
        </w:p>
        <w:p>
          <w:pPr>
            <w:pStyle w:val="Contents4"/>
            <w:tabs>
              <w:tab w:val="clear" w:pos="8176"/>
              <w:tab w:val="right" w:pos="9026" w:leader="dot"/>
            </w:tabs>
            <w:rPr/>
          </w:pPr>
          <w:hyperlink w:anchor="__RefHeading___Toc6974653_2142443653">
            <w:r>
              <w:rPr>
                <w:webHidden/>
                <w:rStyle w:val="IndexLink"/>
                <w:rtl w:val="true"/>
              </w:rPr>
              <w:t xml:space="preserve">الأمر الرابع </w:t>
            </w:r>
            <w:r>
              <w:rPr>
                <w:rStyle w:val="IndexLink"/>
                <w:rtl w:val="true"/>
              </w:rPr>
              <w:t>:</w:t>
            </w:r>
            <w:r>
              <w:rPr>
                <w:rStyle w:val="IndexLink"/>
                <w:rtl w:val="true"/>
              </w:rPr>
              <w:t>التجزّي في الاجتهاد</w:t>
            </w:r>
            <w:r>
              <w:rPr>
                <w:rStyle w:val="IndexLink"/>
                <w:rtl w:val="true"/>
              </w:rPr>
              <w:t>:</w:t>
              <w:tab/>
            </w:r>
            <w:r>
              <w:rPr>
                <w:rStyle w:val="IndexLink"/>
              </w:rPr>
              <w:t>431</w:t>
            </w:r>
          </w:hyperlink>
        </w:p>
        <w:p>
          <w:pPr>
            <w:pStyle w:val="Contents4"/>
            <w:tabs>
              <w:tab w:val="clear" w:pos="8176"/>
              <w:tab w:val="right" w:pos="9026" w:leader="dot"/>
            </w:tabs>
            <w:rPr/>
          </w:pPr>
          <w:hyperlink w:anchor="__RefHeading___Toc6974655_2142443653">
            <w:r>
              <w:rPr>
                <w:webHidden/>
                <w:rStyle w:val="IndexLink"/>
                <w:rtl w:val="true"/>
              </w:rPr>
              <w:t xml:space="preserve">الأمر الخامس </w:t>
            </w:r>
            <w:r>
              <w:rPr>
                <w:rStyle w:val="IndexLink"/>
                <w:rtl w:val="true"/>
              </w:rPr>
              <w:t>:</w:t>
            </w:r>
            <w:r>
              <w:rPr>
                <w:rStyle w:val="IndexLink"/>
                <w:rtl w:val="true"/>
              </w:rPr>
              <w:t>التخطئة والتصويب</w:t>
            </w:r>
            <w:r>
              <w:rPr>
                <w:rStyle w:val="IndexLink"/>
                <w:rtl w:val="true"/>
              </w:rPr>
              <w:t>:</w:t>
              <w:tab/>
            </w:r>
            <w:r>
              <w:rPr>
                <w:rStyle w:val="IndexLink"/>
              </w:rPr>
              <w:t>442</w:t>
            </w:r>
          </w:hyperlink>
        </w:p>
        <w:p>
          <w:pPr>
            <w:pStyle w:val="Contents4"/>
            <w:tabs>
              <w:tab w:val="clear" w:pos="8176"/>
              <w:tab w:val="right" w:pos="9026" w:leader="dot"/>
            </w:tabs>
            <w:rPr/>
          </w:pPr>
          <w:hyperlink w:anchor="__RefHeading___Toc6974657_2142443653">
            <w:r>
              <w:rPr>
                <w:webHidden/>
                <w:rStyle w:val="IndexLink"/>
                <w:rtl w:val="true"/>
              </w:rPr>
              <w:t xml:space="preserve">الأمر السادس </w:t>
            </w:r>
            <w:r>
              <w:rPr>
                <w:rStyle w:val="IndexLink"/>
                <w:rtl w:val="true"/>
              </w:rPr>
              <w:t>:</w:t>
            </w:r>
            <w:r>
              <w:rPr>
                <w:rStyle w:val="IndexLink"/>
                <w:rtl w:val="true"/>
              </w:rPr>
              <w:t>في الإجزاء بعد تبدّل الرأي</w:t>
            </w:r>
            <w:r>
              <w:rPr>
                <w:rStyle w:val="IndexLink"/>
                <w:rtl w:val="true"/>
              </w:rPr>
              <w:t>:</w:t>
              <w:tab/>
            </w:r>
            <w:r>
              <w:rPr>
                <w:rStyle w:val="IndexLink"/>
              </w:rPr>
              <w:t>444</w:t>
            </w:r>
          </w:hyperlink>
        </w:p>
        <w:p>
          <w:pPr>
            <w:pStyle w:val="Contents3"/>
            <w:tabs>
              <w:tab w:val="clear" w:pos="8459"/>
              <w:tab w:val="right" w:pos="9026" w:leader="dot"/>
            </w:tabs>
            <w:rPr/>
          </w:pPr>
          <w:hyperlink w:anchor="__RefHeading___Toc6974659_2142443653">
            <w:r>
              <w:rPr>
                <w:webHidden/>
                <w:rStyle w:val="IndexLink"/>
                <w:rtl w:val="true"/>
              </w:rPr>
              <w:t>وأمّا المقام الثاني</w:t>
            </w:r>
            <w:r>
              <w:rPr>
                <w:rStyle w:val="IndexLink"/>
                <w:rtl w:val="true"/>
              </w:rPr>
              <w:t>:</w:t>
              <w:tab/>
            </w:r>
            <w:r>
              <w:rPr>
                <w:rStyle w:val="IndexLink"/>
              </w:rPr>
              <w:t>452</w:t>
            </w:r>
          </w:hyperlink>
        </w:p>
        <w:p>
          <w:pPr>
            <w:pStyle w:val="Contents4"/>
            <w:tabs>
              <w:tab w:val="clear" w:pos="8176"/>
              <w:tab w:val="right" w:pos="9026" w:leader="dot"/>
            </w:tabs>
            <w:rPr/>
          </w:pPr>
          <w:hyperlink w:anchor="__RefHeading___Toc6974661_2142443653">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6974663_2142443653">
            <w:r>
              <w:rPr>
                <w:webHidden/>
                <w:rStyle w:val="IndexLink"/>
                <w:rtl w:val="true"/>
              </w:rPr>
              <w:t>حجّيّة التقليد وجوازه</w:t>
            </w:r>
            <w:r>
              <w:rPr>
                <w:rStyle w:val="IndexLink"/>
                <w:rtl w:val="true"/>
              </w:rPr>
              <w:t>:</w:t>
              <w:tab/>
            </w:r>
            <w:r>
              <w:rPr>
                <w:rStyle w:val="IndexLink"/>
              </w:rPr>
              <w:t>459</w:t>
            </w:r>
          </w:hyperlink>
        </w:p>
        <w:p>
          <w:pPr>
            <w:pStyle w:val="Contents4"/>
            <w:tabs>
              <w:tab w:val="clear" w:pos="8176"/>
              <w:tab w:val="right" w:pos="9026" w:leader="dot"/>
            </w:tabs>
            <w:rPr/>
          </w:pPr>
          <w:hyperlink w:anchor="__RefHeading___Toc6974665_2142443653">
            <w:r>
              <w:rPr>
                <w:webHidden/>
                <w:rStyle w:val="IndexLink"/>
                <w:rtl w:val="true"/>
              </w:rPr>
              <w:t>أمّا الآيات</w:t>
            </w:r>
            <w:r>
              <w:rPr>
                <w:rStyle w:val="IndexLink"/>
                <w:rtl w:val="true"/>
              </w:rPr>
              <w:t>:</w:t>
              <w:tab/>
            </w:r>
            <w:r>
              <w:rPr>
                <w:rStyle w:val="IndexLink"/>
              </w:rPr>
              <w:t>459</w:t>
            </w:r>
          </w:hyperlink>
        </w:p>
        <w:p>
          <w:pPr>
            <w:pStyle w:val="Contents4"/>
            <w:tabs>
              <w:tab w:val="clear" w:pos="8176"/>
              <w:tab w:val="right" w:pos="9026" w:leader="dot"/>
            </w:tabs>
            <w:rPr/>
          </w:pPr>
          <w:hyperlink w:anchor="__RefHeading___Toc6974667_2142443653">
            <w:r>
              <w:rPr>
                <w:webHidden/>
                <w:rStyle w:val="IndexLink"/>
                <w:rtl w:val="true"/>
              </w:rPr>
              <w:t xml:space="preserve">مسألة </w:t>
            </w:r>
            <w:r>
              <w:rPr>
                <w:rStyle w:val="IndexLink"/>
                <w:rtl w:val="true"/>
              </w:rPr>
              <w:t>:</w:t>
            </w:r>
            <w:r>
              <w:rPr>
                <w:rStyle w:val="IndexLink"/>
                <w:rtl w:val="true"/>
              </w:rPr>
              <w:t>هل يجوز تقليد الميّت ابتداءً؟</w:t>
            </w:r>
            <w:r>
              <w:rPr>
                <w:rStyle w:val="IndexLink"/>
                <w:rtl w:val="true"/>
              </w:rPr>
              <w:tab/>
            </w:r>
            <w:r>
              <w:rPr>
                <w:rStyle w:val="IndexLink"/>
              </w:rPr>
              <w:t>461</w:t>
            </w:r>
          </w:hyperlink>
        </w:p>
        <w:p>
          <w:pPr>
            <w:pStyle w:val="Contents4"/>
            <w:tabs>
              <w:tab w:val="clear" w:pos="8176"/>
              <w:tab w:val="right" w:pos="9026" w:leader="dot"/>
            </w:tabs>
            <w:rPr/>
          </w:pPr>
          <w:hyperlink w:anchor="__RefHeading___Toc6974669_2142443653">
            <w:r>
              <w:rPr>
                <w:webHidden/>
                <w:rStyle w:val="IndexLink"/>
                <w:rtl w:val="true"/>
              </w:rPr>
              <w:t xml:space="preserve">مسألة </w:t>
            </w:r>
            <w:r>
              <w:rPr>
                <w:rStyle w:val="IndexLink"/>
                <w:rtl w:val="true"/>
              </w:rPr>
              <w:t>:</w:t>
            </w:r>
            <w:r>
              <w:rPr>
                <w:rStyle w:val="IndexLink"/>
                <w:rtl w:val="true"/>
              </w:rPr>
              <w:t>البقاء على تقليد الميت</w:t>
            </w:r>
            <w:r>
              <w:rPr>
                <w:rStyle w:val="IndexLink"/>
                <w:rtl w:val="true"/>
              </w:rPr>
              <w:t>:</w:t>
              <w:tab/>
            </w:r>
            <w:r>
              <w:rPr>
                <w:rStyle w:val="IndexLink"/>
              </w:rPr>
              <w:t>472</w:t>
            </w:r>
          </w:hyperlink>
        </w:p>
        <w:p>
          <w:pPr>
            <w:pStyle w:val="Contents4"/>
            <w:tabs>
              <w:tab w:val="clear" w:pos="8176"/>
              <w:tab w:val="right" w:pos="9026" w:leader="dot"/>
            </w:tabs>
            <w:rPr/>
          </w:pPr>
          <w:hyperlink w:anchor="__RefHeading___Toc6974671_2142443653">
            <w:r>
              <w:rPr>
                <w:webHidden/>
                <w:rStyle w:val="IndexLink"/>
                <w:rtl w:val="true"/>
              </w:rPr>
              <w:t>مسألة</w:t>
            </w:r>
            <w:r>
              <w:rPr>
                <w:rStyle w:val="IndexLink"/>
                <w:rtl w:val="true"/>
              </w:rPr>
              <w:t>:</w:t>
              <w:tab/>
            </w:r>
            <w:r>
              <w:rPr>
                <w:rStyle w:val="IndexLink"/>
              </w:rPr>
              <w:t>478</w:t>
            </w:r>
          </w:hyperlink>
        </w:p>
        <w:p>
          <w:pPr>
            <w:pStyle w:val="Contents4"/>
            <w:tabs>
              <w:tab w:val="clear" w:pos="8176"/>
              <w:tab w:val="right" w:pos="9026" w:leader="dot"/>
            </w:tabs>
            <w:rPr/>
          </w:pPr>
          <w:hyperlink w:anchor="__RefHeading___Toc6974673_2142443653">
            <w:r>
              <w:rPr>
                <w:webHidden/>
                <w:rStyle w:val="IndexLink"/>
                <w:rtl w:val="true"/>
              </w:rPr>
              <w:t>العدول من الحيّ إلى الحيّ</w:t>
            </w:r>
            <w:r>
              <w:rPr>
                <w:rStyle w:val="IndexLink"/>
                <w:rtl w:val="true"/>
              </w:rPr>
              <w:t>:</w:t>
              <w:tab/>
            </w:r>
            <w:r>
              <w:rPr>
                <w:rStyle w:val="IndexLink"/>
              </w:rPr>
              <w:t>479</w:t>
            </w:r>
          </w:hyperlink>
        </w:p>
        <w:p>
          <w:pPr>
            <w:pStyle w:val="Contents4"/>
            <w:tabs>
              <w:tab w:val="clear" w:pos="8176"/>
              <w:tab w:val="right" w:pos="9026" w:leader="dot"/>
            </w:tabs>
            <w:rPr/>
          </w:pPr>
          <w:hyperlink w:anchor="__RefHeading___Toc6974675_2142443653">
            <w:r>
              <w:rPr>
                <w:webHidden/>
                <w:rStyle w:val="IndexLink"/>
                <w:rtl w:val="true"/>
              </w:rPr>
              <w:t xml:space="preserve">فصل </w:t>
            </w:r>
            <w:r>
              <w:rPr>
                <w:rStyle w:val="IndexLink"/>
                <w:rtl w:val="true"/>
              </w:rPr>
              <w:t>:</w:t>
            </w:r>
            <w:r>
              <w:rPr>
                <w:rStyle w:val="IndexLink"/>
                <w:rtl w:val="true"/>
              </w:rPr>
              <w:t>في لزوم تقليد الأعلم</w:t>
            </w:r>
            <w:r>
              <w:rPr>
                <w:rStyle w:val="IndexLink"/>
                <w:rtl w:val="true"/>
              </w:rPr>
              <w:tab/>
            </w:r>
            <w:r>
              <w:rPr>
                <w:rStyle w:val="IndexLink"/>
              </w:rPr>
              <w:t>481</w:t>
            </w:r>
          </w:hyperlink>
        </w:p>
        <w:p>
          <w:pPr>
            <w:pStyle w:val="Contents4"/>
            <w:tabs>
              <w:tab w:val="clear" w:pos="8176"/>
              <w:tab w:val="right" w:pos="9026" w:leader="dot"/>
            </w:tabs>
            <w:rPr/>
          </w:pPr>
          <w:hyperlink w:anchor="__RefHeading___Toc6974677_2142443653">
            <w:r>
              <w:rPr>
                <w:webHidden/>
                <w:rStyle w:val="IndexLink"/>
                <w:rtl w:val="true"/>
              </w:rPr>
              <w:t>التخيير عند تساوي المجتهدين</w:t>
            </w:r>
            <w:r>
              <w:rPr>
                <w:rStyle w:val="IndexLink"/>
                <w:rtl w:val="true"/>
              </w:rPr>
              <w:t>:</w:t>
              <w:tab/>
            </w:r>
            <w:r>
              <w:rPr>
                <w:rStyle w:val="IndexLink"/>
              </w:rPr>
              <w:t>493</w:t>
            </w:r>
          </w:hyperlink>
        </w:p>
        <w:p>
          <w:pPr>
            <w:pStyle w:val="Contents4"/>
            <w:tabs>
              <w:tab w:val="clear" w:pos="8176"/>
              <w:tab w:val="right" w:pos="9026" w:leader="dot"/>
            </w:tabs>
            <w:rPr/>
          </w:pPr>
          <w:hyperlink w:anchor="__RefHeading___Toc6974679_2142443653">
            <w:r>
              <w:rPr>
                <w:webHidden/>
                <w:rStyle w:val="IndexLink"/>
                <w:rtl w:val="true"/>
              </w:rPr>
              <w:t>حكم عمل الجاهل المقصّر والقاصر</w:t>
            </w:r>
            <w:r>
              <w:rPr>
                <w:rStyle w:val="IndexLink"/>
                <w:rtl w:val="true"/>
              </w:rPr>
              <w:t>:</w:t>
              <w:tab/>
            </w:r>
            <w:r>
              <w:rPr>
                <w:rStyle w:val="IndexLink"/>
              </w:rPr>
              <w:t>497</w:t>
            </w:r>
          </w:hyperlink>
        </w:p>
        <w:p>
          <w:pPr>
            <w:pStyle w:val="Contents4"/>
            <w:tabs>
              <w:tab w:val="clear" w:pos="8176"/>
              <w:tab w:val="right" w:pos="9026" w:leader="dot"/>
            </w:tabs>
            <w:rPr/>
          </w:pPr>
          <w:hyperlink w:anchor="__RefHeading___Toc6974681_2142443653">
            <w:r>
              <w:rPr>
                <w:webHidden/>
                <w:rStyle w:val="IndexLink"/>
                <w:rtl w:val="true"/>
              </w:rPr>
              <w:t>وأمّا المقام الثاني</w:t>
            </w:r>
            <w:r>
              <w:rPr>
                <w:rStyle w:val="IndexLink"/>
                <w:rtl w:val="true"/>
              </w:rPr>
              <w:t>:</w:t>
              <w:tab/>
            </w:r>
            <w:r>
              <w:rPr>
                <w:rStyle w:val="IndexLink"/>
              </w:rPr>
              <w:t>499</w:t>
            </w:r>
          </w:hyperlink>
        </w:p>
        <w:p>
          <w:pPr>
            <w:pStyle w:val="Contents4"/>
            <w:tabs>
              <w:tab w:val="clear" w:pos="8176"/>
              <w:tab w:val="right" w:pos="9026" w:leader="dot"/>
            </w:tabs>
            <w:rPr/>
          </w:pPr>
          <w:hyperlink w:anchor="__RefHeading___Toc6974683_2142443653">
            <w:r>
              <w:rPr>
                <w:webHidden/>
                <w:rStyle w:val="IndexLink"/>
                <w:rtl w:val="true"/>
              </w:rPr>
              <w:t>ما هو المراد من الأعلم</w:t>
            </w:r>
            <w:r>
              <w:rPr>
                <w:rStyle w:val="IndexLink"/>
                <w:rtl w:val="true"/>
              </w:rPr>
              <w:t>:</w:t>
              <w:tab/>
            </w:r>
            <w:r>
              <w:rPr>
                <w:rStyle w:val="IndexLink"/>
              </w:rPr>
              <w:t>500</w:t>
            </w:r>
          </w:hyperlink>
        </w:p>
        <w:p>
          <w:pPr>
            <w:pStyle w:val="Contents5"/>
            <w:tabs>
              <w:tab w:val="clear" w:pos="7892"/>
              <w:tab w:val="right" w:pos="9026" w:leader="dot"/>
            </w:tabs>
            <w:rPr/>
          </w:pPr>
          <w:hyperlink w:anchor="__RefHeading___Toc6974685_2142443653">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6974687_2142443653">
            <w:r>
              <w:rPr>
                <w:webHidden/>
                <w:rStyle w:val="IndexLink"/>
                <w:rtl w:val="true"/>
              </w:rPr>
              <w:t>أمّا الجهة الأُولى</w:t>
            </w:r>
            <w:r>
              <w:rPr>
                <w:rStyle w:val="IndexLink"/>
                <w:rtl w:val="true"/>
              </w:rPr>
              <w:t>:</w:t>
              <w:tab/>
            </w:r>
            <w:r>
              <w:rPr>
                <w:rStyle w:val="IndexLink"/>
              </w:rPr>
              <w:t>500</w:t>
            </w:r>
          </w:hyperlink>
        </w:p>
        <w:p>
          <w:pPr>
            <w:pStyle w:val="Contents5"/>
            <w:tabs>
              <w:tab w:val="clear" w:pos="7892"/>
              <w:tab w:val="right" w:pos="9026" w:leader="dot"/>
            </w:tabs>
            <w:rPr/>
          </w:pPr>
          <w:hyperlink w:anchor="__RefHeading___Toc6974689_2142443653">
            <w:r>
              <w:rPr>
                <w:webHidden/>
                <w:rStyle w:val="IndexLink"/>
                <w:rtl w:val="true"/>
              </w:rPr>
              <w:t>وأمّا الجهة الثانية</w:t>
            </w:r>
            <w:r>
              <w:rPr>
                <w:rStyle w:val="IndexLink"/>
                <w:rtl w:val="true"/>
              </w:rPr>
              <w:t>:</w:t>
              <w:tab/>
            </w:r>
            <w:r>
              <w:rPr>
                <w:rStyle w:val="IndexLink"/>
              </w:rPr>
              <w:t>501</w:t>
            </w:r>
          </w:hyperlink>
        </w:p>
        <w:p>
          <w:pPr>
            <w:pStyle w:val="Contents4"/>
            <w:tabs>
              <w:tab w:val="clear" w:pos="8176"/>
              <w:tab w:val="right" w:pos="9026" w:leader="dot"/>
            </w:tabs>
            <w:rPr/>
          </w:pPr>
          <w:hyperlink w:anchor="__RefHeading___Toc6974691_2142443653">
            <w:r>
              <w:rPr>
                <w:webHidden/>
                <w:rStyle w:val="IndexLink"/>
                <w:rtl w:val="true"/>
              </w:rPr>
              <w:t>طرق معرفة الاجتهاد والأعلميّة</w:t>
            </w:r>
            <w:r>
              <w:rPr>
                <w:rStyle w:val="IndexLink"/>
                <w:rtl w:val="true"/>
              </w:rPr>
              <w:t>:</w:t>
              <w:tab/>
            </w:r>
            <w:r>
              <w:rPr>
                <w:rStyle w:val="IndexLink"/>
              </w:rPr>
              <w:t>502</w:t>
            </w:r>
          </w:hyperlink>
        </w:p>
        <w:p>
          <w:pPr>
            <w:pStyle w:val="Contents5"/>
            <w:tabs>
              <w:tab w:val="clear" w:pos="7892"/>
              <w:tab w:val="right" w:pos="9026" w:leader="dot"/>
            </w:tabs>
            <w:rPr/>
          </w:pPr>
          <w:hyperlink w:anchor="__RefHeading___Toc6974693_2142443653">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6974695_2142443653">
            <w:r>
              <w:rPr>
                <w:webHidden/>
                <w:rStyle w:val="IndexLink"/>
                <w:rtl w:val="true"/>
              </w:rPr>
              <w:t>الأوّل</w:t>
            </w:r>
            <w:r>
              <w:rPr>
                <w:rStyle w:val="IndexLink"/>
                <w:rtl w:val="true"/>
              </w:rPr>
              <w:t xml:space="preserve">: </w:t>
            </w:r>
            <w:r>
              <w:rPr>
                <w:rStyle w:val="IndexLink"/>
                <w:rtl w:val="true"/>
              </w:rPr>
              <w:t>العلم الوجدانيّ</w:t>
            </w:r>
            <w:r>
              <w:rPr>
                <w:rStyle w:val="IndexLink"/>
                <w:rtl w:val="true"/>
              </w:rPr>
              <w:t>:</w:t>
              <w:tab/>
            </w:r>
            <w:r>
              <w:rPr>
                <w:rStyle w:val="IndexLink"/>
              </w:rPr>
              <w:t>502</w:t>
            </w:r>
          </w:hyperlink>
        </w:p>
        <w:p>
          <w:pPr>
            <w:pStyle w:val="Contents5"/>
            <w:tabs>
              <w:tab w:val="clear" w:pos="7892"/>
              <w:tab w:val="right" w:pos="9026" w:leader="dot"/>
            </w:tabs>
            <w:rPr/>
          </w:pPr>
          <w:hyperlink w:anchor="__RefHeading___Toc6974697_2142443653">
            <w:r>
              <w:rPr>
                <w:webHidden/>
                <w:rStyle w:val="IndexLink"/>
                <w:rtl w:val="true"/>
              </w:rPr>
              <w:t>الثاني</w:t>
            </w:r>
            <w:r>
              <w:rPr>
                <w:rStyle w:val="IndexLink"/>
                <w:rtl w:val="true"/>
              </w:rPr>
              <w:t xml:space="preserve">: </w:t>
            </w:r>
            <w:r>
              <w:rPr>
                <w:rStyle w:val="IndexLink"/>
                <w:rtl w:val="true"/>
              </w:rPr>
              <w:t>البيّنة</w:t>
            </w:r>
            <w:r>
              <w:rPr>
                <w:rStyle w:val="IndexLink"/>
                <w:rtl w:val="true"/>
              </w:rPr>
              <w:t>.</w:t>
              <w:tab/>
            </w:r>
            <w:r>
              <w:rPr>
                <w:rStyle w:val="IndexLink"/>
              </w:rPr>
              <w:t>502</w:t>
            </w:r>
          </w:hyperlink>
        </w:p>
        <w:p>
          <w:pPr>
            <w:pStyle w:val="Contents5"/>
            <w:tabs>
              <w:tab w:val="clear" w:pos="7892"/>
              <w:tab w:val="right" w:pos="9026" w:leader="dot"/>
            </w:tabs>
            <w:rPr/>
          </w:pPr>
          <w:hyperlink w:anchor="__RefHeading___Toc6974699_2142443653">
            <w:r>
              <w:rPr>
                <w:webHidden/>
                <w:rStyle w:val="IndexLink"/>
                <w:rtl w:val="true"/>
              </w:rPr>
              <w:t>والثالث</w:t>
            </w:r>
            <w:r>
              <w:rPr>
                <w:rStyle w:val="IndexLink"/>
                <w:rtl w:val="true"/>
              </w:rPr>
              <w:t xml:space="preserve">: </w:t>
            </w:r>
            <w:r>
              <w:rPr>
                <w:rStyle w:val="IndexLink"/>
                <w:rtl w:val="true"/>
              </w:rPr>
              <w:t>الشياع المفيد للعلم</w:t>
            </w:r>
            <w:r>
              <w:rPr>
                <w:rStyle w:val="IndexLink"/>
                <w:rtl w:val="true"/>
              </w:rPr>
              <w:t>:</w:t>
              <w:tab/>
            </w:r>
            <w:r>
              <w:rPr>
                <w:rStyle w:val="IndexLink"/>
              </w:rPr>
              <w:t>506</w:t>
            </w:r>
          </w:hyperlink>
        </w:p>
        <w:p>
          <w:pPr>
            <w:pStyle w:val="Contents6"/>
            <w:tabs>
              <w:tab w:val="clear" w:pos="7609"/>
              <w:tab w:val="right" w:pos="9026" w:leader="dot"/>
            </w:tabs>
            <w:rPr/>
          </w:pPr>
          <w:hyperlink w:anchor="__RefHeading___Toc6974701_2142443653">
            <w:r>
              <w:rPr>
                <w:webHidden/>
                <w:rStyle w:val="IndexLink"/>
                <w:rtl w:val="true"/>
              </w:rPr>
              <w:t>اشارة</w:t>
            </w:r>
            <w:r>
              <w:rPr>
                <w:rStyle w:val="IndexLink"/>
                <w:rtl w:val="true"/>
              </w:rPr>
              <w:tab/>
            </w:r>
            <w:r>
              <w:rPr>
                <w:rStyle w:val="IndexLink"/>
              </w:rPr>
              <w:t>506</w:t>
            </w:r>
          </w:hyperlink>
        </w:p>
        <w:p>
          <w:pPr>
            <w:pStyle w:val="Contents6"/>
            <w:tabs>
              <w:tab w:val="clear" w:pos="7609"/>
              <w:tab w:val="right" w:pos="9026" w:leader="dot"/>
            </w:tabs>
            <w:rPr/>
          </w:pPr>
          <w:hyperlink w:anchor="__RefHeading___Toc6974703_2142443653">
            <w:r>
              <w:rPr>
                <w:webHidden/>
                <w:rStyle w:val="IndexLink"/>
                <w:rtl w:val="true"/>
              </w:rPr>
              <w:t>وجوب التعلّم</w:t>
            </w:r>
            <w:r>
              <w:rPr>
                <w:rStyle w:val="IndexLink"/>
                <w:rtl w:val="true"/>
              </w:rPr>
              <w:tab/>
            </w:r>
            <w:r>
              <w:rPr>
                <w:rStyle w:val="IndexLink"/>
              </w:rPr>
              <w:t>507</w:t>
            </w:r>
          </w:hyperlink>
        </w:p>
        <w:p>
          <w:pPr>
            <w:pStyle w:val="Contents6"/>
            <w:tabs>
              <w:tab w:val="clear" w:pos="7609"/>
              <w:tab w:val="right" w:pos="9026" w:leader="dot"/>
            </w:tabs>
            <w:rPr/>
          </w:pPr>
          <w:hyperlink w:anchor="__RefHeading___Toc6974705_2142443653">
            <w:r>
              <w:rPr>
                <w:webHidden/>
                <w:rStyle w:val="IndexLink"/>
                <w:rtl w:val="true"/>
              </w:rPr>
              <w:t>طرق تعلّم الفتوى</w:t>
            </w:r>
            <w:r>
              <w:rPr>
                <w:rStyle w:val="IndexLink"/>
                <w:rtl w:val="true"/>
              </w:rPr>
              <w:t>:</w:t>
              <w:tab/>
            </w:r>
            <w:r>
              <w:rPr>
                <w:rStyle w:val="IndexLink"/>
              </w:rPr>
              <w:t>514</w:t>
            </w:r>
          </w:hyperlink>
        </w:p>
        <w:p>
          <w:pPr>
            <w:pStyle w:val="Contents6"/>
            <w:tabs>
              <w:tab w:val="clear" w:pos="7609"/>
              <w:tab w:val="right" w:pos="9026" w:leader="dot"/>
            </w:tabs>
            <w:rPr/>
          </w:pPr>
          <w:hyperlink w:anchor="__RefHeading___Toc6974707_2142443653">
            <w:r>
              <w:rPr>
                <w:webHidden/>
                <w:rStyle w:val="IndexLink"/>
                <w:rtl w:val="true"/>
              </w:rPr>
              <w:t>أمّا الأمر الأوّل</w:t>
            </w:r>
            <w:r>
              <w:rPr>
                <w:rStyle w:val="IndexLink"/>
                <w:rtl w:val="true"/>
              </w:rPr>
              <w:t>:</w:t>
              <w:tab/>
            </w:r>
            <w:r>
              <w:rPr>
                <w:rStyle w:val="IndexLink"/>
              </w:rPr>
              <w:t>524</w:t>
            </w:r>
          </w:hyperlink>
        </w:p>
        <w:p>
          <w:pPr>
            <w:pStyle w:val="Contents6"/>
            <w:tabs>
              <w:tab w:val="clear" w:pos="7609"/>
              <w:tab w:val="right" w:pos="9026" w:leader="dot"/>
            </w:tabs>
            <w:rPr/>
          </w:pPr>
          <w:hyperlink w:anchor="__RefHeading___Toc6974709_2142443653">
            <w:r>
              <w:rPr>
                <w:webHidden/>
                <w:rStyle w:val="IndexLink"/>
                <w:rtl w:val="true"/>
              </w:rPr>
              <w:t>وأمّا الأمر الثاني</w:t>
            </w:r>
            <w:r>
              <w:rPr>
                <w:rStyle w:val="IndexLink"/>
                <w:rtl w:val="true"/>
              </w:rPr>
              <w:t>:</w:t>
              <w:tab/>
            </w:r>
            <w:r>
              <w:rPr>
                <w:rStyle w:val="IndexLink"/>
              </w:rPr>
              <w:t>525</w:t>
            </w:r>
          </w:hyperlink>
        </w:p>
        <w:p>
          <w:pPr>
            <w:pStyle w:val="Contents6"/>
            <w:tabs>
              <w:tab w:val="clear" w:pos="7609"/>
              <w:tab w:val="right" w:pos="9026" w:leader="dot"/>
            </w:tabs>
            <w:rPr/>
          </w:pPr>
          <w:hyperlink w:anchor="__RefHeading___Toc6974711_2142443653">
            <w:r>
              <w:rPr>
                <w:webHidden/>
                <w:rStyle w:val="IndexLink"/>
                <w:rtl w:val="true"/>
              </w:rPr>
              <w:t>أمّا الآيات</w:t>
            </w:r>
            <w:r>
              <w:rPr>
                <w:rStyle w:val="IndexLink"/>
                <w:rtl w:val="true"/>
              </w:rPr>
              <w:t>:</w:t>
              <w:tab/>
            </w:r>
            <w:r>
              <w:rPr>
                <w:rStyle w:val="IndexLink"/>
              </w:rPr>
              <w:t>527</w:t>
            </w:r>
          </w:hyperlink>
        </w:p>
        <w:p>
          <w:pPr>
            <w:pStyle w:val="Contents6"/>
            <w:tabs>
              <w:tab w:val="clear" w:pos="7609"/>
              <w:tab w:val="right" w:pos="9026" w:leader="dot"/>
            </w:tabs>
            <w:rPr/>
          </w:pPr>
          <w:hyperlink w:anchor="__RefHeading___Toc6974713_2142443653">
            <w:r>
              <w:rPr>
                <w:webHidden/>
                <w:rStyle w:val="IndexLink"/>
                <w:rtl w:val="true"/>
              </w:rPr>
              <w:t>وأمّا الروايات</w:t>
            </w:r>
            <w:r>
              <w:rPr>
                <w:rStyle w:val="IndexLink"/>
                <w:rtl w:val="true"/>
              </w:rPr>
              <w:t>:</w:t>
              <w:tab/>
            </w:r>
            <w:r>
              <w:rPr>
                <w:rStyle w:val="IndexLink"/>
              </w:rPr>
              <w:t>527</w:t>
            </w:r>
          </w:hyperlink>
        </w:p>
        <w:p>
          <w:pPr>
            <w:pStyle w:val="Contents2"/>
            <w:tabs>
              <w:tab w:val="clear" w:pos="8743"/>
              <w:tab w:val="right" w:pos="9026" w:leader="dot"/>
            </w:tabs>
            <w:rPr/>
          </w:pPr>
          <w:hyperlink w:anchor="__RefHeading___Toc6974715_2142443653">
            <w:r>
              <w:rPr>
                <w:webHidden/>
                <w:rStyle w:val="IndexLink"/>
                <w:rtl w:val="true"/>
              </w:rPr>
              <w:t>الفهرس</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7_354712"/>
      <w:bookmarkStart w:id="1" w:name="pg15437_354712"/>
      <w:bookmarkEnd w:id="1"/>
    </w:p>
    <w:p>
      <w:pPr>
        <w:pStyle w:val="Heading2"/>
        <w:numPr>
          <w:ilvl w:val="1"/>
          <w:numId w:val="1"/>
        </w:numPr>
        <w:rPr/>
      </w:pPr>
      <w:bookmarkStart w:id="2" w:name="pg15437_354712"/>
      <w:bookmarkStart w:id="3" w:name="__RefHeading___Toc6974389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شَمسُ الأُصُول</w:t>
      </w:r>
    </w:p>
    <w:p>
      <w:pPr>
        <w:pStyle w:val="BookText"/>
        <w:rPr/>
      </w:pPr>
      <w:r>
        <w:rPr>
          <w:rFonts w:ascii="IRNazanin" w:hAnsi="IRNazanin" w:eastAsia="IRNazanin"/>
          <w:color w:val="111111"/>
          <w:sz w:val="28"/>
          <w:sz w:val="28"/>
          <w:szCs w:val="28"/>
          <w:rtl w:val="true"/>
          <w:lang w:bidi="fa-IR"/>
        </w:rPr>
        <w:t>آیة الله العظمی الحاج الشیخ شمس الدين الواعظي</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439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سيّدنا محمّدٍ وآله الطيّبين الطاهرين واللعنة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7_354718"/>
      <w:bookmarkStart w:id="8" w:name="pg15437_354718"/>
      <w:bookmarkEnd w:id="8"/>
    </w:p>
    <w:p>
      <w:pPr>
        <w:pStyle w:val="Heading2"/>
        <w:numPr>
          <w:ilvl w:val="1"/>
          <w:numId w:val="1"/>
        </w:numPr>
        <w:rPr/>
      </w:pPr>
      <w:bookmarkStart w:id="9" w:name="pg15437_354718"/>
      <w:bookmarkStart w:id="10" w:name="__RefHeading___Toc6974393_2142443653"/>
      <w:bookmarkStart w:id="11" w:name="_Toc3"/>
      <w:bookmarkEnd w:id="9"/>
      <w:bookmarkEnd w:id="10"/>
      <w:r>
        <w:rPr>
          <w:rtl w:val="true"/>
        </w:rPr>
        <w:t>قاعدة لا ضرر ولا ضرار</w:t>
      </w:r>
      <w:bookmarkEnd w:id="11"/>
    </w:p>
    <w:p>
      <w:pPr>
        <w:pStyle w:val="Heading3"/>
        <w:numPr>
          <w:ilvl w:val="2"/>
          <w:numId w:val="1"/>
        </w:numPr>
        <w:rPr/>
      </w:pPr>
      <w:bookmarkStart w:id="12" w:name="__RefHeading___Toc697439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ولابدّ في بيان هذه القاعدة من ذكر اُمور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974397_2142443653"/>
      <w:bookmarkStart w:id="15" w:name="_Toc5"/>
      <w:bookmarkEnd w:id="14"/>
      <w:r>
        <w:rPr>
          <w:rtl w:val="true"/>
        </w:rPr>
        <w:t xml:space="preserve">الأمر الأوّل </w:t>
      </w:r>
      <w:r>
        <w:rPr>
          <w:rtl w:val="true"/>
        </w:rPr>
        <w:t>:</w:t>
      </w:r>
      <w:r>
        <w:rPr>
          <w:rtl w:val="true"/>
        </w:rPr>
        <w:t>في مدرك هذه القاعدة</w:t>
      </w:r>
      <w:r>
        <w:rPr>
          <w:rtl w:val="true"/>
        </w:rPr>
        <w:t>:</w:t>
      </w:r>
      <w:bookmarkEnd w:id="15"/>
    </w:p>
    <w:p>
      <w:pPr>
        <w:pStyle w:val="BookText"/>
        <w:rPr/>
      </w:pPr>
      <w:r>
        <w:rPr>
          <w:rFonts w:ascii="IRNazanin" w:hAnsi="IRNazanin" w:eastAsia="IRNazanin"/>
          <w:color w:val="111111"/>
          <w:sz w:val="28"/>
          <w:sz w:val="28"/>
          <w:szCs w:val="28"/>
          <w:rtl w:val="true"/>
          <w:lang w:bidi="fa-IR"/>
        </w:rPr>
        <w:t>قال اُستاذنا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روايات كثيرة في كتب الفريقين يروي هذه الجملة عن رسول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بمنزلة كبرىً كلّيّة يطبّقها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عديدة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كان له عذق</w:t>
      </w:r>
      <w:r>
        <w:rPr>
          <w:rStyle w:val="FootnoteAnchor"/>
          <w:rtl w:val="true"/>
        </w:rPr>
        <w:footnoteReference w:id="3"/>
      </w:r>
      <w:r>
        <w:rPr>
          <w:rFonts w:ascii="Amiri" w:hAnsi="Amiri" w:eastAsia="Amiri" w:cs="Amiri"/>
          <w:color w:val="111111"/>
          <w:sz w:val="28"/>
          <w:sz w:val="28"/>
          <w:szCs w:val="28"/>
          <w:rtl w:val="true"/>
          <w:lang w:bidi="ar-SA"/>
        </w:rPr>
        <w:t xml:space="preserve">في حائط لرجل من الأنصار، وكان منزل الأنصاريّ بباب البستان، وكان يمرّ إلى نخلته ولا يستأذن، فكلّمه الأنصاريّ أن يستأذن إذا جاء، فأبى سمرة، فلمّا تأبّى، جاء الأنصاريّ إلى </w:t>
      </w:r>
    </w:p>
    <w:p>
      <w:pPr>
        <w:pStyle w:val="BookText"/>
        <w:rPr/>
      </w:pPr>
      <w:r>
        <w:rPr>
          <w:rFonts w:ascii="IRNazanin" w:hAnsi="IRNazanin" w:eastAsia="IRNazanin"/>
          <w:color w:val="111111"/>
          <w:sz w:val="28"/>
          <w:sz w:val="28"/>
          <w:szCs w:val="28"/>
          <w:rtl w:val="true"/>
          <w:lang w:bidi="fa-IR"/>
        </w:rPr>
        <w:t>رسول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وخبّره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رسول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بقول الأنصاريّ وما شكا،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الدخولفاستاذِن، فأبى، فلمّا أبى ساومه، حتى بلغ به من الثمَن ما شاء اﷲ، فأبى أن يبيع،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بها عذق يُمدّ لك في الجنّة، فأبى أن يقبل، فقال رسول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إليه، فإنّه لا ضرر ولا ضرار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اﷲ بن مسكان،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مرّ،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رجل مضارّ، ولا ضرر و لا ضرار على مؤمن، ثمّ أمر بها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فقُلِعت، ثمّ رُمي بها إليه، وقال له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حيث شئت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بنفس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هنا لسنا بحاجة إلى الحديث حول سند هذه الروايات بعد ذكرها في المصادر المعتبرة لدى العامّة والخاصّة على السواء، بحيث يمكن الاطمئنان بصدورها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إمكان القطع بصحّة سند بعض هذه الروايات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يتعلّق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نقلها ابن الأثير الجزريّ في نهايته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ولكنّها رواية عامّيّة مرسلة، فلا يكاد يمكن الاستناد إليها، وقد أرسلها الصدوق في الفقيه</w:t>
      </w:r>
      <w:r>
        <w:rPr>
          <w:rStyle w:val="FootnoteAnchor"/>
          <w:rtl w:val="true"/>
        </w:rPr>
        <w:footnoteReference w:id="7"/>
      </w:r>
      <w:r>
        <w:rPr>
          <w:rFonts w:ascii="IRNazanin" w:hAnsi="IRNazanin" w:eastAsia="IRNazanin"/>
          <w:color w:val="111111"/>
          <w:sz w:val="28"/>
          <w:sz w:val="28"/>
          <w:szCs w:val="28"/>
          <w:rtl w:val="true"/>
          <w:lang w:bidi="fa-IR"/>
        </w:rPr>
        <w:t>، ولكن حيث قد تلقّاها الأصحاب بالقبول فلا يكاد يضرّ إرسالها، وإن كان إسناد هذه الكلمة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عدم ذكرها في بعض الطرق بعد بناء الأصحاب على تقديم أصالة عدم الزيادة على أصالة عدم النقيصة؛ لبناء العقلاء على ذلك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إنّما تتمّ لبناء العقلاء إن كان احتمال الغفلة في النقص أقوى من احتمال الغفلة في الزيادة، ولكنّ هذا إنّما يتمّ لو تعارضتا بأنفسهما، ولم يكن هناك دليل على الخلاف، وإلّا، فمع وجود القرائن على الخلاف، لا يمكن لنا أن نتمسّك بالقاعدة، فيبعد جريان 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قد ورد في روايات كثيرة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تكون الزيادة من كلام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كثرة الموارد التي تكون من النظائر قد تؤدّي إلى وقوع الإنسان في الغفلة، كما في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رهبانيّة في الإسلام، ولا إخصاء في </w:t>
      </w:r>
    </w:p>
    <w:p>
      <w:pPr>
        <w:pStyle w:val="BookText"/>
        <w:rPr/>
      </w:pPr>
      <w:r>
        <w:rPr>
          <w:rFonts w:ascii="Amiri" w:hAnsi="Amiri" w:eastAsia="Amiri" w:cs="Amiri"/>
          <w:color w:val="111111"/>
          <w:sz w:val="28"/>
          <w:sz w:val="28"/>
          <w:szCs w:val="28"/>
          <w:rtl w:val="true"/>
          <w:lang w:bidi="ar-SA"/>
        </w:rPr>
        <w:t xml:space="preserve">الإسلام؛ فإنّ وجود هذهاللّفظة في نظائر هذه الجمل قد يوقع الإنسان في الغفلة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شيءٍ من مسانيد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الاشتباه قد حصل من الناسخ لا من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هذا الحديث عارياً من هذه الكلمة، والذي أدّى إلى اشتباه الناسخ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المسلم خيراً، وهو متّصل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 الناسخ في الاشتباه، فكتب 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يقال في رواية مجمع البحرين الذي نقل حديث الشفعة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مع أنّه إنّما أخذ هذا الحديث من الكافي، وهو هناك بهذا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بين الشركاء في الأرضين والمساكن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القرائن التي تؤكّد عدم وجود هذه الكلمة في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رواية ابن مسكان، فإنّها ضعيفة السند، حيث ورد في هذا السند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يدلّ على مجهوليّة الراوي</w:t>
      </w:r>
      <w:r>
        <w:rPr>
          <w:rFonts w:eastAsia="Amiri" w:cs="Amiri" w:ascii="Amiri" w:hAnsi="Amiri"/>
          <w:color w:val="111111"/>
          <w:sz w:val="28"/>
          <w:szCs w:val="28"/>
          <w:rtl w:val="true"/>
          <w:lang w:bidi="ar-SA"/>
        </w:rPr>
        <w:t xml:space="preserve">. </w:t>
      </w:r>
      <w:bookmarkStart w:id="16" w:name="pg15437_354722"/>
    </w:p>
    <w:p>
      <w:pPr>
        <w:pStyle w:val="BookText"/>
        <w:rPr/>
      </w:pPr>
      <w:bookmarkEnd w:id="16"/>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مثل ما لو أتى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مضعّفات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تعرّض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الرواية جاعلاً إيّاها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ما في الباب سنداً وأوضحه دلالةً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6974399_2142443653"/>
      <w:bookmarkStart w:id="18" w:name="_Toc6"/>
      <w:bookmarkEnd w:id="17"/>
      <w:r>
        <w:rPr>
          <w:rtl w:val="true"/>
        </w:rPr>
        <w:t>الأمر الثاني</w:t>
      </w:r>
      <w:r>
        <w:rPr>
          <w:rtl w:val="true"/>
        </w:rPr>
        <w:t xml:space="preserve">: </w:t>
      </w:r>
      <w:r>
        <w:rPr>
          <w:rtl w:val="true"/>
        </w:rPr>
        <w:t>في بيان مفردات هذه الفقرة</w:t>
      </w:r>
      <w:r>
        <w:rPr>
          <w:rtl w:val="true"/>
        </w:rPr>
        <w:t>:</w:t>
      </w:r>
      <w:bookmarkEnd w:id="18"/>
    </w:p>
    <w:p>
      <w:pPr>
        <w:pStyle w:val="BookText"/>
        <w:rPr/>
      </w:pP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أمر وجوديّ، وهو ضدّ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النقص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ينبغي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لا يطلق على عدم النفع مطلقاً، بل إنّما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دون بعض،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بلد حانوت واحد، فجاء شخص وفتح حانوتاً ثانياً في نفس البلاد، فقد يقال بصدق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مع أنّ قاعدة لا ضرر لا تشمل هذا المورد؛ لأنّ فتح الثاني حانوته ليس بحرام حتى تشمله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مصدر بمعنى المفاعلة، على ما قيل، والمفاعلة فعل الاثنين، ولابدّ فيها من طرفين،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الغير مقابل الضرر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غير تامّ، كما أفاده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 وإن كان مصدراً لباب المفاعلة، والأصل فيه أن يكون فعل الاثنين، كما هو المشهور، إلّا أنّه لا أصل له، كما تشهد له الاستعمالات الصحيحة الفصيحة القرآنيّة وغيرها؛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فيها ما لا يصحّ ذلك، وفيها ما لا يراد منه ذلك، كقوله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ُخَادِعُونَ الله َ وَالَّذِينَ آمَنُوا</w:t>
      </w:r>
      <w:r>
        <w:rPr>
          <w:rStyle w:val="FootnoteAnchor"/>
          <w:rtl w:val="true"/>
        </w:rPr>
        <w:footnoteReference w:id="13"/>
      </w:r>
      <w:r>
        <w:rPr>
          <w:rFonts w:ascii="Amiri" w:hAnsi="Amiri" w:eastAsia="Amiri" w:cs="Amiri"/>
          <w:color w:val="111111"/>
          <w:sz w:val="28"/>
          <w:sz w:val="28"/>
          <w:szCs w:val="28"/>
          <w:rtl w:val="true"/>
          <w:lang w:bidi="ar-SA"/>
        </w:rPr>
        <w:t>، فإنّ الغرض نسبة الخديعة منهم إلى اﷲ وإلى المؤمنين، لا منهما إليهم أيضاً،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w:t>
      </w:r>
      <w:r>
        <w:rPr>
          <w:rStyle w:val="FootnoteAnchor"/>
          <w:rtl w:val="true"/>
        </w:rPr>
        <w:footnoteReference w:id="14"/>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ُرَآؤُونَ</w:t>
      </w:r>
      <w:r>
        <w:rPr>
          <w:rStyle w:val="FootnoteAnchor"/>
          <w:rtl w:val="true"/>
        </w:rPr>
        <w:footnoteReference w:id="15"/>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w:t>
      </w:r>
      <w:r>
        <w:rPr>
          <w:rStyle w:val="FootnoteAnchor"/>
          <w:rtl w:val="true"/>
        </w:rPr>
        <w:footnoteReference w:id="16"/>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نَافَقُواْ</w:t>
      </w:r>
      <w:r>
        <w:rPr>
          <w:rStyle w:val="FootnoteAnchor"/>
          <w:rtl w:val="true"/>
        </w:rPr>
        <w:footnoteReference w:id="17"/>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شَآق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Style w:val="FootnoteAnchor"/>
          <w:rtl w:val="true"/>
        </w:rPr>
        <w:footnoteReference w:id="18"/>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مَسْجِداً ضِرَاراً</w:t>
      </w:r>
      <w:r>
        <w:rPr>
          <w:rStyle w:val="FootnoteAnchor"/>
          <w:rtl w:val="true"/>
        </w:rPr>
        <w:footnoteReference w:id="19"/>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وَلاَ تُمْسِكُوهُنَّضِرَاراً</w:t>
      </w:r>
      <w:r>
        <w:rPr>
          <w:rStyle w:val="FootnoteAnchor"/>
          <w:rtl w:val="true"/>
        </w:rPr>
        <w:footnoteReference w:id="20"/>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ُؤَاخِذْنِي</w:t>
      </w:r>
      <w:r>
        <w:rPr>
          <w:rStyle w:val="FootnoteAnchor"/>
          <w:rtl w:val="true"/>
        </w:rPr>
        <w:footnoteReference w:id="2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عاجله بالعقوبة، وبارزه بالحرب، وباشر الحرب، وساعده التوفيق، وخالع المرأة، وواراه في الأرض، فإنّ جميع </w:t>
      </w:r>
    </w:p>
    <w:p>
      <w:pPr>
        <w:pStyle w:val="BookText"/>
        <w:rPr/>
      </w:pPr>
      <w:r>
        <w:rPr>
          <w:rFonts w:ascii="Amiri" w:hAnsi="Amiri" w:eastAsia="Amiri" w:cs="Amiri"/>
          <w:color w:val="111111"/>
          <w:sz w:val="28"/>
          <w:sz w:val="28"/>
          <w:szCs w:val="28"/>
          <w:rtl w:val="true"/>
          <w:lang w:bidi="ar-SA"/>
        </w:rPr>
        <w:t>ذلك بين ما لا يصحّ فيه إرادة الانتساب إلى الاثنين، وما لا يراد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تكرار الضرر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شرح الجملة ككلّ،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فالأقوال المعروفة في المسألة عند الفقهاء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النهي عن إيجاد ضرر الغير، أو مطلقاً، حتى على النفس، فيكون مساقها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فِي الْحَجِّ</w:t>
      </w:r>
      <w:r>
        <w:rPr>
          <w:rStyle w:val="FootnoteAnchor"/>
          <w:rtl w:val="true"/>
        </w:rPr>
        <w:footnoteReference w:id="23"/>
      </w:r>
      <w:r>
        <w:rPr>
          <w:rFonts w:ascii="IRNazanin" w:hAnsi="IRNazanin" w:eastAsia="IRNazanin"/>
          <w:color w:val="111111"/>
          <w:sz w:val="28"/>
          <w:sz w:val="28"/>
          <w:szCs w:val="28"/>
          <w:rtl w:val="true"/>
          <w:lang w:bidi="fa-IR"/>
        </w:rPr>
        <w:t>، حيث إنّ الآية الشريفة تدلّ على حرمة هذه الاُمور في الحجّ، ونظائرها كثيرة في الأخبار، ونريد من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ظاهر الكلام فيها هو النفي، ولكن لم يُرَد من هذا النفي سوىالنهي، كما روي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 أو حافر أو نصل</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وما إلى ذلك من الروايات الكثيرة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القول الذي أصرّ عليه شيخ الشريعة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إلى تعيين هذا الاحتمال من بين الاحتمالات الأربعة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هو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حقيقة الضرر وماهيّته ادّعاءً، كنايةً عن نفي الحكم الضرريّ، ونظائرها كثيرة في الأخبار والمأثورات التي تصيّدوها من الروايات،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في سهو</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للإمام مع حفظ المأموم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الموارد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الجملة محلّ الكلام،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التي لها أحكام بعناوينها الأوّليّة إذا صارتضرريّة وتعنونت بعنوان الضرر فإنّ ذلك الحكم يرتفع عن ذلك الموضوع،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القاعدة حاكمةً على الأدلّة الأوّليّة بالحكومة الواقعيّة تضييقاً في جانب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ما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عبارة عن نفي الحكم الضرريّ،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صدر من الشارع، فإن كان مستلزماً لضرر، أو حصل من قِبل جعله ضرر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الضرر على المكلّف نفسه أم </w:t>
      </w:r>
    </w:p>
    <w:p>
      <w:pPr>
        <w:pStyle w:val="BookText"/>
        <w:rPr/>
      </w:pPr>
      <w:r>
        <w:rPr>
          <w:rFonts w:ascii="Amiri" w:hAnsi="Amiri" w:eastAsia="Amiri" w:cs="Amiri"/>
          <w:color w:val="111111"/>
          <w:sz w:val="28"/>
          <w:sz w:val="28"/>
          <w:szCs w:val="28"/>
          <w:rtl w:val="true"/>
          <w:lang w:bidi="ar-SA"/>
        </w:rPr>
        <w:t xml:space="preserve">على غيره، كوجوب الوضوء الذي حصل من قبل وجوبه ضرر ماليّ أو بدنيّ على المكلّف، وكلزوم المعاملة في المعاملة الغبنيّة حيث نشأ من قبله الضرر على المغبون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هو نفي الضرر غير المتدارك،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ينهى عن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الضرر المتدارك في حكم العدم، ولا يراه الشارع ضرراً، كما هو كذلك عند العرف والعقلاء، وبناءً 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الضرر المطلق يكون عائداً إلى نفي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الضرر غير المتدارك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لزوم التدارك؛ لأنّ المفروض أنّ الضرر المتدارك منزّل في كلام الشارع المقدّس 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النفيبمنزلة النهي، فيكون الضرر غير المتدارك منهيّاً عن إيجاده، وهذا كناية عن وجوب تداركه، وهذا كما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هديّة بلا 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كناية عن أنّه إذا أهدى إليك شخص هديّةً ما، فلا تجعله بلا عوض ولا تدارك، بل يجب عليك أن تتداركها، وذلك بإهداء شيء إلى المُهدي في مقابلها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اختار الاُستاذ المحقّق القول الثالث</w:t>
      </w:r>
      <w:r>
        <w:rPr>
          <w:rStyle w:val="FootnoteAnchor"/>
          <w:rtl w:val="true"/>
        </w:rPr>
        <w:footnoteReference w:id="30"/>
      </w:r>
      <w:r>
        <w:rPr>
          <w:rFonts w:ascii="Amiri" w:hAnsi="Amiri" w:eastAsia="Amiri" w:cs="Amiri"/>
          <w:color w:val="111111"/>
          <w:sz w:val="28"/>
          <w:sz w:val="28"/>
          <w:szCs w:val="28"/>
          <w:rtl w:val="true"/>
          <w:lang w:bidi="ar-SA"/>
        </w:rPr>
        <w:t>، وهو مختار كلٍّ من الشيخ الأعظم والميرزا النائيني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ما ذكرناه، فاعلم أنّ المعنى بعد تعذّر إرادة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تشريع الضرر،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يشرّع حكماً يلزم منه ضرر على أحد، تكليفيّاً كان أو وضعيّاً، فلزوم البيع مع الغبن حكم يلزم منه ضرر على المغبون، فيُنفى بالخبر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فأحسن الوجوه وأصحّها هو ما اختاره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ثالث الوجوه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الوجه يصلح لأن يكون مدركاً للقاعدة الفقهيّة المتداولة بين الفقهاء، دون الثاني والرابع</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تبرير ذهابه إلى اختيار هذا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من جهة أنّه لا شكّ في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التشريع، وفي مقام أنّ الحكم المشروع في المقام حكم امتنانيّ على الاُمّة، فالحديث ظاهر سياقاً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تشريعيّ؛ إذ لا معنى لأن يكون إنشاء الرفع لرفع تكوينيّ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إنّما يرفع شيء يكون قابلاً للرفع والوضع تشريعاً؛ لأنّ الرفع التكوينيّ خارج عن دائرة وظيفته كشارع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الرفع التكوينيّ إنّما يكون من جهة رفع أسبابه، ولا مجال لرفعه بالانشاء، بل لابدّ من أسبابه التكوينيّة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أنّه يكون إخباراً عن الرفع التكوينيّ، فباطل؛ لوقوع كثير </w:t>
      </w:r>
    </w:p>
    <w:p>
      <w:pPr>
        <w:pStyle w:val="BookText"/>
        <w:rPr/>
      </w:pPr>
      <w:r>
        <w:rPr>
          <w:rFonts w:ascii="Amiri" w:hAnsi="Amiri" w:eastAsia="Amiri" w:cs="Amiri"/>
          <w:color w:val="111111"/>
          <w:sz w:val="28"/>
          <w:sz w:val="28"/>
          <w:szCs w:val="28"/>
          <w:rtl w:val="true"/>
          <w:lang w:bidi="ar-SA"/>
        </w:rPr>
        <w:t>من الضرر، والشارع إنّما يبيّن ما يكون راجعاً اليه، ومناسباً لمقامه بوصفه شارعاً، والرفع التكوينيّ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كونه في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تسالم الأصحاب على ذلك في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يدلّ عليه سياق الكلام من 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سمرة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ظهر ظهور الحديث في هذين الأمرين من دون الاحتياج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الرفع التشريعيّ ظاهرهأنّ المرفوع من الأحكام الشرعيّة؛ لأنّ رفعها يكون رفعاً حقيقيّاً، لا ادّعائيّاً؛ لأنّه لا وجود للأحكام الشرعيّة إلّا في عالم التشريع، فإذا رفعه في عالم التشريع يرتفع من عالم الوجود حقيقةً، وبقول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شرح مفردات وألفاظ الحديث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نفي جنس مدخولها حقيقةً إذا كان المدخول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المرفوع أمراً تكوينيّاً، فلا بدّ أن يكون الرفع ادّعائيّاً لا حقيقيّاً،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حقيقةً برفع الموضوع ادّعاءً،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المتصيّد من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لنفي الجنس إذا كان ما وقع بعدها هو النكرة،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مدلولها هو النفي الحقيقيّ، إلّا إذا ثبت بأنّ النفي ادّعائيّ</w:t>
      </w:r>
      <w:r>
        <w:rPr>
          <w:rFonts w:eastAsia="Amiri" w:cs="Amiri" w:ascii="Amiri" w:hAnsi="Amiri"/>
          <w:color w:val="111111"/>
          <w:sz w:val="28"/>
          <w:szCs w:val="28"/>
          <w:rtl w:val="true"/>
          <w:lang w:bidi="ar-SA"/>
        </w:rPr>
        <w:t xml:space="preserve">. </w:t>
      </w:r>
      <w:bookmarkStart w:id="19" w:name="pg15437_354729"/>
    </w:p>
    <w:p>
      <w:pPr>
        <w:pStyle w:val="BookText"/>
        <w:rPr/>
      </w:pPr>
      <w:bookmarkEnd w:id="19"/>
      <w:r>
        <w:rPr>
          <w:rFonts w:ascii="Amiri" w:hAnsi="Amiri" w:eastAsia="Amiri" w:cs="Amiri"/>
          <w:color w:val="111111"/>
          <w:sz w:val="28"/>
          <w:sz w:val="28"/>
          <w:szCs w:val="28"/>
          <w:rtl w:val="true"/>
          <w:lang w:bidi="ar-SA"/>
        </w:rPr>
        <w:t>وفي النفي الحقيقيّ، وهو فيما إذا كان حاله حال النفي التكوينيّ، وهو إنّما يصحّ إذا كانت القضيّة من قبيل القضيّة الخبريّة المحضة، وكان المنفيّ هو الحكم؛ وذلك لأنّ تشريعه وجعله يكون عين تكوينه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المنفيّ هو الموضوع الخارجيّ لا الحكم، فيكون نفيه حقيقةً على خلاف الواقع؛ لأنّ رفع الموضوع الخارجيّ ووضعه ليس بيد الشارع، كما لا يخفى،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نفيه ادّعاءً، ولكنّ حال النفي الادّعائيّ هو عينه حال الإثبات ادّعاءً،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إلّا بلحاظ عدمترتّب الأثر الذي من المترقب أن يترتّب على الشيء،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ادّعاءً؛ حيث كان بمنزلة العدم؛ لعدم ترتّب الأثر عليه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974401_2142443653"/>
      <w:bookmarkStart w:id="21" w:name="_Toc7"/>
      <w:bookmarkEnd w:id="20"/>
      <w:r>
        <w:rPr>
          <w:rtl w:val="true"/>
        </w:rPr>
        <w:t xml:space="preserve">الأمر الثالث </w:t>
      </w:r>
      <w:r>
        <w:rPr>
          <w:rtl w:val="true"/>
        </w:rPr>
        <w:t>:</w:t>
      </w:r>
      <w:r>
        <w:rPr>
          <w:rtl w:val="true"/>
        </w:rPr>
        <w:t>هل تشمل القاعدة الأحكام العدميّة أم لا؟</w:t>
      </w:r>
      <w:bookmarkEnd w:id="21"/>
    </w:p>
    <w:p>
      <w:pPr>
        <w:pStyle w:val="BookText"/>
        <w:rPr/>
      </w:pPr>
      <w:r>
        <w:rPr>
          <w:rFonts w:ascii="Amiri" w:hAnsi="Amiri" w:eastAsia="Amiri" w:cs="Amiri"/>
          <w:color w:val="111111"/>
          <w:sz w:val="28"/>
          <w:sz w:val="28"/>
          <w:szCs w:val="28"/>
          <w:rtl w:val="true"/>
          <w:lang w:bidi="ar-SA"/>
        </w:rPr>
        <w:t>قبل الخوض في تفصيلات في هذه القاعدة، لابدّ من معرفة أنّها هل تشمل الأحكام العدميّة كما تشمل الوجوديّة أم لا؟ فإذا حبس حرّاً غير أجير، ففات عمله،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قواعد الضمان لمثل ذلك؛ لعدم كونه إتلاف مال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المحبوس عبداً أو حرّاً أجيراً، يكون الحبس إتلافاً لمال المالك والمستأجر، فيكون الحابس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الضمان حكم ضرريّ؛ لاستلزامه الضرر على الحرّ؛ لفوات عمله، فهل يشمله حديث نفي الضرر أم لا؟ </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المستقلّة المعمولة في قاعدة لا ضرر، في التنبيه الثاني، 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القاعدة المذكورة تنفي الأحكام الوجوديّة الضرريّة، تكليفيّةً كانت أو وضعيّة، وأمّا الأحكام العدميّة الضرريّة، مثل عدم ضمان ما يفوت على الحرّ من عمله بسبب حبسه، ففي نفيها بهذه القاعدة، فيجب أن يحكم بالضمان،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القاعدة ناظرة إلى نفي ما ثبت بالعمومات من الأحكام الشرعيّة، فمعنى نفي الضرر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المجعولة في الإسلام ليس فيها حكم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حكم الشرع في نظائر المسألة المذكورة ليس من الأحكام المجعولة في الإسلام، وحكمه بالعدم ليس من قبيل الحكم المجعول، بل هو إخبار بعدم حكمه بالضمان؛ إذ لا يحتاج العدم إلى حكم به، نظير حكمه بعدم الوجوب أو الحرمة أو غيرهما، فإنّه ليس إنشاء منه، بل هو إخبار حقيقة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المنفيّ ليس خصوص المجعولات، بل مطلق ما يتديّن به ويعامل عليه في شريعة الإسلام، وجوديّاً كان أو عدميّاً، فكما أنّه يجب في حكمة الشارع نفي الأحكام الضرريّة، كذلك يجب جعل الأحكام التي يلزم من عدمها الضرر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شمول حديث نفي الضرر للاُمور العدميّة، وأطال في الاستدلال على ذلك، ولكن يمكن أن يتلخّص كلامه في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ناظر إلى رفع الأحكام المجعولة شرعاً، فبما أنّ عدم الضمان ليس حكماً شرعيّاً مجعولاً من قبل الشارع، فلا يرتفع بالقاعدة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التزمنا بشمول الحديث للحكم العدميّ،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وجوب الضمان في مسألة حبس الحرّ،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الحديث لنفي الضرر غير المتدارك، وقد ذكرنا سابقاً أنّ هذه هو أحد المعاني الأربعة المحتملة من الحديث بدواً، وأنّ مقتضى التحقيق عدم إمكان حمل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الالتزام بعموميّة هذا الحديث وشموله للأحكام العدميّة تأسيس فقه جديد؛ وذلك لاستلزامه في مثال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بقاؤها على الزوجيّة مضرّاً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الطلاق للحاكم الشرعيّ وهو ممّا لا يمكن الالتزام 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الأحكام العدميّة على قسمين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منها حكم الشارع بعدم التكليف أو الوضع، وفي </w:t>
      </w:r>
      <w:bookmarkStart w:id="22" w:name="pg15437_354732"/>
    </w:p>
    <w:p>
      <w:pPr>
        <w:pStyle w:val="BookText"/>
        <w:rPr/>
      </w:pPr>
      <w:bookmarkEnd w:id="22"/>
      <w:r>
        <w:rPr>
          <w:rFonts w:ascii="Amiri" w:hAnsi="Amiri" w:eastAsia="Amiri" w:cs="Amiri"/>
          <w:color w:val="111111"/>
          <w:sz w:val="28"/>
          <w:sz w:val="28"/>
          <w:szCs w:val="28"/>
          <w:rtl w:val="true"/>
          <w:lang w:bidi="ar-SA"/>
        </w:rPr>
        <w:t>هذا القسم لا يبعد جريان القاعدة؛ لكونها ناظرة إلى مطلق ما للشارع من الحكم، بلا فرق بين أن يكون وجوديّاً أو عدميّاً، فإنّ الحكم بالعدم حكم أيضاً، فكما أنّ حكمه بالتكليف أو الوضع إذا صار ضرريّاً يصار إلى نفيه بالقاعدة، فكذلك حكمه بعدم التكليف أو الوضع في مورد خاصّ ينفى بالقاعدة عندما يصبح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منها مجرّد عدم حكم الشارع بالتكليف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لا تجري القاعدة؛ لأنّ معنى نفي عدم الحكم بالقاعدة هو إثبات الحكم بها، وهو ضعيف كما ترى،فإنّ القاعدة ليست موضوعةً إلّا لنفي الأحكام الضرريّة، ولو كانت عدميّة، لا لإثبات الأحكام التي لولاها للزم الضرر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974403_2142443653"/>
      <w:bookmarkStart w:id="24" w:name="_Toc8"/>
      <w:bookmarkEnd w:id="23"/>
      <w:r>
        <w:rPr>
          <w:rtl w:val="true"/>
        </w:rPr>
        <w:t>الأمر الرابع</w:t>
      </w:r>
      <w:r>
        <w:rPr>
          <w:rtl w:val="true"/>
        </w:rPr>
        <w:t xml:space="preserve">: </w:t>
      </w:r>
      <w:r>
        <w:rPr>
          <w:rtl w:val="true"/>
        </w:rPr>
        <w:t>هل المراد من الضرر المنفيّ في القاعدة هو الضرر الشخصيّ أو النوعيّ؟</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الضرر الشخصيّ هو الضرر الفعليّ الوارد على كلّ شخص، ففي كلّ مورد ينشأ فيه ضرر خارجيّ على شخص من قِبل الحكم الشرعيّ، فيكون ذاك الحكم مرتفعاً في حقّه، دون من لا يرد عليه من قبله ضرر؛ فإنّ الحكم لا يرتفع الحكم عنه، فمن الممكن أن يكون الحكم ضرريّاً في حقّ شخص دون آخر، بل بالنسبة إلى الشخص نفسه، هو قد يكون ضرريّاً في مورد دون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الضرر النوعيّ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من الضرر بالنسبة إلى غالب المكلّفين، أو ما يكون منه مترتّباً على نوع الفعل وغالبيّة أفراد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حكومة أدلّة الضرر على الحكم الواقعيّ، ومعنى الحكومة إنّما هو رفع الحكم في كلّ مورد نشأ منه الضرر، وأمّا في الموارد التي ليس فيها ضرر، فلا يكون الحكم فيها مرفوعاً، فيكون مشمولاً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الحديث وارد في مقام الامتنان فلابدّ أن يكون الرفع بلحاظ حال كلّ شخص بحسب نفسه، لوضوح عدم صدق الامتنان على رفع الحكم عن شخص بلحاظ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اختاره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الحكومة، بل مقتضى كون الحديث وارداً في مقام الامتنان، أن يكون كلّ شخصٍ ملحوظاً بحال نفسه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الحديث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الامتنان، لا يحتّم أن يكون المراد منه هو الضرر الشخصيّ خاصّةً، بل </w:t>
      </w:r>
      <w:bookmarkStart w:id="25" w:name="pg15437_354734"/>
    </w:p>
    <w:p>
      <w:pPr>
        <w:pStyle w:val="BookText"/>
        <w:rPr/>
      </w:pPr>
      <w:bookmarkEnd w:id="25"/>
      <w:r>
        <w:rPr>
          <w:rFonts w:ascii="Amiri" w:hAnsi="Amiri" w:eastAsia="Amiri" w:cs="Amiri"/>
          <w:color w:val="111111"/>
          <w:sz w:val="28"/>
          <w:sz w:val="28"/>
          <w:szCs w:val="28"/>
          <w:rtl w:val="true"/>
          <w:lang w:bidi="ar-SA"/>
        </w:rPr>
        <w:t xml:space="preserve">كما يمكن أن يكون الامتنان بحسب حال الشخص نفسه، فكذلك يمكن أن يكون امتناناً وارداً على النوع، فيكون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أدلّة الأحكام الأوّليّة إذا كان يترتّب عليها ضرر نوعيّ أيضاً، فليس هناك من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الحكومة والضرر النوعيّ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974405_2142443653"/>
      <w:bookmarkStart w:id="27" w:name="_Toc9"/>
      <w:bookmarkEnd w:id="26"/>
      <w:r>
        <w:rPr>
          <w:rtl w:val="true"/>
        </w:rPr>
        <w:t>الأمر الخامس</w:t>
      </w:r>
      <w:r>
        <w:rPr>
          <w:rtl w:val="true"/>
        </w:rPr>
        <w:t xml:space="preserve">: </w:t>
      </w:r>
      <w:r>
        <w:rPr>
          <w:rtl w:val="true"/>
        </w:rPr>
        <w:t>في دعوى عدم شمول الحديث لمورد نفسه</w:t>
      </w:r>
      <w:r>
        <w:rPr>
          <w:rtl w:val="true"/>
        </w:rPr>
        <w:t>:</w:t>
      </w:r>
      <w:bookmarkEnd w:id="27"/>
    </w:p>
    <w:p>
      <w:pPr>
        <w:pStyle w:val="BookText"/>
        <w:rPr/>
      </w:pPr>
      <w:r>
        <w:rPr>
          <w:rFonts w:ascii="IRNazanin" w:hAnsi="IRNazanin" w:eastAsia="IRNazanin"/>
          <w:color w:val="111111"/>
          <w:sz w:val="28"/>
          <w:sz w:val="28"/>
          <w:szCs w:val="28"/>
          <w:rtl w:val="true"/>
          <w:lang w:bidi="fa-IR"/>
        </w:rPr>
        <w:t>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القاعدة المق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رّرة في رواية سمرة لا تنطبق على مورد الحديث نفسه، فإنّ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العذق لا يستوجب نفي الضرر؛ لأنّ إبقاء عذق سمرة في بستان الأنصاريّ ليس هو الذي يستوجب الضرر على الأنصاريّ، بل الذي استوجب الضرر هو دخول سمرة في بستانه من دون استئذان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لا تكون القاعدة شاملةً للمورد، وهو مستهجن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بالقلع لم يكن من جهة تطبيق القاعدة عليه، بل إنّما كان من باب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الولاية على النفوس والأموال، 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العذق من باب الولاية حسماً لمادّة الفساد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جواب غير تامّ؛ لأنّه مخالف للتعليل المذكور في نفس الموثّقة، فقد ورد فيها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وارمِ بها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يمكن القول بأنّ القلع كان من باب إعمال حكومته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أجاب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علّةً لقطع العذق، بل إنّما هو علّة لوجوب الاستئذان عند دخوله، وضرر الأنصاريّ، وإن كان مستنداً إلى جواز الدخول بغير إذنه، وهو الجزء الأخير لعلّة الضرر، ولكنّ جواز الدخول من غير استئذان ينتهيبالأخير إلى حقّه لإبقاء عذقه في ذلك البستان، وذلك الحقّ، حكم شرعيّ وضعيّ نشأ من قبله الضرر، فيكون الضرر عنواناً ثانويّاً لذلك الحقّ، فيرتفع بارتفاع الضرر، بالمطابقة أو بالالتزام، فلا يرد إشكال حتى بناءً على تطبيقه على مسألة العذق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طويل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القضيّة في أنّ سمرة لم يكن مالكاً إلّا للعذق، وأنّ البستان المغروس فيها النخيل كان للأنصاريّ،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مستحقّاً لإبقائها فيها مجّاناً، إمّا لاستئجاره الأرض للغرس، وإمّا لكون مالكها واحداً ابتداءً، ثمّ انتقل الأرض إلى أحد والنخلة إلى آخر، فعلى أيّ حالٍ، كان سمرة مستحقّاً لإبقائها، فإذا كان كذلك، وكان هذا علّةً لجواز الدخول على الأنصاريّ بلا استئذان، فلو كان المعلول والفرع مستلزماً للضرر، فنفي الضرر رافع لأصل العلّة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أدخل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باب تقديم الأهمّ على المهمّ،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الامتنان، فلا يجري فيما إذا كان موجباً لضرر الغير؛ لأنّه كما أنّ بقاء حقّ سمرة في إبقاء عذقه في بستان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منشأ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منعه عن حقّه وقلع عذقه ضرر عليه، فيدخل في باب تعارض الضررين، بل تزاحم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حقّ الأنصاريّ لحفظ عرضه من جهة أهمّيّته في نظر الشارع، كما هو الشأن في باب التزاحم، من تقديم الأهمّ على المهمّ، وهو أحد المرجّحات الخمسة في باب التزاحم، بل أهمّها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ولكنّك خبير بأنّ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ولكن يبقى معه ورود إشكال عدم شمول الحديث لمورد نفسه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تقديم هذه القاعدة على أدلّة الأحكام الأوّليّة الواقعيّة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الأدلّة الأوّليّة شاملة بعمومها وإطلاقها حتى لموارد الضرر، وبعد أن كانت النسبة بين هذه القاعدة وبين تلك الأدلّة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الغسل عامّ يثبت هذا الحكم حتى في مورد </w:t>
      </w:r>
    </w:p>
    <w:p>
      <w:pPr>
        <w:pStyle w:val="BookText"/>
        <w:rPr/>
      </w:pPr>
      <w:r>
        <w:rPr>
          <w:rFonts w:ascii="Amiri" w:hAnsi="Amiri" w:eastAsia="Amiri" w:cs="Amiri"/>
          <w:color w:val="111111"/>
          <w:sz w:val="28"/>
          <w:sz w:val="28"/>
          <w:szCs w:val="28"/>
          <w:rtl w:val="true"/>
          <w:lang w:bidi="ar-SA"/>
        </w:rPr>
        <w:t xml:space="preserve">الضرر، وقاعدة لا ضرر تنفي الحكم الضرريّ، سواء كان واجباً أم لم يكن، فيتعارضان في مورد الاجتماع وتصادم العنوانين، 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بتساقطهما، ولكنّهم مع ذلك قدّموا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حكومة القاعدة على تلك الأدلّة، ولذا تقدّم عليها، وهي حكومة بالتضييق في جانب المحمول؛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ما هو المحمول في تلك الأدلّة، وهو الحكم، ويرفعه بنحو الرفع التشريعيّ في حالة كونه ضرريّاً، بلا فرق بين أن يكون هذا المحمول من قبيل الحكم التكليفيّ أو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تعارض بينهما حتى يحكم بتساقطهما؛ لأنّ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فرع التعارض، ولا تعارض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شاملةً لما إذا كان رفع الضرر عن شخص سبباً لورود ضرر على الآخر، فلا يجوز قسمة طاحونة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الشركة ضرر على أحد الشركاء، وكان في القسمة ضرر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نلتزم بتقديم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العرفيّ؛ فإنّ أحدهما بيان للحكم الثابت للأشياء، ولكن بعناوينها الأوّليّة، 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متكفّل لبيان الحكم الثابت للأشياء، ولكن بعناوينها الثانويّة، فيجمع العرف بينهما بحمل دليل نفي الضرر على بيان الحكم الفعليّ، وأدلّة الأحكام الأوّليّة على بيان الحكم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لا يلاحظ النسبة بين أدلّة نفيه وأدلّة الأحكام، وتقدّم أدلّته على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حيثإنّه يوفّق بينهما عرفاً بأنّ الثابت للعناوين الأوّليّة اقتضائيّ، يمنع عنه فعلاً ما عرض عليها من عنوان الضرر بأدلّته، كما هو الحال في التوفيق بين سائر الأدلّة المثبتة أو النافية لحكم الأفعال بعناوينها الثانويّة، والأدلّة المتكفّلة لحكمها بعناوينها الاوليّة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سبب، كما لو كان أحدهما خاصّاً والآخر عامّاً، فيقدّم الخاصّ في نظر العرف على العامّ، ولا يمكن أن يكون جزافاً، وفيما نحن فيه، ثمّة وجه للتقديم والجمع العرفيّ، وهو كون أحد الدليلين، وهو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الواقعيّة الأوّليّة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الحكومة في المقام، بما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لم نقل بحكومة دليله على دليله؛ لعدم ثبوت نظره إلى مدلوله، كما قيل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باب الحكومة في شيء؛ لأنّ الحكومة تتوقّف على كون الدليل الحاكم بصدد التعرّض لحال الدليل المحكوم،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نظر إلىأدلّة الأحكام، ولا له تعرّض إلى حالها، بل إنّما يتكفّل ببيان ما هو الواقع من نفي الضرر، وهذا المقدار لا يصحّح الحكومة بل هو كسائر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يبدو منه أنّه قد فهم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الدليل الحاكم بما يكون متعرّضاً للدليل المحكوم بالمدلول اللّفظيّ المطابقيّ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قرينة المجاز وقرينة التخصيص والتقييد، وحاصل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قرينة المجاز تكون بياناً للمراد الاستعماليّ من اللّفظ وأنّها تأتي لبيان المدلول التصديقيّ له، نظير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أسد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بيان لكون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الشجاع، لا الحيوان المفترس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قرينة التخصيص، فهي ليست بياناً للمراد الاستعماليّ، بل للمراد </w:t>
      </w:r>
    </w:p>
    <w:p>
      <w:pPr>
        <w:pStyle w:val="BookText"/>
        <w:rPr/>
      </w:pPr>
      <w:r>
        <w:rPr>
          <w:rFonts w:ascii="Amiri" w:hAnsi="Amiri" w:eastAsia="Amiri" w:cs="Amiri"/>
          <w:color w:val="111111"/>
          <w:sz w:val="28"/>
          <w:sz w:val="28"/>
          <w:szCs w:val="28"/>
          <w:rtl w:val="true"/>
          <w:lang w:bidi="ar-SA"/>
        </w:rPr>
        <w:t>الواقعيّ الجدّيّ، فتكون بصدد بيان ما هو موضوع الحكم واقعاً، وأنّ عنوان العامّ ليس تمام الموضوع، بل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التخصيص والحكومة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التخصيص أن لا يكون في اللّفظ إشعار أصلاً بالحكم الثابت في العامّ،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تعرّض له بحسب المدلول بالحكم الثابت في جميع أفراد العلماء الشامل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بياناً للعامّ إنّما هو بحكم العقل بعد العلم بصدور الخاصّ والعامّ من العاقل الملتفت، فإنّ العقل يحكم بأنّ الملتفت لا يحكم واقعاً بوجوب إكرام جميع الأفراد معحكمه في فردٍ منها بخلاف حكمه في سائر الأفراد، وبعد نصوصيّة الخاصّ أو أظهريّته من العموم في شموله له، يحكم بأنّ المتكلّم لم يقصد من العموم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الحكومة أن يكون هذا الوجه من الجمع مدلولاً لفظيّاً، ولا تختصّ الدلالة اللّفظيّة، بأن يكون مدلول الحاكم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من المحكوم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شارحاً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فيكون كقرينة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ما كان كالمقيّد والمخصّص بياناً للمراد من الحكم الواقعيّ كأغلب الحكومات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التخصيص والحكومة هو أنّ بيانيّة الخاصّ للعامّ إنّما هو بحكم العقل، وبيانيّة الحاكم للمحكوم إنّما هو بنفس مدلوله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الحكومة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لموضوع الحكم،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زيداً ليس بعالم،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لمتعلّق الحكم الثابت في المحكوم، كما لو قيل بأنّ الإكرام ليس بالضيافة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لنفس الحكم، كما لو قيل بأنّ وجوب الإكرام ليس في مورد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الحكومة كما توجب التضييق، فقد توجب التوسعة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الوجه في تقدّم الحاكم على المحكوم هو أنّه لا تعارض بين دليليهما أصلاً؛ فإنّ الدليل المحكوم يتكفّل الحكمعلى تقدير تحقّق الموضوع، وليس له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ذلك التقدير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الحاكم، فهو يتكفّل هدم تقدير ثبوت الموضوع وبيان عدم تحقّقه، وفي مثله فلا تنافي أصلاً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فقد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الترتّب بين الأمر بالضدّين، حيث لا منافاة بين تعلّق الأمر بالأهمّ مطلقاً، وتعلّق الأمر بالمهمّ على تقدير عصيان الأهمّ؛ فإنّ امتثال الأمر بالأهمّ يدعو إلى هدم موضوع الأمر بالمهمّ، فلا يصادمه ولا ينافيه، بل هو كالحاكم بالنسبة إلى الدليل المحكوم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البيان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bookmarkStart w:id="28" w:name="pg15437_354742"/>
    </w:p>
    <w:p>
      <w:pPr>
        <w:pStyle w:val="BookText"/>
        <w:rPr/>
      </w:pPr>
      <w:bookmarkEnd w:id="28"/>
      <w:r>
        <w:rPr>
          <w:rFonts w:ascii="Amiri" w:hAnsi="Amiri" w:eastAsia="Amiri" w:cs="Amiri"/>
          <w:color w:val="111111"/>
          <w:sz w:val="28"/>
          <w:sz w:val="28"/>
          <w:szCs w:val="28"/>
          <w:rtl w:val="true"/>
          <w:lang w:bidi="ar-SA"/>
        </w:rPr>
        <w:t>ما اختاره شيخنا الأنصاريّ، وأن يكون المراد منه ما اختاره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 بأنّ الحكم الضرريّ غير مجعول،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الضرريّ لا حكم له؛ إذ كلاهما حاكمان على أدلّة الأحكام، غاية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شارحة لأصل الحكم، وعلى مختاره فشارحة لموضوعات الأحكام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دليل الحاكم على دليل المحكوم بالمدلول اللّفظيّ تامّ؛ وأمّا ما أفاده من أنّ تقدّم الخاصّ على العامّ من جهة دليل العقل، فغير تامّ، بل لا دخل للعقل في تقدّم أحدهما على الآخر، وليس هذا من مختصّاته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 فإنّما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القرينيّة، حتى لو كان ظهور الخاصّ أضعف من ظهور العامّ، فإنّه مع ذلك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974407_2142443653"/>
      <w:bookmarkStart w:id="30" w:name="_Toc10"/>
      <w:bookmarkEnd w:id="29"/>
      <w:r>
        <w:rPr>
          <w:rtl w:val="true"/>
        </w:rPr>
        <w:t>الأمر السابع</w:t>
      </w:r>
      <w:r>
        <w:rPr>
          <w:rtl w:val="true"/>
        </w:rPr>
        <w:t xml:space="preserve">: </w:t>
      </w:r>
      <w:r>
        <w:rPr>
          <w:rtl w:val="true"/>
        </w:rPr>
        <w:t>شمول القاعدة للحكم الضرريّ، تكليفيّاً كان أم وضعيّاً</w:t>
      </w:r>
      <w:bookmarkEnd w:id="30"/>
    </w:p>
    <w:p>
      <w:pPr>
        <w:pStyle w:val="BookText"/>
        <w:rPr/>
      </w:pPr>
      <w:r>
        <w:rPr>
          <w:rFonts w:ascii="Amiri" w:hAnsi="Amiri" w:eastAsia="Amiri" w:cs="Amiri"/>
          <w:color w:val="111111"/>
          <w:sz w:val="28"/>
          <w:sz w:val="28"/>
          <w:szCs w:val="28"/>
          <w:rtl w:val="true"/>
          <w:lang w:bidi="ar-SA"/>
        </w:rPr>
        <w:t>وفي ذلك يقول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الحكم الوضعيّ أولى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 الحكم التكليفيّ بمحض جعله وتشريعه لا يكون موجباً لوقوع الضرر في الخارج، بل </w:t>
      </w:r>
      <w:bookmarkStart w:id="31" w:name="pg15437_354743"/>
    </w:p>
    <w:p>
      <w:pPr>
        <w:pStyle w:val="BookText"/>
        <w:rPr/>
      </w:pPr>
      <w:bookmarkEnd w:id="31"/>
      <w:r>
        <w:rPr>
          <w:rFonts w:ascii="Amiri" w:hAnsi="Amiri" w:eastAsia="Amiri" w:cs="Amiri"/>
          <w:color w:val="111111"/>
          <w:sz w:val="28"/>
          <w:sz w:val="28"/>
          <w:szCs w:val="28"/>
          <w:rtl w:val="true"/>
          <w:lang w:bidi="ar-SA"/>
        </w:rPr>
        <w:t>الضرر يقع في مرحلة الامتثال، فيتوسّط بينه وبين وقوع الضرر إرادة المكلّف واختياره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مختصّة بالنهي التكليفيّ عن الإضرار بالغير، بل تعمّه والأحكام الوضعيّة، فكما أنّ دخول سمرة بن جندب على الأنصاريّ بغير استئذان منه إضرار بالغير ومنهيّ عنه تكليفاً، فكذلك البيع الغبنيّ إذا وقع على وجه اللّزوم بنفسه، مصداقاً للإضرار بالغير، فلا يكون ممضىً من قبل الشارع، فلا يكون نافذاً ومؤثّراً لأثره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الضرر بالنفس،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واجب للصلاة، ولكنّه إذا كان يستلزم ضرراً على الشخص،لمرض أو غيره، من جهة استعمال الماء، فيكون مرفوعاً بالقاعدة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974409_2142443653"/>
      <w:bookmarkStart w:id="33" w:name="_Toc11"/>
      <w:bookmarkEnd w:id="32"/>
      <w:r>
        <w:rPr>
          <w:rtl w:val="true"/>
        </w:rPr>
        <w:t xml:space="preserve">الأمر الثامن </w:t>
      </w:r>
      <w:r>
        <w:rPr>
          <w:rtl w:val="true"/>
        </w:rPr>
        <w:t>:</w:t>
      </w:r>
      <w:r>
        <w:rPr>
          <w:rtl w:val="true"/>
        </w:rPr>
        <w:t>في تعارض الضررين</w:t>
      </w:r>
      <w:r>
        <w:rPr>
          <w:rtl w:val="true"/>
        </w:rPr>
        <w:t>:</w:t>
      </w:r>
      <w:bookmarkEnd w:id="33"/>
    </w:p>
    <w:p>
      <w:pPr>
        <w:pStyle w:val="BookText"/>
        <w:rPr/>
      </w:pPr>
      <w:r>
        <w:rPr>
          <w:rFonts w:ascii="Amiri" w:hAnsi="Amiri" w:eastAsia="Amiri" w:cs="Amiri"/>
          <w:color w:val="111111"/>
          <w:sz w:val="28"/>
          <w:sz w:val="28"/>
          <w:szCs w:val="28"/>
          <w:rtl w:val="true"/>
          <w:lang w:bidi="ar-SA"/>
        </w:rPr>
        <w:t>وهذا تارةً يتصوّر في حقّ شخصٍ واحد وأُخرى في حقّ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أوّلاً في أنّ الإضرار بالنفس هل هو حرام مطلقاً أم لا، بل يحرم فقط إذا تسبّب في هلاك النفس؟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الضرر على النفس مطلقاً محلّ كلام؛ لعدم الدليل، </w:t>
      </w:r>
    </w:p>
    <w:p>
      <w:pPr>
        <w:pStyle w:val="BookText"/>
        <w:rPr/>
      </w:pPr>
      <w:r>
        <w:rPr>
          <w:rFonts w:ascii="IRNazanin" w:hAnsi="IRNazanin" w:eastAsia="IRNazanin"/>
          <w:color w:val="111111"/>
          <w:sz w:val="28"/>
          <w:sz w:val="28"/>
          <w:szCs w:val="28"/>
          <w:rtl w:val="true"/>
          <w:lang w:bidi="fa-IR"/>
        </w:rPr>
        <w:t>بل إذا كان الإضرار لأجل أمر عقلائيّ، كالحجامة مثلاً، فلا يمكن أن يحكم بحرمته، أو كضرب السيوف على الهامة إذا كان سبباً للمزيد من الحزن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يستوجب هلاك النفس فحرمته بحاجة إلى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السيوف حزناً على مصابه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بعنوان الثانويّ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أهون من ضرب بعض أبناء الجماعة الخناجر في أبدانهم، أو جعل النيران على رؤسهم، بغير غرض عقلائيٍّ يدعو إلى ذلك، وهو في نظر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لنظرهم قيمة أصلاً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بأهون وأقبح من هرولة ما يقارب المليونين من الحجّاج كلّ عامٍ ما بين الصفا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فلو فرض توجّه ضررين بالنسبة إلى شخص واحد، فإمّا أن يكونا مباحين أو محرّمين أو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كانا مباحين، فله أن يختار أيّاً منهما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مختلفين، فعليه أن يختار ما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كانا محرّمين، فيختار ما هو أضعف ملاكاً، ويترك ما هو أقوى بحسب الملاك، هذا إن كان أحدهما أقوى ملاكاً، وأمّا لو كانا متساويين ملاكاً، فهو مخيّر بينهما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توجّه الضررين بالنسبة إلى شخصين، فقد مثّل له الفقهاء بما إذا دخل رأس دابّةٍ يملكها شخص في قدرٍ يملكه شخص آخر، ولم يمكن </w:t>
      </w:r>
    </w:p>
    <w:p>
      <w:pPr>
        <w:pStyle w:val="BookText"/>
        <w:rPr/>
      </w:pPr>
      <w:r>
        <w:rPr>
          <w:rFonts w:ascii="Amiri" w:hAnsi="Amiri" w:eastAsia="Amiri" w:cs="Amiri"/>
          <w:color w:val="111111"/>
          <w:sz w:val="28"/>
          <w:sz w:val="28"/>
          <w:szCs w:val="28"/>
          <w:rtl w:val="true"/>
          <w:lang w:bidi="ar-SA"/>
        </w:rPr>
        <w:t>إخراج رأسها منه إلّا بكسر القدر أو ذبح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لو كان تصرّفه في ملكه يستوجب ضرراً يلحق بجاره، كما إذا أجّج ناراً وكانت هذه النار سبباً لإحراق مزرعة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تتناول حالة التعارض بين الضررين؛ لأنّها واردة في مقام الامتنان كما أسلفنا، وفي حالة التعارض المذكور لا يُتصوّر الامتنان، وإنّما هي شاملة فقط لما إذا كان الضرر في أحد الطرفين بالنسبة إلى الفعل والترك، لا في كليهما، كما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 العملين،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الدابّة وكسر القدر يصدق عليه أنّه بالنسبة إلى مالكه ضرر، فلو حكمنا بأحدهما لاستوجب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خلاف الامتنان المسوق 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الالتزام بكون القاعدة منصرفة عن المورد الذي يتعارض فيه الضرران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انصرافها عن مورده، فلابدّ فيه من الأخذ بدليل آخر، كما في الجمع بين الحقوق؛ مراعاةللسيرة العقلائيّة القائمة، فإنّ العقلاء في أمثال هذه الموارد يلتزمون جانب الضرر الأقوى والأشدّ،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الضرر المترتّب على قتل الحيوان أقوى من الضرر في كسر القدر، فهم يحكمون بلزوم كسر القدر لا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الخسارة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الدابّة أم على كليهما؟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الخسارة على كليهما بعد أن لم يكن بتفريط من صاحب الدابّة لكي يكون هو وحده الضامن</w:t>
      </w:r>
      <w:r>
        <w:rPr>
          <w:rFonts w:eastAsia="Amiri" w:cs="Amiri" w:ascii="Amiri" w:hAnsi="Amiri"/>
          <w:color w:val="111111"/>
          <w:sz w:val="28"/>
          <w:szCs w:val="28"/>
          <w:rtl w:val="true"/>
          <w:lang w:bidi="ar-SA"/>
        </w:rPr>
        <w:t xml:space="preserve">. </w:t>
      </w:r>
      <w:bookmarkStart w:id="34" w:name="pg15437_354746"/>
    </w:p>
    <w:p>
      <w:pPr>
        <w:pStyle w:val="BookText"/>
        <w:rPr/>
      </w:pPr>
      <w:bookmarkEnd w:id="34"/>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الدابّة هو الضامن لأنّ ما أدّى إلى كسر القدر هو الدابة، فيكون صاحبها هو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بورود الخسارة على كلٍّ منهما، فلابدّ من تقسيمها عليهما بالتساوي؛ لعدم جواز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حصول التفريط من جانب، كانت الخسارة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أنّه لابدّ من الأخذ بأقوى الضررين تمسّكاً ببناء العقلاء، ظهر فساد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يعتنى بما قيل من تقديم أعظم الضررين وينفى بلا ضرر ذلك الحكم الذي يكون ضرره أكثر وأعظم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974411_2142443653"/>
      <w:bookmarkStart w:id="36" w:name="_Toc12"/>
      <w:bookmarkEnd w:id="35"/>
      <w:r>
        <w:rPr>
          <w:rtl w:val="true"/>
        </w:rPr>
        <w:t xml:space="preserve">الأمر التاسع </w:t>
      </w:r>
      <w:r>
        <w:rPr>
          <w:rtl w:val="true"/>
        </w:rPr>
        <w:t>:</w:t>
      </w:r>
      <w:r>
        <w:rPr>
          <w:rtl w:val="true"/>
        </w:rPr>
        <w:t xml:space="preserve">في تعارض القاعدة مع قاعدة </w:t>
      </w:r>
      <w:r>
        <w:rPr>
          <w:rtl w:val="true"/>
        </w:rPr>
        <w:t>«</w:t>
      </w:r>
      <w:r>
        <w:rPr>
          <w:rtl w:val="true"/>
        </w:rPr>
        <w:t>الناس مسلّطون على أموالهم</w:t>
      </w:r>
      <w:r>
        <w:rPr>
          <w:rtl w:val="true"/>
        </w:rPr>
        <w:t>»:</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شاملةً لكلٍّ من الحكم التكليفيّ والوضعيّ إذا كان ضرريّاً، فهي بإطلاقها من هذه الناحية تشمل حتى الدائرة التي جعل فيها الشارع المقدّس السلطنة للملّاك على أموالهم، فإنّ هذه السلطنة إن كانت ضرريّةً بالنسبة إلى الغير،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منفيّةً ببركة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تكون </w:t>
      </w:r>
    </w:p>
    <w:p>
      <w:pPr>
        <w:pStyle w:val="BookText"/>
        <w:rPr/>
      </w:pPr>
      <w:r>
        <w:rPr>
          <w:rFonts w:ascii="Amiri" w:hAnsi="Amiri" w:eastAsia="Amiri" w:cs="Amiri"/>
          <w:color w:val="111111"/>
          <w:sz w:val="28"/>
          <w:sz w:val="28"/>
          <w:szCs w:val="28"/>
          <w:rtl w:val="true"/>
          <w:lang w:bidi="ar-SA"/>
        </w:rPr>
        <w:t xml:space="preserve">حاكمةً على القاعدة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هنا من إيقاع الكلام في بيان الموارد التي تقع فيها المعارضة بين هاتين القاعدتين،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تصرّف المالك في ماله إذا كان سبباً لتضرّر الغير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لم يكن إلّا بقصد الإضرار بالغير، من دون أن يكون له نفع في هذا التصرّف، أو يكون في تركه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قصده الإضرار بالغير، ولكن لا يكون في تصرّفه هذا نفع له، ولا في تركه ضرر عليه، بل يكون عابثاً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نفع فيه، ولكن ليس في تركه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بسبب تركه ضرر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إشكال في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حاكمةً على قاعدة السلطنة في النحوين الأوّل والثاني، بناءً على عدم شمول قاعدة السلطنة لمورد الإضرار بالغير، سواء كان قاصداً للإضرار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نقل بعموميّة قاعدة السلطنة للتصرّفات التي توجب الإضرار بالغير حيث لا يكون للمالك نفع فيه، ولا في تركه ضرر عليه، فلا يبقى مجال للحكومة حينئذٍ؛ لأنّ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عن عموم قاعدة السلطنة بنحو الخروج التخصّصيّ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أنّه لا وجه لاحتمال عدم شمول قاعدة السلطنة للصورتين؛ لأنّ ظاهر الحديث </w:t>
      </w:r>
    </w:p>
    <w:p>
      <w:pPr>
        <w:pStyle w:val="BookText"/>
        <w:rPr/>
      </w:pPr>
      <w:r>
        <w:rPr>
          <w:rFonts w:ascii="Amiri" w:hAnsi="Amiri" w:eastAsia="Amiri" w:cs="Amiri"/>
          <w:color w:val="111111"/>
          <w:sz w:val="28"/>
          <w:sz w:val="28"/>
          <w:szCs w:val="28"/>
          <w:rtl w:val="true"/>
          <w:lang w:bidi="ar-SA"/>
        </w:rPr>
        <w:t>أنّ لكلّ مالكٍ السلطنة على أنحاء التصرّفات في ماله، ولو كان بقصد الإضرار، وسواء كان مستلزماً للضرر على الغير أم 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ضامناً للضرر الوارد على الغير؛ لأنّه بفعله وإتلافه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للمالك التصرّف في ماله مطلقاً بأن يلقي ماله في البحر؛ فإنّ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عموم على الإطلاق، بل غاية ما يثبت بها أنّه له التصرّف في ماله شريطة أن يكون تصرّفه فيها عقلائيّاً وممّا جرت عليه أو على مثله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النحوين الأوّلين لا دليل على جواز هذه التصرّفات أصلاً، بل يمكن القول بأنّ قاعدة عموم السلطنة لا تشملهما؛لما بيّناه من أنّه حتى تصرّف المالك في ماله له حدّ معيّن لا يجوز له أن يتخطّاه، فمن الواضحات أنّه لا يجوز له أن يتصرّف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بإلقائه في البحر، أو أن يتصرّف في معوله بهدم دار الغير، أو بمديةٍ له بشقّ بطن الغير، ففي مثل هذه الموارد، وما أكثرها، لا يمكن أن يقال بالجواز، مضافاً إلى أنّه يثبت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النحو الثالث، فقد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ما ذكرنا في الصورتين المقدّمتين 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السلطنة؛ لأنّ سلطنة الملّاك على أموالهم حكم شرعيّ وضعيّ </w:t>
      </w:r>
    </w:p>
    <w:p>
      <w:pPr>
        <w:pStyle w:val="BookText"/>
        <w:rPr/>
      </w:pPr>
      <w:r>
        <w:rPr>
          <w:rFonts w:ascii="Amiri" w:hAnsi="Amiri" w:eastAsia="Amiri" w:cs="Amiri"/>
          <w:color w:val="111111"/>
          <w:sz w:val="28"/>
          <w:sz w:val="28"/>
          <w:szCs w:val="28"/>
          <w:rtl w:val="true"/>
          <w:lang w:bidi="ar-SA"/>
        </w:rPr>
        <w:t xml:space="preserve">على الأموال بعناوينها الأوّليّة، وقد تقدّم 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الأدلّة الأوّليّة المثبتة للأحكام على موضوعاتها بعناوينها الأوّليّة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المقام أنّ عدم جواز تصرّف المالك في ماله وحرمته فيما إذا كان التصرّف ضرريّاً بالنسبة إلى الغير، ولم يكن تركه ضرريّاً على نفسه، ولكن كان فيه نفع للمالك، فترك مثل هذا التصرّف وحرمته حرجيّ للمالك؛ لأنّه لا شكّ في أنّ عدم قدرة المالك على التصرّفات النافعة حرج عليه، فيقع التعارض بين قاعدة الضرر وقاعدة الحرج، والثانية حاكمة على الاُولى، وعلىفرض عدم الحكومة تكون قاعدة السلطنة هو المرجع بعد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لأنّه ليس هناك دليل يدلّ على تقديم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مصاديق الحرج، وإنّ القاعدتين لا تجتمعان في مورد واحد حتى يتعارضا؛ فإنّ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السلطنة فيما إذا كانت ضرريّة، ونفي السلطنة على تقدير كونه حرجياً أمر عدميّ، ولا يرتفع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المقام من مصاديق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يقال بأنّ نفي النفي إثبات ويرجع إلى بقاء السلطنة، فيقع التعارض، وذلك من جهة أنّ مفاد لا حرج إنّما هو نفي الحكم الموجود الذي يكون حرجيّاً، لا إثبات حكم لرفع الحرج</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 الضرر تشمل كلا الجانبين،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اللّاحق بالمالك نفسه والضرر اللّاحق بالغير، فيتعارضان ويتساقطان،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عدم النفع ضرر،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لكلا الضررين، فيتساقطان، والمآل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لم نقل بذلك،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حاكمة على أدلّة السلطنة، فتتقدّم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بعينه يأتي بالنسبة إلى النحو الرابع،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تشمل الضرر اللّاحق بالمالك والضرر اللّاحق بالغير فيتعارضان، وبعد تساقطهما، فيكون المرجع إلى قاعدة السلطنة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يترتّب على ما قلناه من عموم القاعدة، أن يكون الحكم الضرريّ مرفوعاً مطلقاً، بلا فرق بين ما إذا كان من قبيل أن يفعل المكلّف شيئاً يتسبّب من خلاله بالضرر إلى نفسه، أو إلى غيره، فإذا كانت المرضعة قليلة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صامت لأضرّ صومها بولدها، </w:t>
      </w:r>
    </w:p>
    <w:p>
      <w:pPr>
        <w:pStyle w:val="BookText"/>
        <w:rPr/>
      </w:pPr>
      <w:r>
        <w:rPr>
          <w:rFonts w:ascii="Amiri" w:hAnsi="Amiri" w:eastAsia="Amiri" w:cs="Amiri"/>
          <w:color w:val="111111"/>
          <w:sz w:val="28"/>
          <w:sz w:val="28"/>
          <w:szCs w:val="28"/>
          <w:rtl w:val="true"/>
          <w:lang w:bidi="ar-SA"/>
        </w:rPr>
        <w:t>فالظاهر عدم صحّة الصوم منها، وأنّه مشمول للقاعدة، فإنّ المنفيّ بها هو الحكم الضرريّ، والحكم بالصوم بالنسبة إليها ضرريّ، ولولا باعتبار نفسها، بل باعتبار رضيعها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المرضعة أجنبيّةً وآجرت نفسها للرضاع،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لها ترك الصوم، وإن كان ضرريّاً،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يضرّ بولد الغير، بجفاف لبنها وعجزها عن إرضاعه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في قاعدة لا ضرر</w:t>
      </w:r>
      <w:r>
        <w:rPr>
          <w:rFonts w:eastAsia="Amiri" w:cs="Amiri" w:ascii="Amiri" w:hAnsi="Amiri"/>
          <w:color w:val="111111"/>
          <w:sz w:val="28"/>
          <w:szCs w:val="28"/>
          <w:rtl w:val="true"/>
          <w:lang w:bidi="ar-SA"/>
        </w:rPr>
        <w:t xml:space="preserve">. </w:t>
      </w:r>
      <w:bookmarkStart w:id="37" w:name="pg15437_354752"/>
    </w:p>
    <w:p>
      <w:pPr>
        <w:pStyle w:val="Heading2"/>
        <w:numPr>
          <w:ilvl w:val="1"/>
          <w:numId w:val="1"/>
        </w:numPr>
        <w:rPr/>
      </w:pPr>
      <w:bookmarkStart w:id="38" w:name="__RefHeading___Toc6974413_2142443653"/>
      <w:bookmarkStart w:id="39" w:name="_Toc13"/>
      <w:bookmarkEnd w:id="37"/>
      <w:bookmarkEnd w:id="38"/>
      <w:r>
        <w:rPr>
          <w:rtl w:val="true"/>
        </w:rPr>
        <w:t>الاستصحاب</w:t>
      </w:r>
      <w:bookmarkEnd w:id="39"/>
    </w:p>
    <w:p>
      <w:pPr>
        <w:pStyle w:val="Heading3"/>
        <w:numPr>
          <w:ilvl w:val="2"/>
          <w:numId w:val="1"/>
        </w:numPr>
        <w:rPr/>
      </w:pPr>
      <w:bookmarkStart w:id="40" w:name="__RefHeading___Toc6974415_2142443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974417_2142443653"/>
      <w:bookmarkStart w:id="43" w:name="_Toc15"/>
      <w:bookmarkEnd w:id="42"/>
      <w:r>
        <w:rPr>
          <w:rtl w:val="true"/>
        </w:rPr>
        <w:t xml:space="preserve">الأمر الأوّل </w:t>
      </w:r>
      <w:r>
        <w:rPr>
          <w:rtl w:val="true"/>
        </w:rPr>
        <w:t>:</w:t>
      </w:r>
      <w:r>
        <w:rPr>
          <w:rtl w:val="true"/>
        </w:rPr>
        <w:t>في بيان الأقوال التي وردت في جريانه وحجّيّته</w:t>
      </w:r>
      <w:r>
        <w:rPr>
          <w:rtl w:val="true"/>
        </w:rPr>
        <w:t>:</w:t>
      </w:r>
      <w:bookmarkEnd w:id="43"/>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تتركّز عليه هذه الأقوال أنّه بعد الفراغ عن جريان الاستصحاب، فلابدّ من البحث في أنّه هل يجري في الأحكام أم هو مختصّ بالموضوعات؟ ثمّ هل يجري في حالات الشكّ في المقتضي أيضاً أم أنّ جريانه مختصّ بالشكّ في الرافع؟</w:t>
      </w:r>
    </w:p>
    <w:p>
      <w:pPr>
        <w:pStyle w:val="BookText"/>
        <w:rPr/>
      </w:pPr>
      <w:r>
        <w:rPr>
          <w:rFonts w:ascii="Amiri" w:hAnsi="Amiri" w:eastAsia="Amiri" w:cs="Amiri"/>
          <w:color w:val="111111"/>
          <w:sz w:val="28"/>
          <w:sz w:val="28"/>
          <w:szCs w:val="28"/>
          <w:rtl w:val="true"/>
          <w:lang w:bidi="ar-SA"/>
        </w:rPr>
        <w:t>وبقيّة الأقوال لا فائدة في ذكرها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الكلام في أنّه هل يكون من الاُصول العمليّة أو ليس من الاُصول والأمارات، بل عرش الاُصول وفرش الأمارات؟ وإذا كان من الاُصول، فهل هو أصل شرعيّ أم عقليّ، تنزيليّ أم غير تنزيليّ؟ </w:t>
      </w:r>
      <w:bookmarkStart w:id="44" w:name="pg15437_354753"/>
    </w:p>
    <w:p>
      <w:pPr>
        <w:pStyle w:val="BookText"/>
        <w:rPr/>
      </w:pPr>
      <w:bookmarkEnd w:id="44"/>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وینبغي أن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مجرى الاستصحاب هو الشكّ في بقاء المتيقّن السابق، سواء كان حكماً شرعيّاً أو موضوعاً ذا حكم، فهو من الاُصول العلميّة المحرزة، ولذا كان يقوم مقام القطع دون سائر الاُصول العمليّة</w:t>
      </w:r>
      <w:r>
        <w:rPr>
          <w:rFonts w:eastAsia="IRNazanin" w:cs="IRNazanin"/>
          <w:color w:val="111111"/>
          <w:sz w:val="28"/>
          <w:szCs w:val="28"/>
          <w:rtl w:val="true"/>
          <w:lang w:bidi="fa-IR"/>
        </w:rPr>
        <w:t>.</w:t>
      </w:r>
    </w:p>
    <w:p>
      <w:pPr>
        <w:pStyle w:val="Heading3"/>
        <w:numPr>
          <w:ilvl w:val="2"/>
          <w:numId w:val="1"/>
        </w:numPr>
        <w:rPr/>
      </w:pPr>
      <w:bookmarkStart w:id="45" w:name="__RefHeading___Toc6974419_2142443653"/>
      <w:bookmarkStart w:id="46" w:name="_Toc16"/>
      <w:bookmarkEnd w:id="45"/>
      <w:r>
        <w:rPr>
          <w:rtl w:val="true"/>
        </w:rPr>
        <w:t xml:space="preserve">الأمر الثاني </w:t>
      </w:r>
      <w:r>
        <w:rPr>
          <w:rtl w:val="true"/>
        </w:rPr>
        <w:t>:</w:t>
      </w:r>
      <w:r>
        <w:rPr>
          <w:rtl w:val="true"/>
        </w:rPr>
        <w:t>في بيان المعنى الاصطلاحيّ للاستصحاب</w:t>
      </w:r>
      <w:r>
        <w:rPr>
          <w:rtl w:val="true"/>
        </w:rPr>
        <w:t>:</w:t>
      </w:r>
      <w:bookmarkEnd w:id="46"/>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عباراتهم في تعريفه، وإن كانت شتّى، إلّا أنّها تشير إلى مفهوم واحد، ومعنى فارد، وهو الحكم ببقاء حكم أو موضوع ذي حكم شكّ في بقائه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عبارة عن حكم الشارع ببقاء المتيقّن السابق، حكماً كان أو موضوعاً ذا حكم، من حيث ترتيب الآثار الشرعيّة على أنّه متيقّن عند الشكّ في بقائه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المراد هو الإبقاء الواقعيّ، بل هو إبقاء ظاهريّ، وإنّما عدل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فيه بدلاً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مورد الاستصحاب حكم أو موضوع ذو حكم، ولو لم يكن هذا الحكم موجوداً وثابتاً واقعاً</w:t>
      </w:r>
      <w:r>
        <w:rPr>
          <w:rFonts w:eastAsia="Amiri" w:cs="Amiri" w:ascii="Amiri" w:hAnsi="Amiri"/>
          <w:color w:val="111111"/>
          <w:sz w:val="28"/>
          <w:szCs w:val="28"/>
          <w:rtl w:val="true"/>
          <w:lang w:bidi="ar-SA"/>
        </w:rPr>
        <w:t xml:space="preserve">. </w:t>
      </w:r>
      <w:bookmarkStart w:id="47" w:name="pg15437_354754"/>
    </w:p>
    <w:p>
      <w:pPr>
        <w:pStyle w:val="Heading3"/>
        <w:numPr>
          <w:ilvl w:val="2"/>
          <w:numId w:val="1"/>
        </w:numPr>
        <w:rPr/>
      </w:pPr>
      <w:bookmarkStart w:id="48" w:name="__RefHeading___Toc6974421_2142443653"/>
      <w:bookmarkStart w:id="49" w:name="_Toc17"/>
      <w:bookmarkEnd w:id="47"/>
      <w:bookmarkEnd w:id="48"/>
      <w:r>
        <w:rPr>
          <w:rtl w:val="true"/>
        </w:rPr>
        <w:t>الأمر الثالث</w:t>
      </w:r>
      <w:r>
        <w:rPr>
          <w:rtl w:val="true"/>
        </w:rPr>
        <w:t xml:space="preserve">: </w:t>
      </w:r>
      <w:r>
        <w:rPr>
          <w:rtl w:val="true"/>
        </w:rPr>
        <w:t>هل الاستصحاب من المسائل الاُصوليّة أم لا؟</w:t>
      </w:r>
      <w:bookmarkEnd w:id="4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المسائل الاُصوليّة، لا من القواعد الفقهيّة، وإن كان يظهر من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كونه مسألة اُصوليّة على تقدير استفادته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على القول بكونه من الاُصول العمليّة، ففي كونه من المسائل الاُصوليّة غموض؛ من حيث 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مستفادة من السنّة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المقام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 التفصيل بين الاستصحابات الجارية في الشبهات الحكميّة، والاستصحابات الجارية في الشبهات الموضوعيّة،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الاستصحاب من المسائل الاُصوليّة،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القواعد الفقهيّة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هذا التفصيل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أنّنا عرفنا في تعريف المسألة الاُصوليّة أنّها ما تقع كبرى في قياسات يستنتج منها الحكم الكلّيّ الشرعيّ، فالمسألة الاُصوليّة نتيجتها كلّيّة، ولا تتعلّق بعمل آحاد المكلّفين إلّا بعد التطبيق الخارجيّ</w:t>
      </w:r>
      <w:r>
        <w:rPr>
          <w:rFonts w:eastAsia="Amiri" w:cs="Amiri" w:ascii="Amiri" w:hAnsi="Amiri"/>
          <w:color w:val="111111"/>
          <w:sz w:val="28"/>
          <w:szCs w:val="28"/>
          <w:rtl w:val="true"/>
          <w:lang w:bidi="ar-SA"/>
        </w:rPr>
        <w:t xml:space="preserve">. </w:t>
      </w:r>
      <w:bookmarkStart w:id="50" w:name="pg15437_354755"/>
    </w:p>
    <w:p>
      <w:pPr>
        <w:pStyle w:val="BookText"/>
        <w:rPr/>
      </w:pPr>
      <w:bookmarkEnd w:id="50"/>
      <w:r>
        <w:rPr>
          <w:rFonts w:ascii="Amiri" w:hAnsi="Amiri" w:eastAsia="Amiri" w:cs="Amiri"/>
          <w:color w:val="111111"/>
          <w:sz w:val="28"/>
          <w:sz w:val="28"/>
          <w:szCs w:val="28"/>
          <w:rtl w:val="true"/>
          <w:lang w:bidi="ar-SA"/>
        </w:rPr>
        <w:t>وهذا بخلاف القاعدة الفقهيّة، فإنّها وإن كانت تقع كبرى لقياس الاستنباط، ولكنّ نتيجتها إنّما تكون حكماً جزئياً يتعلّق بعمل آحاد المكلّفين بلا واسطة، إذن، فإدخالها في المسألة الاُصوليّة إذا كانت الشبهة حكميّة دون أن يكون موضوعيّة يكون بلا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فقد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حجّيّة الاستصحاب الجاري في الشبهات الحكميّة يكون بحثاً عن مسألة اُصوليّة؛ فإنّ النتيجة فيه حكم كلّيّ لا يتعلّق بعمل آحاد المكلّفين إلّا بعد تطبيقها على الأفعال أو الموضوعات الخارجيّة الجزئيّة، ولا عبرة بيقين المقلّد وشكّه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عن حجّيّة الاستصحاب في الشبهات الموضوعيّة، فهو إنّما يكون بحثاً عن قاعدة فقهيّة؛ لأنّ النتيجة فيه حكم عمليّ له تعلّق بعمل الآحاد ابتداءً</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6974423_2142443653"/>
      <w:bookmarkStart w:id="52" w:name="_Toc18"/>
      <w:bookmarkEnd w:id="51"/>
      <w:r>
        <w:rPr>
          <w:rtl w:val="true"/>
        </w:rPr>
        <w:t>الأمر الرابع</w:t>
      </w:r>
      <w:r>
        <w:rPr>
          <w:rtl w:val="true"/>
        </w:rPr>
        <w:t xml:space="preserve">: </w:t>
      </w:r>
      <w:r>
        <w:rPr>
          <w:rtl w:val="true"/>
        </w:rPr>
        <w:t>يتقوّم الاستصحاب باليقين والشكّ</w:t>
      </w:r>
      <w:r>
        <w:rPr>
          <w:rtl w:val="true"/>
        </w:rPr>
        <w:t>:</w:t>
      </w:r>
      <w:bookmarkEnd w:id="52"/>
    </w:p>
    <w:p>
      <w:pPr>
        <w:pStyle w:val="BookText"/>
        <w:rPr/>
      </w:pPr>
      <w:r>
        <w:rPr>
          <w:rFonts w:ascii="Amiri" w:hAnsi="Amiri" w:eastAsia="Amiri" w:cs="Amiri"/>
          <w:color w:val="111111"/>
          <w:sz w:val="28"/>
          <w:sz w:val="28"/>
          <w:szCs w:val="28"/>
          <w:rtl w:val="true"/>
          <w:lang w:bidi="ar-SA"/>
        </w:rPr>
        <w:t>الاستصحاب، سواء كان حكماً ببقاء الحكم الشرعيّ أم حكماً ببقاء موضوعٍ ذي حكم، يجب أن يكون مشتملاً على أمرين اثنين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مسبقاً بحدوث الشيء، وهو ما يمكن استفادته من نفس الشكّ في البقاء؛ لأنّ معنى كون الشكّ شكّاًفي بقاء الحكم أو الموضوع يدلّ على مفروغيّة حدوثه في مرحلة مسبقة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وهو مترتّب على اتّحاد القضيّة المتيقّنة مع المشكوكة من ناحيتي الموضوع والمحمول؛ إذ مع عدم اتّحادهما، لا يكون من الشكّ في البقاء في شيء، بل إنّما يكون شكّاً في الحدوث؛ إذ لا معنى لبقاء الشيء إلّا استمرار وجوده السابق، ومن المعلوم أنّ هذا الاستمرار منوط باتّحاد اللّاحق في وجوده مع وجود السابق، وأن يكون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القضيّتين المتيقّنة والمشكوكة، تارةً يكون أمراً وجوديّاً، وأُخرى أمراً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محمول القضيّة قد يكون من المحمولات الأوّليّة، وأُخرى من المحمولات المترتّبة،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كالوجود والعدم المحمولين على الماهيّات،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والشجاعة والفسق والجبن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لا مانع من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جريانه وحدة القضيّتين المشكوكة والمتيقّنة في الموضوع والمحمول، سواء كان المستصحب من الموضوعات الخارجيّة، كحياة زيد ورطوبة الثوب، أم كان من الأحكام الشرعيّة، كوجوب صلاة الجمعة ونجاسة الماء المتغيّر بأوصاف النجاسة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الموضوعات، تارةً تكون من الاُمور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تكون أجزاؤها مجتمعةً في سلسلة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كانتمن الجواهر، كالحيوان والنبات، أم من الأعراض، كالسواد والبياض والعلم والعدالة والفسق وغير </w:t>
      </w:r>
      <w:bookmarkStart w:id="53" w:name="pg15437_354757"/>
    </w:p>
    <w:p>
      <w:pPr>
        <w:pStyle w:val="BookText"/>
        <w:rPr/>
      </w:pPr>
      <w:bookmarkEnd w:id="53"/>
      <w:r>
        <w:rPr>
          <w:rFonts w:ascii="Amiri" w:hAnsi="Amiri" w:eastAsia="Amiri" w:cs="Amiri"/>
          <w:color w:val="111111"/>
          <w:sz w:val="28"/>
          <w:sz w:val="28"/>
          <w:szCs w:val="28"/>
          <w:rtl w:val="true"/>
          <w:lang w:bidi="ar-SA"/>
        </w:rPr>
        <w:t xml:space="preserve">ذلك من الاُمور الخارجيّة، فإذا أحرز حياة زيد أو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له إجراء استصحاب حياته أو عدالته لو حصل له الشكّ فيهما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من الاُمور غير القارّة، وهي الاُمور التدريجيّة، كالزمان نفسه، أو الزمانيّات، كالماء النابع من العين، أو الدم الخارج من عرق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من الموضوعات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إمكان جريان الاستصحاب، لعدم إحراز بقاء الموضوع؛ لفرض تقوّم الاُمور التدريجيّة بالتصرّم والتجدّد،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فيها؛ لأنّها وإن لم تكن مجتمعة الأجزاء بحسب الوجود؛ لتصرّم أجزائها، وكون مجيء الجزء اللّاحق مترتّباً على تصرّم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وحدتها حقيقيّة لا تنثلم بذلك ما دامت الأجزاء متّصلة ولم يتخلّل العدم بينها، فلذا كان يجوز استصحاب اللّيل والنهار وجريان الماء من منبعه وما إلى ذلك</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974425_2142443653"/>
      <w:bookmarkStart w:id="55" w:name="_Toc19"/>
      <w:bookmarkEnd w:id="54"/>
      <w:r>
        <w:rPr>
          <w:rtl w:val="true"/>
        </w:rPr>
        <w:t xml:space="preserve">الأمر الخامس </w:t>
      </w:r>
      <w:r>
        <w:rPr>
          <w:rtl w:val="true"/>
        </w:rPr>
        <w:t>:</w:t>
      </w:r>
      <w:r>
        <w:rPr>
          <w:rtl w:val="true"/>
        </w:rPr>
        <w:t>اشتراط الفعليّة في الشكّ واليقين</w:t>
      </w:r>
      <w:r>
        <w:rPr>
          <w:rtl w:val="true"/>
        </w:rPr>
        <w:t>:</w:t>
      </w:r>
      <w:bookmarkEnd w:id="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 الشكّ واليقين اللّذين هما مدار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فعليّين لا تقديريّين؛ ذلك لأنّ الاستصحاب إنّما يجري فيما إذا كان المكلّف فعلاً متيقّناً بحكم أو موضوعذي حكم في الزمان السابق،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شاكّاً فعلاً في بقائهما، لا أن يكون شاكّاً ومتيقّناً تقديراً، </w:t>
      </w:r>
    </w:p>
    <w:p>
      <w:pPr>
        <w:pStyle w:val="BookText"/>
        <w:rPr/>
      </w:pPr>
      <w:r>
        <w:rPr>
          <w:rFonts w:ascii="Amiri" w:hAnsi="Amiri" w:eastAsia="Amiri" w:cs="Amiri"/>
          <w:color w:val="111111"/>
          <w:sz w:val="28"/>
          <w:sz w:val="28"/>
          <w:szCs w:val="28"/>
          <w:rtl w:val="true"/>
          <w:lang w:bidi="ar-SA"/>
        </w:rPr>
        <w:t>بحيث يكون غافلاً بالفعل، وليس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بوجود شيءٍ سابقاً، ولا شكّ في بقاء ذلك الشيء لاحقاً، ولكن كان بحيث لو التفت وخرج عن حالة الغفلة هذه يحصل له الشكّ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لزوم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عنوان يؤخذ موضوعاً لأيّ حكمٍ من الأحكام، ففعليّة ذلك الحكم تتوقّف على فعليّة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الذي هو عبارة عن فعليّة وجوب الإبقاء وحرمة النقض، بدوره يكون متوقّفاً على فعليّة الشكّ واليقين، فحيث لا يكونان فعليّين، فلا استصحاب يمكن جريانه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لذلك فيمن كان متيقّناً بالحدث ثمّ غفل عن ذلك وصلّى، ثمّ شكّ بعد الفراغ، بأنّه هل تطهّر للصلاة أم لا؟</w:t>
      </w:r>
    </w:p>
    <w:p>
      <w:pPr>
        <w:pStyle w:val="BookText"/>
        <w:rPr/>
      </w:pPr>
      <w:r>
        <w:rPr>
          <w:rFonts w:ascii="Amiri" w:hAnsi="Amiri" w:eastAsia="Amiri" w:cs="Amiri"/>
          <w:color w:val="111111"/>
          <w:sz w:val="28"/>
          <w:sz w:val="28"/>
          <w:szCs w:val="28"/>
          <w:rtl w:val="true"/>
          <w:lang w:bidi="ar-SA"/>
        </w:rPr>
        <w:t>فهنا تجري قاعدة الفراغ ليُحكم بصحّة صلاته؛ لأنّ الشكّ في الطهارة إنّما حصل بعد العمل، لا قبله، فهو ليس فعليّاً قبل العمل، كي يجري استصحاب الحدث فيؤمر بالطهارة ويُنهى عن الدخول في الصلاة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المتيقّن بالحدث إذا التفت إلى حاله في اللّاحق، وشكّ في بقاء الحدث وعدمه، جرى الاستصحاب في حقّه، ولكن في هذه الحالة، فلو غفل عن ذلك وصلّى، تكون صلاته باطلةً لا محالة لسبق الأمر بالطهارة، ولا تجري قاعدة الفراغ في حقّه؛لأنّ مجرها هو الشكّ الحادث بعد الفراغ لا الشكّ الموجود من قبل العمل؛ لقصور دليلها لذلك، كما ذكر في محلّه</w:t>
      </w:r>
      <w:r>
        <w:rPr>
          <w:rFonts w:eastAsia="Amiri" w:cs="Amiri" w:ascii="Amiri" w:hAnsi="Amiri"/>
          <w:color w:val="111111"/>
          <w:sz w:val="28"/>
          <w:szCs w:val="28"/>
          <w:rtl w:val="true"/>
          <w:lang w:bidi="ar-SA"/>
        </w:rPr>
        <w:t xml:space="preserve">. </w:t>
      </w:r>
      <w:bookmarkStart w:id="56" w:name="pg15437_354759"/>
    </w:p>
    <w:p>
      <w:pPr>
        <w:pStyle w:val="Heading3"/>
        <w:numPr>
          <w:ilvl w:val="2"/>
          <w:numId w:val="1"/>
        </w:numPr>
        <w:rPr/>
      </w:pPr>
      <w:bookmarkStart w:id="57" w:name="__RefHeading___Toc6974427_2142443653"/>
      <w:bookmarkStart w:id="58" w:name="_Toc20"/>
      <w:bookmarkEnd w:id="56"/>
      <w:bookmarkEnd w:id="57"/>
      <w:r>
        <w:rPr>
          <w:rtl w:val="true"/>
        </w:rPr>
        <w:t xml:space="preserve">الأمر السادس </w:t>
      </w:r>
      <w:r>
        <w:rPr>
          <w:rtl w:val="true"/>
        </w:rPr>
        <w:t>:</w:t>
      </w:r>
      <w:r>
        <w:rPr>
          <w:rtl w:val="true"/>
        </w:rPr>
        <w:t>في انقسامات الاستصحاب</w:t>
      </w:r>
      <w:r>
        <w:rPr>
          <w:rtl w:val="true"/>
        </w:rPr>
        <w:t>:</w:t>
      </w:r>
      <w:bookmarkEnd w:id="58"/>
    </w:p>
    <w:p>
      <w:pPr>
        <w:pStyle w:val="Heading4"/>
        <w:numPr>
          <w:ilvl w:val="3"/>
          <w:numId w:val="1"/>
        </w:numPr>
        <w:rPr/>
      </w:pPr>
      <w:bookmarkStart w:id="59" w:name="__RefHeading___Toc6974429_2142443653"/>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انقسامات الاستصحاب باعتبار المستصحب، وباعتبار الدليل الذي يدلّ عليه، وباعتبار الشكّ المأخوذ فيه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انقسامه باعتبار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المستصحب قد يكون أمراً وجوديّاً، وقد يكون أمراً عدميّاً، وكلّ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حكم شرعيّ أو موضوع ذو حكم شرعيّ،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المستصحب من الحكم الشرعيّ الوجوديّ والعدميّ، قد يكون حكماً كلّيّاً، وقد يكون حكماً جزئيّاً، وكل واحد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حكماً تكليفيّاً، وقد يكون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انقسامه بحسب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عقليّاً، وقد يكون شرعيّاً، والشرعيّ قد يكون لفظيّاً، كالكتاب والسنّة، وقد يكون لبّيّاً كالإجماع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انقسامه باعتبار الشكّ المأخوذ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قد يكون شكّاً في المقتضي، بحيث يشكّ في أنّ المستصحب هل هو قابل للبقاء في حدّ نفسه من دون أن يكون هناك رافع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شكّاً في الرافع، وذلك عندما يكونالمستصحب قابلاً للبقاء في حدّ نفسه، لو لم يكن رافع في البين</w:t>
      </w:r>
      <w:r>
        <w:rPr>
          <w:rFonts w:eastAsia="Amiri" w:cs="Amiri" w:ascii="Amiri" w:hAnsi="Amiri"/>
          <w:color w:val="111111"/>
          <w:sz w:val="28"/>
          <w:szCs w:val="28"/>
          <w:rtl w:val="true"/>
          <w:lang w:bidi="ar-SA"/>
        </w:rPr>
        <w:t xml:space="preserve">. </w:t>
      </w:r>
      <w:bookmarkStart w:id="61" w:name="pg15437_354760"/>
    </w:p>
    <w:p>
      <w:pPr>
        <w:pStyle w:val="BookText"/>
        <w:rPr/>
      </w:pPr>
      <w:bookmarkEnd w:id="61"/>
      <w:r>
        <w:rPr>
          <w:rFonts w:ascii="Amiri" w:hAnsi="Amiri" w:eastAsia="Amiri" w:cs="Amiri"/>
          <w:color w:val="111111"/>
          <w:sz w:val="28"/>
          <w:sz w:val="28"/>
          <w:szCs w:val="28"/>
          <w:rtl w:val="true"/>
          <w:lang w:bidi="ar-SA"/>
        </w:rPr>
        <w:t>ثمّ إنّ الشكّ في الرافع قد يكون شكّاً في أصل وجود الرافع، كما أسلفنا، وقد يكون شكّاً في رافعيّة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الاستصحاب قد يكون تعليقيّاً وقد يكون تنجيزيّاً، وهو تارةً يتصوّر في الفروع، وأُخرى في الاُمور الاعتقاديّة، كما إذا فرض الشكّ في أنّ الاعتقاد بنبوّة الأنبياء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واجب علينا أم لا؟ لاحتمال أن يكون مختصّاً بالمسلمين في صدر الإسلام</w:t>
      </w:r>
      <w:r>
        <w:rPr>
          <w:rFonts w:eastAsia="IRNazanin" w:cs="IRNazanin"/>
          <w:color w:val="111111"/>
          <w:sz w:val="28"/>
          <w:szCs w:val="28"/>
          <w:rtl w:val="true"/>
          <w:lang w:bidi="fa-IR"/>
        </w:rPr>
        <w:t>.</w:t>
      </w:r>
    </w:p>
    <w:p>
      <w:pPr>
        <w:pStyle w:val="Heading4"/>
        <w:numPr>
          <w:ilvl w:val="3"/>
          <w:numId w:val="1"/>
        </w:numPr>
        <w:rPr/>
      </w:pPr>
      <w:bookmarkStart w:id="62" w:name="__RefHeading___Toc6974431_2142443653"/>
      <w:bookmarkStart w:id="63" w:name="_Toc22"/>
      <w:bookmarkEnd w:id="62"/>
      <w:r>
        <w:rPr>
          <w:rtl w:val="true"/>
        </w:rPr>
        <w:t>التفصيل بين الأحكام الكلّيّة والأحكام الجزئيّة</w:t>
      </w:r>
      <w:r>
        <w:rPr>
          <w:rtl w:val="true"/>
        </w:rPr>
        <w:t>:</w:t>
      </w:r>
      <w:bookmarkEnd w:id="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التفصيل بين الأحكام، والقول بجريان الاستصحاب في الأحكام الجزئيّة دون الكلّيّة؛ إذ لابدّ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الموضوع في القضيّتين المتيقّنة والمشكوكة واحداً؛ ضرورة أنّ لولا هذا الاتّحاد بين موضوعي القضيّتين، فلا يكون عدم الجري العمليّ على طبق القضيّة المشكوكة نقضاً لليقين بالشكّ،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الاعتناء بثبوت محمول لموضوع آخر للشكّ في ثبوته له، وليس من باب عدم الاعتناء ببقاء المحمول لموضوع القضيّة المتيقّنة بواسطة عروض الشكّ في بقائه كي يصدق عليه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حقيقة الاستصحاب ليست إلّا عبارة عن حرمة نقض اليقين باعتبار الجري العمليّ، ووجوب إبقاء اليقين من حيث آثار المتيقّن، ولزوم الجري العمليّ على طبقه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الشرط غير متوفّر في استصحاب الأحكام الكلّيّة، وذلك لأنّ الشكّ في بقاء الحكم الكلّيّ لا يأتي ولا يتصوّر إلّا من جهة الشكّ في النسخ، إلّا أن يُفرض تغيّر في موضوعه، بوجود وصف لم يكن، أو بفقد قيد كان مأخوذاً في القضيّة المتيقّنة،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أحد أوصافه الثلاثة بالنجاسة نجس يقيناً، ولا يحصل الشكّ في بقاء نجاسته إلّا بتغيّر في موضوع الحكم المجعول له، كما إذا زال التغيّر من قبل نفسه، لا بوصول المطهّر إليه، ومن المعلوم أنّ الماء الذي تغيّر بهذه النجاسة غير الماء غير المتغيّر بنجاسة أُخرى، فموضوع القضيّة المتيقّنة مغاير لموضوع القضيّة المشكوكة، وليس متّحداً معه، وفي هذا المثال، كان تغيّر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فقد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تغيّر الموضوع لفرض وجود وصف لم يكن في القضيّة المتيقّنة، ففي مثل العصير التمريّ أو الزبيبيّ إذا لم يَغْلِ يقيناً، فإنّه يكون طاهراً وشربه حلالاً، ولكن بعد وجود وصف الغليان قبل ذهاب الثلثين، إذا فُرض حصول الشكّ، فليس إلّا من جهة تغيّر الموضوع، فالحكم بعد نجاسة الماء بعد زوال تغيّره من قبل نفسه لا يكون نقضاً لنجاسة الماء الذي تغيّرشيء من أوصافه الثلاثة بالنجس؛ لاختلاف الموضوعين في القضيّتين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بالنسبة إلى الحكم بعدم الحليّة أو بعدم الطهارة للعصير </w:t>
      </w:r>
    </w:p>
    <w:p>
      <w:pPr>
        <w:pStyle w:val="BookText"/>
        <w:rPr/>
      </w:pPr>
      <w:r>
        <w:rPr>
          <w:rFonts w:ascii="Amiri" w:hAnsi="Amiri" w:eastAsia="Amiri" w:cs="Amiri"/>
          <w:color w:val="111111"/>
          <w:sz w:val="28"/>
          <w:sz w:val="28"/>
          <w:szCs w:val="28"/>
          <w:rtl w:val="true"/>
          <w:lang w:bidi="ar-SA"/>
        </w:rPr>
        <w:t xml:space="preserve">التمريّ أو الزبيبيّ بعد الغليان،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نقضاً للحلّيّة أو الطهارة التي كانت لهما قبل الغليان، لعين تلك الجهة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 أنكر صحّة جريان الاستصحاب في باب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ينكره إلّا لأجل ارتكاز هذه الشبهة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التفصيل الثالث في حجّيّة الاستصحاب هو التفصيل بين الأحكام الكلّيّة الإلهيّة وغيرها من الأحكام الجزئيّة والموضوعات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الاستصحاب قاعدة فقهيّة مجعولة في الشبهات الموضوعيّة، نظير قاعدتي الفراغ والتجاوز وغيرهما من القواعد الفقهيّة، وهذا هو الصحيح</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أجاب عنها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الشبهة لا يمكن الجواب عنها لو قلنا بلزوم كون وحدة القضيّتين، التي هي ركن الاستصحاب بنظر العقل وبالدقّة؛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الوحدة بنظر العرف،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وأنّ ما حصل به التغيّر في جانب موضوع القضيّة المتيقّنة هل هو من مقوّماتالموضوع عندهم أم لا، بل أمر خارج عن الموضوع، بحيث إنّ فقده لا يضرّ بصدق النقض عند عدم الاعتناء بحكمه بالشكّ فيه؟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أن يكون هذا القيد الذي صار سبباً للشكّ في بقاء الحكم بنظر العرف من قبيل الواسطة في الثبوت، لا الواسطة في العروض حتى يكون فقده سبباً لعدم بقاء الموضوع، فلا يصدق النقض على عدم الالتزام بحكمه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الفهم العرفيّ أنّه من أيّ واحد من القسمين هو مناسبة الحكم والموضوع،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العرف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تغيّر أحد أوصافه الثلاثة بأوصاف النجاسة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والموضوع، هو أنّ معروض النجاسة إنّما هو جسم الماء، وأنّ التغيّر بأحد الأوصاف يكون علّة للحكم بالنجاسة وواسطة في ثبوتها للماء، لا أنّه من قبيل الواسطة في العروض لكي يكون الماء بوصف كونه متغيّراً موضوعاً، حتى لا يبقى الموضوع بعد زوال التغيّر محفوظاً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فيما ذكرنا في فهم العرف ونظره بمناسبة الحكم والموضوع بين أن يكون القيد المأخوذ في جانب الموضوع بصورة التوصيف،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بصورة القضيّة الشرطيّة،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العبارة لا يؤثّر في فهم العرف بمناسبات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يفهم من القيد إذا كان مأخوذاً بنحو التوصيف أنّه واسطة في العروض، وإذا كان بنحو الشرط والقضيّة الشرطيّة أنّه واسطة في الثبوت</w:t>
      </w:r>
      <w:r>
        <w:rPr>
          <w:rFonts w:eastAsia="Amiri" w:cs="Amiri" w:ascii="Amiri" w:hAnsi="Amiri"/>
          <w:color w:val="111111"/>
          <w:sz w:val="28"/>
          <w:szCs w:val="28"/>
          <w:rtl w:val="true"/>
          <w:lang w:bidi="ar-SA"/>
        </w:rPr>
        <w:t xml:space="preserve">. </w:t>
      </w:r>
      <w:bookmarkStart w:id="64" w:name="pg15437_354764"/>
    </w:p>
    <w:p>
      <w:pPr>
        <w:pStyle w:val="Heading4"/>
        <w:numPr>
          <w:ilvl w:val="3"/>
          <w:numId w:val="1"/>
        </w:numPr>
        <w:rPr/>
      </w:pPr>
      <w:bookmarkStart w:id="65" w:name="__RefHeading___Toc6974433_2142443653"/>
      <w:bookmarkStart w:id="66" w:name="_Toc23"/>
      <w:bookmarkEnd w:id="64"/>
      <w:bookmarkEnd w:id="65"/>
      <w:r>
        <w:rPr>
          <w:rtl w:val="true"/>
        </w:rPr>
        <w:t>التفصيل بين ما كان دليله العقل وما دليله النقل</w:t>
      </w:r>
      <w:r>
        <w:rPr>
          <w:rtl w:val="true"/>
        </w:rPr>
        <w:t>:</w:t>
      </w:r>
      <w:bookmarkEnd w:id="66"/>
    </w:p>
    <w:p>
      <w:pPr>
        <w:pStyle w:val="BookText"/>
        <w:rPr/>
      </w:pPr>
      <w:r>
        <w:rPr>
          <w:rFonts w:ascii="Amiri" w:hAnsi="Amiri" w:eastAsia="Amiri" w:cs="Amiri"/>
          <w:color w:val="111111"/>
          <w:sz w:val="28"/>
          <w:sz w:val="28"/>
          <w:szCs w:val="28"/>
          <w:rtl w:val="true"/>
          <w:lang w:bidi="ar-SA"/>
        </w:rPr>
        <w:t>وفي المقام تفصيل آخر يرتبط بحجّيّة الاستصحاب،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يجري إن كان مدركه دليل العقل، ويجري إن كان دليله الشرع والنقل،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الذي يستكشف من الحكم العقليّ وبقاعدة الملازمة، يكون تابعاً له في مقام الإثبات لا محالة،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حكم العقل معلوماً كان حكم الشرع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عدمه معلوماً كان عدم حكم الشرع كذلك؛ وذلك لأنّ العلم بوجود أحد المتلازمين هو بعينه علم بوجود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طرف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بعدم أحد المتلازمين يكون بعينه علماً بعدم الآخر، بل وكذلك بالنسبة إلى الشكّ، فإنّ الشكّ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شكّاً في الآخر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إنّه لا معنى للإجمال ولا الإهمال في حكم العقل؛ لأنّ العقل لا يحكم بحسن شيء أو قبحه إلّا بعد الالتفات إلى موضوع حكمه مع وجود جميع قيوده وخصوصيّاته التي لها دخل في حكمه، فكلّ قيد اعتبره العقل في موضوع حكمه يجب أن يكون دخيلاً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بقاء موضوع الحكم العقليّ بجميع قيوده وخصوصيّاته المأخوذة فيه، والتي اعتبرها العقل في ذلك الموضوع، فالحكم العقليّ باقٍ، بل ومقطوع البقاء، وكذلك يكون الحكم الشرعيّ، </w:t>
      </w:r>
    </w:p>
    <w:p>
      <w:pPr>
        <w:pStyle w:val="BookText"/>
        <w:rPr/>
      </w:pPr>
      <w:r>
        <w:rPr>
          <w:rFonts w:ascii="Amiri" w:hAnsi="Amiri" w:eastAsia="Amiri" w:cs="Amiri"/>
          <w:color w:val="111111"/>
          <w:sz w:val="28"/>
          <w:sz w:val="28"/>
          <w:szCs w:val="28"/>
          <w:rtl w:val="true"/>
          <w:lang w:bidi="ar-SA"/>
        </w:rPr>
        <w:t>لما ذكرناه من الاستكشاف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فقد منه قيد أو خصوصيّة، فيكون الحكم العقليّ مقطوع الارتفاع، فكذلك يكون الحكم الشرعيّ؛ لمكان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فالحكمان العقليّ والشرعيّ هما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مقطوعا البقاء، وإمّا مقطوعا الارتفاع، فلا شكّ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يتأتّى فيه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بمنع الملازمة بين أن يكون القيد مأخوذاً في موضوع حكم العقل، وبين أن يكون ممّا له دخالة في مناط الحكم، بحيث يؤدّي إلى أن ينتفي مناط ذلك الحكم العقليّ بانتفائه، بل إنّما يصبّ العقل حكمه بالحسن أو بالقبح على الموضوع الذي اجتمعت وتوفّرت فيه كافّة القيود، فيكون حكمه على هذا المجمع بالحسن أو بالقبح حكماً قطعيّاً، ولكن من دون أن يعني ذلك أنّ مدخليّة كلّ واحدٍ من هذه القيود في مناط ذلك الحكم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للعقل إلّا أن يقطع بأنّ ما حكم به من حسن الشيء أو قبحه عند وجود جميع القيود ثابت، وأمّا لو فقد قيد من تلك القيود، فإنّه ولو لم يكن للعقل حكم بالحسن أو بالقبح حينئذٍ، ولكن عدم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جهة أنّه قد قطع وحصل له العلم بعدم وجود المناط للحسن أوللقبح في فاقد القيد، بل من جهة عدم علمه بحصول المناط لهما، فيحتمل وجود هذا المناط، وإن لم يكن له حكم في مورد </w:t>
      </w:r>
      <w:bookmarkStart w:id="67" w:name="pg15437_354766"/>
    </w:p>
    <w:p>
      <w:pPr>
        <w:pStyle w:val="BookText"/>
        <w:rPr/>
      </w:pPr>
      <w:bookmarkEnd w:id="67"/>
      <w:r>
        <w:rPr>
          <w:rFonts w:ascii="Amiri" w:hAnsi="Amiri" w:eastAsia="Amiri" w:cs="Amiri"/>
          <w:color w:val="111111"/>
          <w:sz w:val="28"/>
          <w:sz w:val="28"/>
          <w:szCs w:val="28"/>
          <w:rtl w:val="true"/>
          <w:lang w:bidi="ar-SA"/>
        </w:rPr>
        <w:t>فاقد القيد فعلاً؛ لعدم إحرازه لتوفّر المناط وعلمه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الشرعيّ تابع لمناط حكم العقل وجوداً وعدماً، لا لنفس حكم العقل، فمع احتمال وجود المناط في ما هو فاقد للقيد، فيحتمل بقاء الحكم الشرعيّ ولو مع انتفاء حكم العقل، فيتمّ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الذي لا يزال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التمسّك بالاستصحاب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974435_2142443653"/>
      <w:bookmarkStart w:id="69" w:name="_Toc24"/>
      <w:bookmarkEnd w:id="68"/>
      <w:r>
        <w:rPr>
          <w:rtl w:val="true"/>
        </w:rPr>
        <w:t>الأمر السابع</w:t>
      </w:r>
      <w:r>
        <w:rPr>
          <w:rtl w:val="true"/>
        </w:rPr>
        <w:t xml:space="preserve">: </w:t>
      </w:r>
      <w:r>
        <w:rPr>
          <w:rtl w:val="true"/>
        </w:rPr>
        <w:t>في أدلّة حجّيّة الاستصحاب</w:t>
      </w:r>
      <w:r>
        <w:rPr>
          <w:rtl w:val="true"/>
        </w:rPr>
        <w:t>:</w:t>
      </w:r>
      <w:bookmarkEnd w:id="69"/>
    </w:p>
    <w:p>
      <w:pPr>
        <w:pStyle w:val="Heading4"/>
        <w:numPr>
          <w:ilvl w:val="3"/>
          <w:numId w:val="1"/>
        </w:numPr>
        <w:rPr/>
      </w:pPr>
      <w:bookmarkStart w:id="70" w:name="__RefHeading___Toc6974437_2142443653"/>
      <w:bookmarkStart w:id="71" w:name="_Toc25"/>
      <w:bookmarkEnd w:id="70"/>
      <w:r>
        <w:rPr>
          <w:rtl w:val="true"/>
        </w:rPr>
        <w:t>الدليل الأوّل</w:t>
      </w:r>
      <w:r>
        <w:rPr>
          <w:rtl w:val="true"/>
        </w:rPr>
        <w:t xml:space="preserve">: </w:t>
      </w:r>
      <w:r>
        <w:rPr>
          <w:rtl w:val="true"/>
        </w:rPr>
        <w:t>بناء العقلاء وسيرتهم</w:t>
      </w:r>
      <w:r>
        <w:rPr>
          <w:rtl w:val="true"/>
        </w:rPr>
        <w:t>:</w:t>
      </w:r>
      <w:bookmarkEnd w:id="71"/>
    </w:p>
    <w:p>
      <w:pPr>
        <w:pStyle w:val="BookText"/>
        <w:rPr/>
      </w:pPr>
      <w:r>
        <w:rPr>
          <w:rFonts w:ascii="Amiri" w:hAnsi="Amiri" w:eastAsia="Amiri" w:cs="Amiri"/>
          <w:color w:val="111111"/>
          <w:sz w:val="28"/>
          <w:sz w:val="28"/>
          <w:szCs w:val="28"/>
          <w:rtl w:val="true"/>
          <w:lang w:bidi="ar-SA"/>
        </w:rPr>
        <w:t>والمراد ببناء العقلاء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بما هم متديّنون ومتشبّثون بالشريعة، كما في استقرار طريقتهم على بيع المعاطاة، ونحو ذلك، ولكنّ السيرة بهذا المعنى لا تكون حجّةً بمجرّدها كما لا يخفى، بل يحتاج اعتبارها إلى صدور الإمضاء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العقلاء بما هم عقلاء على أمر شرعيّ، كبنائهم على اعتبار الخبر الموثوق الصدور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محلّ البحث، فلا شكّ في أنّ سيرة العقلاء، بلا فرق بين أن يكونوا من ذوي الأديان أو غيرهم، قائمة على العمل على طبق الحالة السابقة، فإنّ العقلاء في جميع أعمالهموتحرّكاتهم، من التجارة أو زيارة الأصدقاء </w:t>
      </w:r>
    </w:p>
    <w:p>
      <w:pPr>
        <w:pStyle w:val="BookText"/>
        <w:rPr/>
      </w:pPr>
      <w:r>
        <w:rPr>
          <w:rFonts w:ascii="Amiri" w:hAnsi="Amiri" w:eastAsia="Amiri" w:cs="Amiri"/>
          <w:color w:val="111111"/>
          <w:sz w:val="28"/>
          <w:sz w:val="28"/>
          <w:szCs w:val="28"/>
          <w:rtl w:val="true"/>
          <w:lang w:bidi="ar-SA"/>
        </w:rPr>
        <w:t>أو عيادة المرضى أو غير ذلك، بل هم في جميع حركاتهم الارتكازيّة، يرون أنّ عملهم دائماً يكون على طبق الحالة السابقة، ولا يعتنون بشكّهم في ارتفاعه، وشكّهم هذا لا يمنعهم عن العمل والجري على طبق الحالة السابقة، وبما أنّ الشارع لم يصدر منه ردع ونهي عن هذه السيرة، فيكون عدم ردّه له وردعه عنها كاشفاً عن إمضائه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عملهم على طبق الحالة السابقة كان من جهة غفلتهم عن ارتفاعها، أو لأجل اطمئنانهم ببقائها، أو من جهة رجاء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استقرار عملهم على ذلك في ظرف الشكّ الفعليّ، ولو في غير الحالات المشار إليه ليس إلّا ضرباً من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اطمئنانهم ببقاء الحالة السابقة منافٍ لأصل الفرض، وهو استقرار عملهم على طبق الحالة السابقة في ظرف الشكّ ببقائها شكّاً فعليّاً، ومعلوم أنّ الشكّ الفعليّ والاطمئنان لا يجتمعان بحال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الاستمرار على طبق الحالة السابقة في الاُمور المهمّة، وخصوصاً في الأعمال التي يكون فيها على تقدير عدم بقاء الحالة السابقة ضرر كثير لا يمكن أن يكون برجاء إصابة الواقع؛ لأنّ العمل برجاء الواقع إنّما يكون في الغالب في مورد لو صادف الواقع لكان فيه نفع، ولا يكونفيه ضرر،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احتمال النفع دون احتمال الضرر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بإيرادين،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استقرار بنائهم على ذلك تعبّداً، بل إمّا رجاءً واحتياطاً، أو اطمئناناً بالبقاء، أو ظنّاً، ولو نوعاً، أو غفلةً كما هو الحال في سائر الحيوانات دائماً، وفي الإنسان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لكنّه لم يُعلم انّ الشارع به راضٍ وهو عنده ماضٍ، ويكفي في الردع عن مثله ما دلّ من الكتاب والسنّة على النهي عن اتّباع غير العلم، وما دلّ على البراءة أو الاحتياط في الشبهات، فلا وجه لاتّباع هذا البناء فيما لا بدّ في اتّباعه من الدلالة على إمضائه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إيراده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هذا الاستدلال هو إثبات بقائهم على الحالة السابقة على نحو التعبّد وكفاية نفس الوجود السابق بما هو متيقّن في ترتيب آثاره عليه في ظرف الشكّ، ولكنّه ممنوع؛ إذ لا معنى للتعبّد المحض في عمل العقلاء به ارتكازاً، بل لابدّ وأن يكون هناك منشأ عقلائيّ لذلك، وهو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الاحتياط، كما لو فرض أنّ ابنه سافر إلى بلد، وكان والده هو المتكفّل بالإنفاق عليه، فإنّ الوالد ولو شكّ في حياةابنه، يرسل الأموال إليه من باب الاحتياط، حذراً من وقوع ابنه في ضيق المعيشة على تقدير بقاء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الاطمئنان بالبقاء أو الظنّ به، وذلك كالتاجر الذي يرسل البضائع إلى تاجر آخر ساكن في بلد آخر، فإنّه ولو لم يتفحّص عن بقائه في كلّ مرّة، ولكنّه مطمئنّ بحياته، ولذا يرسل إليه البضائع، ولكن لو حدث في تلك البلدة ما يوجب العلم بموت جماعة من زلزال أو وباء، واحتمل أنّ ذلك التاجر كان واحداً منهم، لم يرسل إليه الأموال الخطيرة قطعاً؛ لزوال اطمئنانه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هو الغفلة عن شكّه الفعليّ في بقاء ما كان، كما إذا غيّر مسكنه وغفل عنه، فإنّه قد يسلك الطريق الذي يوصله إلى داره الاُولى، وهذا في الحيوانات أظهر؛ لأجل عادتها التي حصلت له من جهة تكرار الفعل السابق، ومع تبدّل عادتها لا ترجع إلى محلّها الأوّل، إلّا لأجل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الارتكازات لدى العقلاء العمل بالمتيقّن السابق تعبّداً في طرف الشكّ في بقائه كي يتّجه الاستدلال به على اعتبار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هذا البناء العقلائيّ تتوقّف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إمضاء الشارع، ولو بعدم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منع؛ إذ لا دليل على الإمضاء، وإنّما الدليل قائم على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هو</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المانعة عن العمل بالظنّ وغير العلم،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بِهِعِلْمٌ</w:t>
      </w:r>
      <w:r>
        <w:rPr>
          <w:rStyle w:val="FootnoteAnchor"/>
          <w:rtl w:val="true"/>
        </w:rPr>
        <w:footnoteReference w:id="59"/>
      </w:r>
      <w:r>
        <w:rPr>
          <w:rFonts w:ascii="Amiri" w:hAnsi="Amiri" w:eastAsia="Amiri" w:cs="Amiri"/>
          <w:color w:val="111111"/>
          <w:sz w:val="28"/>
          <w:sz w:val="28"/>
          <w:szCs w:val="28"/>
          <w:rtl w:val="true"/>
          <w:lang w:bidi="ar-SA"/>
        </w:rPr>
        <w:t>، فإنّها شاملة للمقام يقيناً؛ إذ المفروض زوال اليقين بالحالة السابقة، وغاية ما يمكن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وجود الظنّ باستمرارها، وكلّ ما ليس بعلم فإنّه يكون موضوعاً للنهي عن اتّباعه،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أورد عليه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مناقض لما ذكره في باب الاستدلال على حجّيّة خبر الثقة بالسيرة في ردّ من قال بأنّ الآيات الناهية عن العمل بغير العلم رادعة، من أنّ رادعيّة الآيات دوريّ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رادعيّة الآيات عن السيرة القائمة على العمل بالاستصحاب متوقّفة على عمومها لها، وعمومها لها متوقّف على عدم تخصيصها ببناء العقلاء، وعدم التخصيص متوقّف على عدم حجّيّة بناء العقلاء؛ إذ لو كان حجّة لخصّص العموم، فإثبات عدم حجّيّة بنائهم على الاستصحاب بأصالة عموم الآيات متوقّف على عدم حجّيّة بنائهم، وهو الدور المحال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بتخصيص العموم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لأنّه يتوقّف على عدم الردع عنها، وهو يتوقّف على تخصيص السيرة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ذكرأنّ الدور وإن تحقّق من كلا الطرفين، ولكنّه يكفي في الإمضاء عدم ثبوت الردع، ولا يعتبر ثبوت عدمه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72" w:name="pg15437_354771"/>
    </w:p>
    <w:p>
      <w:pPr>
        <w:pStyle w:val="Heading4"/>
        <w:numPr>
          <w:ilvl w:val="3"/>
          <w:numId w:val="1"/>
        </w:numPr>
        <w:rPr/>
      </w:pPr>
      <w:bookmarkStart w:id="73" w:name="__RefHeading___Toc6974439_2142443653"/>
      <w:bookmarkStart w:id="74" w:name="_Toc26"/>
      <w:bookmarkEnd w:id="72"/>
      <w:bookmarkEnd w:id="73"/>
      <w:r>
        <w:rPr>
          <w:rtl w:val="true"/>
        </w:rPr>
        <w:t>الدليل الثاني</w:t>
      </w:r>
      <w:r>
        <w:rPr>
          <w:rtl w:val="true"/>
        </w:rPr>
        <w:t xml:space="preserve">: </w:t>
      </w:r>
      <w:r>
        <w:rPr>
          <w:rtl w:val="true"/>
        </w:rPr>
        <w:t>الإجماع</w:t>
      </w:r>
      <w:r>
        <w:rPr>
          <w:rtl w:val="true"/>
        </w:rPr>
        <w:t>:</w:t>
      </w:r>
      <w:bookmarkEnd w:id="74"/>
    </w:p>
    <w:p>
      <w:pPr>
        <w:pStyle w:val="BookText"/>
        <w:rPr/>
      </w:pPr>
      <w:r>
        <w:rPr>
          <w:rFonts w:ascii="Amiri" w:hAnsi="Amiri" w:eastAsia="Amiri" w:cs="Amiri"/>
          <w:color w:val="111111"/>
          <w:sz w:val="28"/>
          <w:sz w:val="28"/>
          <w:szCs w:val="28"/>
          <w:rtl w:val="true"/>
          <w:lang w:bidi="ar-SA"/>
        </w:rPr>
        <w:t>ممّا ادّعي دلالته في المقام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 الأصحاب، فإنّهم متّفقون قديماً وحديثاً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ولإجماع الفقهاء على أنّه متى حصل حكم، ثمّ وقع الشكّ في أنّه هل طرأ ما يزيله أم لا؟ وجب البقاء على ما كان أوّلاً، ولولا القول بالاستصحاب، لكان ترجيحاً لأحد طرفي الممكن من غير مرجّح</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فالفقهاء بأسرهم، على كثرة اختلافهم، اتّفقوا على أنّا متى تيقّنّا حصول شيء وشككنا في حدوث المزيل، أخذنا بالمتيقّن، وهو عين الاستصحاب؛ لأنّهم رجّحوا بقاء الباقي على حدوث الحادث</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الإجماعات إنّما تكون حجّة فيما لو أدّت إلى حدس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 في المجمعين، ولكنّ حدس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 الكلّ لا سبيل له في المقام، فإنّ الاتّفاق من الكلّ إنّما يكون موجباً له فيما إذا لم يكن مستند المتّفقين معلوماً،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يكن هناك مستند يحتمل اعتمادهم عليه، فحينئذٍ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يحدس الإنسان أنّ اتّفاقهم، </w:t>
      </w:r>
      <w:bookmarkStart w:id="75" w:name="pg15437_354772"/>
    </w:p>
    <w:p>
      <w:pPr>
        <w:pStyle w:val="BookText"/>
        <w:rPr/>
      </w:pPr>
      <w:bookmarkEnd w:id="75"/>
      <w:r>
        <w:rPr>
          <w:rFonts w:ascii="IRNazanin" w:hAnsi="IRNazanin" w:eastAsia="IRNazanin"/>
          <w:color w:val="111111"/>
          <w:sz w:val="28"/>
          <w:sz w:val="28"/>
          <w:szCs w:val="28"/>
          <w:rtl w:val="true"/>
          <w:lang w:bidi="fa-IR"/>
        </w:rPr>
        <w:t>مع اختلاف سلائقهم وبلدانهم وأعصارهم وأمصارهم لابدّ وأن يكون لسبب متّفق معلوم عند الكلّ، وأنّه ليس إلّا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لهم مستند معلوم، كما هو الحال في المقام، حيث تمسّك البعض لإثبات حجّيّة الاستصحاب ببناء العقلاء، وبعضهم بالظنون الاستحسانيّة، وبعضهم بالأخبار، وبواسطة اختلاف المدارك، أو اختلاف أفهامهم واستظهاراتهم، وقع الخلاف في اعتباره مطلقاً أو عدم اعتباره كذلك أو التفصيل في الحجّيّة بين بعض الاستصحابات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الاتّفاق في الكلّ ممنوع،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وشطر من الشيعة، وهم الأخباريّون، على القول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بادّعاء الشهرة المحصّلة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974441_2142443653"/>
      <w:bookmarkStart w:id="77" w:name="_Toc27"/>
      <w:bookmarkEnd w:id="76"/>
      <w:r>
        <w:rPr>
          <w:rtl w:val="true"/>
        </w:rPr>
        <w:t>الدليل الثالث</w:t>
      </w:r>
      <w:r>
        <w:rPr>
          <w:rtl w:val="true"/>
        </w:rPr>
        <w:t xml:space="preserve">: </w:t>
      </w:r>
      <w:r>
        <w:rPr>
          <w:rtl w:val="true"/>
        </w:rPr>
        <w:t>الأخبار</w:t>
      </w:r>
      <w:r>
        <w:rPr>
          <w:rtl w:val="true"/>
        </w:rPr>
        <w:t>:</w:t>
      </w:r>
      <w:bookmarkEnd w:id="77"/>
    </w:p>
    <w:p>
      <w:pPr>
        <w:pStyle w:val="Heading5"/>
        <w:numPr>
          <w:ilvl w:val="4"/>
          <w:numId w:val="1"/>
        </w:numPr>
        <w:rPr/>
      </w:pPr>
      <w:bookmarkStart w:id="78" w:name="__RefHeading___Toc6974443_2142443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وهي العمدة في الاستدلال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ينام وهو على وضوء، أتوجب الخفقة والخفقتان عليه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قد تنام العين ولا ينام القلب والأذن، فإذا نامت العين والأذن والقلب،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حرّك إلى جنبه شيء ولم يعلم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يستيقن أنّه </w:t>
      </w:r>
    </w:p>
    <w:p>
      <w:pPr>
        <w:pStyle w:val="BookText"/>
        <w:rPr/>
      </w:pPr>
      <w:r>
        <w:rPr>
          <w:rFonts w:ascii="Amiri" w:hAnsi="Amiri" w:eastAsia="Amiri" w:cs="Amiri"/>
          <w:color w:val="111111"/>
          <w:sz w:val="28"/>
          <w:sz w:val="28"/>
          <w:szCs w:val="28"/>
          <w:rtl w:val="true"/>
          <w:lang w:bidi="ar-SA"/>
        </w:rPr>
        <w:t>قد نام، حتى يجيء من ذلك أمر بيّن، وإلّا، فإنّه على يقين من وضوئه، 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هذا الحديث تارةً من ناحية السند، وأُخرى من ناحية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 فهي مضمرة، ولكن في الحقيقة، فإنّ إضمارها لا يضرّ بصحّتها، فإنّها وإن نقلت مضمرةً في التهذيب</w:t>
      </w:r>
      <w:r>
        <w:rPr>
          <w:rStyle w:val="FootnoteAnchor"/>
          <w:rtl w:val="true"/>
        </w:rPr>
        <w:footnoteReference w:id="65"/>
      </w:r>
      <w:r>
        <w:rPr>
          <w:rFonts w:ascii="IRNazanin" w:hAnsi="IRNazanin" w:eastAsia="IRNazanin"/>
          <w:color w:val="111111"/>
          <w:sz w:val="28"/>
          <w:sz w:val="28"/>
          <w:szCs w:val="28"/>
          <w:rtl w:val="true"/>
          <w:lang w:bidi="fa-IR"/>
        </w:rPr>
        <w:t>، إلّا أنّها مسندة إلى مولانا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كتب الفطاحل والأعلام من أصحابنا، كما نجد ذلك في القوانين</w:t>
      </w:r>
      <w:r>
        <w:rPr>
          <w:rStyle w:val="FootnoteAnchor"/>
          <w:rtl w:val="true"/>
        </w:rPr>
        <w:footnoteReference w:id="66"/>
      </w:r>
      <w:r>
        <w:rPr>
          <w:rFonts w:ascii="IRNazanin" w:hAnsi="IRNazanin" w:eastAsia="IRNazanin"/>
          <w:color w:val="111111"/>
          <w:sz w:val="28"/>
          <w:sz w:val="28"/>
          <w:szCs w:val="28"/>
          <w:rtl w:val="true"/>
          <w:lang w:bidi="fa-IR"/>
        </w:rPr>
        <w:t>والفصول</w:t>
      </w:r>
      <w:r>
        <w:rPr>
          <w:rStyle w:val="FootnoteAnchor"/>
          <w:rtl w:val="true"/>
        </w:rPr>
        <w:footnoteReference w:id="67"/>
      </w:r>
      <w:r>
        <w:rPr>
          <w:rFonts w:ascii="IRNazanin" w:hAnsi="IRNazanin" w:eastAsia="IRNazanin"/>
          <w:color w:val="111111"/>
          <w:sz w:val="28"/>
          <w:sz w:val="28"/>
          <w:szCs w:val="28"/>
          <w:rtl w:val="true"/>
          <w:lang w:bidi="fa-IR"/>
        </w:rPr>
        <w:t>والحدائق</w:t>
      </w:r>
      <w:r>
        <w:rPr>
          <w:rStyle w:val="FootnoteAnchor"/>
          <w:rtl w:val="true"/>
        </w:rPr>
        <w:footnoteReference w:id="68"/>
      </w:r>
      <w:r>
        <w:rPr>
          <w:rFonts w:ascii="Amiri" w:hAnsi="Amiri" w:eastAsia="Amiri" w:cs="Amiri"/>
          <w:color w:val="111111"/>
          <w:sz w:val="28"/>
          <w:sz w:val="28"/>
          <w:szCs w:val="28"/>
          <w:rtl w:val="true"/>
          <w:lang w:bidi="ar-SA"/>
        </w:rPr>
        <w:t>والفوائدالمدنيّة</w:t>
      </w:r>
      <w:r>
        <w:rPr>
          <w:rStyle w:val="FootnoteAnchor"/>
          <w:rtl w:val="true"/>
        </w:rPr>
        <w:footnoteReference w:id="69"/>
      </w:r>
      <w:r>
        <w:rPr>
          <w:rFonts w:ascii="Amiri" w:hAnsi="Amiri" w:eastAsia="Amiri" w:cs="Amiri"/>
          <w:color w:val="111111"/>
          <w:sz w:val="28"/>
          <w:sz w:val="28"/>
          <w:szCs w:val="28"/>
          <w:rtl w:val="true"/>
          <w:lang w:bidi="ar-SA"/>
        </w:rPr>
        <w:t>للأمين الأسترابادي ومفاتيح الاُصول</w:t>
      </w:r>
      <w:r>
        <w:rPr>
          <w:rStyle w:val="FootnoteAnchor"/>
          <w:rtl w:val="true"/>
        </w:rPr>
        <w:footnoteReference w:id="70"/>
      </w:r>
      <w:r>
        <w:rPr>
          <w:rFonts w:ascii="Amiri" w:hAnsi="Amiri" w:eastAsia="Amiri" w:cs="Amiri"/>
          <w:color w:val="111111"/>
          <w:sz w:val="28"/>
          <w:sz w:val="28"/>
          <w:szCs w:val="28"/>
          <w:rtl w:val="true"/>
          <w:lang w:bidi="ar-SA"/>
        </w:rPr>
        <w:t>والوافية</w:t>
      </w:r>
      <w:r>
        <w:rPr>
          <w:rStyle w:val="FootnoteAnchor"/>
          <w:rtl w:val="true"/>
        </w:rPr>
        <w:footnoteReference w:id="71"/>
      </w:r>
      <w:r>
        <w:rPr>
          <w:rFonts w:ascii="Amiri" w:hAnsi="Amiri" w:eastAsia="Amiri" w:cs="Amiri"/>
          <w:color w:val="111111"/>
          <w:sz w:val="28"/>
          <w:sz w:val="28"/>
          <w:szCs w:val="28"/>
          <w:rtl w:val="true"/>
          <w:lang w:bidi="ar-SA"/>
        </w:rPr>
        <w:t>، إلى غير ذلك من كتب الأصحاب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ظفرهم بالأصل المشتمل على الرواية المسندة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نسبتهم الرواية المذكورة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ناشئة ممّا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زرارة أجلّ شأناً عن أن يروي بعنوان الإضمار عن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أجلّاء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عظماء الطائفة ووجوهها، فمن كان في مثل مقامه هذا، فلا يعقل أن يستفتي عن غير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فإضماره هذا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التصريح والإظهار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ذكرها في كتب الحديث وإثبات الحسين بن سعيد وحمّاد وحريز لها في اُصولهم وكتبهم يكون شاهداً على أنّه حديث مرويّ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ذكر الرواية في كتب الحديث واُصوله لا يدلّ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الإضمار هو كغالب الإضمارات، إنّما نشأ من تقطيع المصنّفين للروايات، وذكرهم كلّ قطعة منهافي الباب المناسب لها، وإلّا، فهي غير مضمرة 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قيل من الغالبيّة لا ينكر، ولكن لا يعلم أنّ هذه الرواية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في تصحيح هذه الرواية والبناء عليها هو ما أشرنا إليه من أنّ زرارة أجلّ شأناً من أنّ يستفتي من غير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الناحية السنديّة</w:t>
      </w:r>
      <w:r>
        <w:rPr>
          <w:rFonts w:eastAsia="Amiri" w:cs="Amiri" w:ascii="Amiri" w:hAnsi="Amiri"/>
          <w:color w:val="111111"/>
          <w:sz w:val="28"/>
          <w:szCs w:val="28"/>
          <w:rtl w:val="true"/>
          <w:lang w:bidi="ar-SA"/>
        </w:rPr>
        <w:t xml:space="preserve">. </w:t>
      </w:r>
      <w:bookmarkStart w:id="80" w:name="pg15437_354775"/>
    </w:p>
    <w:p>
      <w:pPr>
        <w:pStyle w:val="Heading5"/>
        <w:numPr>
          <w:ilvl w:val="4"/>
          <w:numId w:val="1"/>
        </w:numPr>
        <w:rPr/>
      </w:pPr>
      <w:bookmarkStart w:id="81" w:name="__RefHeading___Toc6974445_2142443653"/>
      <w:bookmarkStart w:id="82" w:name="_Toc29"/>
      <w:bookmarkEnd w:id="80"/>
      <w:bookmarkEnd w:id="81"/>
      <w:r>
        <w:rPr>
          <w:rtl w:val="true"/>
        </w:rPr>
        <w:t>وأمّا دلالةً</w:t>
      </w:r>
      <w:r>
        <w:rPr>
          <w:rtl w:val="true"/>
        </w:rPr>
        <w:t>:</w:t>
      </w:r>
      <w:bookmarkEnd w:id="82"/>
    </w:p>
    <w:p>
      <w:pPr>
        <w:pStyle w:val="BookText"/>
        <w:rPr/>
      </w:pPr>
      <w:r>
        <w:rPr>
          <w:rFonts w:ascii="IRNazanin" w:hAnsi="IRNazanin" w:eastAsia="IRNazanin"/>
          <w:color w:val="111111"/>
          <w:sz w:val="28"/>
          <w:sz w:val="28"/>
          <w:szCs w:val="28"/>
          <w:rtl w:val="true"/>
          <w:lang w:bidi="fa-IR"/>
        </w:rPr>
        <w:t>فلا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في الحديث لا يمكن حمله على النوم الحقيقيّ؛ لأنّ النوم الحقيقيّ ناقض للطهارة قطعاً، 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جعل الطهارة باقية، فلابدّ من حمله على أنّه شارف على النوم، لا على أنّه حصل له النوم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حينما يسأل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إيجاب الخفقة والخفقتين للوضوء، فهو سؤال عن شبهة حكميّة حاصلة لديه، وذلك لأحد 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لأنّه قد اشتبه عنده مفهوم النوم وتردّد بين الأقلّ والأكثر فلم يعرف أهو شامل للخفقة والخفقتين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لأنّه شكّ في أنّ الخفقة والخفقتين من النواقض المستقلّة،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 في أنّ الخفقة والخفقتين هل هما من مصاديق النوم، ومن جملة مراتبه التي يحصل بها عنوان النوم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قبلنا بأنّ النوم حقيقة مشكّكة، وأنّ لهمراتب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أعلى المراتب، وهو الغالب على القلب، الذي تكشف عنه غلبة النوم على حاسّة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سؤاله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الناقض هل أحد مصاديقه الخفقة والخفقتان؟ أم أنّه منحصر بنوم القلب؟ فتكون الشبهة مفهوميّة وحكميّة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سؤاله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إلى جنبه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سؤال عن شبهة موضوعيّة، وهو أنّه قد يحصل الفتور للإنسان في الحاسّتين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السمع والبصر، فهل يكون هذا أمارةً على حصول النوم الناقض منه أم لا؟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بالنفي؛ لأنّ عدم إحساسه بحركة شيء إلى جنبه ليس لازماً مساوياً للنوم، بل اليقظان أيضاً قد لا يلتفت ولا يشعر بشيءٍ حُرّك إلى جنبه بسبب انشغال باله، وكان الجواب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يستيقن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اليقين أبداً بالشكّ، وإنّما ينقضه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كبرىً كليّة تنحلّ إلى قضايا متعدّدة بحسب تعدّد أفراد اليقين، فتدلّ على حرمة نقض كلّ فرد من أفراد اليقين بالشكّ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بمنزلة الصغرى، والجملة ظاهرة في أنّ اليقين يكون بالفعل،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زمان تحقّق الشكّ،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تعلّق بالحدوث، والشكّ بالبقاء، فهو كان عند عروض الخفقة والخفقتين متيقّناً بتحقّق الوضوء في السابق، وبعروض الخفقة والخفقتين حصل له شكّ في انتقاضه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يقين من وضوئه ولكن زال ذلك اليقين بالشكّ بطروء الشكّ الساري الموجب لانعدام اليقين بالحدوث، لأمكن أن تكون هذه العبارة المتقدّمة ناظرةً إلى الشكّ الساري وقاعدة اليقين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أنّها ظاهرة في فعليّة اليقين بالحدوث، وظهورها هذا آبٍ عن إرادة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لكي يدلّ على حجّيّة الاستصحاب على نحو كلّيّ، فلابدّ أن يثبت به كبرى القياس على نحو العموم الاستغراقيّ، بحيث لو انضمّ إليها الصغرى لأنتج حكماً كلّيّاً إلهيّاً، ولكان قياساً بطريق الشكل الأوّل من القياس الاقتراني الحمليّ كبراه من المسلّمات المفروغ عنها،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أفتى به المفتي، وكلّ ما أفتى به المفتي يجب اتّباعه، فهذا يجب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الحديث ليس كذلك، بل هو مخصوص بباب الوضوء، بل وارد في خصوص حدث النوم من بين نواقض الوضوء، ولو ألغينا خصوصيّة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دليلاً على اعتبار الاستصحاب بالنسبة إلى الشكّ في أيّ ناقضٍ من النواقض، ولو لم يكن النوم، ولكنّه يبقى محصوراً في دائرة الوضوء ونواقضه، إذ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بالوضوء خاصّةً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يدلّ الحديث على حجّيّة الاستصحاب مطلقاً بشرط، وهو أن لا يكون المراد من تلك الجملة هو خصوص اليقينبالوضوء، بل مطلق اليقين، وأن لا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 على الكبرى الكلّيّة وشموله لكلّ حكمٍ أو موضوع ذي حكم لا يمكن إلّا بتجريد اليقين عن إضافته إلى الوضوء، حتى تكون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ليكون المراد مطلق اليقين على نحو العموم الاستغراقيّ، غاية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مصاديقه هو اليقين بالوضوء، وقد 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w:t>
      </w:r>
    </w:p>
    <w:p>
      <w:pPr>
        <w:pStyle w:val="BookText"/>
        <w:rPr/>
      </w:pPr>
      <w:r>
        <w:rPr>
          <w:rFonts w:ascii="Amiri" w:hAnsi="Amiri" w:eastAsia="Amiri" w:cs="Amiri"/>
          <w:color w:val="111111"/>
          <w:sz w:val="28"/>
          <w:sz w:val="28"/>
          <w:szCs w:val="28"/>
          <w:rtl w:val="true"/>
          <w:lang w:bidi="ar-SA"/>
        </w:rPr>
        <w:t>نقض اليقين بالوضوء باندراجه تحت تلك الكبرى الكلّيّة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إضافة اليقين إلى الوضوء في الرواية إنّما كان لأجل أنّه مورد السؤال، ومعلوم أنّ المورد لا يخصّص الوارد، فما دام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فيكون ظاهراً في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بيان وإعطاء القاعدة الكلّيّة لليقين، وهي أنّه لا يجوز نقض اليقين بالشكّ، كائناً ما كان مورد هذا اليقين، في باب الوضوء كما في غيره، وإنّما ذكر اليقين الوضوء من باب أنّه مصداق لهذه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كنّا نحن والفهم العرفيّ لهذه العبارة، لم يكن دخل لخصوص متعلّق اليقين المذكور في الرواية، وهو الوضوء، بل إضافته إلى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لكونه المسؤول عنه ومورد سؤال السائل، وإلّا، فظاهر الرواية يقتضي أنّ كلّ يقين مهما كان الشيء الذي يتعلّق به، فإنّه لا ينقض بالشكّ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باب الكبرى، وأنّه لا دخل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القياس أصلاً، إلّا من باب ذكر أحد مصاديق تلك الكبرى وإحدى صغرياتها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إعطاء قاعدة كلّيّة تكون الصغرى إحدى مصاديقها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عدم اختصاص الرواية بباب الوضوء،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إعطاء القاعدة الكلّيّة التي تجري في جميع الموارد، سواء كان من المورد المذكور في الرواية أم لم يكن،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هذه الجملة </w:t>
      </w:r>
    </w:p>
    <w:p>
      <w:pPr>
        <w:pStyle w:val="BookText"/>
        <w:rPr/>
      </w:pPr>
      <w:r>
        <w:rPr>
          <w:rFonts w:ascii="Amiri" w:hAnsi="Amiri" w:eastAsia="Amiri" w:cs="Amiri"/>
          <w:color w:val="111111"/>
          <w:sz w:val="28"/>
          <w:sz w:val="28"/>
          <w:szCs w:val="28"/>
          <w:rtl w:val="true"/>
          <w:lang w:bidi="ar-SA"/>
        </w:rPr>
        <w:t>في أبواب مختلفة من الفقه كبرىً لصغريات متعدّدة غير اليقين والشكّ المتعلّقين بالوضوء أيضاً، كما ورد في الطهارة والنجاسة وفي عدد الركعات، وفي موارد أُخرى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أسهل وأوضح أن يقطع الإنسان بأنّ هذه الرواية غير مختصّة بباب الوضوء، وأنّها ناظرة إلى إعطاء قاعدة كلّيّة مرتكزة في أذهان العقلاء، غير مختصّة بباب الوضوء، وهي عدم نقض اليقين أبداً بالشكّ،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تُرفع اليد عن العمل على طبق الحالة السابقة ما لم يعلم بالخلاف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الصغرى، وأنّ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الكبرى، فتكون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تامّاً على إمضاء الشارع لما استقرّ عليه بناء العقلاء، وتصحيحاً لما جرى عليه ديدنهم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هناك فرق بين الصحيحة وبين بناء العقلاء؛ فإن العقلاء لا يعملون على طبق الحالة السابقة إلّا إذا أفادت الوثوق والاطمئنان ببقاء الحالة السابقة، وأمّا الصحيحة فهي بإطلاقها تنهى عن نقض اليقين بالشكّ مطلقاً، ولو لم يكن هناك وثوق واطمئنان بالبقاء، ما لم يكن هناك يقين آخر ينقضه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لما عليه العقلاء، ويكون الغرض من التعليل إنّما هو التنبيه على صغريات المعلّل،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تشرب </w:t>
      </w:r>
    </w:p>
    <w:p>
      <w:pPr>
        <w:pStyle w:val="BookText"/>
        <w:rPr/>
      </w:pPr>
      <w:r>
        <w:rPr>
          <w:rFonts w:ascii="Amiri" w:hAnsi="Amiri" w:eastAsia="Amiri" w:cs="Amiri"/>
          <w:color w:val="111111"/>
          <w:sz w:val="28"/>
          <w:sz w:val="28"/>
          <w:szCs w:val="28"/>
          <w:rtl w:val="true"/>
          <w:lang w:bidi="ar-SA"/>
        </w:rPr>
        <w:t>الخمر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ثبوت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انطباق عنوان المسكر المفروغ عن حرمته على السائل المسمّى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اشارة إلى شيء مغروس في الذهن، ومرتكز عند العقلاء؛ لأنّ اليقين بما أنّه كاشف ذاتيّ عن الواقع، فلابدّ من سلوكه، وأمّا الشكّ، فبما أنّه محض التحيّر والتردّد لا ينبغي البناء عليه؛ لكونه محتمل الضرر، فيكون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في هذا الحديث قاعدة عقلائيّة مسلّمة على الاستصحاب، وإن زال اليقين وتبدّل بالشكّ، فأمر بالأخذ باليقين وعدم الاعتناء بالشكّ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اليقين والشكّ بمنزلة طريقين يكون أحدهما مأموناً من الضرر دون الآخر، فإذا دار الأمر بينهما فلا إشكال في أنّ المرتكز هو اختيار الطريق المأمون دون محتمل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بما أنّ اليقين قد تعلّق بالحدوث والشكّ بالبقاء، فلم يتعلّق اليقين بنفس ما تعلّق به الشكّ، حتى لا يجوز نقض اليقين بالشكّ، فلا يصدق نقض اليقين بالشكّ عرفاً، فتطبيق هذه الكبرى الكلّيّة المرتكزة في أذهان العقلاء على الاستصحاب في الرواية إنّما هو من باب التعبّد الشرعيّ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استظهار العموم لجميع أفراد اليقين يبتني إمّا على أن تكون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 الجنس، كما هو ظاهر اللّام، أو بتجريد اليقين عن إضافته إلى الوضوء لو كانت للعهد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فرق فيما استظهرنا من هذه الجملة بين القول بأنّ جواب الشرط الذي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يستيقن أنّه قد نام،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مقامه، أو كانت هذه العلّة نفسها هي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منه هو خصوص اليقين بالوضوء، لكان تكراراً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تقيّد اليقين بالوضوء بحيث يكون الأوسط هو اليقين بالوضوء؛ لقوّة 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بالظرف المقدّر، لا بلفظ اليقين، فكأنهقال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طرف وضوئه على يقين، فيكون الأوسط هو ذات اليقين لا خصوص اليقين بالوضوء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على الاحتمال الأوّل فيكون المجموع من الصغرى والكبرى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بأنّ جواب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على يقين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الجملة الخبريّة واردة في مقام الإنشاء، ولكنّ </w:t>
      </w:r>
    </w:p>
    <w:p>
      <w:pPr>
        <w:pStyle w:val="BookText"/>
        <w:rPr/>
      </w:pPr>
      <w:r>
        <w:rPr>
          <w:rFonts w:ascii="Amiri" w:hAnsi="Amiri" w:eastAsia="Amiri" w:cs="Amiri"/>
          <w:color w:val="111111"/>
          <w:sz w:val="28"/>
          <w:sz w:val="28"/>
          <w:szCs w:val="28"/>
          <w:rtl w:val="true"/>
          <w:lang w:bidi="ar-SA"/>
        </w:rPr>
        <w:t xml:space="preserve">النتيجة في كليهما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استفادة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مع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حذف الجواب وإقامة العلّة مقامه كثير،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تَجْهَرْ بِالْقَوْلِ فَإِنَّهُ يَعْلَمُ السِّرَّ وَأَخْفَى</w:t>
      </w:r>
      <w:r>
        <w:rPr>
          <w:rStyle w:val="FootnoteAnchor"/>
          <w:rtl w:val="true"/>
        </w:rPr>
        <w:footnoteReference w:id="73"/>
      </w:r>
      <w:r>
        <w:rPr>
          <w:rFonts w:ascii="Amiri" w:hAnsi="Amiri" w:eastAsia="Amiri" w:cs="Amiri"/>
          <w:color w:val="111111"/>
          <w:sz w:val="28"/>
          <w:sz w:val="28"/>
          <w:szCs w:val="28"/>
          <w:rtl w:val="true"/>
          <w:lang w:bidi="ar-SA"/>
        </w:rPr>
        <w:t xml:space="preserve">، فإنّ الجواب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واﷲ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غنيّ عن جهرك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الالتزام بحذف الجواب وقيام العلة مقامه خلاف الأصل، فلا يصار إليه إلّا لدليل، فلابدّ من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الجزاء، فمعناه أنّه يجب ترتّب آثار اليقين على الوضوء، ولازمه اختصاص حجّيّة الاستصحاب بباب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الجواب وإن كان على خلاف الأصل، ولكنّه أظهر في المقام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شيوع هذا النوع من الاستعمال في القضايا العرفيّة، كما في الآية المتقدّمة، ومثلها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يَسْرِقْ فَقَدْ سَرَقَ</w:t>
      </w:r>
      <w:r>
        <w:rPr>
          <w:rStyle w:val="FootnoteAnchor"/>
          <w:rtl w:val="true"/>
        </w:rPr>
        <w:footnoteReference w:id="7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 فَقَدْ كَذَّبَتْ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وحملها على الإنشائيّة خلاف الظاهر، فلا يصار إليه إلّا بقرينة، وهي مفقودة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مضمرة 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والإضمار من مثله لا يضرّ كما ذكرنا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إلى أن أُصيب له الماء، فأصبت وحضرت الصلاة، ونسيت أنّ بثوبي شيئاً وصلّيْتُ، ثمّ إنّي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وعلمت أنّه قد أصابه، فطلبته، فلم أقدر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 ثمّ صلّيت فيه،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فإنّيعلمْت أنّه قد أصابه، ولم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وإن لم تشكّ ثمّ رأيته رطباً قطعْتَ الصلاة وغسلْتَه، ثمّ بنيت على الصلاة؛ لأنّك لا تدري لعلّه شيء أُوقع عليك، فليس ينبغي </w:t>
      </w:r>
    </w:p>
    <w:p>
      <w:pPr>
        <w:pStyle w:val="BookText"/>
        <w:rPr/>
      </w:pPr>
      <w:r>
        <w:rPr>
          <w:rFonts w:ascii="Amiri" w:hAnsi="Amiri" w:eastAsia="Amiri" w:cs="Amiri"/>
          <w:color w:val="111111"/>
          <w:sz w:val="28"/>
          <w:sz w:val="28"/>
          <w:szCs w:val="28"/>
          <w:rtl w:val="true"/>
          <w:lang w:bidi="ar-SA"/>
        </w:rPr>
        <w:t>أن تنقض اليقين بالشكّ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هذه الرواية في موضعين منها دلالة على حجّيّة الاستصحاب، الجملة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عينها، ولكن 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المفروض في السؤال هو الظنّ بالإصابة وعدم اليقين بها، فاليقين السابق على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بالإصابة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نقضه بهذا الظنّ، ولو فرض أنّ جريان الاستصحاب في شبهات الموضوعيّة في أمثال هذا المقام مستوجب للفحص، فقد حصل الفحص كما هو مذكور في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الظاهر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إفادة الكبرى الكليّة،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 السؤال الثالث،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لأنّككنت على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في مقام تعليل الحكم بعدم وجوب إعادة الصلاة، بأمر ارتكازيّ، لا بأمر تعبّديّ حتى يختصّ اعتبار الاستصحاب بمورد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اللّام هنا وفي الجملة الثانية، هي كالنصّ في التعليل، يصير كالنصّ في تعليل الحكم بكبرى ارتكازيّة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نقض اليقين بالشكّ، بل هو من نقض اليقين باليقين؛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صلّيت فيه فرأيت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رؤيته للنجاسة وتيقّنه بها، </w:t>
      </w:r>
    </w:p>
    <w:p>
      <w:pPr>
        <w:pStyle w:val="BookText"/>
        <w:rPr/>
      </w:pPr>
      <w:r>
        <w:rPr>
          <w:rFonts w:ascii="Amiri" w:hAnsi="Amiri" w:eastAsia="Amiri" w:cs="Amiri"/>
          <w:color w:val="111111"/>
          <w:sz w:val="28"/>
          <w:sz w:val="28"/>
          <w:szCs w:val="28"/>
          <w:rtl w:val="true"/>
          <w:lang w:bidi="ar-SA"/>
        </w:rPr>
        <w:t>فيكون من نقض اليقين باليقين، فلا تنطبق الكبرى الكلّيّة التي ادّعينا أنّها ارتكازيّة على المورد،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المورد مشمولاً للاستصحاب، ولا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الاستصحاب؛ لأنّ من الممكن أنّ الذي رآه دم جديد ونجاسة حادثة، ولا تكون تلك المظنونة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الضمير عائداً إلى تلك النجاسة المظنونة، بل لعلّه شيء أوقع عليه، كما احتمله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الجمل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إشكال بعد ذلك فيما ورد من تعليل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الإعادة بهذه الكبرى، فتكون هذه الكبرى دليلاً على اعتبار الاستصحاب؛ لظهورها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وليست للعهد، كما ذكرناه تماماً في الصحيحة الأُولى، ويأتي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غير مخصّص للوارد، بل إنّما هو من باب ذكر بعض مصاديق هذه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الجملة الثانية،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ينبغي أن ينقض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شيء أُوقع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فدلالتها على الاستصحاب أظهر؛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علّل الحكم بعدم الإعادة بإبراز احتمال حدوث النجاسة بعد الصلاة، ولتقوية هذا الاحتمال قيّد الحكم بعدم الإعادة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صلّيت فيه </w:t>
      </w:r>
    </w:p>
    <w:p>
      <w:pPr>
        <w:pStyle w:val="BookText"/>
        <w:rPr/>
      </w:pPr>
      <w:r>
        <w:rPr>
          <w:rFonts w:ascii="Amiri" w:hAnsi="Amiri" w:eastAsia="Amiri" w:cs="Amiri"/>
          <w:color w:val="111111"/>
          <w:sz w:val="28"/>
          <w:sz w:val="28"/>
          <w:szCs w:val="28"/>
          <w:rtl w:val="true"/>
          <w:lang w:bidi="ar-SA"/>
        </w:rPr>
        <w:t>فرأيت فيه أنّ النجاسة التي رآها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نجاسة حادثة بعدها لا تلك النجاسة المظنونة قبل الصلاة، لا يخلو عن بعد، فالإشكال باقٍ على حاله،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الإعادة من نقض اليقين باليقين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الإشكال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عدم الإعادة بالاستصحاب، وأنّ الإعادة تكون من نقض اليقين بالشكّ، إنّما هو من باب أنّ الأمر الظاهريّ يقتضي الأجزاء، فإذا قيل بوجوب الإعادة كان معناه عدم إجزاء الأمر الظاهريّ، وعدم الاعتناء بما هو وظيفته ظاهريّة، أعني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مع أنّه مجزٍ عن الإتيان بالأمر الواقعيّ ثانياً، فتكون الإعادة نقضاً لليقين بالشكّ، وهو نفس ما قد نهى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يكاد يصحّ التعليل لو قيل باقتضاء الأمر الظاهريّ للإجزاء، كما قيل؛ ضرورة أنّ العلّة عليه إنّما هو اقتضاء ذاك الخطاب الظاهريّ حال الصلاةللإجزاء وعدم إعادتها، لا لزوم النقض من الإعادة، كما لا يخفى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الأمر الظاهريّ مقتضياً للأجزاء غير تامّ، كما ذكر في محلّه، ولا يمكن أن يكون 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مبتنياً على أمر غير 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المناط هو عنوان إجزاء الأمر الظاهريّ، لكان لابدّ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يعلّل عدم وجوب الإعادة بنفس هذه العنوان، وهو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ظاهر في أنّ المناط كلّ المناط في عدم وجوب الإعادة إنّما هو الاستصحاب، حيث لوحظ إجراء الاستصحاب بلحاظ مرحلة ما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إجراؤه ملحوظاً حال العمل، لكان محلّ لورود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الطهارة الحدثيّة والخبثيّة، فيكفي في الخبثيّة الإحراز حال الالتفات، وبما أنّ الاستصحاب من الاُصول المحرزة، فالشرط حاصل؛ فلا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يكاد يمكن التفصّي عن هذا الإشكال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الصلاة فعلاً حين الالتفات إلى الطهارة هو إحرازها، ولو بأصلٍ أو قاعدة، لا نفسها، فيكون قضيّة استصحاب الطهارة حال الصلاة عدم إعادتها ولو انكشفوقوعها في النجاسة بعدها، كما أنّ إعادتها بعد الكشف تكشف عن جواز النقض وعدم حجّيّة الاستصحاب حالها، كما لا يخفى</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بأنّ هناك فرقاً بين الطهارة الحدثيّة والطهارة الخبثيّة، فإنّ الطهارة الحدثيّة شرط واقعيّ للصلاة، ولذا لو علم بعد </w:t>
      </w:r>
    </w:p>
    <w:p>
      <w:pPr>
        <w:pStyle w:val="BookText"/>
        <w:rPr/>
      </w:pPr>
      <w:r>
        <w:rPr>
          <w:rFonts w:ascii="Amiri" w:hAnsi="Amiri" w:eastAsia="Amiri" w:cs="Amiri"/>
          <w:color w:val="111111"/>
          <w:sz w:val="28"/>
          <w:sz w:val="28"/>
          <w:szCs w:val="28"/>
          <w:rtl w:val="true"/>
          <w:lang w:bidi="ar-SA"/>
        </w:rPr>
        <w:t>الصلاة أنّه قد صلّاها بدون الوضوء، تكون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الطهارة الخبثيّة، فهي شرط علميّ للصلاة، فيكفي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بأصل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الصلاة، وليست بشرط واقعيّ، كالطهارة الحدثيّة التي تدور صحّة الصلاة وفسادها مدارها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حينما يأتي بالصلاة، إمّا أن يكون ملتفتاً إلى الطهارة الخبثيّة، وإمّا أن يكون غافلاً عنها، فإن كان غافلاً وصلّى، مع وجود النجاسة المغفول عنها في ثوبه، فصلاته صحيحة؛ لعدم كون هذه الطهارة معتبرة في حقّه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ملتفتاً إلى الطهارة الخبثيّة، فالشرط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الطهارة، وليس وجودها الواقعيّ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أحرز الملتفت الطهارة بعلمٍ أو علميٍّ أو بأصل عمليّ، ولو أصالة الطهارة، وصلّى، صحّت صلاته، وإن علم بعد ذلك وقوعها في النجس؛ إذ الشرط في الملتفت هو إحراز الطهارة، لا نفسها، والمفروض أن ذلك قد تحقّق له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كان الشرط هو إحراز الطهارة، لا نفس الطهارة الواقعيّة، يحسن تعليل عدم وجوب الإعادة بكون الإعادة نقضاً لليقين بالشكّ؛ لأنّه حال الصلاة كان شاكّاً في بقاء الطهارة بعدما كان قبل الدخول متيقّناً بها، ثمّ ظنّ إصابة النجاسة، والظنّ ملحق بالشكّ حكماً؛ لعدم الدليل على حجّيّته واعتباره، بل جاء الدليل على عدم جواز العمل به، فهو شاكّ في بقاء الطهارة، والاستصحاب قد أوجب إحراز الطهارة في حال </w:t>
      </w:r>
    </w:p>
    <w:p>
      <w:pPr>
        <w:pStyle w:val="BookText"/>
        <w:rPr/>
      </w:pPr>
      <w:r>
        <w:rPr>
          <w:rFonts w:ascii="Amiri" w:hAnsi="Amiri" w:eastAsia="Amiri" w:cs="Amiri"/>
          <w:color w:val="111111"/>
          <w:sz w:val="28"/>
          <w:sz w:val="28"/>
          <w:szCs w:val="28"/>
          <w:rtl w:val="true"/>
          <w:lang w:bidi="ar-SA"/>
        </w:rPr>
        <w:t>الصلاة، فتكون الإعادة منافيةً للاستصحاب المحرز للطهارة، وموجبةً لجعل هذا الإحراز الاستصحابيّ كالعدم، فبعد جريان الاستصحاب وإحراز الطهارة، تكون الصلاة واجدة للشرط، فتقع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الأخبار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الرواية ليست واردة إلّا في مورد الشكّ في الركعات، حيث إنّ صاحب الوسائل ذكرها في ذلك الباب، فيكون مفادها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عدد الركعات فابنِ على اليقين،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الأقلّ من عدد الركعات؛ لأنّه المتيقّن،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استفادة القاعدة الكلّيّة من هذه الموثّقة، ولا يكون لها دلالة على القاعدة الكلّيّة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استفادة القاعدة الكلّيّة وجريان الاستصحاب في جميع الموارد منها؛ إذ بعد أن كانت الموثّقة مطلقة، فاختصاصها بمورد الشكّ في الركعات غير معلوم، ثمّ على تقدير التنزّل والتسليم بأنّ موردها خاصّ، فقد ذكرنا مراراً أنّه مع عدم كون الوارد في حدّ ذاته خاصّاً، فالمورد لا يصلح لتخصيصه، فيكون حال هذه الجملة حال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أبداً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سيّما بعد أن كان كلامه هنا </w:t>
      </w:r>
    </w:p>
    <w:p>
      <w:pPr>
        <w:pStyle w:val="BookText"/>
        <w:rPr/>
      </w:pPr>
      <w:r>
        <w:rPr>
          <w:rFonts w:ascii="Amiri" w:hAnsi="Amiri" w:eastAsia="Amiri" w:cs="Amiri"/>
          <w:color w:val="111111"/>
          <w:sz w:val="28"/>
          <w:sz w:val="28"/>
          <w:szCs w:val="28"/>
          <w:rtl w:val="true"/>
          <w:lang w:bidi="ar-SA"/>
        </w:rPr>
        <w:t>عقيب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باليقين فيها خصوص اليقين بالبراءة،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الظاهر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احتمال أن يكون المراد باليقين فيها هو قاعدة اليقين،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البعد؛ 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على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على اليقين الموجود في ظرف البناء، لا اليقين الموجود سابقاً والذي كان ثمّ انعدم وتبدّل بالشكّ، المسمّى عندهم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الساري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الموثّقة على الاستصحاب هو الأظهر، بعدما أقرّ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هذا البناء على اليقين على أنّه أصل، بما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قاعدة كلّيّة غير مربوطة ولا مختصّة بباب دون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الأخبار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أُخرى لزرارة،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 في ثلاثٍ هو أو في أربع، وقد أحرز الثلاث، قام فأضاف إليها أُخرى، ولا شيء عليه، ولا ينقض اليقينبالشكّ، 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الخبر صحيح سنداً ولا غبار عليه ولذا عبّرنا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ناحية الدلالة، فالمصلّي كان متيقّناً بأنّه قد أتى بالثلاث، وإنّما شكّ في الرابعة، وقد كان قبل الشكّ متيقّناً بعدم إتيانه بالرابعة؛ لأنّه قبل الشروع في الصلاة، وبعد افتتاحها، لم يكن يقيناً آتياً بشيء من الركعات، ثمّ قطع بأنّ هذا العدم قد انتقض بإتيانه بالركعات الثلاث التي هي مُحرَزة بالنسبة إليه، ولم يحصل له شكّ إلّا في الإتيان بالركعة الرابعة، فيستصحب عدمه، فيكون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العلّة لهذا الحكم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فمفادها هو الالتزام بالاستصحاب، ولو لم يكن معناه أنّه عمل بالشكّ، ونقض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يستشكل في دلالة هذه الرواية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أنّ يأتي بركعةٍ بعد الفراغ من دون أن يفصل بتشهد وتسليم، وهذا وإن كان يثبت الاستصحاب،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خلاف المذهب، إذ الالتزام بهذا المضمون يسبّب إيجادقصور في مقتضي الاستصحاب، وعلى فرض ظهورها في ذلك، فيجب حملها على التقيّة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حملنا هذه الجملة على أنّها تكون دالّة على الركعة المنفصلة، كما هو المذهب الحقّ، فلا يعود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الاستصحاب، </w:t>
      </w:r>
    </w:p>
    <w:p>
      <w:pPr>
        <w:pStyle w:val="BookText"/>
        <w:rPr/>
      </w:pPr>
      <w:r>
        <w:rPr>
          <w:rFonts w:ascii="Amiri" w:hAnsi="Amiri" w:eastAsia="Amiri" w:cs="Amiri"/>
          <w:color w:val="111111"/>
          <w:sz w:val="28"/>
          <w:sz w:val="28"/>
          <w:szCs w:val="28"/>
          <w:rtl w:val="true"/>
          <w:lang w:bidi="ar-SA"/>
        </w:rPr>
        <w:t>بل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بين الثلاث والأربع فابنِ على ما يحصل به اليقين ببراءة الذمّة، وليس إلّا البناء على الأكثر، فيكون معناها على خلاف مؤدّى الاستصحاب، وأمّا الإتيان بركعة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تتميم الفريضة على فرض نقصانها واقعاً، أو تحسب نافلة على فرض تماميّتها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احتمالين، لابدّ من ترجيح أحدهما على الآخر، أمّا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تماميّة دلالة الصحيحة على الاستصحاب، ولكنّ المانع موجود؛ وهو أنّه على خلاف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دلالة الرواية على لزوم الإتيان بركعتين منفصلتين، فتسلم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المذهب، ولكنّها تكون أجنبيّةً أصلاً عن إثبات اعتبار الاستصحاب؛ لأنّ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شككت بين الثلاث والأربع فابن على ما يحصل به اليقين ببراءة الذمّة، والذي يتحقّق به اليقين عن فراغ الذمّة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على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ذلك ذهب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اعتبر أنّه لا معنى لأن يراد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الاستصحاب، بل لابدّ أن يراد به لزوم تحصيل اليقينبالبراءة بالكيفيّة المعهودة، كما تدلّ عليه بعض النصوص الأُخرى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اليقين بالبراءة، فيكون المراد </w:t>
      </w:r>
    </w:p>
    <w:p>
      <w:pPr>
        <w:pStyle w:val="BookText"/>
        <w:rPr/>
      </w:pPr>
      <w:r>
        <w:rPr>
          <w:rFonts w:ascii="Amiri" w:hAnsi="Amiri" w:eastAsia="Amiri" w:cs="Amiri"/>
          <w:color w:val="111111"/>
          <w:sz w:val="28"/>
          <w:sz w:val="28"/>
          <w:szCs w:val="28"/>
          <w:rtl w:val="true"/>
          <w:lang w:bidi="ar-SA"/>
        </w:rPr>
        <w:t>وجوب الاحتياط وتحصيل اليقين بالبراءة بالبناء على الأكثر وفعل صلاةٍ مستقلّة قابلةٍ لتدارك ما يُحتمل نقصه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دار الأمر بين الاحتمالين، كان الترجيح لصالح الاحتمال الثاني،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إرادة الركعة المنفصلة؛ لوجود القرينة،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يركع ركعتين وأربع سجدات وهو قائم بفاتحة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حينما يأمر بالإتيان بالركعة، فليس مراده إلّا الركعة المنفصلة،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الفاتحة قرينة على إرادة ركعتين مفصولتين؛ إذ لو أُريد بيان أحد فردي التخيير من الفاتحة والتسبيحات الأربعة المخيّر بينهما المكلّف في الثالثة والرابعة من الرباعيّات، لكان من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عِدل الفاتحة أيضاً، وهو التسبيحات، فحيث لم يُذكر العدل، فلا يمكن إثبات التخيير في مورد البحث، فيكون إطلاق الأمر بقراءة الفاتحة منحصراً في الركعتين المفصولتين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بركعة الاحتياط موصولة موافق لمذهب العامّة ومخالف لما عليه مذهب الإماميّة، وهو لزومالبناء على الأكثر،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اليقين بالبراءة من البناء على اليقين وعدم نقضه بالشكّ؛ </w:t>
      </w:r>
    </w:p>
    <w:p>
      <w:pPr>
        <w:pStyle w:val="BookText"/>
        <w:rPr/>
      </w:pPr>
      <w:r>
        <w:rPr>
          <w:rFonts w:ascii="Amiri" w:hAnsi="Amiri" w:eastAsia="Amiri" w:cs="Amiri"/>
          <w:color w:val="111111"/>
          <w:sz w:val="28"/>
          <w:sz w:val="28"/>
          <w:szCs w:val="28"/>
          <w:rtl w:val="true"/>
          <w:lang w:bidi="ar-SA"/>
        </w:rPr>
        <w:t>تحفّظاً على أصالة عدم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الرواية على اليقين ببراءة الذمّة موافق لمدلول كثير من الروايات الواردة في كيفيّة صلاة الاحتياط،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فابنِ على الأكثر</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بالجزم</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ونحوها؛ إذ كان المراد بالبناء على اليقين هو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الفقهاء اليقين بالبراءة، لا اليقين بعدم الإتيان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التفكيك بين المورد والقاعدة؛ لأنّ القاعدة تقتضي الإتيان بها موصولة، فلابدّ من الالتزام بأنّ أصل البناء على اليقين، الذي هو مقتضى الاستصحاب، حكم واقعيّ، لكنّ تطبيقها على المورد بالإتيان بالركعة موصولةً إنّما هو من باب التقيّة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نقض اليقين بالشكّ لا يراد منه النهي عن نقض اليقين بعدم الإتيان بالرابعة، حتى يكون مؤدّاه هو الاستصحاب، بل المراد من النهي عن رفعاليد عن تحصيل اليقين بالفراغ، بأن يكتفي بعملٍ يشكّ معه في براءة الذمّة، وهذا منحصر في البناء على الأكثر والإتيان بركعة الاحتياط مفصولة؛ لأنّه في الواقع لو كان المأتيّ ثالثاً، لكانت هذه الركعة متمّماً له، ولا يضرّ زيادة التكبير </w:t>
      </w:r>
    </w:p>
    <w:p>
      <w:pPr>
        <w:pStyle w:val="BookText"/>
        <w:rPr/>
      </w:pPr>
      <w:r>
        <w:rPr>
          <w:rFonts w:ascii="Amiri" w:hAnsi="Amiri" w:eastAsia="Amiri" w:cs="Amiri"/>
          <w:color w:val="111111"/>
          <w:sz w:val="28"/>
          <w:sz w:val="28"/>
          <w:szCs w:val="28"/>
          <w:rtl w:val="true"/>
          <w:lang w:bidi="ar-SA"/>
        </w:rPr>
        <w:t>والتشهد والتسليم في صحّة العمل، ولو كانت صلاته تامّة في الواقع، فتكون هذه الركعة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بنى على الأقلّ وأتى بركعة الاحتياط موصولةً، فلعلّه في الواقع قد صلّى أربعاً،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الركعات التي أتى بها خمساً، فلا يحصل اليقين بالفراغ، ضرورة أنّ الركعة المضافة تكون مانعاً من الصحّة، وإذا لم يأتِ بالركعة الأُخرى، مع بنائه على الأكثر، احتمل نقصان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فطريق اليقين بالفراغ منحصر في الطريق الذي علّمه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الأُخرى من البناء على الأكثر والإتيان بركعة الاحتياط مفصولةً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لزوم الإتيان بركعة منفصلة لا يتنافى مع تطبيق الاستصحاب في المقام، وإنّما يتنافى مع إطلاق دليله، فإنّ لزوم الوصل إنّما هو مقتضى إطلاق النقض، فلا مانع من الالتزام بجريان الاستصحاب وتقييد إطلاق دليله بما دلّ على لزوم فصل الركعة، وتقييد الأدلّة ليس بعزيز</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ذبّه بأنّ الاحتياط كذلك لا يأبى عن إرادة اليقين بعدم الركعة المشكوكة، بل كان أصل الإتيان بها باقتضائه،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مفصولةً </w:t>
      </w:r>
    </w:p>
    <w:p>
      <w:pPr>
        <w:pStyle w:val="BookText"/>
        <w:rPr/>
      </w:pPr>
      <w:r>
        <w:rPr>
          <w:rFonts w:ascii="Amiri" w:hAnsi="Amiri" w:eastAsia="Amiri" w:cs="Amiri"/>
          <w:color w:val="111111"/>
          <w:sz w:val="28"/>
          <w:sz w:val="28"/>
          <w:szCs w:val="28"/>
          <w:rtl w:val="true"/>
          <w:lang w:bidi="ar-SA"/>
        </w:rPr>
        <w:t>ينافي إطلاق النقض، وقد قام الدليل على التقييد في الشكّ في الرابعة وغيره، وأنّ المشكوكة لا بدّ أن يُؤتى بها مفصولةً، فافهم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بالتفكيك بين الكبرى والمورد،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نقض اليقين بالشكّ هو من باب بيان الحكم الواقعيّ، وهو حجّيّة الاستصحاب، وأمّا تطبيقه على خصوص الشكّ في الركعات بالبناء على الأقلّ، فيكون من قبيل التقيّة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قرّبه المحقّقان النائينيّ والعراقيّ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الأوّل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 حمل الرواية على التقيّة من حيث تطبيق المورد على الاستصحاب ليس بأبعد من حملها على الوظيفة في الشكّ في عدد الركعات، بل حملها على التقيّة أقرب؛ فإنّه ليس فيه تصرّف فيما يقتضيه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التصرّف إنّما يكون من جهة التطبيق،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لحكم المورد بالاستصحاب حيث كان مذهب العامّة على الإتيان بالركعة المشكوكة متّصلةً ببقيّة الركعات عملاً بالاستصحاب، فالتقيّة إنّما تكون في الاستشهاد، لا في الاستصحاب</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ظهور في صدر الرواية في خلاف التقيّة بنحوٍ يمنع من حمل هذه الفقرة عليها، وإعمال التقيّة في إجراء القاعدة وتطبيقها </w:t>
      </w:r>
    </w:p>
    <w:p>
      <w:pPr>
        <w:pStyle w:val="BookText"/>
        <w:rPr/>
      </w:pPr>
      <w:r>
        <w:rPr>
          <w:rFonts w:ascii="Amiri" w:hAnsi="Amiri" w:eastAsia="Amiri" w:cs="Amiri"/>
          <w:color w:val="111111"/>
          <w:sz w:val="28"/>
          <w:sz w:val="28"/>
          <w:szCs w:val="28"/>
          <w:rtl w:val="true"/>
          <w:lang w:bidi="ar-SA"/>
        </w:rPr>
        <w:t xml:space="preserve">على المورد، لا في نفسها، لا بعد فيه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التفكيك في بعض الأخبار، كما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لأبي العبّاس، بعدما سأله اللّعين عن الإفطار في اليوم الذي شهد بعض بأنّه يوم العيد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إلى إمام المسلمين إن صام صمنا معه، وإن أفطر أفطرنا معه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 الضلالة العبّاسيّ، وإنّما قال ذلك مخافة ضرب عنقه، كما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خروجه من مجلس اللّعين، ولكنّ نفس حجّيّة حكم الحاكم في الهلال لا تقيّة فيه، وإنّما تطبيقه على العبّاسيّ هو الذي كان فيه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استدلّ بهذه الرواية على نفوذ حكمه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ورد تطبيق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حكم واقعيّ، على الحلف بالطلاق والعتاق إكراهاً، مع أنّهما عندنا باطلان، ولو اختياراً، فإسناد بطلانهما حال الإكراه إلى حديث الرفع لم يكن إلّا تقيّةً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الأخبار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خصال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على يقين، فشكّ، فليمضِ على يقينه؛ فإنّ الشكّ </w:t>
      </w:r>
    </w:p>
    <w:p>
      <w:pPr>
        <w:pStyle w:val="BookText"/>
        <w:rPr/>
      </w:pP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فأصابه شكّ، فليمضِ على يقينه؛ فإنّ اليقين لا يدفع بالشكّ</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الروايتان ضعيفتان سنداً؛ لأنّ سند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الصحّة، وكذا سند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لأنّ في الطريق قاسم بن يحيى، ومجرّد وجوده في كامل الزيارات لا يثبت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ناحية الدلالة، فهل تدلّ على الاستصحاب أو قاعدة اليقين أو تصلح للدلالة على كليهما؟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على قاعدة اليقين، ولكن مع ذلك، فهناك قرينة داخليّة في ذيل الرواية يمكن أن يفهم منها القاعدة الكلّيّة الارتكازيّة المسمّاة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اختلاف حصول وصفي اليقين والشكّ؛ لأنّ الفاء عاطفة، فتكون ظاهرة في التعقيب، ومعلوم أنّ اختلاف زمان الوصفين مع كون المتعلّق فيهما واحداً يكون في قاعدة اليقين، دون الاستصحاب، ولذا يكون الشكّ في موردها سارياً إلى اليقين ومزيلاً له وموجباً لتبدّله بالشكّ، ولازم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زمان المتيقّن والمشكوك واحد، </w:t>
      </w:r>
    </w:p>
    <w:p>
      <w:pPr>
        <w:pStyle w:val="BookText"/>
        <w:rPr/>
      </w:pPr>
      <w:r>
        <w:rPr>
          <w:rFonts w:ascii="Amiri" w:hAnsi="Amiri" w:eastAsia="Amiri" w:cs="Amiri"/>
          <w:color w:val="111111"/>
          <w:sz w:val="28"/>
          <w:sz w:val="28"/>
          <w:szCs w:val="28"/>
          <w:rtl w:val="true"/>
          <w:lang w:bidi="ar-SA"/>
        </w:rPr>
        <w:t>وإنّما يكون الاختلاف في زمان حصول الوصفين، والشكّ في القاعدة يتعلّق بالحدوث، ولذلك سمّي بالشكّ الساري؛ لسرايته إلى حدوث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الاستصحاب؛ فإنّ الشكّ يرد فيه على شيء لم يرد فيه اليقين، فإنّ اليقين فيه يرد على الحدوث والشكّ على البقاء، فمتعلّق اليقين والشكّ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الاستصحاب أن يتعلّق اليقين بحدوث شيء، ويتعلّق الشكّ ببقائه، والحدوث شيء والبقاء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اليقين فموضوعها أن يتعلّق اليقين بوجود شيءٍ في زمان، ويتعلّق الشكّ بوجود ذلك الشيء نفسه في نفس الزمان، كما إذا حصل اليقين بعدالة زيد يوم الجمعة، ثمّ شكّ يوم الاثنين أنّه كان عادلاً يوم الجمعة أم لم يكن، وقد عرفنا أنّه 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الشكّ يسري إلى نفس اليقين بحدوثه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عرفنا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ذيل الرواية قرينة على أنّ الاستصحاب كان هو المراد من صدر الرواية، دون قاعدة اليقين،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الشكّ لا ينقض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يدلّ على تلك القضيّة الارتكازيّة التي أُريد بها الاستصحاب في غير واحدٍ من أخبار الباب،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الصدر وإن كان يدلّ على قاعدة اليقين، ولكن لابدّ من رفع اليد عن هذا الظهور، مراعاةً لجانب هذه القرينة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الصفّار عن علي بن محمّد القاساني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إليه وأنا بالمدينة عن اليوم الذي يشكّ فيه من شهر رمضان، هل يصام أم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لا يدخل فيه الشكّ، صم للرؤية وأفطر للرؤية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فلأنّ القاساني لا توثيق له، بل حكي تضعيف الشيخ له، ولم يُعلم اتّحاده مع علي بن محمّد بن شيرة القاشاني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منجبر بعمل المشهور غير ثابتة،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بجابريّة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جابريّتها، فثمّة روايات كثيرة صحيحة أُخرى تدلّ على اعتبار الاستصحاب وحجّيّته، فلعلّ المشهور استندوا إلى تلكم الروايات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الدلالة،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حكم يوم الشكّ في أوّل شهر رمضان،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حكم الشكّ في أنّه يوم الثلاثين من رمضان أم عيد الفطر،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 فيه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اليقين بشعبان الذي لا يجب فيه الصوم لا يدخله حكماً الشكّ بدخول رمضان حتى يخرج عن حكم شعبان الذي </w:t>
      </w:r>
    </w:p>
    <w:p>
      <w:pPr>
        <w:pStyle w:val="BookText"/>
        <w:rPr/>
      </w:pPr>
      <w:r>
        <w:rPr>
          <w:rFonts w:ascii="IRNazanin" w:hAnsi="IRNazanin" w:eastAsia="IRNazanin"/>
          <w:color w:val="111111"/>
          <w:sz w:val="28"/>
          <w:sz w:val="28"/>
          <w:szCs w:val="28"/>
          <w:rtl w:val="true"/>
          <w:lang w:bidi="fa-IR"/>
        </w:rPr>
        <w:t>هو عدم الوجوب بصرف الشكّ في دخولرمضان، بل لابدّ من اليقين بدخول رمضان، وقد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اليقين بدخول شهر رمضان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بيّن أنّ هذا الحكم غير مختصّ بأول شهر رمضان وباليقين بشعبان والشكّ بدخول رمضان، بل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لآخر الشهر عند اليقين برمضان والشكّ في دخول شوّال، فكذلك لا يجوز الخروج عن حكم رمضان بمجرّد الشكّ في دخول شوّال، بل إنّما يرفع اليد عن حكم شهر رمضان والبناء على خروجه بالرؤية فقط، كما كان كذلك بالنسبة إلى شعبان، فإنّ رفع اليد عن حكمه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معلّقاً على الاستدلال بهذه المكاتبة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 هذه الرواية أظهر ما في هذا الباب من أخبار الاستصحاب، إلّا أنّ سندها غير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تفريع تحديد كلٍّ من الصوم والإفطار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برؤية هلالَي رمضان وشوّال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يدخله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يستقيم إلّا بإرادة عدم جعل اليقين السابق مدخولاً بالشكّ،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مزاحماً به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المقابل ذهب 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إنكار ظهورها في ذلك، فضلاً عن أن تكون أظهر الروايات دلالةً عليه، ببيان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يوم الشكّ الذي سُئل فيه عن وجوبالصوم، وكذلك جواز الإفطار أو وجوبه، حكم اليقين برمضان في الأوّل وحكم اليقين بشوّال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الأخبار الواردة في يوم الشكّ يشرف القطع بأنّ المراد باليقين هو اليقين بدخول شهر رمضان، وأنّه لابدّ في وجوب الصوم ووجوب الإفطار من اليقين بدخول شهر رمضان وخروجه، وأين هذا من الاستصحاب</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فلابدّ من تحقيق حال هذه الرواية وأنّها تدلّ على الاستصحاب أم 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ينبغي أن يتوهّم أحد أنّ اليقين هنا هو إمّا تمام الموضوع أو جزؤه، ولو على نحو الطريقيّة والمرآتيّة، بل اليقين مأخوذ بما هو مرآة وطريق إلى متعلّق الحكم وموضوعه، 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اقترانه بذيل الرواية،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 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الاستصحاب، فإنّ اليقين بعدم دخول رمضان أو عدم دخول شوّال لا يدخله الشكّ في دخول رمضان في الأوّل أو الشكّ في دخول شوّأل في الثاني،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إبقاء اليقين بما هو مرآة حتى يعلم خلافه، فيكون ظاهراً في الاستصحاب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اليقين ليس هو اليقين بشعبان حتى يكون دالّاً على الاستصحاب ويكونالمعنى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نقض اليقين بالشكّ، بل 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يعتبر اليقين في صوم شهر رمضان دخولاً وخروجاً، وبدواً وختاماً، ولا دلالة له على الاستصحاب أصلاً، فتذييل هذه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لا ينقض إلّا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الجملة المذكورة أجنبيّةً عن الدلالة على حجّيّة الاستصحاب، بل الرواية دالّة على الحكم الواقعيّ لصوم شهر رمضان، ولا علاقة لها بالدلالة على الحكم الظاهريّ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متكفّلة للدلالة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المعنى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رأيتموا الهلال فصوموا، وإذا رأيتموه فأفطروا، وليس بالرأي ولا بالتظنّي، ولكن بالرؤية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الفضيل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للرؤية وأفطروا للرؤية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جريان الاستصحاب هنا،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تطبيق الاستصحاب على المورد؛ لأنّ وجوب الصوم إذا كان مترتّباً على بقاء الشهر بمفاد كانالتامّة، فلاستصحابه مجال، وإن كان مترتّباً كون هذا اليوم المعيّن من شهر رمضان بمفاد كان الناقصة، فلا مجال لاستصحاب بقاء الشهر؛ لأنّ إثبات الوجود النعتيّ باستصحاب الوجود المحمولي لا يتمّ إلّا على القول بالأصل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97"/>
      </w:r>
      <w:r>
        <w:rPr>
          <w:rFonts w:ascii="Amiri" w:hAnsi="Amiri" w:eastAsia="Amiri" w:cs="Amiri"/>
          <w:color w:val="111111"/>
          <w:sz w:val="28"/>
          <w:sz w:val="28"/>
          <w:szCs w:val="28"/>
          <w:rtl w:val="true"/>
          <w:lang w:bidi="ar-SA"/>
        </w:rPr>
        <w:t>، هو الثاني؛ لظهوره في اعتبار وقوع الصوم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رمضانيّة اليوم الذي يقع فيه الصوم لا يمكن أن يتمّ باستصحاب بقاء الشهر؛ لقصوره عن إثبات رمضانيّة هذا اليوم حتى يقع الصوم في شهر رمضان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وافقه عليه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حقائق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مضافاً إلى أنّ جريان الاستصحاب في المقام موقوف على كون وجوب الصوم من آثار بقاء شهر رمضان وكون عدمه من آثار عدم دخوله،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وجوبه على استصحاب بقاء الشهر، وعدم وجوبه على أصالة عدم دخوله، أمّا لو كان وجوب الصوم من آثار كون الزمان المعيّن من رمضان بنحو مفاد كان الناقصة، فاستصحاب بقائه أو عدم دخوله لا يترتّب عليه تعيين حال زمان الشكّ من حيث كونه من رمضان أو من غيره؛ إذ لا يترتّب مفادكان الناقصة على استصحاب </w:t>
      </w:r>
    </w:p>
    <w:p>
      <w:pPr>
        <w:pStyle w:val="BookText"/>
        <w:rPr/>
      </w:pPr>
      <w:r>
        <w:rPr>
          <w:rFonts w:ascii="Amiri" w:hAnsi="Amiri" w:eastAsia="Amiri" w:cs="Amiri"/>
          <w:color w:val="111111"/>
          <w:sz w:val="28"/>
          <w:sz w:val="28"/>
          <w:szCs w:val="28"/>
          <w:rtl w:val="true"/>
          <w:lang w:bidi="ar-SA"/>
        </w:rPr>
        <w:t xml:space="preserve">مفاد كان التامّة إلّا على القول بالأصل المثبت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عجيب؛ لأنّ عدم دخول رمضان أو بقاء شعبان يكفي لرفع وجوب الصوم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بالنسبة إلى ما ورد في آخر الرواية لا يفيد؛ لأنّ أصالة عدم دخول شوّال لا يثبت بقاء وجوب الصوم في ذلك اليوم المعيّن، إلّا بعد إثبات أنّه من رمضان، وكذلك أصالة بقاء شعبان لا يثبت عدم حدوث وجوب الصوم إلّا بعد إثبات أنّ ذلك اليوم من شهر رمضان، فيكون إشكال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 به على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تعرف أنّه حرام بعينه فتدعه من قبل نفسك</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الروايات احتمالات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الحلّ وقاعدة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الواقعيّة، كما هو مسلك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النجاسة حقيقة متقوّمة بالعلم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إفادة الاستصحاب، كما استظهره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حملها على إرادة الاستصحاب،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المعلوم طهارته بحسب أصل الخلقة طاهر حتى تعلم،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طهارته المفروضة إلى حين العلم بعروض القذارة 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المغيّى على الحكم الواقعيّ والظاهريّ، وهو طهارة كلّ شيء وحلّيّته واقعاً وظاهراً، ودلالة الغاية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الحكم الظاهريّ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الحكم الواقعيّ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والظاهريّ فقط دون الاستصحاب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الجمع بين الحكم الظاهريّ والواقعيّ؛ لأنّ الحكم الظاهريّ واقع في طول الحكم الواقعيّ، وموضوعه في طول موضوع الحكم الواقعيّ، فإنّ الحكم الظاهريّ لا يكون إلّا في ظرف الشكّ واستتار الحكم الواقعيّ والجهل به، فموضوعه هو المقيّد بكونه مجهول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الحكم الواقعيّ ينزل إلى مرتبة الحكم الظاهريّ، ولا العكس، فالحكم الواقعيّ يشمل بإطلاقه لمرتبة الشكّ، كما أنّه لا إطلاق للحكم الظاهريّ يشمل به المرتبة السابقة على موضوعه،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w:t>
      </w:r>
      <w:r>
        <w:rPr>
          <w:rStyle w:val="FootnoteAnchor"/>
          <w:rtl w:val="true"/>
        </w:rPr>
        <w:footnoteReference w:id="105"/>
      </w:r>
      <w:r>
        <w:rPr>
          <w:rFonts w:ascii="Amiri" w:hAnsi="Amiri" w:eastAsia="Amiri" w:cs="Amiri"/>
          <w:color w:val="111111"/>
          <w:sz w:val="28"/>
          <w:sz w:val="28"/>
          <w:szCs w:val="28"/>
          <w:rtl w:val="true"/>
          <w:lang w:bidi="ar-SA"/>
        </w:rPr>
        <w:t xml:space="preserve">من إمكان استفادة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والظاهريّ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الأخبار، في غير محلّه؛ وذلك لما عرفت من عدم إمكان الجمع بين الحكم الظاهريّ والواقعيّ بإنشاءٍ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هذا السبب عدل عن هذا الرأي في الكفاية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الغاية فيها إنّما هو لبيان استمرار ما حكم على الموضوع واقعاً من الطهارة والحلّيّة ظاهراً، ما لم يعلم بطروّ ضدّه أو نقيضه، لا لتحديد الموضوع كي يكون الحكم بهما قاعدة مضروبة للشكّ في طهارته أو حلّيّته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قد اعترف بذلك بأنّها لا تشمل إلّا الحكم الواقعيّ مع الاستصحاب،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في الصدر هو الحكم الواقعيّ، والغاية تدلّ على الاستصحاب واستمرار هذا الحكم استمراراً ظاهريّاً إلى زمان العلم بالخلاف، لا استمراراً واقعيّاً؛ لأنّ الحكم الواقعيّ لا يمكن أن </w:t>
      </w:r>
    </w:p>
    <w:p>
      <w:pPr>
        <w:pStyle w:val="BookText"/>
        <w:rPr/>
      </w:pPr>
      <w:r>
        <w:rPr>
          <w:rFonts w:ascii="Amiri" w:hAnsi="Amiri" w:eastAsia="Amiri" w:cs="Amiri"/>
          <w:color w:val="111111"/>
          <w:sz w:val="28"/>
          <w:sz w:val="28"/>
          <w:szCs w:val="28"/>
          <w:rtl w:val="true"/>
          <w:lang w:bidi="ar-SA"/>
        </w:rPr>
        <w:t>يكون مغيّاً بالعلم بضدّه تابع لملاكه، والعلم بالخلاف لا يؤثّر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أن تدلّ الجملة على الحكم الواقعيّ والاستصحاب معاً، بعدما عرفته من أنّ جعل الحكم الاستصحابيّ مرتبته متأخّرة عن مرتبة جعل الحكم الواقعيّ، فلابدّ أوّلاً من جعل الحكم الواقعيّ، ثمّ بعد ذلك يصار إلى جعل الحكم باستمرار هذا الحكم الواقعيّ ظاهراً إلى زمان العلم بالخلاف أو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ممكن بطريقة تعدّد الدالّ والمدلول؛ لأنّ إثبات الطهارة واقعاً يستفاد من المغيّى،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متكفل لحكم الأشياء واقعاً، وأمّا الغاية،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ظاهرة في الاستصحاب، فهما مستفادان من الرواية بتعدّد الدالّ والمدلول، فلا تكون الجملة دالّة بدلالة واحدة على الحكم الواقعيّ والاستصحاب حتى يقال بعدم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دالّةً على الحكم الواقعيّ والاستصحاب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ذكرنا أنّه لا يمكن أن يكون الحكم الواقعيّ مغيّى بالعلم بخلافه، فيكون الإبقاء والاستمرار ظاهريّاً، فيكون النتيجة هو قاعدة الطهارة أو الحلّ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في الأخبار العامّة التي ذكروها في مقام الاستدلال على اعتبار الاستصحاب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وهناك روايات أُخر تدلّ على اعتباره في موارد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موثّقة ابن بكير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استيقنت أنّك أحدثت فتوضّأ، وإيّاك أن تحدث وضوءاً أبداً حتى تستيقن أنّك قد أحدثت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الاستصحاب في المورد ظاهرة، 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الاستيقان بالوضوء لزوم الجري على طبق اليقين السابق بالطهارة، وعدم الاعتناء بالشكّ في انتقاضها ما لم يستيقن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باب الوضوء،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تسريتها والتمسّك بها لإثبات الاستصحاب في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قاعدةٍ كلّيّة بها،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التعدّي بها إلى سائر الأبواب بضميمة 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رواية عبد اﷲ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أبي أبا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أعير الذمّيّ ثوبي، وأنا أعلم أنّه يشرب الخمر ويأكل لحم الخنزير، فيردّه عليّ، فأغسله قبل أن اُصلّي فيه، فقال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ولا تغسله من أجل ذلك، فإنّك أعرْته إيّاه وهو طاهر، ولم تستيقن أنّه نجّسه، فلا بأس أن تصلّي فيه حتى تستيقن أنّه نجّسه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ظهور هذه الرواية في الاستصحاب في نفس المورد، </w:t>
      </w:r>
    </w:p>
    <w:p>
      <w:pPr>
        <w:pStyle w:val="BookText"/>
        <w:rPr/>
      </w:pPr>
      <w:r>
        <w:rPr>
          <w:rFonts w:ascii="IRNazanin" w:hAnsi="IRNazanin" w:eastAsia="IRNazanin"/>
          <w:color w:val="111111"/>
          <w:sz w:val="28"/>
          <w:sz w:val="28"/>
          <w:szCs w:val="28"/>
          <w:rtl w:val="true"/>
          <w:lang w:bidi="fa-IR"/>
        </w:rPr>
        <w:t xml:space="preserve">ولكن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الكبرى الكلّيّةمنها؛ لأنّ ظاهرها أنّ الحكم بالطهارة مترتّب على كلٍّ من اليقين السابق والشكّ اللّاحق الفعليّ الحاصل بعد ردّ الثوب، ولو كان المقصود بيان قاعدة الطهارة لاقتصر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الجواب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شاكّ في 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يكفي فيه وجود اليقين السابق والشكّ اللّاحق، بلا فرق بين أن يكون المستصحب محرزاً باليقين الوجدانيّ أو التعبّديّ، كالأمارات، أو بالاُصول المحرزة، كالاستصحاب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 الأخبار بهذا المضمون أو بما يقرب منه من المضامين اُخذ فيه اليقين بالشيء في الزمان السابق موضوعاً للحكم ببقائه في ظرف الشكّ بما هو طريق محرز لمتعلّقه، وقد ثبت في محلّه قيام الأمارات والاُصول العمليّة المحرزة مقام القطع الذي أخذ في الموضوع على نحو الطريقيّة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نقض ما أُحرز ثبوته بالشكّ في بقائه، فلا فرق بين أن يحرز ثبوته بمحرز وجدانيٍّ، كالقطع، أو تعبّديٍّ، كالأمارات والاُصول المحرزة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الذي اُخذ في موضوع الاستصحاب لم يؤخذ فيه من حيث إنّه صفة خاصّة كذائيّة، ولا من حيث كونه طريقاً ومرآةً لمتعلّقه، بل من حيث تنجيز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w:t>
      </w:r>
    </w:p>
    <w:p>
      <w:pPr>
        <w:pStyle w:val="BookText"/>
        <w:rPr/>
      </w:pPr>
      <w:r>
        <w:rPr>
          <w:rFonts w:ascii="Amiri" w:hAnsi="Amiri" w:eastAsia="Amiri" w:cs="Amiri"/>
          <w:color w:val="111111"/>
          <w:sz w:val="28"/>
          <w:sz w:val="28"/>
          <w:szCs w:val="28"/>
          <w:rtl w:val="true"/>
          <w:lang w:bidi="ar-SA"/>
        </w:rPr>
        <w:t>فرق بين الاُصول المحرزة وغيرها في قيامها مقام القطع الذي اُخذ فيموضوع الاستصحاب لاشتراك الجميع في كونها تنجّز متعلّقاتها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اليقين في موضوع الحكم تارةً يكون على نحو الصفتيّة، وأُخرى على نحو الطريقيّة والكاشفيّة، كما هو كذلك في باب الاستصحاب،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أدلّة الأمارات حاكمة على الاستصحاب، ومعلوم أنّ الحكومة تارةً توجب الضييق وأُخرى توجب التوسعة، ولكنّها في المقام حكومة موسّعة</w:t>
      </w:r>
      <w:r>
        <w:rPr>
          <w:rFonts w:eastAsia="Amiri" w:cs="Amiri" w:ascii="Amiri" w:hAnsi="Amiri"/>
          <w:color w:val="111111"/>
          <w:sz w:val="28"/>
          <w:szCs w:val="28"/>
          <w:rtl w:val="true"/>
          <w:lang w:bidi="ar-SA"/>
        </w:rPr>
        <w:t xml:space="preserve">. </w:t>
      </w:r>
      <w:bookmarkStart w:id="83" w:name="pg15437_354812"/>
    </w:p>
    <w:p>
      <w:pPr>
        <w:pStyle w:val="Heading2"/>
        <w:numPr>
          <w:ilvl w:val="1"/>
          <w:numId w:val="1"/>
        </w:numPr>
        <w:rPr/>
      </w:pPr>
      <w:bookmarkStart w:id="84" w:name="__RefHeading___Toc6974447_2142443653"/>
      <w:bookmarkStart w:id="85" w:name="_Toc30"/>
      <w:bookmarkEnd w:id="83"/>
      <w:bookmarkEnd w:id="84"/>
      <w:r>
        <w:rPr>
          <w:rtl w:val="true"/>
        </w:rPr>
        <w:t>تنبيهات الاستصحاب</w:t>
      </w:r>
      <w:bookmarkEnd w:id="85"/>
    </w:p>
    <w:p>
      <w:pPr>
        <w:pStyle w:val="Heading3"/>
        <w:numPr>
          <w:ilvl w:val="2"/>
          <w:numId w:val="1"/>
        </w:numPr>
        <w:rPr/>
      </w:pPr>
      <w:bookmarkStart w:id="86" w:name="__RefHeading___Toc6974449_2142443653"/>
      <w:bookmarkStart w:id="87" w:name="_Toc31"/>
      <w:bookmarkEnd w:id="86"/>
      <w:r>
        <w:rPr>
          <w:rtl w:val="true"/>
        </w:rPr>
        <w:t>التنبيه الأوّل</w:t>
      </w:r>
      <w:r>
        <w:rPr>
          <w:rtl w:val="true"/>
        </w:rPr>
        <w:t xml:space="preserve">: </w:t>
      </w:r>
      <w:r>
        <w:rPr>
          <w:rtl w:val="true"/>
        </w:rPr>
        <w:t>في استصحاب الكلّيّ</w:t>
      </w:r>
      <w:r>
        <w:rPr>
          <w:rtl w:val="true"/>
        </w:rPr>
        <w:t>:</w:t>
      </w:r>
      <w:bookmarkEnd w:id="87"/>
    </w:p>
    <w:p>
      <w:pPr>
        <w:pStyle w:val="Heading4"/>
        <w:numPr>
          <w:ilvl w:val="3"/>
          <w:numId w:val="1"/>
        </w:numPr>
        <w:rPr/>
      </w:pPr>
      <w:bookmarkStart w:id="88" w:name="__RefHeading___Toc6974451_2142443653"/>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المستصحب تارةً يكون جزئيّاً وأُخرى يكون كلّيّاً، والجزئيّ لا يفرّق في حجّيّته بين أن يكون حكماً تكليفيّاً كوجوب صلاة الجمعة إذا شكّ في بقائه في حال الحضور، أو وضعيّاً، كملكيّة مالٍ لزيد إذا شكّ في خروجه عن ملكه، أو موضوعاً، كحياة زيد إذا شكّ في بقائها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فيما لو كان المستصحب كلّيّاً، فإنّه لا يفرّق في حجّيّة استصحابه بين أن يكون حكماً كلّيّاً، كالطلب الراجحالمشترك بين الوجوب والندب، أو موضوعاً كلّيّاً، كالحدث الجامع بين الأكبر والأصغر،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109"/>
      </w:r>
      <w:r>
        <w:rPr>
          <w:rFonts w:ascii="Amiri" w:hAnsi="Amiri" w:eastAsia="Amiri" w:cs="Amiri"/>
          <w:color w:val="111111"/>
          <w:sz w:val="28"/>
          <w:sz w:val="28"/>
          <w:szCs w:val="28"/>
          <w:rtl w:val="true"/>
          <w:lang w:bidi="ar-SA"/>
        </w:rPr>
        <w:t xml:space="preserve">، دلّت الآية الشريفة على أنّ ثبوت الحكم، وهو حرمة مسّ كتابة القرآن للمحدث مطلقاً، سواء كان محدثاً بالأكبر أم الأصغر، فلو علم بالحدث وشكّ في </w:t>
      </w:r>
    </w:p>
    <w:p>
      <w:pPr>
        <w:pStyle w:val="BookText"/>
        <w:rPr/>
      </w:pPr>
      <w:r>
        <w:rPr>
          <w:rFonts w:ascii="Amiri" w:hAnsi="Amiri" w:eastAsia="Amiri" w:cs="Amiri"/>
          <w:color w:val="111111"/>
          <w:sz w:val="28"/>
          <w:sz w:val="28"/>
          <w:szCs w:val="28"/>
          <w:rtl w:val="true"/>
          <w:lang w:bidi="ar-SA"/>
        </w:rPr>
        <w:t>ارتفاعه، كما لو توضّأ فقط، جرى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المستصحب قد يكون شخصاً معيّناً، فلا إشكال في جريان الاستصحاب فيه، كما لو كان زيد موجوداً، ثمّ غاب، وشككنا في وجوده، فلنا أن نستصحب بقاء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المستصحب فرداً مردّداً، كما لو كان مردّداً بين الحدث الأكبر والأصغر، ولابدّ أن يكون المعلوم فيه عنواناً إجماليّاً، حيث كان مردّداً، فلا يكون معلوماً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جريان الاستصحاب في هذه الصورة،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الكأس نجس أو ذلك، فلو غسل أحد الكأسين، أو انكبّ ماؤه، أو خرج عن محلّ الابتلاء، يقطع بعدم بقاء ذلك العنوان الإجماليّ، فما هو محتمل البقاء هو ذلك الفرض الواقعيّ المعلوم عند اﷲ عزّ وجلّ، وهو لم يكن معلوماً قبلاً، وما كان معلوماً كذلك فهو ذلك العنوان الإجماليّ، فهو غير محتمل البقاء، فلا يجري فيه الاستصحاب؛ لعدم تماميّة أركانه،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والشكّ اللّاحق؛ فإنّ أمثال هذهالعناوين لم تؤخذ موضوعاً للأثر في لسان الأدلّة، وما هو موضوع للأثر، وهو الفرد المعيّن، فليس ممّا علم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المستصحب كلّيّاً، فله أقسام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بقاء الكلّيّ ناشئاً من الشكّ في بقاء الفرد الذي تحقّق الكلّيّ في ضمنه، كما إذا علم بوجوب صلاة </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ارتفاعه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الشكّ في أنّه في هذا القسم يصحّ استصحاب الكلّيّ، كما يصحّ استصحاب الفرد، بعدما كان الشكّ في بقاء الكلّيّ وهو الطلب الجامع بين وجوب الجمعة وغيرها ناشئاً من الشكّ في بقاء فرده المعلوم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يستشكل في جريان الاستصحاب في هذا القسم بأنّ الكلّيّ عين الفرد وجوداً، إذ الوجود غير متعدّد، وكذا موضوع الأثر،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يجري في الفرد تارةً وفي الكلّيّ أُخرى،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الجاري في الفرد سببيّ، وفي الكلّيّ مسبّبيّ، والأصل السببيّ حاكم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الجواب عن هذا الإشكال في القسم الثاني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بقائه ناشئاً من تردّد الفرد الذي وجد الكلّيّ في ضمنه بين معلوم البقاء وبين ما هو مرتفع قطعاً، كما إذا علمنا بدخول حيوان وبعد ساعات شككنا في أنّه هل كان فيلاً أو بقّاً، فإن كان هو الفيل، فهو باقٍ، وإن كان بقّاً،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فصدور الحدث منه معلوم،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مردّد بين الأصغر والأكبر، فإن كان هو الأصغر فقد ارتفع يقيناً، وإن كان هو الأكبر فهو باقٍ يقيناً،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الكلّيّ، كما بالنسبة إلى الآية المتقدّمة،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فإنّ أركان الاستصحاب، من اليقين </w:t>
      </w:r>
    </w:p>
    <w:p>
      <w:pPr>
        <w:pStyle w:val="BookText"/>
        <w:rPr/>
      </w:pPr>
      <w:r>
        <w:rPr>
          <w:rFonts w:ascii="Amiri" w:hAnsi="Amiri" w:eastAsia="Amiri" w:cs="Amiri"/>
          <w:color w:val="111111"/>
          <w:sz w:val="28"/>
          <w:sz w:val="28"/>
          <w:szCs w:val="28"/>
          <w:rtl w:val="true"/>
          <w:lang w:bidi="ar-SA"/>
        </w:rPr>
        <w:t xml:space="preserve">السابق والشكّ اللّاحق تامّة فيه؛ إذ الكلّيّ يوجد بوجود الفرد، فالحدث الجامع بين الأصغر والأكبر يوجد بوجود أيّ واحدٍ من الأكبر أو الأصغر، وحيث فرضنا أحدهما باقياً قطعاً، فالكلّيّ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باقياً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من المحتمل أن يكون وجوده في ضمن الفرد الزائل، فيزول بزواله يقيناً، ومن المحتمل أن يكون في ضمن الفرد الباقي، فهو باقٍ يقيناً، فتكون النتيجة هي وجود الشكّ في بقائه، فتتمّ أركان الاستصحاب من اليقين السابق والشكّ اللّاحق، فيجري الاستصحاب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الاستصحاب بإشكالاتٍ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أنّ نسبة الكلّيّ الطبيعيّ إلى أفراده إمّا هي نسبة الآباء إلى الأبناء، وإمّا هي نسبة أبٍ واحد إلى أبنائه المتعدّدين، وعلى الاحتمال الثاني، وإن أُورد عليه بأنّه كيف يمكن أن يكون شيء واحد موجوداً بكلّه في فرد وهو عين ذلك الفرد، ثمّ في الوقت عينه يكون موجوداً في فردٍ آخر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ذلك الفرد الآخر، إلّا أنّ هذا الإيراد غير متّجه؛ لأنّ وحدة الكلّيّ ليست من قبيل الوحدة بالشخص، بل هي إمّا وحدة بالنوع أو بالجنس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كان الحقّ هو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النسبة هي نسبة الآباء إلى الأبناء؛ لأنّ للكلّيّ وجوداتٍ متعدّدة بعدد وجودات أفراده، فيكون وجود طبيعيّ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الحدث الأصغر غير وجوده في ضمن الأكبر، فلا يكون جريان الاستصحاب ممكناً؛ إذ لا علم بحدوث </w:t>
      </w:r>
    </w:p>
    <w:p>
      <w:pPr>
        <w:pStyle w:val="BookText"/>
        <w:rPr/>
      </w:pPr>
      <w:r>
        <w:rPr>
          <w:rFonts w:ascii="Amiri" w:hAnsi="Amiri" w:eastAsia="Amiri" w:cs="Amiri"/>
          <w:color w:val="111111"/>
          <w:sz w:val="28"/>
          <w:sz w:val="28"/>
          <w:szCs w:val="28"/>
          <w:rtl w:val="true"/>
          <w:lang w:bidi="ar-SA"/>
        </w:rPr>
        <w:t>الجامع، بعد أن كان الترديد بين وجودين متباينين، وبعد أن كان كلّ واحدٍ من هذين الوجودين في حدّ نفسه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قريباً، من أنّ الكلّيّ الطبيعيّ بالنسبة إلى أفراده واحد بالنوع أو بالجنس، فكلّ واحد من أنواعه أو أفراده أو أصنافه المختلفة، وإن كان له وجود يباين وجودات سائر الأنواع أو الأفراد أو الأصناف، إلّا أنّ بين تلك الوجودات المتعدّدة وحدةً سنخيّةً واقعيّة نوعيّة أو جنسيّة لا يضرّ معها التعدّد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آنفاً من أنّ الشكّ في بقاء الكلّيّ مسبّب عن الشكّ في حدوث الفرد الباقي، فيكون الأصل الجاري فيه سببيّاً وفي الفرد الباقي مسبّبيّاً، والأصل السببيّ حاكم على المسبّبيّ، فكما أنّه لو كان هناك ماءٌ مشكوك الكرّيّة مثلاً، وكانت يده مشكوكة الطهارة، مع كون حالتها السابقة هي النجاسة، فباستصحاب الكريّة نحكم بطهارة اليد، ولا تصل النوبة إلى استصحاب نجاسة اليد، فكذلك هنا، إذا ارتفع الشكّ في حدوث الفرد الباقي، فباستصحاب عدم حدوثه يعلم بعدم بقاء الكلّيّ تعبّداً، لما عرفناه من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المقام من صغريات جريان أصلين أحدهما سببيّ والآخر مسبّبيّ غير تامّ؛ لأنّ الشكّ في بقاء الكلّيّ ليس مسبّباً عن حدوث الفرد الباقي، بل الشكّ في بقاء الكلّيّ وارتفاعه مسبّب عن أنّ الفرد الحادث المعلوم حدوثه هل هو الفرد الزائل حتى يكون الكلّيّ </w:t>
      </w:r>
    </w:p>
    <w:p>
      <w:pPr>
        <w:pStyle w:val="BookText"/>
        <w:rPr/>
      </w:pPr>
      <w:r>
        <w:rPr>
          <w:rFonts w:ascii="Amiri" w:hAnsi="Amiri" w:eastAsia="Amiri" w:cs="Amiri"/>
          <w:color w:val="111111"/>
          <w:sz w:val="28"/>
          <w:sz w:val="28"/>
          <w:szCs w:val="28"/>
          <w:rtl w:val="true"/>
          <w:lang w:bidi="ar-SA"/>
        </w:rPr>
        <w:t xml:space="preserve">معلوم الارتفاع، أو الفرد الباقي حتى يكون معلوم البقاء؟ فبما أنّ كلا الأمرين غير معلوم، فالبقاء والارتفاع في جانب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معلومين، فيكون محتمل البقاء والارتفاع معاً، ولا أصل لتعيين أنّ الحادث المعلوم هو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التسليم، فالسببيّة والمسبّبيّة في المقام لا ضير فيهما؛ لأنّهما هنا عقليّان، وفي باب حكومة الأصل السببيّ على المسبّبيّ، يجب أن يكون المسبّب من الآثار الشرعيّة لنفس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فرض للفرد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شرعيّ، ولو بعد تلفه وزواله كما هو المفروض، فمع ذلك، لا يرد عليه أنّه لا مجال لاستصحاب الفرد الزائل بعد زواله وخروجه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أيضاً بما يرجع إلى دعوى تساقط الاُصول بالمعارضة قبل الخروج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بمجرّد العلم بحدوث أحد الفردين، والشكّ فيما هو الحادث، تجري أصالة عدم حدوث كلٍّ منهما، وتسقط بالمعارضة؛ وخروج أحد الفردين عن موردالابتلاء بعد ذلك لا يوجب رجوع الأصل في الفرد الباقي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على القول بإمكان جريان الاُصول في أطراف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حصول العلم الإجماليّ قبل الخروج عن محلّ الابتلاء، وأمّا لو حصل بعد الخروج، فلا علم إجماليّ في البين أصلاً حتى تتعارض الاُصول في أطرافه ونحكم بتساقطها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الكلّيّ معارض باستصحاب عدمه في ضمن الفرد الكبير، فهذا الاستصحاب التعبّديّ لو ضمّ إلى إحراز عدمه الوجدانيّ في ضمن الفرد الصغير، يحصل إحراز عدمه مطلقاً؛ لأنّه لو كان في ضمنه، فهو يقيناً قد ارتفع، فيقطع معه بعدم بقاء الكلّيّ، فلا مجال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عدمه في ضمن الفرد الكبير معارض بأصالة عدمه في ضمن الفرد الصغير في حال حدوث أحدهما والعلم به، فيتساقطان، فيبقى المجال لاستصحاب بقاء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العبائيّة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 هنا شبهة منقولة عن السيّد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تسمّى بالشبهة العبائيّة، </w:t>
      </w:r>
    </w:p>
    <w:p>
      <w:pPr>
        <w:pStyle w:val="BookText"/>
        <w:rPr/>
      </w:pPr>
      <w:r>
        <w:rPr>
          <w:rFonts w:ascii="Amiri" w:hAnsi="Amiri" w:eastAsia="Amiri" w:cs="Amiri"/>
          <w:color w:val="111111"/>
          <w:sz w:val="28"/>
          <w:sz w:val="28"/>
          <w:szCs w:val="28"/>
          <w:rtl w:val="true"/>
          <w:lang w:bidi="ar-SA"/>
        </w:rPr>
        <w:t>وهي شبهة تستهدف جريان استصحاب الكلّيّ، وحاصل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إجمالاً بنجاسة أحد جانبي عبائته من الأعلى أو الأسفل، فطهّر جانباً معيّناً، كجانب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بقاء النجاسة في العباءة مشكوكاً؛ لاحتمال أن تكون تلك النجاسة المعلومة بالعلم الإجماليّ في ذلك الطرف الذي طهّره، فأزالها وما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لاقى البدن الجانب الأعلى، فلا يمكن الحكم بنجاسته، لما هو معروف عندهم من أنّ ملاقاة أحد أطراف الشبهة المحصورة فقط لا 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صحّة جريان الاستصحاب في هذا القسم من استصحاب الكلّيّ، يجري استصحاب نجاسة العباءة، ولازمه نجاسة ملاقي الجانبين المطهَّر ومشكوك النجاسة، دون ملاقي مشكوك النجاسة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انضمام الظاهر إلى الجانب المشكوك طهارته، والذي لم يطهّره، يكون موجباً لنجاسة الملاقي، وهذا غريب، ومنشأ الغرابة فيه هو جريان الاستصحاب في هذا القسم من الكلّيّ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بدن المصلّي لو لاقى كلا الطرفين، لابدّ أن نقول بنجاسته، وأمّا لو لاقى أحد طرفي الشبهة فقط،فيكون محكوماً بالطهارة، وفيما نحن فيه، حيث فرضنا بدن المصلّي لم يلاقِ إلّا أحد الطرفين فقط، فلابدّ أن نقول بطهارته؛ لأنّ أحد الطرفين صار طاهراً بعد غسله، فملاقاته له لا تؤثّر، فملاقاته للطرف الآخر لا يمكن أن توجب </w:t>
      </w:r>
    </w:p>
    <w:p>
      <w:pPr>
        <w:pStyle w:val="BookText"/>
        <w:rPr/>
      </w:pPr>
      <w:r>
        <w:rPr>
          <w:rFonts w:ascii="Amiri" w:hAnsi="Amiri" w:eastAsia="Amiri" w:cs="Amiri"/>
          <w:color w:val="111111"/>
          <w:sz w:val="28"/>
          <w:sz w:val="28"/>
          <w:szCs w:val="28"/>
          <w:rtl w:val="true"/>
          <w:lang w:bidi="ar-SA"/>
        </w:rPr>
        <w:t>الحكم بنجاسة الملاقي، وبطلان اللّازم يكشف عن بطلان الملزوم، وهو جريان استصحاب الكلّيّ من هذا القسم، فلابدّ من منع جريان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هذه الشبهة وجهان، أحدهما في أجود التقريرات، والآخر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النجاسة الملاقي تترتّب على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الملاقاة،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استصحاب النجاسة الكلّيّة المردّدة بين الطرف الأعلى والأسفل لا يثبت تحقّق ملاقاة النجاسة، الذي هو الموضوع لنجاسة الملاقي، والمفروض أنّ أحد طرفي العباء مقطوع الطهارة، والآخر مشكوك الطهارة والنجاسة، فلا يحكم بنجاسة ملاقيهما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المثال أجنبيّ بالمرّة عن استصحاب الكلّيّ،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الكلام في استصحاب الكلّيّ إنّما هو فيما إذا كان نفس المتيقّن السابق بهويّته وحقيقته مردّداً بين ما هو مقطوع الارتفاع وما هو مقطوع البقاء،كالأمثلة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دوران أمر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الفيل والبق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الإجمال والترديد في محلّ المتيقّن وموضوعه، لا في نفسه وهويّته، فهذا لا يكون من استصحاب الكلّيّ، بل يكون كاستصحاب </w:t>
      </w:r>
    </w:p>
    <w:p>
      <w:pPr>
        <w:pStyle w:val="BookText"/>
        <w:rPr/>
      </w:pPr>
      <w:r>
        <w:rPr>
          <w:rFonts w:ascii="Amiri" w:hAnsi="Amiri" w:eastAsia="Amiri" w:cs="Amiri"/>
          <w:color w:val="111111"/>
          <w:sz w:val="28"/>
          <w:sz w:val="28"/>
          <w:szCs w:val="28"/>
          <w:rtl w:val="true"/>
          <w:lang w:bidi="ar-SA"/>
        </w:rPr>
        <w:t>الفرد المردّد الذي قد تقدّم المنع عن جريان الاستصحاب فيه عند ارتفاع أحد فردي الترديد، فلو علم بوجود الحيوان الخاصّ في الدار، وتردّد بين أن يكون في الجانب الشرقيّ أو في الجانب الغربيّ، ثمّ انهدم الجانب الغربي، واحتمل أن يكون الحيوان تلف بانهدامه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بقاء المتيقّن لا يجري</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بل هذا ليس من دوران الكلّيّ بين فردين، وإنّما هو من الترديد في مكان فرد معيّن بين مكانين، وهذا الترديد في محلّه ومكانه هو الذي يوجب الشكّ في بقائه؛ لأنّ هذا الترديد بين مكانين أشبه باستصحاب الفرد المردّد عند ارتفاع أحد فردي الترديد، وقد ثبت في محلّه عدم جريان الاستصحاب في الفرد المردّد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قبيل الفرد المردّد أيضاً؛ لأنّه يكون من قبيل دوران وجود الكلّيّ بين فردين من أفراده، كدوران وجود الإنسان بين زيد وعمرو، فالمقام نظير دوران فرد معيّن من الكلّيّ بين حالتين، كالصحّة والمرض، أو بين مكانين، ككونه في الطرف الشرقيّ من الدار أو الطرف الغربيّ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الاستصحاب الكلّيّ، أن يكون منشأ الشكّ في بقاء الكلّيّ احتمال قيام فرد آخر من مصاديق الكلّيّ مقام الفرد الزائل، وهو 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 الفرد المشكوك الحدوث والذي يحتمل أن يقوم مقامه مقارناً له وموجوداً معه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حدوثه مقارناً لارتفاع وجود معلوم الحدوث وزمان انعدامه، كما إذا فرضنا وجود عمرو في حين ارتفاع وجود زيد،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مرتبة من مراتب الزائل، لا فرداً مبايناً معه، كاللّون القابض للبصر إذا وجد في ضمن السواد الشديد وزال قطعاً، وشكّ في أنّه هل زال بجميع مراتبه ولم يبقَ منها شيء، أم بقيت منها مرتبة ضعيفة،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مرتبة مباينة لما ارتفع قطعاً عند العرف،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الحقيقة الواحدة، كما إذا زال الاحمرار وبقي الاصفرار، فإنّهما يعدّان عند العرف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عند العرف من مراتب وجود القسم الأوّل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الصورتين الأُوليين لا يجري الاستصحاب؛ لأنّه لابدّ في جريان الاستصحاب من وحدة القضيّة المتيقّنة والمشكوكة، وهنا ليس كذلك، بل المتيقّن غير المشكوك؛ لأنّ المتيقّن عبارة عن وجود الكلّيّ في ضمن فرد، والمشكوك عبارة عن وجوده في ضمن فرد آخر، بلا فرق بين أن يوجدمقارناً لوجود الفرد الذي وجد الكلّيّ في ضمنه، أو وجد في نفس زمان ارتفاعه؛ لاشتراكهما في أنّ المشكوك وجود الكلّيّ في ضمن فردٍ آخر غير الوجود المتيقّن في ضمنه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هاتين الصورتين من القسم الثالث من استصحاب الكلّيّ وبين القسم الثاني؟ حيث قلنا هناك إنّ الوحدة السنخيّة محفوظة، سواء كان الحادث هو الفرد الطويل أم كان هو الفرد القصير في القضيّة المتيقّنة،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 أيّ واحد منهما كان يكون الكلّيّ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يحتمل أن يكون الحادث هو الفرد الطويل الباقي، فيحتمل أن يكون الكلّيّ، وهو عين ما تيقّنت به،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وجوداً آخر حدث للكلّيّ، ولكن مع ذلك، فاليقين بوجود الكلّيّ حاصل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هاتين الصورتين، فإنّ المتيقّن هو الوجود المحدود بحدّ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والمشكوك إنّما هو الوجود المحدود بحدّ العَمريّة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متباينان؛ لأنّ الكلّيّ إذا كان في ضمن فرد ثمّ ارتفع ذلك الفرد، وكان هناك فرد آخر من أفراد الكلّيّ وقد وجد معه أو مقارناً لارتفاعه، فإنّ وجود الكلّيّ في ضمن ذلك الفرد الأوّل المقارن معه وجوداً، أو حين ارتفاعه، لا يكون عين وجود الكلّيّ بوجوده الأوّليّ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ففي صورته الاُولى، وهي ما إذا كان محتمل البقاء مبايناً مع الزائل، فلا يجري الاستصحاب؛ لأنّالقضيّة المتيقّنة ليست عين المشكوكة؛ فإنّ العرف يراهما متباينين، وإن كانت الوحدة محرزة بحسب الدقّة العقليّة؛ لأنّ المناط في تشخيص الوحدة على العرف، لا </w:t>
      </w:r>
      <w:bookmarkStart w:id="90" w:name="pg15437_354824"/>
    </w:p>
    <w:p>
      <w:pPr>
        <w:pStyle w:val="BookText"/>
        <w:rPr/>
      </w:pPr>
      <w:bookmarkEnd w:id="90"/>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صورته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العرف يعدّ تلك المرتبة واحدةً من مراتب وجود المستصحب، فلا مانع من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لكفاية الوحدة العرفيّة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974453_2142443653"/>
      <w:bookmarkStart w:id="92" w:name="_Toc33"/>
      <w:bookmarkEnd w:id="91"/>
      <w:r>
        <w:rPr>
          <w:rtl w:val="true"/>
        </w:rPr>
        <w:t>تذييل وتعقيب</w:t>
      </w:r>
      <w:r>
        <w:rPr>
          <w:rtl w:val="true"/>
        </w:rPr>
        <w:t>:</w:t>
      </w:r>
      <w:bookmarkEnd w:id="9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تارةً يكون الشكّ فيه من جهة قابليّته للتذكية، وأُخرى لا يكون من جهة قابليّته 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الفاضل 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على المشهور في حكمهم بالحرمة والنجاسة في الحيوان المشكوك وقوع التذكية فيه من غير جهة الشكّ في قابليّته لها بأصالة عدم التذكية، بأنّه يمتنع جريان أصالة عدم التذكية، وذلك 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هذين الحكمين،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والنجاسة، في لسان الأدلّة هي الميتة، وهي عبارة عن الموت حتف الأنف، فهي ضدّ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أحد الضدّين باستصحاب عدم الضدّ الآخر يكون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ليست عبارة عن الموت حتف الأنف، بل عبارة عن غير المذكّى، وإن أبيت إلّا عن كونها الموت حتف الأنف، فهي تشمل مطلق غير المذكّى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لم يمت حتف أنفه، بل ذُبح على غير الوجه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حراماً ونجساً هو أيضاً، فاستصحاب عدم كونه من المذكّى يكفي لإثبات هذين الحكمين له، ولا نحتاج في ذلك إلى إثبات صدق عنوان الميتة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Style w:val="FootnoteAnchor"/>
          <w:rtl w:val="true"/>
        </w:rPr>
        <w:footnoteReference w:id="115"/>
      </w:r>
      <w:r>
        <w:rPr>
          <w:rFonts w:ascii="Amiri" w:hAnsi="Amiri" w:eastAsia="Amiri" w:cs="Amiri"/>
          <w:color w:val="111111"/>
          <w:sz w:val="28"/>
          <w:sz w:val="28"/>
          <w:szCs w:val="28"/>
          <w:rtl w:val="true"/>
          <w:lang w:bidi="ar-SA"/>
        </w:rPr>
        <w:t>، يدلّ دلالة واضحة على أنّه لا حلّيّة إلّا في مورد المذكّى، فالحرمة ليست مرتّبة على أمر وجوديّ، وهو عنوان الميتة فقط، بل موضوعه مطلق غير المذكّى شرعاً، فلو حصل له العلم بأنّه قد ذبح على الوجه غير الشرعيّ، يحصل له العلم بالنجاسة والحرمة، مع أنّه لم يعلم بموته حتف أنفه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حصل له العلم بكونه مذبوحاً على غير الوجه الشرعيّ، فغاية ما يحصل له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فقط، لا الحرمة والنجاسة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الحكمين المذكورين، وإن كان عبارة عن عدم التذكية، لكنّ المراد منه هو عدم التذكية في حال زهوق الروح، وإلّا، يلزم أن يكون الحيوان المأكول في حال حياته نجساً لعدم كونه مذكّىً في تلك الحال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كذلك، فليس لما هو الموضوع للحكم حالة سابقة؛ لأنّ عدم التذكية المقيّد بكونه في حال زهوق الروح يستحيل أن يتحقّق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التذكية الجامع بين كونه حال الحياة وبين كونه حال زهوق الروح، فإنّ له فردين، فاستصحاب ذلك الجامع بواسطة احتمال وجود الفرد الآخر منه بعد انعدام 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الاستصحاب إشكال من وجهين،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إنّما يكون للفرد المحتمل الوجود بعد انعدام الفرد الأوّل، وإلّا، فالجامع نفس لا أثر له، واستصحاب الجامع والكلّيّ لترتيب ما للفرد من أثر يكون من الاُصول المثبتة، فلو سلّمنا بصحّة جريانه، لو كان له أثر، ولكن يمتنع جريانه لما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الاستصحاب من القسم الثالث من استصحاب الكلّيّ والذي قلنا بعدم صحّته وعدم جريانه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الحرمة والنجاسة، وإن كان هو عدم التذكية في حال زهوق الروح، فيكون الموضوع مركّباً </w:t>
      </w:r>
    </w:p>
    <w:p>
      <w:pPr>
        <w:pStyle w:val="BookText"/>
        <w:rPr/>
      </w:pPr>
      <w:r>
        <w:rPr>
          <w:rFonts w:ascii="Amiri" w:hAnsi="Amiri" w:eastAsia="Amiri" w:cs="Amiri"/>
          <w:color w:val="111111"/>
          <w:sz w:val="28"/>
          <w:sz w:val="28"/>
          <w:szCs w:val="28"/>
          <w:rtl w:val="true"/>
          <w:lang w:bidi="ar-SA"/>
        </w:rPr>
        <w:t>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زهوق الروح، ولكن لا بنحوٍ يكون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زهوق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نعوت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حالاته ومشخّصاته حتى يكون لعدم التذكية فردان، ويكون أحدهما موضوعاً للأثر دون الفرد الآخر، كما قُرّر في الإشكال، بل هما مجتمعان موضوعان للأثر، بدون أنيكون لوصف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في الموضوعيّة، 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المركّب يمكن إحراز أحد جزأيه بالأصل، والآخر بالوجدان، كما في محلّ الكلام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ادّعى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أنّ الموضوع المركّب إذا كان من قبيل العرض والمحلّ، فالعرض بما هو نعت لمحلّه وبنحو مفاد كان الناقصة يكون دخيلاً في الموضوع، فاستصحاب الوجود المحموليّ لذلك العرض، أو عدمه المحموليّ، لا يثبت ما هو دخيل في الموضوع، إلّا على القول بصحّة الأصل المثبت، فكما أنّ استصحاب 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الموضوع، فكذلك استصحاب عدم التذكية لا يُثبت صدق عنوان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الموضوع المركّب من عرضين لمحلٍّ واحد، أو من جوهرين، أو من جوهر وعرض لمحلٍّ آخر، كوجود زيد وقيام عمرو، لا يعتبر فيه </w:t>
      </w:r>
      <w:bookmarkStart w:id="93" w:name="pg15437_354828"/>
    </w:p>
    <w:p>
      <w:pPr>
        <w:pStyle w:val="BookText"/>
        <w:rPr/>
      </w:pPr>
      <w:bookmarkEnd w:id="93"/>
      <w:r>
        <w:rPr>
          <w:rFonts w:ascii="Amiri" w:hAnsi="Amiri" w:eastAsia="Amiri" w:cs="Amiri"/>
          <w:color w:val="111111"/>
          <w:sz w:val="28"/>
          <w:sz w:val="28"/>
          <w:szCs w:val="28"/>
          <w:rtl w:val="true"/>
          <w:lang w:bidi="ar-SA"/>
        </w:rPr>
        <w:t>أزيد من الاجتماع في الزمان، إلّا إذا استفيد من الدليل كون الإضافة الحاصلة من اجتماعهما لها دخل في الحكم، كعنوان الحاليّة والتقارن والسبق واللّحوق ونحو ذلك من الإضافات الحاصلة من وجود الشيئين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يحتاج إلى قيام الدليل عليه، وإلّا، فالموضوع المركّب من جزأين لا رابط بينهما إلّا الوجود في الزمان لايقتضي أزيد من اجتماعهما في الزمان، بخلاف ما إذا كان التركيب من العرض ومحلّه، كقيام زيد وقرشيّة المرأة ونحو ذلك من الموضوعات المركّبة من العرض ومحلّه، فإنّه لا يكفي فيه مجرّد اجتماع العرض والمحلّ في الزمان ما لم يَثبت قيام الوصف بالمحلّ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974455_2142443653"/>
      <w:bookmarkStart w:id="95" w:name="_Toc34"/>
      <w:bookmarkEnd w:id="94"/>
      <w:r>
        <w:rPr>
          <w:rtl w:val="true"/>
        </w:rPr>
        <w:t>التنبيه الثاني</w:t>
      </w:r>
      <w:r>
        <w:rPr>
          <w:rtl w:val="true"/>
        </w:rPr>
        <w:t xml:space="preserve">: </w:t>
      </w:r>
      <w:r>
        <w:rPr>
          <w:rtl w:val="true"/>
        </w:rPr>
        <w:t>استصحاب الاُمور التدريجيّة غير القارّة</w:t>
      </w:r>
      <w:r>
        <w:rPr>
          <w:rtl w:val="true"/>
        </w:rPr>
        <w:t>:</w:t>
      </w:r>
      <w:bookmarkEnd w:id="95"/>
    </w:p>
    <w:p>
      <w:pPr>
        <w:pStyle w:val="Heading4"/>
        <w:numPr>
          <w:ilvl w:val="3"/>
          <w:numId w:val="1"/>
        </w:numPr>
        <w:rPr/>
      </w:pPr>
      <w:bookmarkStart w:id="96" w:name="__RefHeading___Toc6974457_2142443653"/>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هل يجوز جريان الاستصحاب في التدريجيّات مع أنّها غير قارّة بالذات؟ وقبل الخوض في تفاصيل المطلب، لابدّ أوّلاً من تعريف الاُمور التدريجيّة وبيان ما هو المقصود منها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التدريجيّة هي ما لا تجتمع أجزاؤها بعضها مع البعض في الوجود زماناً، بل لا يكاد يوجد جزء منها إلّا بعد انعدام </w:t>
      </w:r>
      <w:bookmarkStart w:id="98" w:name="pg15437_354829"/>
    </w:p>
    <w:p>
      <w:pPr>
        <w:pStyle w:val="BookText"/>
        <w:rPr/>
      </w:pPr>
      <w:bookmarkEnd w:id="98"/>
      <w:r>
        <w:rPr>
          <w:rFonts w:ascii="Amiri" w:hAnsi="Amiri" w:eastAsia="Amiri" w:cs="Amiri"/>
          <w:color w:val="111111"/>
          <w:sz w:val="28"/>
          <w:sz w:val="28"/>
          <w:szCs w:val="28"/>
          <w:rtl w:val="true"/>
          <w:lang w:bidi="ar-SA"/>
        </w:rPr>
        <w:t xml:space="preserve">الجزء الذي قبله، كنفس الزمان، فإنّه إذا كان حصول ساعات الزمان على نحو التدريج، بحيث كان وجود كلّ ساعة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مقطعٍ من مقاطع الزمان، سواء كان ساعةً أو يوماً أو شهراً أو عاماً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انعدام سابقتها،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الزمانيّ، كجريان الماء والتكلّم وأمثال ذلك، وتسمّى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تجتمع أجزاؤها بعضها مع بعض في الوجود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التدريجيّات هي التي لا يكون لأجزائها تحقّق دفعيّ في آنٍ واحد، بل وجودها تدريجيّ الحصول، بحيث لا يوجد جزء منها إلّا بعد انعدام الجزء السابق عليه، من غير فرق بين أن تكون جوهراً، كزيد وعمرو وغيرهما من أفراد نوع الإنسان، أو عرضاً، كالعلم والعدالة والسواد والبياض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عرفنا أنّ التدريجيّات تشمل الزمان والزمانيّ، فلابدّ من البحث في جريان الاستصحاب في كلٍّ منهما أو عدم جريانه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974459_2142443653"/>
      <w:bookmarkStart w:id="100" w:name="_Toc36"/>
      <w:bookmarkEnd w:id="99"/>
      <w:r>
        <w:rPr>
          <w:rtl w:val="true"/>
        </w:rPr>
        <w:t>أمّا استصحاب نفس الزمان</w:t>
      </w:r>
      <w:r>
        <w:rPr>
          <w:rtl w:val="true"/>
        </w:rPr>
        <w:t>:</w:t>
      </w:r>
      <w:bookmarkEnd w:id="1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لأنّ الموضوع لا يكون واحداً في الحالتين،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اليقين وحالة الشكّ، بل هناك موضوعات متعدّدة بتعدّد أجزاء الزمان ومقاطعه، فلا يكون الشكّ شكّاً بالبقاء؛ لأنّ الجزء الأوّل قد انعدم قطعاً، ولا شكّ في بقائه حتى يجري فيه الاستصحاب، والجزء </w:t>
      </w:r>
    </w:p>
    <w:p>
      <w:pPr>
        <w:pStyle w:val="BookText"/>
        <w:rPr/>
      </w:pPr>
      <w:r>
        <w:rPr>
          <w:rFonts w:ascii="Amiri" w:hAnsi="Amiri" w:eastAsia="Amiri" w:cs="Amiri"/>
          <w:color w:val="111111"/>
          <w:sz w:val="28"/>
          <w:sz w:val="28"/>
          <w:szCs w:val="28"/>
          <w:rtl w:val="true"/>
          <w:lang w:bidi="ar-SA"/>
        </w:rPr>
        <w:t>الثاني مشكوك الحدوث، والأصل عدمه، لما عرفناه من أنّ وجود كلّ جزء من أجزاء التدريجيّات يكون وجوداً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اتّحاد القضيتين المتيقّنة والمشكوكة؛ إذ لا حقيقة للموجود التدريجيّ إلّا أنّه عبارة عن وجودات وانعدامات متعدّدة ومتتالية، ويجب فيه أن يفرض عدم اجتماع أجزائه في الوجود، فذاته متقوّمة بالأخذ والترك،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جزء وانعدامه ثمّ وجود جزء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قد تعلّق بجزء خاصّ، ولكنّه انعدم، والشكّ قد تعلّق بجزء آخر، فلا مجال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جريان الاستصحاب فيه؛ لأنّ الزمان عبارة عن العناوين التي هي أسماء لقطعات من الزمان، كاليوم واللّيل والاُسبوع والشهر والسنة، وأركان الاستصحاب، من اليقين بوجودها والشكّ في بقائها موجود عرفاً وحقيقةً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لانطباق هذه العناوين على قطعة من الزمان توجد بوجود الجزء الأوّل منه حقيقةً وتنعدم بوجود جزء آخر؛ لأنّ معنى التدريجيّة في الوجود كما عرفنا، هي أن يكون الشيء ممّا يوجد شيئاً فشيئاً، ولا يمكن أن يوجد دفعةً واحدة، وإلّا ، لزم الخلف، بل التسلسل، وأن يكون قارّاً، لا غير قارّ، وبما أنّ العدم مقوّم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مركّب من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رافعاً له، فحينما يتحرّك شخص من داره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نفس حركته متقوّمة بالوجود والعدم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الحركة كالتوقّف في الطريق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العدم دخيلاً في صميم الحركة، فلا يعقل أن يكون رافعاً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موجود حتى في الحقيقة وبحسب الدقّة العقليّة، فإذا كان هذا الموضوع ممّا يترتّب عليه الحكم الشرعيّ، وشككنا في بقائه، كاليوم من شهر رمضان، فيمكن استصحابه، لتكون النتيجة هي وجوب 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ذهب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عدم صدق البقاء في الموجودات غير القارّة بالدقّة العقليّة، فمن الواضح المعلوم أنّ في نظر العرف وجود هذه القطعات بوجود أوّل جزء منها، وبعد ذلك يحكمون ببقائها إلى وجود آخر جزءٍ منها وانتهائها، وسيأتي أنّ وحدة القضيّتين المتيقّنة والمشكوكة، التي لا بدّ منها في جريان الاستصحاب وفي صدق نقض اليقين بالشك، تكون بنظر العرف، لا بالدقّة العقليّة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جريان الاستصحاب في الاُمور غير القارّة كجريانه في الاُمور القارّة؛ وذلك لتماميّة أركانه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أكثر من وجود النهار، كما إذا فرضنا أنّ متعلّق الحكم قد أُخذ فيه الوقوع في </w:t>
      </w:r>
    </w:p>
    <w:p>
      <w:pPr>
        <w:pStyle w:val="BookText"/>
        <w:rPr/>
      </w:pPr>
      <w:r>
        <w:rPr>
          <w:rFonts w:ascii="Amiri" w:hAnsi="Amiri" w:eastAsia="Amiri" w:cs="Amiri"/>
          <w:color w:val="111111"/>
          <w:sz w:val="28"/>
          <w:sz w:val="28"/>
          <w:szCs w:val="28"/>
          <w:rtl w:val="true"/>
          <w:lang w:bidi="ar-SA"/>
        </w:rPr>
        <w:t xml:space="preserve">النهار، كالإمساك في باب الصوم، فإنّه يعتبر فيه أن يكون في النهار، فمع الشكّ في بقاء النهار، لا يجدي استصحاب النهار في إثبات وقوع الإمساك في النهار، فلو فرض أنّ وجود النهار كان موضوعاً للحكم من دون أن يتقيّد به متعلّقه، كان استصحاب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مجدياً في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إثبات وجود النهار بالاستصحاب يثبت عليه الحكم بوجوب الصوم، فيجب عليه الإمساك رجاءً، وإن لم يحرز كون الزمان نهاراً، فإن كان الزمان نهاراً، فهو قدامتثل، وإلّا، فلا يضرّه شيء، فلا يكون الاستصحاب عديم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استصحاب وجود النهار في شغل الذمّة والعقاب المحتمل؛ لاحتمال وجود الحكم بعد احتمال وجود النهار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نهاريّة النهار كما يمكن استصحاب بقاء النهار بفرض الوحدة العرفيّة بين الأجزاء المتدرّجة في الوجود، فكذلك يمكن استصحاب نهاريّة الموجود، فإنّها من الأوصاف التدريجيّة كذات الموصوف بها، وتكون حادثة بحدوث الآنات وباقيةً ببقائها، فإذا اتّصف بعض هذه الآنات بالنهاريّة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اتّصاف الزمان الحاضر بها، يجري الاستصحاب لإثبات بقاء النهاريّة الثابتة في الزمان السابق لغرض وحدة الموصوف، فيكون الشكّ شكّاً في بقاء النهاريّة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هو من إفادات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ذوات الآنات المتعاقبة كما تكون تدريجيّةً، كذلك وصف الليليّة والنهاريّة الثابتة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تدريجيّة، تكون حادثة بحدوث الآنات وباقيةً ببقائها، فإذا اتّصف بعض هذه الآنات باللّيليّة أو النهاريّة، وشكّ في اتّصاف الزمان الحاضر باللّيليّة أو النهاريّة، فكما يجري الاستصحاب في نفس الزمان، ويدفع شبهة الحدوث فيما كان اسماً لمجموعما بين الحدّين، كذلك يجري الاستصحاب في وصف اللّيليّة أو النهاريّة الثابتة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أفاده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وصف النهاريّة أمراً آخر وراء ذوات الآنات، وأمّا لو لم يكن كذلك، فلا معنى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استصحاب نفس الزمان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الآن في الزمانيّات غير القارّة، كالحركة والتكلّم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بأنّ التكلّم من الاُمور القارّة كما كشف عنه العلم الحديث من ثبوت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من الحوادث التي لا تجتمع أجزاؤها في الوجود، وفي الزمانيّات القارّة المقيّدة بالزمان، كالوقوف بالمشعر أو عرفات مقيّداً بكونه في زمان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يوم عرفة إلى الغروب </w:t>
      </w:r>
    </w:p>
    <w:p>
      <w:pPr>
        <w:pStyle w:val="BookText"/>
        <w:rPr/>
      </w:pPr>
      <w:r>
        <w:rPr>
          <w:rFonts w:ascii="Amiri" w:hAnsi="Amiri" w:eastAsia="Amiri" w:cs="Amiri"/>
          <w:color w:val="111111"/>
          <w:sz w:val="28"/>
          <w:sz w:val="28"/>
          <w:szCs w:val="28"/>
          <w:rtl w:val="true"/>
          <w:lang w:bidi="ar-SA"/>
        </w:rPr>
        <w:t xml:space="preserve">في عرفات، وبين طلوع الفجر وطلوع الشمس من يوم العيد في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الزمانيّات غير القارّة، فحالها حال الزمان نفسه، والإشكال الذي كان وارداً هناك، من عدم إحراز الشكّ بالبقاء جارٍ هنا بعينه، والجواب 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الذي أقلّه ثلاثة وأكثره عشرة أيّام، يوجد بوجود الجزء الأوّل، ويبقى بقاءً حقيقيّاً إلى آخر جزء منه، فيمكن فيه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تصوّر البقاء الحقيقيّ هنا؛ لأنّه ما لم ينعدم جزء لا يوجد الجزء الآخر، وليس معنى بقاء الشيء إلّا وجود الشيء بتمامه وكماله في الآن الذي قبل ذلك الآن، ومثل هذا غير معقول في الاُمور غير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البقاء العرفيّ، فإنّه هو المدار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الاُمور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جهة الشكّ في وجود الرافع، كما إذا احتمل حدوث مانع ما من استمرار إلقاء خطابته بعدما أحرز قابليّة زمان الخطابة للاستمرار إلى زمان كذا، وشكّ قبل انتهاء الساعة في انقطاعها لمانع خارجيّ منعه من التكلّم والمقتضي عن دوام تأثيره فإنّه لا ينبغي الشكّ في جريان الاستصحاب في هذا القسم؛ لتماميّة أركانه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من جهة الشكّ في استعداده للبقاء،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قد يكون منشأ الشكّ الجهل بالكميّة والمقدار، وقد يكون منشؤه احتمال أن يكون مقدار زائد على المقدار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الشكّ في جريان الماء أو سيلان الدم من جهة الشكّ في بقاء شيء من الماء في المنبع أو الدم في الرحم غير ما قد سال وجرى من كلٍّ منهما، وكذا في مثال الخطابة إذا كان الشكّ من جهة الشكّ في أنّ الخطيب هل كان له استعداد التكلّم والقراءة ساعةً أو أقلّ، وكذا في سائر أمثلة الاُمور التدريجيّة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شكّه في جريان الماء في المنبع من جهة احتمال أن يكون المقدار زائداً على المقدار المعلوم أوّلاً، واحتمل ورود مقدار آخر مقارناً لجريان هذا المقدار من المطر أو غيره فيه، وهذا ملحق بالشكّ في المقتضي؛ لأنّه ليس من قبيل الشكّ في المقتضي الاصطلاحيّ، وهو العلم بمقدار استعداد الماء للجريان في مدّة معيّنة، وكذلك فهو خارج عن الشكّ في الرافع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 الأوّل، لا يجري الاستصحاب؛ لأنّ الذي يجري فيه الاستصحاب إنّما هو الشكّ في البقاء، دون الشكّ في الحدوث، كما في المقام؛ لأنّ الشكّ هنا إنّما هو في جريان جزء آخر من الماء والدم والتكلّم غير ما وجد قبل ذلك وانعدم قطعاً،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بالحدوث، لا بالبقاء، ومعلوم أنّ الشكّ المعتبر في الاستصحاب هو الشكّ في البقاء، دون الحدوث، فيشكل فيه جريان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فالاستصحاب فيه جارٍ، بعدما كان الجريان أمراً واحداً شخصيّاً، سواء كان عن المادّة المعلومة أوّلاً أم عن المادّة التي يحتمل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التكلّم أو السيلان يتبدّل من فرد إلى فرد، أو من شخص إلى شخص آخر، باختلاف الدواعي والأغراض، فهو يكون من القسم الأوّل من القسم الثالث من الاستصحاب، وأمّا لو فرض أنّ اختلاف الدواعي لا يضرّ أصلاً بالوحدة الشخصيّة،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هذا الشخص بسبب داعٍ، وبقاءه بسببٍ آخر، فالعرف يرى بقاء ذلكالشخص، لا انعدامه وحدوث شخص آخر، وإن كان بالدقّة العقليّة كذلك،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قبيل استصحاب الكلّيّ من القسم الثالث، وذلك بأن يكون ما هو مقطوع بارتفاعه مرتبة منه، مع احتمال بقاء مرتبة ضعيفة أو قويّة مقامه، ومع كون العرف يساعد على ذلك،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وحدة القضيّة المشكوكة والمتيقّنة، فلا يكون هناك مانع من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الاُمور القارّة المقيّدة بالزمان، كوجوب الجلوس في يوم الجمعة إلى الزوال،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ظرفاً للحكم،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قيداً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الاُولى، فلا يكون مانعاً من جريان استصحاب </w:t>
      </w:r>
    </w:p>
    <w:p>
      <w:pPr>
        <w:pStyle w:val="BookText"/>
        <w:rPr/>
      </w:pPr>
      <w:r>
        <w:rPr>
          <w:rFonts w:ascii="Amiri" w:hAnsi="Amiri" w:eastAsia="Amiri" w:cs="Amiri"/>
          <w:color w:val="111111"/>
          <w:sz w:val="28"/>
          <w:sz w:val="28"/>
          <w:szCs w:val="28"/>
          <w:rtl w:val="true"/>
          <w:lang w:bidi="ar-SA"/>
        </w:rPr>
        <w:t xml:space="preserve">الوجوب فيما بعد الزوال؛ لأنّ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مقيّداً بشيء، بل كان مرسلاً، وكان مقطوع الوجوب، وإذا شكّ بعد الزوال في بقاء الوجوب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الزمان قيداً للحكم أو الموضوع، فلا يجري؛ لأنّ الجلوس بعد الزوال موضوع آخر غير الجلوس قبل الزوال، فيما إذا كان الجلوس مقيّداً بالزمان، كما هو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حكى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عن الشيخ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بتعارض استصحاب الوجود مع استصحاب العدمالأزليّ في محلّ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الحكم الشرعيّ مقيّداً بالزمان، كما إذا ورد الدليل على وجوب الجلوس من يوم الجمعة من شهر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 ثمّ حصل الشكّ في بقاء ذلك الوجوب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وجوب الجلوس فيما بعد الزوال معارض باستصحاب عدم وجوبه أزلاً في تحقّق تلك القطعة، فيكون واجباً باعتبار استصحاب الوجوديّ، ولكنّه غير واجب باعتبار استصحاب العدميّ، وقد ذكر لذلك أمثلة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الشكّ في بقاء وجوب الإمساك في اليوم الذي وجب فيه الصيام؛ لعروض 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بعد خروج المذيّ في بقاء الطهارة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بقاء النجاسة الخبثيّة بعد الغسل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جميع هذه الموارد وأمثالها بتعارض استصحاب الوجوديّ مع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تنظّر فيه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جريان استصحاب العدم الأزليّ مطلقاً، وإن أُخذ الزمان قيداً للحكم أو الموضوع؛ لأنّ العدم الأزليّ هو العدم المطلق الذي يكون كلّ حادث مسبوقاً به، وانتقاض هذا العدم بالنسبة إلى كلّ حادث إنّما يكون بحدوث الحادث وشاغليّته لصفحة الوجود، فلو ارتفع الحادث بعد حدوثه وانعدم بعد وجوده،فهذا العدم غير العدم الأزليّ، بل هو عدم آخر بعد وجود الشيء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العدم الأزليّ والمطلق والذي هو نقيض وجود كلّ شيء ينقض بوجود ذلك الشيء؛ لأنّ وجود كلّ شيء رفعه، فبوجود كلّ شيء، الذي هو نقيض العدم المطلق، يرتفع ذلك العدم المطلق، الذي هو عبارة أُخرى عن العدم الأزليّ، وإلّا، يلزم اجتماع النقيضين، فإذا كان العدم الأزليّ مقطوع الارتفاع فكيف 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01" w:name="pg15437_354839"/>
    </w:p>
    <w:p>
      <w:pPr>
        <w:pStyle w:val="Heading3"/>
        <w:numPr>
          <w:ilvl w:val="2"/>
          <w:numId w:val="1"/>
        </w:numPr>
        <w:rPr/>
      </w:pPr>
      <w:bookmarkStart w:id="102" w:name="__RefHeading___Toc6974461_2142443653"/>
      <w:bookmarkStart w:id="103" w:name="_Toc37"/>
      <w:bookmarkEnd w:id="101"/>
      <w:bookmarkEnd w:id="102"/>
      <w:r>
        <w:rPr>
          <w:rtl w:val="true"/>
        </w:rPr>
        <w:t>التنبيه الثالث</w:t>
      </w:r>
      <w:r>
        <w:rPr>
          <w:rtl w:val="true"/>
        </w:rPr>
        <w:t xml:space="preserve">: </w:t>
      </w:r>
      <w:r>
        <w:rPr>
          <w:rtl w:val="true"/>
        </w:rPr>
        <w:t>في الاستصحاب التعليقيّ والتنجيزيّ</w:t>
      </w:r>
      <w:r>
        <w:rPr>
          <w:rtl w:val="true"/>
        </w:rPr>
        <w:t>:</w:t>
      </w:r>
      <w:bookmarkEnd w:id="103"/>
    </w:p>
    <w:p>
      <w:pPr>
        <w:pStyle w:val="Heading4"/>
        <w:numPr>
          <w:ilvl w:val="3"/>
          <w:numId w:val="1"/>
        </w:numPr>
        <w:rPr/>
      </w:pPr>
      <w:bookmarkStart w:id="104" w:name="__RefHeading___Toc6974463_2142443653"/>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ولابدّ قبل الشروع في بيان حكم هذا الاستصحاب صحّة أو عدماً من بيان اُمور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974465_2142443653"/>
      <w:bookmarkStart w:id="107" w:name="_Toc39"/>
      <w:bookmarkEnd w:id="106"/>
      <w:r>
        <w:rPr>
          <w:rtl w:val="true"/>
        </w:rPr>
        <w:t>الأمر الأوّل</w:t>
      </w:r>
      <w:r>
        <w:rPr>
          <w:rtl w:val="true"/>
        </w:rPr>
        <w:t>:</w:t>
      </w:r>
      <w:bookmarkEnd w:id="107"/>
    </w:p>
    <w:p>
      <w:pPr>
        <w:pStyle w:val="BookText"/>
        <w:rPr/>
      </w:pPr>
      <w:r>
        <w:rPr>
          <w:rFonts w:ascii="Amiri" w:hAnsi="Amiri" w:eastAsia="Amiri" w:cs="Amiri"/>
          <w:color w:val="111111"/>
          <w:sz w:val="28"/>
          <w:sz w:val="28"/>
          <w:szCs w:val="28"/>
          <w:rtl w:val="true"/>
          <w:lang w:bidi="ar-SA"/>
        </w:rPr>
        <w:t>في أنّه ما هو الفرق بين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التنجيزيّ والتعليقيّ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الاستصحاب التنجيزيّ، فالمراد به الاستصحاب في مورد ما لو كان للأمر المشكوك بقاءً وجود فعليّ تنجيزيّ في السابق يشكّ في أنّه باقٍ أم أنّه قد زال، 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بالنجاسة، وزال تغيّره من قبل نفسه، وشكّ في بقاء نجاسته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الاستصحاب التعليقيّ، فهو ما لو كان للأمر المشكوك في بقائه وجود تقديريّ، وليس له وجوب فعليّ، كحرمة العنب على تقدير غليانه إذا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تبدّله إلى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التعليقيّ هو أن يتبدّل جزء من الموضوع بجزء آخر، فإنّ الحرمة في العصير العنبيّ موضوعها مركّب من العنب والغليان، المعبّر عنه بمثل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غلى يحرم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تغيّر جزء الموضوع، كما لو يبس العنب وأصبح زبيباً قبل الغليان، فهذا هو مورد الاستصحاب التعليقيّ، فهل يجري استصحاب بقاء النجاسة والحرمة للعنب على تقدير الغليان، ويترتّب </w:t>
      </w:r>
      <w:bookmarkStart w:id="108" w:name="pg15437_354840"/>
    </w:p>
    <w:p>
      <w:pPr>
        <w:pStyle w:val="BookText"/>
        <w:rPr/>
      </w:pPr>
      <w:bookmarkEnd w:id="108"/>
      <w:r>
        <w:rPr>
          <w:rFonts w:ascii="Amiri" w:hAnsi="Amiri" w:eastAsia="Amiri" w:cs="Amiri"/>
          <w:color w:val="111111"/>
          <w:sz w:val="28"/>
          <w:sz w:val="28"/>
          <w:szCs w:val="28"/>
          <w:rtl w:val="true"/>
          <w:lang w:bidi="ar-SA"/>
        </w:rPr>
        <w:t>عليه نجاسة الزبيب عند غليانه، إذا فُرض أنّ وصف الزبيبيّة والعنبيّة من حالات الموضوع لا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التعليقيّ هو استصحاب الحكم الثابت على الموضوع بشرط بعض ما يلحقه من التقادير، وبعد وجود المشروط وتبدّل بعض حالاته قبل وجود الشرط، كما مثّلنا باستصحاب بقاء الحرمة للعنب عند صيرورته زبيباً قبل فرض غليانه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974467_2142443653"/>
      <w:bookmarkStart w:id="110" w:name="_Toc40"/>
      <w:bookmarkEnd w:id="109"/>
      <w:r>
        <w:rPr>
          <w:rtl w:val="true"/>
        </w:rPr>
        <w:t>الأمر الثاني</w:t>
      </w:r>
      <w:r>
        <w:rPr>
          <w:rtl w:val="true"/>
        </w:rPr>
        <w:t>:</w:t>
      </w:r>
      <w:bookmarkEnd w:id="110"/>
    </w:p>
    <w:p>
      <w:pPr>
        <w:pStyle w:val="BookText"/>
        <w:rPr/>
      </w:pPr>
      <w:r>
        <w:rPr>
          <w:rFonts w:ascii="Amiri" w:hAnsi="Amiri" w:eastAsia="Amiri" w:cs="Amiri"/>
          <w:color w:val="111111"/>
          <w:sz w:val="28"/>
          <w:sz w:val="28"/>
          <w:szCs w:val="28"/>
          <w:rtl w:val="true"/>
          <w:lang w:bidi="ar-SA"/>
        </w:rPr>
        <w:t>أنّه يشترط في الاستصحاب الوجوديّ أن يكون المستصحب شاغلاً لصفحة الوجود في أيّ وعاء كان، سواء كان وعاء العين والخارج أم وعاء الاعتبار، وأمّا التعبّد ببقاء شيء لاوجود له فغير معقول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أو موضوعاً ذا حكم شرعيّ؛ ضرورة أنّه لا معنى للتعبّد بالموضوعات التي لا يترتّب على بقائها أثر وحكم شرعيّ</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974469_2142443653"/>
      <w:bookmarkStart w:id="112" w:name="_Toc41"/>
      <w:bookmarkEnd w:id="111"/>
      <w:r>
        <w:rPr>
          <w:rtl w:val="true"/>
        </w:rPr>
        <w:t>الأمر الثالث</w:t>
      </w:r>
      <w:r>
        <w:rPr>
          <w:rtl w:val="true"/>
        </w:rPr>
        <w:t>:</w:t>
      </w:r>
      <w:bookmarkEnd w:id="1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الأسماء والعناوين المأخوذة في موضوعات الأحكام يُفهم من نفس الدليل أو من الخارج أنّها لها دخل في موضوع الحكم، وأنّها تمام الموضوع، بحيث يدور الحكم مدار بقائها، كما إذا ترتّب الحكم بالإباحة والطهارة على العلم بعنوان الحنطة، فإنّ هذا الحكم لا يبقى بتحوّل الحنطة إلى دقيق، ولو كانت حقيقتهما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الأسماء والعناوين، كما إذا استفدنا من نفس الدليل، أو من خارج، أنّ لها دخلاً في موضوع الحكم بحيث يكون الحكم دائراً مدار بقاء هذا العنوان،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الحكم بارتفاعه، ولو مع بقاء الحقيقة، كما إذا فرضنا أنّ لبقاء عنوان الحنطة دخلاً في الحكم بالإباحة والطهارة، فيرتفع الحكم بهما إذا أصبحت الحنطة دقيقاً أو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دليل الحكم أو من خارج عدم دخل الوصف العنوانيّ في موضوع الحكم، بل يكون الحكم مترتّباً على نفس الحقيقة والذات المحفوظة في جميع التغيّرات والتقلّبات والواردة على الحقيقة، والتي توجب تبدّل ما كانلها من العنوان والاسم إلى عنوان واسمٍ آخر مع انحفاظ الحقيقة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لا يدور مدار الاسم، بخلاف الصورة الاُولى، حيث كان الحكم فيها مترتّباً على العنوان فقط، فإذا زال العنوان، فلا يجوز ترتّب بقاء الحكم مع زوال الوصف العنوانيّ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كون الحكم وارداً ومترتّباً على الذات نفسها، فالموضوع باقٍ، ولو بعد زوال الوصف العنوانيّ، فيجب ترتّب بقاء الحكم، مهما كان الذي جرى من التغيّرات والتبدّلات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صورة ما إذا علم بدخول الوصف العنوانيّ في الحكم أو بعدم 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اذا جهل ذلك ولم يعلم من نفس الدليل أو من خارج بمدخليّة الوصف والعنوان في ترتّب الحكم عليه ولا بعدمه، بل يشكّ في ذلك، فهذا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الحالات الواردة على الحقيقة متباينة بنظر العرف، بحيث تكون الذات الواجدة لعنوان خاصّ مباينةً للذات الفاقدة له، وكان الوصف العنوانيّ بنظر العرف مقوّماً للحقيقة والذات، فإذا ارتفع العنوان عن الذات فيكون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حقيقة هذه الذات،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على نفس العنوان الذي أُخذ عنواناً للموضوع والذي جُعل الحكم دائراً مداره، ولا يجوز التعدّي عنه؛ لأنّ الذات الفاقدة للعنوان تكون مباينةًللواجدة، ولا تكون محلّاً للاستصحاب؛ لأنّه يلزم تسرية الحكم من موضوع إلى موضوع 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تكن المراتب المتبادلة في نظر العرف موجبة لتبدّل الحقيقة والذات عرفاً، بل كانت المراتب من الحالات التي لا يضرّ تبادلها في صدق بقاء الحقيقة، وكانت الذات باقيةً عرفاً، ففي مثل ذلك يجري استصحاب بقاء الحكم، ويثبت له البقاء في الحالات المتبادلة، ولا يضرّ في جريان الاستصحاب عدم وجود العنوان والاسم بعد بقاء الحقيقة، ولو كان قد أُخذ في ظاهر الدليل عنواناً للموضوع</w:t>
      </w:r>
      <w:r>
        <w:rPr>
          <w:rFonts w:eastAsia="Amiri" w:cs="Amiri" w:ascii="Amiri" w:hAnsi="Amiri"/>
          <w:color w:val="111111"/>
          <w:sz w:val="28"/>
          <w:szCs w:val="28"/>
          <w:rtl w:val="true"/>
          <w:lang w:bidi="ar-SA"/>
        </w:rPr>
        <w:t xml:space="preserve">. </w:t>
      </w:r>
      <w:bookmarkStart w:id="113" w:name="pg15437_354843"/>
    </w:p>
    <w:p>
      <w:pPr>
        <w:pStyle w:val="BookText"/>
        <w:rPr/>
      </w:pPr>
      <w:bookmarkEnd w:id="113"/>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صدق اسم المتيقّن لا نحتاج إلى الدليل وإلى الاستصحاب، بل يكفي في ثبوت الحكم للمشكوك نفس الدليل الذي رتّب الحكم فيه على المسمّى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يكفي ذلك، بل نحتاج معه إلى التمسّك بالاستصحاب؛ إذ يمكن أن لا يكون لدليل الحكم إطلاق يعمّ صورة تبدّل الحالة التي لا تضرّ ببقاء الاسم والعنوان، فنحتاج لذلك في إثبات الحكم مع تبدّل بعض حالات الموضوع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لدينا في المقام بناءً على 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بمقام الجعل، وهو الحكم المنشأ على الموضوع الكلّيّ، فهذا لا يرتبط بوجود الموضوع في الخارج، بل هو ممّا لا شكّ في بقائه، فإنّه متحقّق ولو لم يكن هناك موضوع، وسواء وجد العنوان أم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راجع إلى مقام الفعليّة، وهو الحكم الفعليّ الذي يثبت عند وجود موضوعه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هذا الحكم لا يقين بحدوثه قبل أن يتعلّق بمتعلّقه فعلاً، فلا يكون قابلاً للاستصحاب قبل ذلك</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974471_2142443653"/>
      <w:bookmarkStart w:id="115" w:name="_Toc42"/>
      <w:bookmarkEnd w:id="114"/>
      <w:r>
        <w:rPr>
          <w:rtl w:val="true"/>
        </w:rPr>
        <w:t>الأمر الرابع</w:t>
      </w:r>
      <w:r>
        <w:rPr>
          <w:rtl w:val="true"/>
        </w:rPr>
        <w:t>:</w:t>
      </w:r>
      <w:bookmarkEnd w:id="1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تارةً يكون حكماً شرعيّاً، وأُخرى يكون موضوعاً لحكم شرعيّ، فإن كان حكماً شرعيّاً، فهو تارةً يكون كلّيّاً وأُخرى جزئيّاً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الحكم الكلّيّ والجزئيّ، هو أنّ الأوّل هو الحكم المنشأ الوارد على الموضوع المقدّر وجوده على نحو القضايا الحقيقيّة،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بحيث إنّه حتى لو لم يوجد فرد للخمر في الخارج، فمع ذلك، يكون الخمر حراماً، وكوجوب الحجّ الذي تمّ إنشاؤه منذ الأزل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الحكم الجزئيّ، فهو الحكم الثابت على موضوعه عند تحقّق الموضوع خارجاً، والذي يوجب فعليّة الحكم، كما في وجوب الحجّ الذي لا يكون فعليّاً إلّا بوجود زيد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بقاء الحكم الجزئيّ لا يتصوّر إلّا إذا عرض لموضوعه الخارجيّ ما يشكّ معه في بقاء الحكم، كما إذا زال التغيّر بنفسه فلا إشكال في صحّة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بقاء الحكم الكلّيّ، فهو يتصوّر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 من جهة احتمال النسخ،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ما كان ثابتاً من الحكم بنصٍّ شرعيّ، كما إذا شكّ في نسخ الحكم الكلّيّ المجعول على موضوعه المقدّر وجوده، فيستصحب بقاء الحكم الكلّيّ المترتّب على موضوعه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استصحاب بقاء الحكم عند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الملكيّة في العقود العهديّة التعليقة، كعقد الجعالة والسبق والرماية؛ فإنّ المالك ينشأ ملكيّة العوض في هذه العقود على تقدير خاصّ، كردّ الضالّة في </w:t>
      </w:r>
    </w:p>
    <w:p>
      <w:pPr>
        <w:pStyle w:val="BookText"/>
        <w:rPr/>
      </w:pPr>
      <w:r>
        <w:rPr>
          <w:rFonts w:ascii="Amiri" w:hAnsi="Amiri" w:eastAsia="Amiri" w:cs="Amiri"/>
          <w:color w:val="111111"/>
          <w:sz w:val="28"/>
          <w:sz w:val="28"/>
          <w:szCs w:val="28"/>
          <w:rtl w:val="true"/>
          <w:lang w:bidi="ar-SA"/>
        </w:rPr>
        <w:t>عقد الجعالة، وتحقّق السبق في عقد السبق، وإصابة الهدف في عقد الرماية، فإنّ الملكيّة المنشأة في هذه العقود تشبه الأحكام المجعولة على الموضوعات المقدّرة، كالوجوب للمستطيع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شككنا في أنّ عقد السبق والرماية هل هو من العقود اللّازمة التي لا تنفسخ بفسخ أحد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العقود اللّازمة ما هو من قبيل البيع، فإنّ المنشأ فيه الملكيّة المنجّزة دون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العقود الجائزة التي تنفسخ بذلك، فحيث إنّ الحكم هناك ينشأ من قبل العاقد على تقدير خاصّ، كما عرفنا، فيجري استصحاب بقاء الملكيّة المنشأة إذا فسخ أحد المتعاقدين في الأثناء قبل تحقّق السبق أو إصابة الرمي، تماماً كما يجري الاستصحاب لإثبات بقاء الملكيّة المنشأة في العقود التنجيزيّة عند الشكّ في لزومها وجوازها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إلى المنع من جريان الاستصحاب في باب العقود التعليقيّة، مع أنّه قائل بجريان الاستصحاب التعليقيّ في مثل العنب والزبيب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لأنّ حال الملكيّة المنشأة فيها حال الأحكام المنشأة على موضوعاتها، فكما يصحّ استصحاب بقاء الحكم عند الشكّ في نسخه، ولو قبل فعليّته بوجود الموضوع خارجاً، فكذلك يصحّ استصحاب بقاء الملكيّة المعلّقة عند الشكّ في بقائها، ولو قبل فعليّتها، بفعليّة السبق وإصابة الرمي وتحقّقهما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الحكم على موضوعه المقدّر وجوده عند فرض بعض حالات الموضوع، كما لو شكّ في بقاء النجاسة في الماء المتغيّر الذي زال تغيّره من قبل نفسه، ولا شكّ في جريان استصحاب بقاء الحكم في هذا الوجه أيضاً، بل هذا القسم من استصحاب الحكم الكلّيّ هو الذي تعمّ به البلوى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الوجه من استصحاب الكلّيّ وبين الوجه الأوّل معلوم، وهو أنّ الشكّ في الوجه الأوّل إنّما كان من جهة الشكّ في النسخ وعدمه، ولا يتوقّف حصول الشكّ في بقاء الحكم الكلّيّ على فرض وجود الموضوع خارجاً وتبدّل بعض حالاته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الوجه الثاني، فالشكّ في بقاء الحكم الكلّيّ لا يمكن إلّا بعد فرض وجود الموضوع خارجاً وتبدّل بعض حالاته؛ لوضوح أنّه لولا فرض وجود الماء المتغيّر بالنجاسة والزائل عنه التغيير، فلا يعقل الشكّ في بقاء النجاسة، فلابدّ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وجود الموضوع ليمكن حصول الشكّ في بقاء حكمه عند فرض تبدّل بعض حالاته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الشكّ هنا لا يتوقّف على فعليّة وجود الموضوع خارجاً، فإنّ حصول الشكّ في بقاء الحكم الجزئيّ هو ما يتوقّف على فعليّة وجود الموضوع، وأمّا الشكّ في بقاء الحكم الكلّيّ، فيكفي فيه فرض وجود الموضوع، فالوجهان الأوّل والثاني يشتركان من جهة أنّ المستصحب فيهما يكون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ويفارق الثاني الأوّل في أنّه متوقّف على حصول الشكّ فيه على فرض وجود الموضوع،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يمكن تصوّرها في الشكّ في بقاء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بقاء الحكم المترتّب على موضوع مركّب من جزأين عند فرض أحد جزأيه، وتبدّل بعض حالاته قبل فرض وجود الجزء الآخر، كما إذا شكّ في بقاء الحرمة والنجاسة المترتّبة على العنب على تقدير الغليان عند فرض وجود العنب وتبدّله إلى الزبيب قبل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بقاء النجاسة والحرمة للعنب على تقدير الغليان، ويترتّب عليه نجاسة الزبيب عند غليانه إذا فرض أنّ وصفالعنبيّة والزبيبيّة كان من جملة حالات الموضوع، لا من أركانه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من الاستصحاب هو الاستصحاب التعليقيّ المصطلح عليه، والمراد به أن يستصحب الحكم بعد وجود المشروط وتبدّل بعض حالاته قبل وجود الشرط، كاستصحاب بقاء الحرمة للعنب عند صيرورته زبيباً قبل فرض غليانه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الكلام بينهم في جريان هذا الاستصحاب أو عدم جريانه، فهنا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الجريان؛ لأنّ الموضوع إذا أصبح مركّباً من جزأين، فالحكم لا يترتّب عليه إلّا بعد وجوده بكلا جزأيه، بل بجميع ما له من الأجزاء والشرائط؛ لأنّ نسبة الحكم إلى الموضوع هي بمثابة نسبة العلّة إلى المعلول، فكما أنّه لا معنى لتقدّم المعلول على علّته، 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الحكم على موضوعه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والموضوع للنجاسة أو الحرمة في مثال العصير العنبيّ إنّما كان مركّباً من جزأين،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والغليان، بلا فرقٍ بين ما إذا أخذ الغليان وصفاً للعنب،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المغليّ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شرطاً،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مردّ الشرط ومرجعه إلى الموضوع، وهذا كما أنّ الشرط في وجوب الحجّ، وهو الاستطاعة،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الموضوع، ليكون مفاد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إذا استطعت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المستطيع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لنا أن نزيد على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 جريان الاستصحاب التعليقيّ لا يتوقّف على رجوع الشرط إلى الموضوع، بل يكفي في هذا المنع أن يكون الشرط علّة لحدوث النجاسة والحرمة للعنب، فإنّه مع عدم الغليان لا نجاسة ولا الحرمة؛ لانتفاء المعلول بانتفاء علّته، كانتفاء الحكم بانتفاء موضوعه،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الموضوع يدور بقاء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بقائه، وفي العلّة يمكن أن يكون لها دخل في الحدوث فقط، دون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الأثر المترتّب على أحد جزأي المركّب هو أنّه لو انضمّ إليه الجزء الآخر لترتّب عليه الأثر، وهذا المعنى عقليّ، كما أنّه مقطوع البقاء في كلّ مركّب وجد أحد جزأيه، فلا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بقاء الحرمة والنجاسة الواردين على العنب المغليّ، فيمكن إجراء هذا الاستصحاب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رفع الحرمة والنجاسة من جهة الشكّ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بقائها عند تبدّل بعض حالات الموضوع بعد وجود العنب المغلي بكلا جزأيه، كما ذا شكّ في بقائهما عند ذهاب ثلثيه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هذين الوجهين، لا إشكال في جريان استصحاب بقائهما، ولكنّ هذا الاستصحاب ليس داخلاً في الاستصحاب التعليقيّ في نظر من يقول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هو مرادالقائل بالاستصحاب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نتصوّر صحّة جريان الاستصحاب عند الشكّ في بقاء الحرمة والنجاسة في غير هاتين الصورتين، فالقائل بالاستصحاب التعليقيّ إن كان قائلاً به بمعنىً لا يرجع إلى استصحاب عدم النسخ، ولا إلى استصحاب الحكم على تقدير وجود الموضوع بجميع ما له من الأجزاء والقيود وتبدّل بعض حالاته ممّا لا يرجع إلى معنىً محصّل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جريان الاستصحاب بوجه آخر لا يرجع إلى الوجهين الأوّلين،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نستصحب بقاء الحرمة والنجاسة التقديريّين؛ فإنّ العنب قبل غليانه، وإن لم يكن معروضاً للحرمة أو النجاسة الفعليّة حيث لم يتحقّق شرط موضوعها، إلّا أنّه كان معروضاً للحرمة والنجاسة التقديريّة؛ إذ يصدق على العنب متى ما وُجد أنّه حرام أو نجس عند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تقديره، فتكون الحرمة والنجاسة التقديريّة ثابتتين عند صيرورة العنب زبيباً، ووجوده في الخارج على هذه الصفة، فيشكّ في بقاء النجاسة والحرمة التقديريّة بعدما كان عنوان العنبيّة والزبيبيّة من حالات الموضوع، لا من مقوّماته وأركانه، فعدم الغليان إنّما يمنع عن حصول الشكّ في بقاء الحرمة والنجاسة الفعليّة واستصحابهما، لا عن الشكّ في بقاء الحرمة والنجاسة التقديريّة واستصحابهما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غير جارٍ في المقام، إذ لا معنى لاستصحاب الحرمة والنجاسة الفرضيّتين التقديريّتين؛إذ ليست الحرمة والنجاسة الفرضيّة في العنب غير المغليّ إلّا عبارة عن أنّ العنب لو انضمّ إليه الغليان لترتّبت عليه النجاسة والحرمة، وهذه القضيّة التعليقيّة لا يمكن استصحابها؛ وذلك لأنّها، مضافاً إلى كونها من القضايا العقليّة؛ لأنّها ليست سوى لازمٍ يترتّب على جعل الحكم على موضوعه المركّب الذي وجد أحد جزأيه، فهي مقطوعة البقاء لا مشكوكته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بإمكان جريان هذا الأصل؛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أنّه لا وجود للمعلّق قبل وجود ما عُلِّق عليه، فاختلّ أحد ركنيه، فاسد؛ فإنّ المعلّق قبله إنّما لا يكون موجوداً فعلاً، لا أنّه لا يكون موجوداً أصلاً، ولو بنحو التعليق،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مورد فعلاً للخطاب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الإيجاب، فكان على يقينٍ منه قبل طروء الحالة، فيشكّ فيه بعده، ولا يعتبر في الاستصحاب إلّا الشكّ في بقاء شيءٍ كان على يقين من ثبوته، واختلاف نحو ثبوته لا يكاد يوجب تفاوتاً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متمّماً لدلالة الدليل على الحكم فيما أُهمل أو أُجمل، كان الحكم مطلقاً أو معلّقاً، فببركته يعمّ الحكم للحالة الطارئة اللّاحقة كالحالة السابقة،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العصير الزبيبيّ يكون على ما كان عليه سابقاً في حال عنبيّته، من أحكامه المطلقةوالمعلّقة لو شكّ فيها، فكما يحكم ببقاء ملكيّته، يحكم بحرمته على تقدير غليانه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للحكم المعلّق نحو وجود في مقابل العدم المطلق، ولا دليل على اعتبار أزيد من هذا الوجود للمستصحب في الاستصحاب </w:t>
      </w:r>
    </w:p>
    <w:p>
      <w:pPr>
        <w:pStyle w:val="BookText"/>
        <w:rPr/>
      </w:pPr>
      <w:r>
        <w:rPr>
          <w:rFonts w:ascii="Amiri" w:hAnsi="Amiri" w:eastAsia="Amiri" w:cs="Amiri"/>
          <w:color w:val="111111"/>
          <w:sz w:val="28"/>
          <w:sz w:val="28"/>
          <w:szCs w:val="28"/>
          <w:rtl w:val="true"/>
          <w:lang w:bidi="ar-SA"/>
        </w:rPr>
        <w:t xml:space="preserve">الوجوديّ، 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حدّ شرب الخمر بالتوبة قبل قيام البيّنة عليه، فلا مانع من استصحاب وجوب الحدّ المعلّق على عدم التوبة، فأيّ مانع من استصحاب هذا الحكم المعلّق إذا شكّ في بقائه ولم يكن الشكّ فيه لأجل الشكّ في النسخ، بل كان شكّاً ناشئاً من عروض حالة طارئة هي أوجبت الشكّ، كالتوبة في المثال، فالكلام كلّ الكلام، في أنّ التعليق في الأحكام لأجل منعه عن فعليّة وجود الحكم المعلّق، فهل يكون مانعاً من جريان الاستصحاب أم لا؟</w:t>
      </w:r>
    </w:p>
    <w:p>
      <w:pPr>
        <w:pStyle w:val="BookText"/>
        <w:rPr/>
      </w:pPr>
      <w:r>
        <w:rPr>
          <w:rFonts w:ascii="Amiri" w:hAnsi="Amiri" w:eastAsia="Amiri" w:cs="Amiri"/>
          <w:color w:val="111111"/>
          <w:sz w:val="28"/>
          <w:sz w:val="28"/>
          <w:szCs w:val="28"/>
          <w:rtl w:val="true"/>
          <w:lang w:bidi="ar-SA"/>
        </w:rPr>
        <w:t>ولكن قد عرفت أنّ للحكم المعلّق قبل حصول المعلّق عليه نحو وجود، ونحو وجوده هذا يوجب صحّة جريان الاستصحاب فيه لو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إلى نفي جريان الاستصحاب في الحكم التعليقيّ، ومحصّل ما أفاده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للحكم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وهو جعل الحكم الكلّيّ على الموضوع الكلّيّ، ومقام المجعول، وهو الحكم الفعليّ الحاصل بحصول موضوعه بأجزائه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بقاءالحكم بلحاظ مقام الجعل والفعليّة في الحكم التعليقيّ غير متصوّر؛ لأنّ المفروض عدم كون الحكم فعليّاً؛ لعدم تحقّق كلا جزأي الموضوع، فليس ثمّة يقين بالحدوث، وليس للحكم التعليقيّ مقام آخر يتصوّر جريان الاستصحاب بلحاظه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له ثبوت فعليّ، وهو الجعل، لا شكّ فيه، وما هو مورد الشكّ، وهو المجعول، فلا يقين بحدوثه</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جريان استصحاب الحكم في هذا الوجه وعدم جريانه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لأنّ الحكم المترتّب على الموضوع المركّب إنّما يكون وجوده وتقرّره بوجود الموضوع بما له من الأجزاء والشرائط؛ لأنّ نسبة الحكم إلى الموضوع نسبة العلّة إلى المعلول، ولا يعقل أن يتقدّم الحكم على موضوعه، والموضوع للنجاسة أو الحرمة في مثال العنب إنّما يكون مركّباً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والغليان، من غير فرقٍ بين أخذ الغليان وصفاً للعنب،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المغليّ يحرم وينجس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أخذه شرطاً 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 وينجس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الشرط يرجع إلى الموضوع، ويكون من قيوده لا محالة؛ فقبل فرض غليان العنب لا يمكن فرض وجود الحكم، ومع عدم فرض وجود الحكم لا معنى لاستصحاب بقائه؛ لما تقدّم من أنّه يعتبر في الاستصحاب الوجوديّ أن يكون للمستصحب نحو وجود وتقرّر في الوعاء المناسب له؛ فوجود أحد جزأي الموضوع المركّب، كعدمه، لا يترتّب عليه الحكم الشرعيّ ما لم ينضمّ إليه الجزء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تارةً في مقام الجعل، وهو الحكم المنشأ على الموضوع الكلّيّ، فهذا لا يرتبط بفرض وجود الموضوع أصلاً، وهو ممّا لا شكّ في بقائه، وجد العنب أم لا، وأُخرى في مقام الفعليّة، وهو الحكم الفعليّ الذي ثبت عند وجود موضوعه بشرائطه، وهو ممّا لا يقين هناك بحدوثه قبل تعليق المعلّق، فلا يكون قابلاً للاستصحاب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إنكار جريان الاستصحاب المذكور، ولكنّه قرّبه بشكل آخر، ملخّصه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حقيقة الحكم التكليفيّ ليست إلّا الإرادة والكراهة المبرزة والمظهرة، فهو ليس بأمر مجعول، كالأحكامالوضعيّة، وإنّما هو أمر واقعيّ تكوينيّ يترتّب عليه الأثر العقليّ والعقلائيّ عند 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الأحكام التكليفيّة المستفادة من الخطابات الشرعيّة ليست إلّا الإرادة التشريعيّة المبرزة بأحد مظهراتها، من القول أو الفعل، وأنّ عنوان مثل البعث والتحريك والإيجاب والوجوب ونحوها من العناوين، اعتباريّات محضة منتزعة من مقام إبراز الإرادة، حيث إنّه بإبراز المولى إرادة شيء واشتياقه إليه بإخبارٍ أو إنشاء من قولٍ أو فعل، ينتزع العقل من إرادته المبرزة منه عنوان البعث والوجوب واللّزوم، كلّ باعتبارٍ خاصّ، لا أنّها هي الأحكام التكليفيّة المستفادة من الخطابات، ولذا ترى صحّة انتزاع تلك العناوين بمحض وصول إرادة المولى إلى مقام البروز بإنشائه أو إخباره، ولم يخطر ببال المولى التسبّب بإنشائه إلى تحقّق تلك العناوين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التكليفيّة بحقيقتها، التي هي الإرادة التشريعيّة المظهرة بأحد مظهراتها، أجنبيّة بجميع مباديها عن الجعليّات المتصوّرة في باب الأوضاع؛ لأنّ الحقائق الجعليّة عبارة عن اُمور اعتباريّة قوام تحقّقها في الوعاء المناسب لها بالإنشاء والقصد، بحيث كان الإنشاء والقصد من قبيل الجزء الأخير من العلّة التامّة لتحقّقها، نظير الملكيّة </w:t>
      </w:r>
    </w:p>
    <w:p>
      <w:pPr>
        <w:pStyle w:val="BookText"/>
        <w:rPr/>
      </w:pPr>
      <w:r>
        <w:rPr>
          <w:rFonts w:ascii="Amiri" w:hAnsi="Amiri" w:eastAsia="Amiri" w:cs="Amiri"/>
          <w:color w:val="111111"/>
          <w:sz w:val="28"/>
          <w:sz w:val="28"/>
          <w:szCs w:val="28"/>
          <w:rtl w:val="true"/>
          <w:lang w:bidi="ar-SA"/>
        </w:rPr>
        <w:t>والزوجيّة ونحوهما؛ فإنّ روح الجعل فيها عبارة عن تكوين حقائقها بالإنشاء والقصد بحيث لولا قصدالتسبّب بإنشائها إلى تحقّقها في الوعاء المناسب لها لما كان لها تحقّق أصلاً، فكان الجعل والإنشاء فيها واسطة بينها وبين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غير متصوّر في الأحكام التكليفيّة، لا بالنسبة إلى نفس الإرادة؛ لأنّها أمر واقعيّ تدور في تحقّقها مدار تحقّق مباديها، من العلم بالمصلحة والعزم والجزم، ولا بالنسبة إلى حيث إبرازها بإنشاء أو إخبار؛ لكونها من الاُمور المتأصّلة الخارجيّة، ومن مقولة الفعل، فلم يبق إلّا مرحلة البعث والتحريك والوجوب، وقد عرفت أنّ هذه اُمور اعتباريّة انتزاعيّة ينتزعها العقل من مجرّد إبراز الإرادة من المولى، فلا ترتبط بالحقائق الجعليّة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الحكم ليس هو مجرّد حصول الإرادة للمولى، بل المولى يقوم بجعل الحكم واعتباره، وبعد الجعل يصبح له وجود واقعيّ في ظرفه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اختار القول التفصيل في إجراء الاستصحاب في الحكم الإنشائيّ بين ما إذا كان الشرط، كالغليان، قيداً للموضوع، بحيث كان الموضوع هو العنب المغليّ، فلم يُلحظ </w:t>
      </w:r>
    </w:p>
    <w:p>
      <w:pPr>
        <w:pStyle w:val="BookText"/>
        <w:rPr/>
      </w:pPr>
      <w:r>
        <w:rPr>
          <w:rFonts w:ascii="Amiri" w:hAnsi="Amiri" w:eastAsia="Amiri" w:cs="Amiri"/>
          <w:color w:val="111111"/>
          <w:sz w:val="28"/>
          <w:sz w:val="28"/>
          <w:szCs w:val="28"/>
          <w:rtl w:val="true"/>
          <w:lang w:bidi="ar-SA"/>
        </w:rPr>
        <w:t>في الموضوع إلّا تقدير واحد، وهو تقدير العنب المغليّ، وبين ما إذا كان شرطاً للحكم، لا من قيود الموضوع، بحيث كان الموضوع هو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تقديران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العنب،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لعدم ثبوت الحكم لذات العنب قبل الغليان؛ لأنّه مضاف إلى العنب المغليّ، والعنب ليس محكوماً بالحرمة الإنشائيّة ولا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التقدير الثاني، فيجري؛ لأنّ الحكم ثابت لذات العنب ومضاف إليه، وإن اُخذ الغليان شرطاً له، لكنّه مضاف إلى ذات العنب، لا إلى العنب المغليّ،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العنب إذا وجد وإذا غلا، فقد جُعلت الحرمة مضافةً إلى ذاته، فمع وجوده تثبت له الحرمة، فيمكن استصحابها عند تبدّل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الوجوب الشرطيّ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الحرمة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الموضوع المتقيّد بما يسمّى شرطاً، كما إذا قلنا بأنّ مرجع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العصير العنبيّ إذا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العصير المغليّ، وأنّ تعليقها باعتبار ترتّبها على موضوع مقدّر الوجود، وأنّ فعليّتها بفعليّة موضوعها،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الحرمة المعلّقة، حيث لا شكّ في عدم ارتفاع الحرمة الكلّيّة عن موضوعها؛ إذ ليس الكلام في نسخها، بل الكلام في ارتفاع الحرمة الفعليّة بفعليّة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تبدّل العنبيّة إلى الزبيبيّة، لم يكن الموضوع وهو العصير المغليّ فعليّاً لتكون له حرمةفعليّة فيستصحب، وبعد التبدّل وحصول الغليان، يشكّ في حرمته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الحكم التعليقيّ حكماً معلّقاً على الشرط حقيقةً، زيادةً على تعليقه على موضوعه المقدّر وجوده، فموضوع الحرمة هو العصير في حالة العنبيّة، والغليان شرط للحكم، لا جزء الموضوع، والحكم المشروط، وإن لم يكن فعليّاً قبل حصول شرطه، كما هو التحقيق، إلّا أنّ الشكّ ليس في بقاء الحكم الإنشائيّ الكلّيّ لموضوعه الكلّيّ، بل الحكم الإنشائيّ المنطبق على هذا الموضوع الجزئيّ، وإن كانت فعليّته منوطةً شرعاً بوجود شرط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الحكم الإنشائيّ لم يرد على الفرد الخارجيّ، بل إنّما ورد على الطبيعة والكلّيّ، وهو لا يضاف إلى الفرد الخارجيّ إلّا باعتبار كونه مصداقاً من مصاديق الكلّيّ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الخارجيّة لابدّ فيها من وجود موضوعها خارجاً، ولا فعليّة للحكم إذا كان مجعولاً على نهج القضايا الخارجيّة </w:t>
      </w:r>
    </w:p>
    <w:p>
      <w:pPr>
        <w:pStyle w:val="BookText"/>
        <w:rPr/>
      </w:pPr>
      <w:r>
        <w:rPr>
          <w:rFonts w:ascii="Amiri" w:hAnsi="Amiri" w:eastAsia="Amiri" w:cs="Amiri"/>
          <w:color w:val="111111"/>
          <w:sz w:val="28"/>
          <w:sz w:val="28"/>
          <w:szCs w:val="28"/>
          <w:rtl w:val="true"/>
          <w:lang w:bidi="ar-SA"/>
        </w:rPr>
        <w:t xml:space="preserve">قبل وجود موضوعه خارجاً، وأمّا القضايا الحقيقيّة، فحيث إنّ الحكم فيها لا يرد إلّا على الموضوع المفروض الوجود، سواء كان موجوداً ومتحقّقاًبالفعل، أم كان سيوجد، وسواء قُدِّر له أن يوجد في الخارج أم لم يقدّر له ذلك أصلاً، وبما أنّ تمام الموضوع في هذه القضايا إنّما هو تقدير وجود الموضوع، بلا دخل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 خارجاً وتحقّقه فعلاً، بل ما يتقوّم به فعليّة الحكم في القضايا الحقيقيّة ليس إلّا أن يفرض الوجود له، ولمّا كانت القضايا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سنخ القضايا الحقيقيّة، لا الخارجيّة، فتكون الحرمة للعصير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بمجرّد فرض الوجود له، ولا تتوقّف على وجوده خارجاً، فيكون المستصحب هو هذه الحرمة نفسها بعد فرض تبدّل حالةٍ من حالات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الشرعيّ تابع للحكم العقليّ في مقام الإثبات، وأمّا في مقام الثبوت، فلا، وإنّما يحتمل أن يكون تابعاً لمناطه فقط</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تابعاً لمناطه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لو فرضا انتفاء مناط الحكم العقليّ عند انتفاء قيد من قيوده، ممّا هو دخيل في موضوع حكم العقل، فإنّ ما هو مناط حكم الشرع يحتمل أن يكون موجوداً، وليس من الضروريّ أن يكون مفقوداً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يكون ملازماً لاحتمال بقاء الحكم الشرعيّ، بعدما كان </w:t>
      </w:r>
      <w:bookmarkStart w:id="116" w:name="pg15437_354859"/>
    </w:p>
    <w:p>
      <w:pPr>
        <w:pStyle w:val="BookText"/>
        <w:rPr/>
      </w:pPr>
      <w:bookmarkEnd w:id="116"/>
      <w:r>
        <w:rPr>
          <w:rFonts w:ascii="Amiri" w:hAnsi="Amiri" w:eastAsia="Amiri" w:cs="Amiri"/>
          <w:color w:val="111111"/>
          <w:sz w:val="28"/>
          <w:sz w:val="28"/>
          <w:szCs w:val="28"/>
          <w:rtl w:val="true"/>
          <w:lang w:bidi="ar-SA"/>
        </w:rPr>
        <w:t>قاطعاً بحدوثه في الزمان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انتفاء هذا القيد، فيجري الاستصحاب حينئذٍ؛ لتماميّة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فقدان القيد يشكّ في أصل بقاء الموضوع، فلا يجري الاستصحاب؛ لأنّ الموضوع لابدّ أن يكون معلوماً في كلتا الحالتين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974473_2142443653"/>
      <w:bookmarkStart w:id="118" w:name="_Toc43"/>
      <w:bookmarkEnd w:id="117"/>
      <w:r>
        <w:rPr>
          <w:rtl w:val="true"/>
        </w:rPr>
        <w:t xml:space="preserve">التنبيه الرابع </w:t>
      </w:r>
      <w:r>
        <w:rPr>
          <w:rtl w:val="true"/>
        </w:rPr>
        <w:t>:</w:t>
      </w:r>
      <w:r>
        <w:rPr>
          <w:rtl w:val="true"/>
        </w:rPr>
        <w:t>في استصحاب أحكام الشرائع السابقة</w:t>
      </w:r>
      <w:r>
        <w:rPr>
          <w:rtl w:val="true"/>
        </w:rPr>
        <w:t>:</w:t>
      </w:r>
      <w:bookmarkEnd w:id="118"/>
    </w:p>
    <w:p>
      <w:pPr>
        <w:pStyle w:val="Heading4"/>
        <w:numPr>
          <w:ilvl w:val="3"/>
          <w:numId w:val="1"/>
        </w:numPr>
        <w:rPr/>
      </w:pPr>
      <w:bookmarkStart w:id="119" w:name="__RefHeading___Toc6974475_2142443653"/>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وأنّه هل يجري أم لا؟</w:t>
      </w:r>
    </w:p>
    <w:p>
      <w:pPr>
        <w:pStyle w:val="BookText"/>
        <w:rPr/>
      </w:pPr>
      <w:r>
        <w:rPr>
          <w:rFonts w:ascii="Amiri" w:hAnsi="Amiri" w:eastAsia="Amiri" w:cs="Amiri"/>
          <w:color w:val="111111"/>
          <w:sz w:val="28"/>
          <w:sz w:val="28"/>
          <w:szCs w:val="28"/>
          <w:rtl w:val="true"/>
          <w:lang w:bidi="ar-SA"/>
        </w:rPr>
        <w:t xml:space="preserve">وقد أُورد على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بجريان استصحاب عدم النسخ في أحكام شريعتنا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اختلاف الموضوع، فإنّ من لا يُجري استصحاب عدم النسخ بالنسبة إلى أحكام الشرائع السابقة قد تصوّر أنّ الموضوع لم يكن موجوداً في كلتا الحالتين، نتيجةً لتخيّله بأنّ الأحكام الشرعيّة قد وردت على نحو القضايا الخارجيّة، فإنّ المكلّفين بأحكام كلّ شريعة إنّما هم من أدركوا 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أنّ المدركين للشرائع السابقة قد انقرضوا وماتوا، 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حقّ من أدرك هذه الشريعة ولم يدرك الشرائع السابقة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الاعتراض بأنّا نفرض كون </w:t>
      </w:r>
    </w:p>
    <w:p>
      <w:pPr>
        <w:pStyle w:val="BookText"/>
        <w:rPr/>
      </w:pPr>
      <w:r>
        <w:rPr>
          <w:rFonts w:ascii="Amiri" w:hAnsi="Amiri" w:eastAsia="Amiri" w:cs="Amiri"/>
          <w:color w:val="111111"/>
          <w:sz w:val="28"/>
          <w:sz w:val="28"/>
          <w:szCs w:val="28"/>
          <w:rtl w:val="true"/>
          <w:lang w:bidi="ar-SA"/>
        </w:rPr>
        <w:t>الشخص مدركاً للشريعتين، فيجري في حقّه استصحاب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نفرض الشخص الواحد مُدركاً للشريعتين، فإذا حرم في حقّه شيء سابقاً، وشكّ في بقاء الحرمة فيالشريعة اللّاحقة، فلا مانع عن الاستصحاب أصلاً؛ فإنّ الشريعة اللّاحقة لا تحدث عند انقراض أهل الشريعة الأُولى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الجواب، كما لا يخفى، غير تامّ؛ لأنّه لا أثر له بالنسبة إلى من لم يدرك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ردّ هذا الاعتراض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يتوجّه على تقدير جعل الأحكام على نهج القضايا الخارجيّة، بحيث يكون الحكم منصبّاً على الأفراد الموجودة في الخارج،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الإشكال بالنسبة إلى أهل هذه الشريعة، حيث إنّهم لم يكونوا موجودين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الأحكام مجعولةً على نهج القضايا الحقيقيّة، بحيث يكون الحكم وارداً على الطبيعة المقدّرة وجوداتها في الخارج على نحو السريان، فإنّه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الموجودين في ذلك الزمان وبين الموجودين في شيءٍ من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بنسخ الشرائع السابقة، ومع هذا كيف يمكن جريان استصحاب بقاء الشرائع السابقة؟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المستشكل يدّعي نسخ جميع </w:t>
      </w:r>
    </w:p>
    <w:p>
      <w:pPr>
        <w:pStyle w:val="BookText"/>
        <w:rPr/>
      </w:pPr>
      <w:r>
        <w:rPr>
          <w:rFonts w:ascii="Amiri" w:hAnsi="Amiri" w:eastAsia="Amiri" w:cs="Amiri"/>
          <w:color w:val="111111"/>
          <w:sz w:val="28"/>
          <w:sz w:val="28"/>
          <w:szCs w:val="28"/>
          <w:rtl w:val="true"/>
          <w:lang w:bidi="ar-SA"/>
        </w:rPr>
        <w:t>الأحكام السابقة، فالعلم به ممنوع، وإن كان مراده العلم الإجماليّ بنسخ جملة من الأحكام دون جميع ما كان من الشرائع السابقة،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هذا العلم الإجماليّ بواسطة الظفر بمقدار المعلوم بالإجمال من الأحكام المنسوخة التي يمكن انطباق المعلوم بالإجمال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بنسخ جملة من الأحكام التي كانت في الشرائع السابقة ينحلّ بالظفر بمقدار من الأحكام المنسوخة التي يمكن انطباق المعلوم بالإجمال عليها، فتكون الشبهة فيما عدا ذلك بدويّةً، ويجري فيها الأصل بلا مزاحم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بقاء أحكام تلك الشرائع السابقة بواسطة الاستصحاب غير مفيد، بل تحتاج حجّيّتها إلى إمضاء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يرشد إلى ذلك قول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حجّة الوداع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من الجنّة ويباعدكم من النار إلّا وقد أمرتكم به، وما من شيء يقرّبكم من النّار ويباعدكم من الجنّة إلّا وقد نهيتكم عنه، حتى الخدش بالأظفار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فإنّه يظهر من هذه الخطبة الشريفة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يهمل بيان شيءٍ من الأحكام الشرعيّة، بل بيّن حكم كلّ فعل، وحكم كلّ موضوع، 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الفحص والتفتيش عن الأدلّة في مظانّها، يجد دليلاً على كلّ حكمٍ لأيّ فعل من الأفعال أو لكلّموضوع ذي حكم، ويثبت بكلّ دليلٍ يجده على ذلك واحد من الأحكام الوضعيّة أو التكليفيّة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له إلى الاستصحاب إن استطاع أن يجد دليلاً موافقاً له في مفاده ومضمونه، وإن لم يستطع أن يجد دليلاً، فلا يجب العمل به؛ لعدم إمضائه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عرفنا أنّ الأحكام واردة ومجعولة على نحو القضايا الحقيقيّة،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له دخل وجوداً أو عدماً في صيرورة الشيء ذا مصلحة، أو كان دخيلاً في وجود المصلحة بعد كونه ذا مصلحة، فإنّه يؤخذ في موضوع التكليف، بكلا معنييه،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ومتعلّق المتعلّق للتكليف، بل وكذلك في نفس متعلّق التكليف، والذي هو عبارة عن فعل المكلّف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الشرعيّ إنّما يرد على ما هو مجمع للقيود، وما توفّرت فيه كافّة العناوين التي ثبت لها دخل في الملاك والمصلحة، حتى لو فُرض أنّه كان لوجود المكلّف في زمان كذا، أو من اُمّة كذا، مدخليّة في الملاك والمصلحة، فإنّه يؤخذ قيداً للموضوع، فيكون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مثل مجمع القيود هذا ثمّ يتخلّف عنه الحكم الشرعيّ، ولا يكون </w:t>
      </w:r>
      <w:bookmarkStart w:id="121" w:name="pg15437_354863"/>
    </w:p>
    <w:p>
      <w:pPr>
        <w:pStyle w:val="BookText"/>
        <w:rPr/>
      </w:pPr>
      <w:bookmarkEnd w:id="121"/>
      <w:r>
        <w:rPr>
          <w:rFonts w:ascii="Amiri" w:hAnsi="Amiri" w:eastAsia="Amiri" w:cs="Amiri"/>
          <w:color w:val="111111"/>
          <w:sz w:val="28"/>
          <w:sz w:val="28"/>
          <w:szCs w:val="28"/>
          <w:rtl w:val="true"/>
          <w:lang w:bidi="ar-SA"/>
        </w:rPr>
        <w:t>ممضىً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وجود النسخ، فيصار إلى دفعه ببركة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دليل الاستصحاب الوارد في 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دليلاً على الإمضاء بالنسبة إلىالأحكام السابقة الثابتة به؛ وذلك لأنّ الاستصحاب، سواء كان في الأحكام أم في الموضوعات، ما هو إلّا حكم ظاهريّ مجعول من قبل الشارع، شأنه في ذلك شأن سائر الأحكام الظاهريّة، فإبقاء الأحكام الموجودة في الشرائع السابقة عند احتمال نسخها ببركة الاستصحاب من مجعولات هذه الشريعة وأحكامها،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ممضاة من قبل الشارع</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974477_2142443653"/>
      <w:bookmarkStart w:id="123" w:name="_Toc45"/>
      <w:bookmarkEnd w:id="122"/>
      <w:r>
        <w:rPr>
          <w:rtl w:val="true"/>
        </w:rPr>
        <w:t>الاستصحاب في نفس النبوّة</w:t>
      </w:r>
      <w:r>
        <w:rPr>
          <w:rtl w:val="true"/>
        </w:rPr>
        <w:t>:</w:t>
      </w:r>
      <w:bookmarkEnd w:id="123"/>
    </w:p>
    <w:p>
      <w:pPr>
        <w:pStyle w:val="Heading5"/>
        <w:numPr>
          <w:ilvl w:val="4"/>
          <w:numId w:val="1"/>
        </w:numPr>
        <w:rPr/>
      </w:pPr>
      <w:bookmarkStart w:id="124" w:name="__RefHeading___Toc6974479_2142443653"/>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وأمّا استصحاب النبوّة نفسها، فهل يجري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الموضوع لابدّ أن يكون ذا أثر شرعيّ، فيتوقّف القول بجريان الاستصحاب في النبوّة على إحراز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للنبوّة المستصحبة وجوهاً واحتمالات ثلاثة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974481_2142443653"/>
      <w:bookmarkStart w:id="127" w:name="_Toc47"/>
      <w:bookmarkEnd w:id="126"/>
      <w:r>
        <w:rPr>
          <w:rtl w:val="true"/>
        </w:rPr>
        <w:t>الاحتمال الأوّل</w:t>
      </w:r>
      <w:r>
        <w:rPr>
          <w:rtl w:val="true"/>
        </w:rPr>
        <w:t>:</w:t>
      </w:r>
      <w:bookmarkEnd w:id="127"/>
    </w:p>
    <w:p>
      <w:pPr>
        <w:pStyle w:val="Heading6"/>
        <w:numPr>
          <w:ilvl w:val="5"/>
          <w:numId w:val="1"/>
        </w:numPr>
        <w:rPr/>
      </w:pPr>
      <w:bookmarkStart w:id="128" w:name="__RefHeading___Toc6974483_2142443653"/>
      <w:bookmarkStart w:id="129" w:name="_Toc48"/>
      <w:bookmarkEnd w:id="128"/>
      <w:r>
        <w:rPr>
          <w:rtl w:val="true"/>
        </w:rPr>
        <w:t>اشارة</w:t>
      </w:r>
      <w:bookmarkEnd w:id="1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يراد بالنبوّة تلك الصفة الكماليّة التكوينيّة التي محلّها النفس، </w:t>
      </w:r>
      <w:bookmarkStart w:id="130" w:name="pg15437_354864"/>
    </w:p>
    <w:p>
      <w:pPr>
        <w:pStyle w:val="BookText"/>
        <w:rPr/>
      </w:pPr>
      <w:bookmarkEnd w:id="130"/>
      <w:r>
        <w:rPr>
          <w:rFonts w:ascii="Amiri" w:hAnsi="Amiri" w:eastAsia="Amiri" w:cs="Amiri"/>
          <w:color w:val="111111"/>
          <w:sz w:val="28"/>
          <w:sz w:val="28"/>
          <w:szCs w:val="28"/>
          <w:rtl w:val="true"/>
          <w:lang w:bidi="ar-SA"/>
        </w:rPr>
        <w:t>وتكون موجبة للتمكّن من الاستيلاء على التصرّف في الأنفس والآفاق، والفوز بمنصب الرئاسة العامّة الإلهيّة، وهو منصب شامخ يكون موجباً لتلقّي المعارف الإلهيّة من المبدأ الأعلى بلا توسّط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هذا الاحتمال، فيجب القول بعدم جريان الاستصحاب، وذلك من ناحيتين</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974485_2142443653"/>
      <w:bookmarkStart w:id="132" w:name="_Toc49"/>
      <w:bookmarkEnd w:id="131"/>
      <w:r>
        <w:rPr>
          <w:rtl w:val="true"/>
        </w:rPr>
        <w:t>الناحية الاُولى</w:t>
      </w:r>
      <w:r>
        <w:rPr>
          <w:rtl w:val="true"/>
        </w:rPr>
        <w:t>:</w:t>
      </w:r>
      <w:bookmarkEnd w:id="132"/>
    </w:p>
    <w:p>
      <w:pPr>
        <w:pStyle w:val="BookText"/>
        <w:rPr/>
      </w:pPr>
      <w:r>
        <w:rPr>
          <w:rFonts w:ascii="Amiri" w:hAnsi="Amiri" w:eastAsia="Amiri" w:cs="Amiri"/>
          <w:color w:val="111111"/>
          <w:sz w:val="28"/>
          <w:sz w:val="28"/>
          <w:szCs w:val="28"/>
          <w:rtl w:val="true"/>
          <w:lang w:bidi="ar-SA"/>
        </w:rPr>
        <w:t xml:space="preserve">أنّ الاستصحاب إنّما يمكن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الشكّ في البقاء، وهو هنا مختلّ؛ فإنّ الشكّ في بقاء النبوّة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المرتبة القدسيّة لا يكون إلّا لواحدةٍ من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انحطاط نفسه القدسيّة، وإمّا لأجل الموت، وإمّا لأجل مجيء نبيّ آخر، والكلّ لا يكون مجوّزاً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الانحطاط، فهو إنّما يتصوّر في الملكات الحاصلة للنفس بالكسب، بأن تتحلّى النفس وتتخلّق بفضائل الأخلاق بفعل المجاهدة والترويض لها، كملكة العدالة والجود والإيثار، فيحصل الضعف فيها، بل قد تزول بسبب تسويلات 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لملكة النبوّة درجة التحقّق ووصولها من مرتبة القوّة والاستعداد إلى مرتبة الفعليّة المستلزمة لمقام الوحي،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لانحطاطها معنى إلّا الانقلاب من الفعل إلى القوّة، وهو مستحيل عادة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تزول النبوّة بواسطة الموت، فلأنّ الموت </w:t>
      </w:r>
      <w:bookmarkStart w:id="133" w:name="pg15437_354865"/>
    </w:p>
    <w:p>
      <w:pPr>
        <w:pStyle w:val="BookText"/>
        <w:rPr/>
      </w:pPr>
      <w:bookmarkEnd w:id="133"/>
      <w:r>
        <w:rPr>
          <w:rFonts w:ascii="Amiri" w:hAnsi="Amiri" w:eastAsia="Amiri" w:cs="Amiri"/>
          <w:color w:val="111111"/>
          <w:sz w:val="28"/>
          <w:sz w:val="28"/>
          <w:szCs w:val="28"/>
          <w:rtl w:val="true"/>
          <w:lang w:bidi="ar-SA"/>
        </w:rPr>
        <w:t>لا يوجب زوال الملكات الراسخة المكتسبة، فضلاً عن هذه الملكة الشامخة،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دار ممرّ، والآخرة دار المقرّ، وهي مزرعة الآخرة، والانتقال من هذا العالم إنّما يكون انتقالاً من عالم أدنى إلى عالم أعلى،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زوالها بالموت؟ وكيف يعقل أن تنقلب النفوس العالية وأن تتحوّل بالموت إلى نفوس سافلة، مع أنّ الموت لو لم يكن موجباً لقوّة المشاهدة، فهو على الأقلّ لا يكون سبباً لإضعافها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البقاء لمجيء نبيٍّ آخر لاحق للسابق، ولو فرض أنّه كان أكمل من سابقه، فإنّ زيادة كمال شخص لماذا يجب أن تكون سبباً لرفع وزوال كمال شخص آخر أو نقصه؟</w:t>
      </w:r>
    </w:p>
    <w:p>
      <w:pPr>
        <w:pStyle w:val="Heading6"/>
        <w:numPr>
          <w:ilvl w:val="5"/>
          <w:numId w:val="1"/>
        </w:numPr>
        <w:rPr/>
      </w:pPr>
      <w:bookmarkStart w:id="134" w:name="__RefHeading___Toc6974487_2142443653"/>
      <w:bookmarkStart w:id="135" w:name="_Toc50"/>
      <w:bookmarkEnd w:id="134"/>
      <w:r>
        <w:rPr>
          <w:rtl w:val="true"/>
        </w:rPr>
        <w:t>والناحية الثانية</w:t>
      </w:r>
      <w:r>
        <w:rPr>
          <w:rtl w:val="true"/>
        </w:rPr>
        <w:t>:</w:t>
      </w:r>
      <w:bookmarkEnd w:id="135"/>
    </w:p>
    <w:p>
      <w:pPr>
        <w:pStyle w:val="BookText"/>
        <w:rPr/>
      </w:pPr>
      <w:r>
        <w:rPr>
          <w:rFonts w:ascii="Amiri" w:hAnsi="Amiri" w:eastAsia="Amiri" w:cs="Amiri"/>
          <w:color w:val="111111"/>
          <w:sz w:val="28"/>
          <w:sz w:val="28"/>
          <w:szCs w:val="28"/>
          <w:rtl w:val="true"/>
          <w:lang w:bidi="ar-SA"/>
        </w:rPr>
        <w:t>أنّه على فرض التنزّل والقول بإمكان انحطاط النفس عن تلك المرتبة، فمع ذلك لا يمكن جريان الاستصحاب فيها، وذلك لعدم كونها من المجعولات الشرعيّة، كما هو واضح، كما أنّها ليست موضوعاً لأيّ حكم شرعيّ، ومعلوم أنّ الاستصحاب لا يجري حتى يكون المستصحب حكماً شرعيّاً، أو موضوعاً لحكم شرعيّ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هذا الاستصحاب مفيداً في مثل مسألة النذر، فيما لو نذر ﷲ تعالى شيئاً على تقدير بقاء هذه الصفة الكماليّة للنبيّ وعدم انحطاطها</w:t>
      </w:r>
      <w:r>
        <w:rPr>
          <w:rFonts w:eastAsia="Amiri" w:cs="Amiri" w:ascii="Amiri" w:hAnsi="Amiri"/>
          <w:color w:val="111111"/>
          <w:sz w:val="28"/>
          <w:szCs w:val="28"/>
          <w:rtl w:val="true"/>
          <w:lang w:bidi="ar-SA"/>
        </w:rPr>
        <w:t xml:space="preserve">. </w:t>
      </w:r>
      <w:bookmarkStart w:id="136" w:name="pg15437_354866"/>
    </w:p>
    <w:p>
      <w:pPr>
        <w:pStyle w:val="Heading5"/>
        <w:numPr>
          <w:ilvl w:val="4"/>
          <w:numId w:val="1"/>
        </w:numPr>
        <w:rPr/>
      </w:pPr>
      <w:bookmarkStart w:id="137" w:name="__RefHeading___Toc6974489_2142443653"/>
      <w:bookmarkStart w:id="138" w:name="_Toc51"/>
      <w:bookmarkEnd w:id="136"/>
      <w:bookmarkEnd w:id="137"/>
      <w:r>
        <w:rPr>
          <w:rtl w:val="true"/>
        </w:rPr>
        <w:t>الاحتمال الثاني</w:t>
      </w:r>
      <w:r>
        <w:rPr>
          <w:rtl w:val="true"/>
        </w:rPr>
        <w:t>:</w:t>
      </w:r>
      <w:bookmarkEnd w:id="138"/>
    </w:p>
    <w:p>
      <w:pPr>
        <w:pStyle w:val="BookText"/>
        <w:rPr/>
      </w:pPr>
      <w:r>
        <w:rPr>
          <w:rFonts w:ascii="Amiri" w:hAnsi="Amiri" w:eastAsia="Amiri" w:cs="Amiri"/>
          <w:color w:val="111111"/>
          <w:sz w:val="28"/>
          <w:sz w:val="28"/>
          <w:szCs w:val="28"/>
          <w:rtl w:val="true"/>
          <w:lang w:bidi="ar-SA"/>
        </w:rPr>
        <w:t>أن تكون النبوّة من المناصب المجعولة، كولاية الفقيه على الغُيَّب والقصَّر، وولاية الجدّ والأب على الصغير، وكالقضاوة والملكيّة ونحو ذلك من الأحكام الوضعيّة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والنبوّة بهذا المعنى ليست بمعنى كون نفسه المقدّسة محلّاً للمعارف، بل بمعنى أنّه مخبر ومبلّغ من قبله تعالى وسفير مبعوث منه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فمنصب المخبريّة والسفارة ثابت لهحقيقةً؛ لأنّ النبيّ هو الذي ينبئه اﷲ تعالى بمعارفه، وليس مجرّد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أبيت، بدعوى أنّ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بنفسها مجعولاً شرعيّاً، وليست من الصفات التكوينيّة غير القابلة للاستصحاب، بل هي في حدّ ذاتها تكون قابلة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يشكل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فإنّ لازم جريان استصحاب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آثار النبوّة، كوجوب الإطاعة على النبوّة الثابتة بالاستصحاب، كما كانت تترتّب على النبوّة الثابتة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إجراء هذا الاستصحاب يبقى بحاجة إلى دليل، وهو مفقود في المقام، بل هناك مانع من جريانه؛ وذلك لأنّ هذا الاستصحاب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دليل حجّيّته هو الشريعة السابقة يلزم الدور؛ لأنّ جريانه فيها متوقّف على ثبوت حجّيّته من غير ناحية بقاء النبوّة؛ إذ لو كان منوطاً ببقائها </w:t>
      </w:r>
      <w:bookmarkStart w:id="139" w:name="pg15437_354867"/>
    </w:p>
    <w:p>
      <w:pPr>
        <w:pStyle w:val="BookText"/>
        <w:rPr/>
      </w:pPr>
      <w:bookmarkEnd w:id="139"/>
      <w:r>
        <w:rPr>
          <w:rFonts w:ascii="Amiri" w:hAnsi="Amiri" w:eastAsia="Amiri" w:cs="Amiri"/>
          <w:color w:val="111111"/>
          <w:sz w:val="28"/>
          <w:sz w:val="28"/>
          <w:szCs w:val="28"/>
          <w:rtl w:val="true"/>
          <w:lang w:bidi="ar-SA"/>
        </w:rPr>
        <w:t>لزم الدور؛ لأنّ بقاءها متوقّف على الاستصحاب، بحسب الفرض، فلو كان اعتبار الاستصحاب متوقّفاً على بقاء النبوّة، لزم الدور، وهو باطل ممتنع، فكذا يمتنع التمسّك بالاستصحاب لإثبات بقاء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دليل حجيّته هو الشريعة اللّاحقة، لم يكن مجدياً في بقاء الشريعة السابقة؛ لأنّ اعتبار الاستصحاب من الشريعةاللّاحقة مستلزم لنسخ الشريعة السابقة، وعدم الشكّ في بقائها أصلاً حتى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على حجّيّته هو بناء العقلاء،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الرجوع إليه إلّا بعد إمضاء الشارع له، فيعود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أمضاه هل هو الشرع السابق أم اللّاحق؟ فإن كان هو السابق لزم الدور، بنفس البيان المتقدّم، وإن كان هو اللّاحق، فذلك مساوق للنسخ وعدم الشكّ في البقاء، وهو خلف وموجب لعدم 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974491_2142443653"/>
      <w:bookmarkStart w:id="141" w:name="_Toc52"/>
      <w:bookmarkEnd w:id="140"/>
      <w:r>
        <w:rPr>
          <w:rtl w:val="true"/>
        </w:rPr>
        <w:t>الاحتمال الثالث</w:t>
      </w:r>
      <w:r>
        <w:rPr>
          <w:rtl w:val="true"/>
        </w:rPr>
        <w:t>:</w:t>
      </w:r>
      <w:bookmarkEnd w:id="141"/>
    </w:p>
    <w:p>
      <w:pPr>
        <w:pStyle w:val="BookText"/>
        <w:rPr/>
      </w:pPr>
      <w:r>
        <w:rPr>
          <w:rFonts w:ascii="Amiri" w:hAnsi="Amiri" w:eastAsia="Amiri" w:cs="Amiri"/>
          <w:color w:val="111111"/>
          <w:sz w:val="28"/>
          <w:sz w:val="28"/>
          <w:szCs w:val="28"/>
          <w:rtl w:val="true"/>
          <w:lang w:bidi="ar-SA"/>
        </w:rPr>
        <w:t>أن يراد بالنبوّة المستصحبة أحكام شريعةٍ ما يشكّ في كونها منسوخة بواسطة شريعة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الاحتمال فإنّ الاستصحاب يمكن جريانه فيها بلا مانع، وهو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استصحاب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الخصم بواسطة الاستصحاب أم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استصحاب الشرائع السابقة قد يكون لأجل إثبات الدعوى وإقناع </w:t>
      </w:r>
    </w:p>
    <w:p>
      <w:pPr>
        <w:pStyle w:val="BookText"/>
        <w:rPr/>
      </w:pPr>
      <w:r>
        <w:rPr>
          <w:rFonts w:ascii="Amiri" w:hAnsi="Amiri" w:eastAsia="Amiri" w:cs="Amiri"/>
          <w:color w:val="111111"/>
          <w:sz w:val="28"/>
          <w:sz w:val="28"/>
          <w:szCs w:val="28"/>
          <w:rtl w:val="true"/>
          <w:lang w:bidi="ar-SA"/>
        </w:rPr>
        <w:t xml:space="preserve">النفس وإثبات المعذوريّة في البقاء على الشريعة السابقة، وقد يكون لإلزام الخصم، ودعوة المسلم إلى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القسمين، فلابدّ أن يتوفّر في الاستصحاب أركان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بالثبوت والشكّ اللّاحق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أثراً شرعيّ أو موضوعاً له أثر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بحجّيّة الاستصحاب، وقيام الدليل على هذه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فقدان هذه الاُمور، أو واحد منها فقط، لا يكون الاستصحاب 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بالنبوّة تلك الصفة الكماليّة القائمة بنفس النبيّ المقدّسة، التي من شؤونها تلقّي المعارف الإلهيّة والفيوضات الربانيّة، فإنّ اليقين ببقاء النبوّة موجود قطعاً، فلا يكون هناك شكّ في بقائه أيضاً؛ والشرط الثاني، وهو كون المستصحب أثراً شرعيّاً أو ذا أثر شرعيّ غير متحقّق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اُريد من النبوّة الشريعة، فإنّه وإن كان وجودها متيقّناً، وبقاؤها مشكوكاً، إلّا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جريان الاستصحاب؛ لأنّ حجّيّة الاستصحاب في الشريعة السابقة دور، وفي الشريعة اللّاحقة موجبة لنسخ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بما أنّ الكتابيّ شاكّ في بقاء شريعته،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في حجّيّة الاستصحاب، فينتفي الشرط الثالث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الاستصحاب لا يفيد بالنسبة إلى المسلم أيضاً؛ لأنّ له يقيناً بحصول النسخ، فليس شاكّاً في البقاء، فانتفى أحد الأركان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جريان الاستصحاب متوقّف على الشكّ في البقاء، وهو ليس بحاصل عند المسلمين؛ إذ المفروض أنّهم يعتقدون بالارتفاع، حيث كانوا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فإنّ ثبوت نبوّة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ثبتت عندنا وعلمناها من إخبار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استصحبنا النبوّة السابقة يلزم نفي نبوّة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ينتفي اليقين بالنبوّة السابقة، فيلزم من وجود الاستصحاب عدمه،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فحيث قد عرفنا النبوّة السابقة من طريق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أنّه نبيّ، فلم يبقَ لدينا شكّ في البقاء أصلاً لكي نستصحب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فإنّه لا معنى لاستصحاب النبوّة إلّا وجوب التديّن بما قد جاء به النبيّ السابق؛ إذ لا معنى ولا أثر للاستصحاب إلّا ذلك، وممّا جاء به النبيّ السابق هو التبشير بنبوّة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بثبوت أحكام شرعيّة في الشرائع السابقة، إلّا أنّها مغيّاة بمجيء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ونبوّته الخاتمة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 ما أجاب به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للجاثليق، 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نؤمن بكلّ عيسى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بنبوّة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نؤمن بكلّ عيسى وموسى لم يخبرا عن نبوّة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يورد على هذا الجواب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كلّيّاً يُعترف ببعض أفراده وتنكر أفراده الأُخرى، بل هو جزئيّ حقيقيّ وشخص معلوم نعترف بنبوّته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الإيمان بموسى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الشخصين إنّما كان من جهة تبشيرهما بنبيّنا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طريق إلى الاعتراف بنبوّتهما إلّا من جهة وجود هذه الخصوصيّة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يحصل لأيٍّ من النصراني والمسلم شكّ في بقاء النبوّة لنبيّه حتى تصل النوبة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حصول الشكّ لهما، أو لأحدهما، فلابدّ أن يصار إلى رفع هذا الشكّ عن طريق المجاهدة وتحصيل العلم والمعرفة، ولا يفيد إجراء الاستصحاب؛ لأنّه إنّما يوجب الظنّ، فإنّ معرفة الرسول أو الإمام بما أنّها من اُصول الدين، فلا يكتفى فيها بالظنّ، ولو كان من الظنون المعتبرة، بل يجب فيها تحصيل اليقين</w:t>
      </w:r>
      <w:r>
        <w:rPr>
          <w:rFonts w:eastAsia="Amiri" w:cs="Amiri" w:ascii="Amiri" w:hAnsi="Amiri"/>
          <w:color w:val="111111"/>
          <w:sz w:val="28"/>
          <w:szCs w:val="28"/>
          <w:rtl w:val="true"/>
          <w:lang w:bidi="ar-SA"/>
        </w:rPr>
        <w:t xml:space="preserve">. </w:t>
      </w:r>
      <w:bookmarkStart w:id="142" w:name="pg15437_354871"/>
    </w:p>
    <w:p>
      <w:pPr>
        <w:pStyle w:val="BookText"/>
        <w:rPr/>
      </w:pPr>
      <w:bookmarkEnd w:id="142"/>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يحصل له اليقين ويعجز عن تحصيله، فماذا يصنع حينئذٍ؟</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ذلك واضح، فمن أراد أن يسعى ويجاهد مجاهدة حقيقيّة، وألقى العصبيّة وتقليد الآباء جانباً، فإنّ اﷲ تعالى يهديه، 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6974493_2142443653"/>
      <w:bookmarkStart w:id="144" w:name="_Toc53"/>
      <w:bookmarkEnd w:id="143"/>
      <w:r>
        <w:rPr>
          <w:rtl w:val="true"/>
        </w:rPr>
        <w:t xml:space="preserve">التنبيه الخامس </w:t>
      </w:r>
      <w:r>
        <w:rPr>
          <w:rtl w:val="true"/>
        </w:rPr>
        <w:t>:</w:t>
      </w:r>
      <w:r>
        <w:rPr>
          <w:rtl w:val="true"/>
        </w:rPr>
        <w:t>في عدم اعتبار الاُصول المثبتة</w:t>
      </w:r>
      <w:r>
        <w:rPr>
          <w:rtl w:val="true"/>
        </w:rPr>
        <w:t>:</w:t>
      </w:r>
      <w:bookmarkEnd w:id="144"/>
    </w:p>
    <w:p>
      <w:pPr>
        <w:pStyle w:val="Heading4"/>
        <w:numPr>
          <w:ilvl w:val="3"/>
          <w:numId w:val="1"/>
        </w:numPr>
        <w:rPr/>
      </w:pPr>
      <w:bookmarkStart w:id="145" w:name="__RefHeading___Toc6974495_2142443653"/>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القطع والأمارات من جهة، وبين الأمارات والاُصول من جهة أُخرى، كما أنّ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هو تنزيليّ، وفيها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القطع فطريقيّته ذاتيّة، ولا يحتاج في حجّيّته إلى جعل من الشارع، بل لا يكون وضعها له ولا رفعها عنه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الأمارات، فهي وإن كان تمتلك كاشفيّة وطريقيّة، غير أنّ حجّيّتها إنّما تكون بالجعل، ومعنى ثبوت الحجّيّة لها إنّما هو تتميم كاشفيّتها وطريقيّتها في عالم الاعتبار التشريعيّ،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يجعل ما لها من الكشف الناقص تكويناً كشفاً تاماً تشريعاً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تصوّر ذلك؟ والحال أنّ وضع كشفها التكوينيّ </w:t>
      </w:r>
    </w:p>
    <w:p>
      <w:pPr>
        <w:pStyle w:val="BookText"/>
        <w:rPr/>
      </w:pPr>
      <w:r>
        <w:rPr>
          <w:rFonts w:ascii="Amiri" w:hAnsi="Amiri" w:eastAsia="Amiri" w:cs="Amiri"/>
          <w:color w:val="111111"/>
          <w:sz w:val="28"/>
          <w:sz w:val="28"/>
          <w:szCs w:val="28"/>
          <w:rtl w:val="true"/>
          <w:lang w:bidi="ar-SA"/>
        </w:rPr>
        <w:t xml:space="preserve">ورفعها لا يكون بيد الشارع بما هو شارع، ولا يمكن للشارع أن يكمل النقص الذي في كاشفيّة الأمارة بجعل كشفاً تامّاً تكويناً؛ فإنّ هذا باطل يقيناً، كما لا يمكن القول بأنّ تتميمه لكاشفيّة الأمارة يكون تتميماً تشريعيّاً؛ إذ حينئذٍ يكون نصف كاشفيّتها تكوينيّاً ونصفها الآخر تشريعيّاً،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تتميم الكشف تشريعاً هو أنّ هذا الكشف الناقص التكوينيّ يصبح كشفاً تاماً في عالم الاعتبار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الاُصول العمليّة، فالفرق بين الاُصول التنزيليّة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لشيء من الاُصول العمليّة كاشفيّة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يكمن في أنّ معنى الإحراز في الاُصول التنزيليّة هو البناء العمليّ على أحد طرفي الشكّ على أساس أنّه هو الواقع، من دون أن يكون مثبتاً للواقع وكاشفاً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الاُصول غير المحرزة، فهي حكم الشارع بالبناء العمليّ على أحد طرفي الشكّ، ولكن من دون اعتبار أنّ هذا العمل هو عمل الواقع، أو اعتبار اليقين والجري على طبقه، كي يكون العمل على طبق ذلك المحتمل من جهة بلوغه إلى مرتبة الإثبات؛ وذلك لأنّ جعل الحجّيّة والكاشفيّة لا معنى معقولاً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الشارع يعتبر هذا الكشف الناقص التكوينيّ كشفاً تامّاً تشريعيّاً، ولا كاشفيّة في الأصل أصلاً، لكي يتأتّى تتميمها من قبل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اتّضح ما بيّنّاه من الفرق بين الأمارات والاُصول،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بحجّيّة مثبتات الأمارات، دون الاُصول، ولو كانت من الاُصول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الأمارات كما تحكي عن مؤدّياتها، فهي كذلك تحكي عن لوازم هذه المؤدّيات، سواء كانت شرعيّة أم عقليّة،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تحكي عن ملزومات المؤدّيات وملازماتها كذلك، شرعيّة كانت أم عقليّة؛ فإنّ مقتضى إطلاق دليل اعتبارها هوأنّها تكون حجّة في جميع هذه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الاُصول العمليّة، فحتى لو فرضنا أنّها تنزيليّة، إلّا أنّ مفادها ليس إلّا التعبّد بمؤدّياتها، من دون أن يكون فيها حكاية عن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بيان هذا المطلب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الاستصحاب وسائر الاُصول التعبّديّة وبين الطرق والأمارات؛ فإنّ الطريق أو الأمارة حيث إنّه كما يحكي عن المؤدّى ويشير إليه، كذا يحكي عن أطرافه، من ملزومه ولوازمه وملازماته ويشير إليها، كان مقتضى إطلاق دليل اعتبارها لزوم تصديقها في حكايتها، وقضيّته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المثبت منها،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مثل دليل الاستصحاب، فإنّه لا بدّ من الاقتصار ممّا فيه من الدلالة على التعبّد بثبوته، ولا دلالة له إلّا على التعبّد بثبوت المشكوك </w:t>
      </w:r>
    </w:p>
    <w:p>
      <w:pPr>
        <w:pStyle w:val="BookText"/>
        <w:rPr/>
      </w:pPr>
      <w:r>
        <w:rPr>
          <w:rFonts w:ascii="Amiri" w:hAnsi="Amiri" w:eastAsia="Amiri" w:cs="Amiri"/>
          <w:color w:val="111111"/>
          <w:sz w:val="28"/>
          <w:sz w:val="28"/>
          <w:szCs w:val="28"/>
          <w:rtl w:val="true"/>
          <w:lang w:bidi="ar-SA"/>
        </w:rPr>
        <w:t>بلحاظ أثره، حسبما عرفت، فلا دلالة له على اعتبار المثبت منه، كسائر الاُصول التعبّديّة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الاُصول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باب الأمارات والحجج الشرعيّة، فبعد أن أصبحت الأمارة بمنزلة العلم، يكون هناك ملازمة بين إثباتها للشيء وبين إثباتها للوازمه وملزوماته وملازماته، بلا فرق بين أن تكون عقليّة أو عاديّة أو شرعيّة، وسواء كانت طرقاً إلىالأحكام الإلهيّة، كأخبار الآحاد، أم أمارات على الموضوعات، كما إذا قامت البيّنة على موضوع خارجيّ، كغروب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كشفها عن مدلولها؛ لأنّ شأن كلّ أمارة أن تكشف عن مؤدّاها، وهذا الكشف، وإن كان ناقصاً، ولكنّه قد أصبح تامّاً ببركة الجعل الشرعيّ، والكشف عن الشيء كشف عمّا يلازمه من الاُمور التي لا تنفكّ عنه، كالملزومات واللّوازم والملازمات، تبعاً لدلالته على معناه المطابقيّ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الحجّيّة الثابت بمقدّمات الحكمة، فيكون دالّاً على حجّيّة الطرق والأمارات في جميع ما لها من الدلالة المطابقيّة والتضمّنيّة والالتزاميّة، من دون تفاوت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أدلّة الاستصحاب وغيره من الاُصول العمليّة؛ فإنّها لا دلالة لها بوجه على الملزوم، فضلاً عن اللّازم، حتى يدلّ دليل الاعتبار على حجّيّته، كدلالته على حجّيّة الملزوم؛ فدليل اعتبار الأصل لا يقتضي إلّا التعبّد بنفس المشكوك بترتيب الآثار الشرعيّة المترتّبة على نفسه، دون تلك التي تترتّب على لوازمه وملزومه وملازماته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حياة زيد لا يقتضي إلّا التعبّد بالآثار الشرعيّة الثابتة لحياته الواقعيّة، دون الآثار الشرعيّة التي تترتّب على لوازمها، كنبات اللّحية؛ إذ لم يدلّ على لوازم الحياة شيء حتى يتأتّى أن نقول بأنّ لدلالته هذه حجّيّة فيجب الأخذ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فالجهة الاُولى من الجهتين المذكورتين، وهي الكشف عن اللّوازم، موجودة في الطرق والأمارات، ولكنّها مفقودة في الاُصول، وهو ما أوجب القول بحجّيّة مثبتات الأمارات دون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يترتّب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الأثر المترتّب على نفس المشكوك بلا واسطة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حكاية الأمارات عن مؤدّياتها ولوازم مؤدّياتها وملزوماتها وملازماتها ممّا لا أساس له من الصحّة؛ لأنّ الحكاية عن شيء إنّما هي فرع الالتفات إلى ذلك الشيء وقصده، ولا شكّ في أنّ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عن لوازم ما أخبر به وعن ملزوماته وملازماته، ومع الغفلة عن ذلك، فكيف يمكن أن يدّعى </w:t>
      </w:r>
    </w:p>
    <w:p>
      <w:pPr>
        <w:pStyle w:val="BookText"/>
        <w:rPr/>
      </w:pPr>
      <w:r>
        <w:rPr>
          <w:rFonts w:ascii="Amiri" w:hAnsi="Amiri" w:eastAsia="Amiri" w:cs="Amiri"/>
          <w:color w:val="111111"/>
          <w:sz w:val="28"/>
          <w:sz w:val="28"/>
          <w:szCs w:val="28"/>
          <w:rtl w:val="true"/>
          <w:lang w:bidi="ar-SA"/>
        </w:rPr>
        <w:t xml:space="preserve">أنّ البيّنة أو الخبر الموثوق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لوازم مؤدّياتها وملازماتها وملزوماتها؟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الأمارة إنّما تحكي عن نفس المؤدّى، ولا تحكي عن لوازم المؤدّى وملزوماته الشرعيّة بما لها من الوسائط العقليّة أو العاديّة؛ فإنّ البيّنة أو الخبر الواحد إنّما يقوم على حياة زيد أو موت عمرو، فهو إنّما يحكي عن نفس الحياة والموت، ولا يحكي عن نبات اللّحية وما يستتبعه من الآثار الشرعيّة أو العقليّة والعاديّة، بداهة أنّ المخبر بالحياة ربّما لا يلتفت إلى نبات اللّحية، فضلاً عمّا يستتبعه، والحكاية عن الشيء فرع الالتفات إليه، فليسالوجه في اعتبار مثبتات الأمارة كونها حاكيةً عن لوازم المؤدّى وملزوماته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له دلالات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مطابقيّة والتزاميّة وتضمّنيّة، والخبر الثقة يحكي بالدلالة المطابقيّة عن نفس المؤدّى، وبالدلالة الالتزاميّة عن لوازمه العاديّة والعقليّة والشرعيّة، بل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ملزوماته وملازماته، فإنّ الأخبار عن وجود العلّة إخبار عن وجود المعلول، وكذلك العكس، فالإخبار عن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وجود النهار، وكذلك العكس، كما أنّ الإخبار عن الشيء إخبار </w:t>
      </w:r>
    </w:p>
    <w:p>
      <w:pPr>
        <w:pStyle w:val="BookText"/>
        <w:rPr/>
      </w:pPr>
      <w:r>
        <w:rPr>
          <w:rFonts w:ascii="Amiri" w:hAnsi="Amiri" w:eastAsia="Amiri" w:cs="Amiri"/>
          <w:color w:val="111111"/>
          <w:sz w:val="28"/>
          <w:sz w:val="28"/>
          <w:szCs w:val="28"/>
          <w:rtl w:val="true"/>
          <w:lang w:bidi="ar-SA"/>
        </w:rPr>
        <w:t xml:space="preserve">عن ملازماته، فلو أخبر عن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عن إضاءتها للعالَم، الذي هو لازم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أخبر بوجود النهار، فإنّه إخبار بطلوع الشمس أيضاً، الذي هو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أخبر باستقبال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للقبلة في أواسط العراق، فهو إخبار عن أنّه قد استدبر الجدي هناك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الثقة كما أنّه يحكي عن مدلوله المطابقي، فكذلك هو يحكي ويخبر عن مدلوله الالتزاميّ، وهي لوازمه العقليّة والشرعيّة والعاديّة، وكما أنّ أدلّة حجّيّة الظواهر تكون شاملةً للمدلول المطابقيّ فكذلك هي تكون شاملة للمدلول الالتزاميّ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الصحيح بين الأمارات والاُصول هو ما ذكرناه من أنّ المجعول في باب الأمارات هو الطريقيّة بنحو الواسطة في الإثبات، ولو كان من جهة إمضاء ما عند العقلاء، حيث كانوا يبنون على طريقيّة الأمارة، فحكم الأمارات التي تثبت حجّيّتها من الشارع بتتميم الكشف هو حكم الأمارات العقلائيّة، فكما أنّ الأمارات العقلائيّة تثبت مؤدّياتها ولوازمها العقليّة والعاديّة لتلك المؤدّيات وملزوماتها وملازماتها، فكذلك الأمارات الشرعيّة، تثبت جميع ذلك؛ لأنّ إثبات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للمعلول، وإثبات اللّازم إثبات للملزوم، وكذا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الأمارات هو حال العلم الوجدانيّ، فكما أنّه إذا تعلّق بشيء فإنّه يُثبت ذلك الشيء نفسه، مع جميع لوازمه العقليّة والعاديّة والشرعيّة، فكذلك الطريق المجعول، فإنّه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مثبتيّة العلم الوجداني ذاتيّة وليست قابلة للجعل، وأمّا مثبتيّة الأمارات الشرعيّة فليست كذلك، بل هي مجعولة شرعاً، إمّا إمضاءً، كما هو الغالب، وإمّا إحداثاً، كما ربما يتّفق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المذكور بين العلم الوجدانيّ وبين الأمارات، لا يشكّل مائزاً بينهما فيما هو محلّ البحث، وما نحن بصدده؛ لأنّه بعد الفراغ عن حجّيّة الأمارة وكونها كاشفاً وطريقاً ومثبتاً، وبعد أن أثبتت مؤدّاها وكشفته، فقهراً هيتكشف عن لوازمه وملزوماته وملازماته؛ لمكان الملازمة القائمة بين ثبوت الشيء وانكشافه وبين انكشاف لوازمه وملزوماته وملازماته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الأمارات من هذه الجهة هو عينه حال العلم، ولو كان هناك من فرق بينهما، فإنّما هو من جهة أنّ الطريقيّة والوسطيّة في الإثبات ذاتيّة في الأوّل، دون الثاني، بل هي فيه بجعل من الجاعل، ولكنّه بعد تحقّق هذا الجعل وتماميّته، يصبح كالعلم والقطع تماماً وبلا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للحجّيّة قسمان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تكوينيّ، لا يحتاج في إثباته إلى الجعل والاعتبار، بل يكون </w:t>
      </w:r>
    </w:p>
    <w:p>
      <w:pPr>
        <w:pStyle w:val="BookText"/>
        <w:rPr/>
      </w:pPr>
      <w:r>
        <w:rPr>
          <w:rFonts w:ascii="Amiri" w:hAnsi="Amiri" w:eastAsia="Amiri" w:cs="Amiri"/>
          <w:color w:val="111111"/>
          <w:sz w:val="28"/>
          <w:sz w:val="28"/>
          <w:szCs w:val="28"/>
          <w:rtl w:val="true"/>
          <w:lang w:bidi="ar-SA"/>
        </w:rPr>
        <w:t>ثبوته ذاتيّاً، بل لا يمكن إثباته بالجعل والاعتبار؛ لأنّه بعد كونه ذاتيّاً، كان ثابتاً، فإرادة إثباته ببركة الجعل ما هو إلّا من باب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اعتباريّ، فيحتاج إلى الجعل والاعتبار، ممّن بيده الجعل والاعتبار، ولكنّه بعد الجعل يصبح مصداقاً حقيقيّاً واقعيّاً لما هو الحجّة في عالم الجعل والاعتبار، ويكون وعاؤه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والكاشفيّة عن اللّوازم والملزومات والملازمات إنّما يكون في الانكشاف التكوينيّ،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احتمال الخلاف ملازم لانكشاف هذه الاُمور، وأمّا الكشف التعبّديّ، فالأمر فيه ليس على هذه الشاكلة؛ لأنّ باب احتمال الخلاف لا ينسدّ وجداناً،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إلقاء احتمال الخلاف تعبّداً؛ لأنّ معنى الحجّيّة المجعولةوالوسطيّة في الإثبات هو ادّعاء أنّه كذلك، وادّعاء ثبوت مؤدّياتها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إيجاد صفة تكوينيّة بالجعل الاعتباريّ غير معقول، فيكون حالها حال سائر التنزيلات، فلابدّ وأن يكون بلحاظ ترتيب آثار المنزّل عليه، وأن يكون له آثار شرعيّة حتى يكون أمر وضعها ورفعها بيد الشارع، حتى يصحّ أن يكون التنزيل بذلك اللّحاظ، فإذا كان لمؤدّى الأمارة شيء من الآثار شرعيّة، التي رفعها ووضعها بيد الشارع، فإذا كان لمؤدّى الأمارة أثر شرعيّ يترتّب على مؤدّاها، وإن كان غير محرز بصرف قيام الأمارة عليه، وهذا هو معنى التنزيل، فيكون حال الأمارة من هذه الجهة حال الاُصول؛ فإنّ دليل اعتبارها يدلّ على العمل على طبق مؤدّياتها، </w:t>
      </w:r>
    </w:p>
    <w:p>
      <w:pPr>
        <w:pStyle w:val="BookText"/>
        <w:rPr/>
      </w:pPr>
      <w:r>
        <w:rPr>
          <w:rFonts w:ascii="IRNazanin" w:hAnsi="IRNazanin" w:eastAsia="IRNazanin"/>
          <w:color w:val="111111"/>
          <w:sz w:val="28"/>
          <w:sz w:val="28"/>
          <w:szCs w:val="28"/>
          <w:rtl w:val="true"/>
          <w:lang w:bidi="fa-IR"/>
        </w:rPr>
        <w:t>ولا تعرّض لها أصلاً إلى لوازمها وملازماتها وملزوماتها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التعبّد بالعمل على طبق مؤدّياتها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الآثار العقليّة والعاديّة التي لها، أو الشرعيّة التي لا تكون بواسطة أثر عقليّ عليها، وأمّا الآثار العقليّة والعاديّة التي تكون لها بواسطة أحد هذين الأمرين، فلا، لأنّها خارجة عن دائرة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حجّيّة الأمارة ثبوت مؤدّياتها حتى يرجع إلى تنزيل مؤدّاها منزلة الواقع، 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لهذا المفهوم،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الحجّة، قسمين من 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تكوينيّ لا يحتاج إلى اعتبار الحجّيّة، كالقطع، بل لا يمكن فيه جعل الحجّيّة واعتبارها، لمنع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اعتباريّ، يحتاج إلى الجعل، واعتبار من بيده الاعتبار، فبعد جعل الحجّيّة يكون حاله حال التكوينيّ، ويصبح مصداقاً حقيقيّاً واقعيّاً للحجّة والطريق والمثبت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نظير، وهو مفهوم المال، فإنّ له مصداقين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بدون جعل الماليّة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لا يصدق عليه المال إلّا بعد صدور الاعتبار بماليّته، كالأوراق النقديّة،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الماليّة من قبل من بيده الاعتبار، يصبح مالاً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وحجّيّة الأمارات من هذا القبيل، فبعد اعتبار الحجّيّة لها، يكون حالها في إثبات المتعلّق حال الحجّة التكوينيّة، وكذلك الحجّة عند العقلاء إذا </w:t>
      </w:r>
    </w:p>
    <w:p>
      <w:pPr>
        <w:pStyle w:val="BookText"/>
        <w:rPr/>
      </w:pPr>
      <w:r>
        <w:rPr>
          <w:rFonts w:ascii="Amiri" w:hAnsi="Amiri" w:eastAsia="Amiri" w:cs="Amiri"/>
          <w:color w:val="111111"/>
          <w:sz w:val="28"/>
          <w:sz w:val="28"/>
          <w:szCs w:val="28"/>
          <w:rtl w:val="true"/>
          <w:lang w:bidi="ar-SA"/>
        </w:rPr>
        <w:t>اعتبروا حجّيّة شيء، يقولون بعد ورود الاعتبار على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الشيء، لا أنّهم يرتّبون آثار ذلك الأمر عليه تعبّداً وبادّعاء وجوده، بل يرون وجوده ثابتاً، كما إذا علموا أو قطعوا بوجوده أيضاً، تكون جميع آثاره وملازماته ولوازمه وملزوماته حجّة، كنفس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إذا كانت الواسطة خفيّة أو جليّة، فحكم بحجّيّة مثبتات الأوّل دون الثاني،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شيء، وهو أنّ بعض الموضوعات الخارجيّة المتوسّطة بين المستصحب وبين الحكم الشرعيّ، منالوسائط الخفيّة، بحيث يُعَدّ في العرف الأحكام الشرعيّة المترتّبة عليها أحكاماً لنفس المستصحب، وهذا المعنى يختلف وضوحاً وخفاءً باختلاف مراتب خفاء الوسائط عن أنظار العرف</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الواسطة الخفيّة والجليّة، فإنّ الواسطة إذا كانت في غاية الخفاء، بحيث يعدّ أثرها أثراً لنفس المستصحب عرفاً بلا واسطة، كاستصحاب رطوبة الثوب الذي ألقته الريح أو غيرها على أرض متنجّسة جافّة، فإنّ نجاسة الثوب ليست أثراً بلا واسطة لرطوبة الثوب الملاقي للأرض، بل هي أثر لسراية النجاسة </w:t>
      </w:r>
    </w:p>
    <w:p>
      <w:pPr>
        <w:pStyle w:val="BookText"/>
        <w:rPr/>
      </w:pPr>
      <w:r>
        <w:rPr>
          <w:rFonts w:ascii="Amiri" w:hAnsi="Amiri" w:eastAsia="Amiri" w:cs="Amiri"/>
          <w:color w:val="111111"/>
          <w:sz w:val="28"/>
          <w:sz w:val="28"/>
          <w:szCs w:val="28"/>
          <w:rtl w:val="true"/>
          <w:lang w:bidi="ar-SA"/>
        </w:rPr>
        <w:t>من المتنجّس إلى ملاقيه بواسطة الرطوبة، والسراية واسطة عقليّة بين المستصحب، وهي الرطوبة، وبين النجاسة، التي هي أثر السراية، ولكنّه مع ذلك يترتّب نجاسته باستصحاب بقاء رطوبة الثوب الملاقي للأرض المتنجّسة، بدعوى خفاء الواسطة، وهي السراية، بحيث يرى العرف نجاسة الثوب من آثار ملاقاته مع الرطوبة للأرض، لا من آثار السراية، فإذا كانت النجاسة من آثار المستصحب عرفاً، فلا محالة يشملها دليل الاستصحاب؛ لأنّ نظر العرف هو المتّبع في مقام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لخفاء الواسطة، فضلاً عن جلائها،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الأثر أثراً لذي الواسطة حقيقةً بحسب ما ارتكز عند العرف من مناسبة 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ثبوتاً أن يكون للواسطة دخل في ترتّب الأثر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يرجع إلى التفصيل في عدم اعتبار الأصل المثبت، فإنّه لم يتخلّل حقيقةً بين مؤدّى الأصل والأثر الشرعيّ واسطة عقليّة أو عاديّة، فلا وجه لاستثناء الواسطة الخفيّة من بين الوسائط والقول باعتبار الأصل المثبت فيها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الأثر أثراً للواسطة حقيقةً، والعرف يتسامح ويعدّه من آثار ذي الواسطة، فلا عبرة بالمسامحات العرفيّة في شيء من الموارد؛ فإنّ نظر العرف إنّما يكون متّبعاً في المفاهيم، لا في تطبيقها على المصاديق، فقد يتسامح العرف في تطبيق المفهوم على ما لا يكون له مصداقاً واقعاً، </w:t>
      </w:r>
      <w:bookmarkStart w:id="147" w:name="pg15437_354883"/>
    </w:p>
    <w:p>
      <w:pPr>
        <w:pStyle w:val="BookText"/>
        <w:rPr/>
      </w:pPr>
      <w:bookmarkEnd w:id="147"/>
      <w:r>
        <w:rPr>
          <w:rFonts w:ascii="Amiri" w:hAnsi="Amiri" w:eastAsia="Amiri" w:cs="Amiri"/>
          <w:color w:val="111111"/>
          <w:sz w:val="28"/>
          <w:sz w:val="28"/>
          <w:szCs w:val="28"/>
          <w:rtl w:val="true"/>
          <w:lang w:bidi="ar-SA"/>
        </w:rPr>
        <w:t>كما يشاهد أنّ العرف يتسامح ويطلق أسماء المقادير على ما ينقص عن المقدار أو يزيد يسيراً؛ فالمسامحات العرفيّة لا أثر، وتُضرب على الجدار بعد تبيّن المفهوم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الشرعيّ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مترتّباً على نفس الواسطة حقيقةً، وكانت هي الموضوع له واقعاً، فلا يمكن إثباته بالأصل الجاري في ذي الواسطة، وإن فرض أنّ العرف يتسامح ويرى الموضوعللحكم هو نفس مؤدّى الأصل نتيجةً لخفاء الواسطة وعدم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الحكم الشرعيّ مترتّباً في الواقع على ذي الواسطة، وكانت الواسطة العقليّة أو العاديّة علّة لثبوت الحكم لمؤدّى الأصل، فهذا لا يرجع إلى الأصل المثبت</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974497_2142443653"/>
      <w:bookmarkStart w:id="149" w:name="_Toc55"/>
      <w:bookmarkEnd w:id="148"/>
      <w:r>
        <w:rPr>
          <w:rtl w:val="true"/>
        </w:rPr>
        <w:t>الموارد الّتي تمسّكوا فيها بالأصل المثبت</w:t>
      </w:r>
      <w:r>
        <w:rPr>
          <w:rtl w:val="true"/>
        </w:rPr>
        <w:t>:</w:t>
      </w:r>
      <w:bookmarkEnd w:id="149"/>
    </w:p>
    <w:p>
      <w:pPr>
        <w:pStyle w:val="BookText"/>
        <w:rPr/>
      </w:pPr>
      <w:r>
        <w:rPr>
          <w:rFonts w:ascii="Amiri" w:hAnsi="Amiri" w:eastAsia="Amiri" w:cs="Amiri"/>
          <w:color w:val="111111"/>
          <w:sz w:val="28"/>
          <w:sz w:val="28"/>
          <w:szCs w:val="28"/>
          <w:rtl w:val="true"/>
          <w:lang w:bidi="ar-SA"/>
        </w:rPr>
        <w:t>ولا بأس في المقام بالإشارة إلى بعض الموارد التي تمسّكوا فيها بالأصل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اتّفق الوارثان على إسلام أحدهما المعيّن في أوّل شعبان، </w:t>
      </w:r>
    </w:p>
    <w:p>
      <w:pPr>
        <w:pStyle w:val="BookText"/>
        <w:rPr/>
      </w:pPr>
      <w:r>
        <w:rPr>
          <w:rFonts w:ascii="Amiri" w:hAnsi="Amiri" w:eastAsia="Amiri" w:cs="Amiri"/>
          <w:color w:val="111111"/>
          <w:sz w:val="28"/>
          <w:sz w:val="28"/>
          <w:szCs w:val="28"/>
          <w:rtl w:val="true"/>
          <w:lang w:bidi="ar-SA"/>
        </w:rPr>
        <w:t>والآخر في غرّة رمضان، واختلفا في زمان موت المورّث، فادّعى أحدهما موته في أثناء شعبان، وادّعى الآخر كونه في أثناء شهر رمضان، كان المال بينهما نصفين إذا كانا متساويين في الطبقة؛ لأصالة بقاء حياة المورّث إلى زمان إسلام الوارث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هذا الاستصحاب من الأصل المثبت؛ لأنّ إسلام الوارث في حال حياة المورّث، والذي هو الموضوع لكونه وارثاً، من اللّوازم العقليّة لبقاء حياة المورّث إلى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الإرث ليس كون إسلام الوارث في حال حياة المورّث، بحيث تكون الحياة ظرفاًللإسلام، بل موضوع كونه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إسلامه مع حياة المورّث في زمان واحد، بلا لحاظ إضافة الظرفيّة بينهما، فالموضوع مركّب، أُحرز أحد جزأيه بالوجدان، وهو إسلام الوارث، والآخر بالأصل، وهو حياته في ذلك الزمان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نظير ما قيل من كفاية اجتماع المرأة مع القرشيّة، وأحد جزأي هذا الموضوع محرز بالوجدان، والآخر بالأصل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أنّه لا يجري هذا الاستصحاب، بل لابدّ أنّ يثبت </w:t>
      </w:r>
    </w:p>
    <w:p>
      <w:pPr>
        <w:pStyle w:val="BookText"/>
        <w:rPr/>
      </w:pPr>
      <w:r>
        <w:rPr>
          <w:rFonts w:ascii="Amiri" w:hAnsi="Amiri" w:eastAsia="Amiri" w:cs="Amiri"/>
          <w:color w:val="111111"/>
          <w:sz w:val="28"/>
          <w:sz w:val="28"/>
          <w:szCs w:val="28"/>
          <w:rtl w:val="true"/>
          <w:lang w:bidi="ar-SA"/>
        </w:rPr>
        <w:t>بالاستصحاب أنّ هذه المرأة قرشيّة، ولم تكن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لابدّ من النظر إلى الأدلّة، فهل هي ناظرة إلى كون الوارث مسلماً في حال حياة المورّث بلحاظ عنوان الظرفيّة بينهما حتى يكون أصلاً مثبتاً، أم لا، بل يكفي اجتماعهما في زمان، ولو لم يكن على نحو الظرفيّة؟</w:t>
      </w:r>
    </w:p>
    <w:p>
      <w:pPr>
        <w:pStyle w:val="BookText"/>
        <w:rPr/>
      </w:pPr>
      <w:r>
        <w:rPr>
          <w:rFonts w:ascii="Amiri" w:hAnsi="Amiri" w:eastAsia="Amiri" w:cs="Amiri"/>
          <w:color w:val="111111"/>
          <w:sz w:val="28"/>
          <w:sz w:val="28"/>
          <w:szCs w:val="28"/>
          <w:rtl w:val="true"/>
          <w:lang w:bidi="ar-SA"/>
        </w:rPr>
        <w:t>والظاهر من الأدلّة هو الأوّل دون الثاني، فجوابه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هذا الأصل من 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حكمهم بضمان من كان يده على مال الغير، وكان مسلّطاً عليه، مع الشكّ في كونه مأذوناً من قبله؛ لأصالة عدم كونهمأذوناً، مع أنّ كون اليد عاديةً، والذي هو موضوع الضمان، من اللّوازم العقليّة لعدم كونه مأذوناً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الضمان ليس هو عنوان كون اليد عادية، بل موضوعه كون اليد غير مأذونة، فالموضوع مركّب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أُحرز بالوجدان، وهو اليد على مال الغير،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مأذونةً، وهو أُحرز بالأصل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العلّامة في التحرير</w:t>
      </w:r>
      <w:r>
        <w:rPr>
          <w:rStyle w:val="FootnoteAnchor"/>
          <w:rtl w:val="true"/>
        </w:rPr>
        <w:footnoteReference w:id="138"/>
      </w:r>
      <w:r>
        <w:rPr>
          <w:rFonts w:ascii="Amiri" w:hAnsi="Amiri" w:eastAsia="Amiri" w:cs="Amiri"/>
          <w:color w:val="111111"/>
          <w:sz w:val="28"/>
          <w:sz w:val="28"/>
          <w:szCs w:val="28"/>
          <w:rtl w:val="true"/>
          <w:lang w:bidi="ar-SA"/>
        </w:rPr>
        <w:t>فيما إذا اختلف الجاني ووليّ الميّت في سراية الجناية،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بالسراية، وقال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بسبب آخر، أو حصل الاختلاف بينهما، فقال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الجناية وقعت على الميّت بعد الموت، وقال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وقعت قبل الموت، وإنّما كان الموت بسبب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الضمان، ومن أصالة بقاء حياة المجنيّ عليه إلى زمان وقوع الجناية، فأجاز جريان الاستصحاب، مع أنّ وقوع الجناية على الحيّ، الذي هو موضوع الأثر، من اللّوازم العقليّة لبقاء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هذا الأصل، حتى لو قلنا بمقالة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مع كون الواسطة خفيّة؛ وذلك لعدم خفاء الواسطة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استصحاب عدم وجود الحاجب عند الشكّ في وجوده في البشرة في محلّ الغسل أو الوضوء؛ لإثبات صحّة الوضوء أو الغسل، ولا شكّ في أنّ صحّتهما منوطة بوصول الماء إلى البشرة، وهذا من اللّوازم العاديّة للمستصحب؛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الحاجب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من الأصل المثبت كما لا يخفى، فلا يجري، كما أنّ الواسطة غير خفيّة، فلا مجال لجريانه حتى على القول بمقالة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 التفصيل بين الواسطة الخفيّة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الوضوء أو الغسل بالبناء على عدم وجود الحاجب عند الشكّ في وجوده، لا من باب جريان الاستصحاب والأصل العمليّ، بل من جهة سيرة العقلاء وبنائهم على العدم، وعدم الفحص عن الحاجب عند الغسل أو الوضوء، فإنّ أصالة وجود عدم الحاجب هي كأصالة عدم القرينة وأصالة الظهور وغير ذلك من الأمارات العقلائيّة،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بقاء شهر رمضان أو عدم دخول شوّال يوم الشكّ لأجل ترتيب آثار أوّل يوم من شوّال على اليوم الذي بعده، مع أنّه من الأصل المثبت؛ لأنّ معنى كون الغد هو يوم الشكّ ويوم أوّل شوّال ويوم العيد من اللّوازم العقليّة لبقاء شهر رمضان يوم الشكّ، أو لعدم دخول شوّال في ذلك اليوم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بناءهم على ترتيب آثار يوم العيد على غد يوم الشكّ، من صلاة العيد، وإعطاء الفطرة وغسل يوم العيد، وسائر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يرتّبون آثار اليوم الثاني والثالث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الشهر</w:t>
      </w:r>
      <w:r>
        <w:rPr>
          <w:rFonts w:eastAsia="Amiri" w:cs="Amiri" w:ascii="Amiri" w:hAnsi="Amiri"/>
          <w:color w:val="111111"/>
          <w:sz w:val="28"/>
          <w:szCs w:val="28"/>
          <w:rtl w:val="true"/>
          <w:lang w:bidi="ar-SA"/>
        </w:rPr>
        <w:t xml:space="preserve">. </w:t>
      </w:r>
      <w:bookmarkStart w:id="150" w:name="pg15437_354888"/>
    </w:p>
    <w:p>
      <w:pPr>
        <w:pStyle w:val="BookText"/>
        <w:rPr/>
      </w:pPr>
      <w:bookmarkEnd w:id="150"/>
      <w:r>
        <w:rPr>
          <w:rFonts w:ascii="Amiri" w:hAnsi="Amiri" w:eastAsia="Amiri" w:cs="Amiri"/>
          <w:color w:val="111111"/>
          <w:sz w:val="28"/>
          <w:sz w:val="28"/>
          <w:szCs w:val="28"/>
          <w:rtl w:val="true"/>
          <w:lang w:bidi="ar-SA"/>
        </w:rPr>
        <w:t>مع أنّ كلّ هذه العناوين مشكوكة؛ لأنّ الشكّ في أوّل الشهر مستلزم للشكّ في جميع هذه العناوين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974499_2142443653"/>
      <w:bookmarkStart w:id="152" w:name="_Toc56"/>
      <w:bookmarkEnd w:id="151"/>
      <w:r>
        <w:rPr>
          <w:rtl w:val="true"/>
        </w:rPr>
        <w:t xml:space="preserve">التنبيه السادس </w:t>
      </w:r>
      <w:r>
        <w:rPr>
          <w:rtl w:val="true"/>
        </w:rPr>
        <w:t>:</w:t>
      </w:r>
      <w:r>
        <w:rPr>
          <w:rtl w:val="true"/>
        </w:rPr>
        <w:t>الشكّ في التقدّم والتأخّر مع العلم بحصوله في زمان خاصّ</w:t>
      </w:r>
      <w:r>
        <w:rPr>
          <w:rtl w:val="true"/>
        </w:rPr>
        <w:t>:</w:t>
      </w:r>
      <w:bookmarkEnd w:id="15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تارةً يكون في أصل حدوث الحادث سواء كان موضوعاً أو حكماً، وأُخرى في تقدّمه وتأخّره مع العلم بحصوله في 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إشكال في جريان استصحاب العدم فيه؛ لأنّ أركان الاستصحاب موجودة، وهي اليقين السابق والشكّ اللّاحق، وهكذا الحال فيما لو شكّ في أصل تحقّق حكم أو موضوع ذي الحكم، فإنّه بعد العلم بتحقّقه، فيكون وجوده محرزاً في السابق، فيستصحب وجوده إلى زمان العلم بارتفاعه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كما إذا شكّ في طهارة شيء بعد العلم بنجاسته، كما إذا كان الثوب نجساً في السابق، وشكّ في طهارته بدون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إذا شكّ في حصول الحلّيّة للذبيحة بتذكية الكتابيّ، فإنّ استصحاب عدم طهارة الثوب وعدم حلّيّة الذبيحة جارٍ بلا مانع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موضوع ذي حكم، كالشكّ في موت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إشكال في جريان استصحاب عدم تحقّقه، وترتيب آثار حياته من </w:t>
      </w:r>
    </w:p>
    <w:p>
      <w:pPr>
        <w:pStyle w:val="BookText"/>
        <w:rPr/>
      </w:pPr>
      <w:r>
        <w:rPr>
          <w:rFonts w:ascii="Amiri" w:hAnsi="Amiri" w:eastAsia="Amiri" w:cs="Amiri"/>
          <w:color w:val="111111"/>
          <w:sz w:val="28"/>
          <w:sz w:val="28"/>
          <w:szCs w:val="28"/>
          <w:rtl w:val="true"/>
          <w:lang w:bidi="ar-SA"/>
        </w:rPr>
        <w:t>وجوب الإنفاق على زوجته وحرمة تقسيم أمواله، وغيرهما من أحكام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كيفيّة حدوثه من التقدّم والتأخّر بعد العلم بأصل تحقّق، فهو يتصوّر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التقدّم والتأخّر بالنسبة إلى أجزاء الزمان، كما إذا قطع بوجود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أنّ مبدأ وجوده كان يوم الخميس أو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بالإضافة إلى حادث زمانيّ آخر، كما إذا تعاقب حادثان، كالطهارة والحدث،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بلحاظ نفس أجزاء الزمان، كما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بولادة زيد يوم الجمعة وشكّ في تقدّمها على وفاة عمرو أو تأخّرها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فلا إشكال في جريان الاستصحاب في عدم تحقّق الحادث في الزمان الأوّل، كما إذا علم بموت زيد يومالجمعة ولم يعلم بأنّ حدوث موته كان فيه أو في الخميس، فلا مانع من استصحاب عدم موته يوم الخميس وترتيب آثاره، كوجوب الإنفاق على زوجته، وحرمة تقسيم ماله بين ورّاثه وغير ذلك، عليه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آثار تأخّره عن يوم الخميس، فبما أنّها من الآثار العقليّة لعدم حدوثه في يوم الخميس، فلا يجري الاستصحاب لإثباتها؛ لأنّه بالنسبة </w:t>
      </w:r>
    </w:p>
    <w:p>
      <w:pPr>
        <w:pStyle w:val="BookText"/>
        <w:rPr/>
      </w:pPr>
      <w:r>
        <w:rPr>
          <w:rFonts w:ascii="Amiri" w:hAnsi="Amiri" w:eastAsia="Amiri" w:cs="Amiri"/>
          <w:color w:val="111111"/>
          <w:sz w:val="28"/>
          <w:sz w:val="28"/>
          <w:szCs w:val="28"/>
          <w:rtl w:val="true"/>
          <w:lang w:bidi="ar-SA"/>
        </w:rPr>
        <w:t xml:space="preserve">إليها أصل مثبت،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لوازمه العقليّة، فكذا لا يثبت الأثر الشرعيّ المترتّب على لوازمه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علم بعدم إسلامه يوم الأربعاء، وشكّ في حدوثه يوم الخميس أو يوم الجمعة، فلا إشكال في استصحاب عدم إسلامه إلى زمان اليقين بوجوده، وهو يوم الجمعة، وترتيب آثار عدم حدوثه يوم الخميس؛ لاجتماع أركان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آثار لازم عدم حدوث الإسلام يوم الخميس، وهو حدوثه يوم الجمعة، أو تأخّر حدوثه عن يوم الخميس، فلا تترتّب على استصحاب عدم إسلامه إلى يوم الجمعة؛ لأنّ الحدوث أمر بسيط منتزع من الوجود المسبوق بالعدم، وهو لازم عقليّ للتعبّد بعدم إسلامه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أنّ أدلّة الاستصحاب قاصرة عن إثبات لوازم المستصحب العاديّة والعقليّة وآثارها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وهي أن يكون استصحاب كلّ منهما بلحاظ زمان حدوث الآخر أو تأخّره عنه أو مقارنته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فتارةًيكون الحادثان من المتضادّين اللّذين لا يمكن اجتماعهما في مورد واحد كالطهارة والحدث، وأُخرى لا يكونان كذلك، كإسلام الوارث مع موت المورّث، أو إسلام المتوارثين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صورة كون كليهما معلومي التاريخ يكون خارجاً عن مورد البحث؛ لأنّه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الاستصحاب كما هو أوضح </w:t>
      </w:r>
    </w:p>
    <w:p>
      <w:pPr>
        <w:pStyle w:val="BookText"/>
        <w:rPr/>
      </w:pPr>
      <w:r>
        <w:rPr>
          <w:rFonts w:ascii="Amiri" w:hAnsi="Amiri" w:eastAsia="Amiri" w:cs="Amiri"/>
          <w:color w:val="111111"/>
          <w:sz w:val="28"/>
          <w:sz w:val="28"/>
          <w:szCs w:val="28"/>
          <w:rtl w:val="true"/>
          <w:lang w:bidi="ar-SA"/>
        </w:rPr>
        <w:t>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لو كان كلّ منهما بالنسبة إلى الآخر من مجهولي التاريخ، أو كان أحدهما فقط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البحث فيما نحن فيه، إنّما هو فيما لو كان الشكّ في تقدّم الحادث وتأخّره، لا في أصل حدوثه،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التقدّم والتأخّر ملحوظان بالإضافة إلى حادث آخر علم بحدوثه، ولكن شكّ في تقدّمه على الحادث الأوّل، أو مقارنته له أو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الحادثان، تارةً يكون تاريخ كليهما مجهولاً، وأُخرى يكون تاريخ أحدهما معلوماً والآخر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هنا إلى القول بجريان الاستصحاب في كلتا الصورتين، كما قيل بالعدم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 إلى التفصيل بين ما إذا كان كلاهما مجهولي التاريخ، فقال بجريانه فيهما، أو كان أحدهما معلوم التاريخ، فلا يجري فيه، وأمّا الآخر المجهول فيجري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جريان استصحاب عدم حدوث كلٍّ منهما بالإضافة إلى زمان حدوث الآخر مطلقاً، أو عدم جريانه مطلقاً، أو التفصيل بين ما إذا لم يعلم تاريخ حدوث أحدهما بالخصوص، وبين ما إذا علم ذلك، ففي الأوّل يجري استصحاب عدم حدوث كلٍّ منهما بالإضافة إلى زمان الآخر، وفي الثاني يجري الاستصحاب في خصوص مجهول التاريخ، ولا يجري في </w:t>
      </w:r>
    </w:p>
    <w:p>
      <w:pPr>
        <w:pStyle w:val="BookText"/>
        <w:rPr/>
      </w:pPr>
      <w:r>
        <w:rPr>
          <w:rFonts w:ascii="Amiri" w:hAnsi="Amiri" w:eastAsia="Amiri" w:cs="Amiri"/>
          <w:color w:val="111111"/>
          <w:sz w:val="28"/>
          <w:sz w:val="28"/>
          <w:szCs w:val="28"/>
          <w:rtl w:val="true"/>
          <w:lang w:bidi="ar-SA"/>
        </w:rPr>
        <w:t>معلوم التاريخ، وجوه، أقواها التفصيل الأخير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الدخول في صميم البحث، لابدّ من بيان المحمولات الأربعة من الموجودات والأعدام،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الأثر تارةً يترتّب على الوجود المحموليّ، وأُخرى على الوجود النعتيّ، وثالثة على العدم المحموليّ، ورابعة على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المحموليّ هو نفس الوجود المحمول الأوّلي على الماهيّة، وهو مفاد كان التامّة،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الوجود الربطيّ، أو النعتيّ، فهو مفاد كان الناقصة التي تدخل على المبتدأ والخبر فتكون موجبة للربط بينهما،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حيث إنّ القيام المحمول على زيد إنّما يكون بعد فرض وجوده،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زائداً على نفس وجوده، والذي حقّق هذا الربط ودلّ عليه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العدم المحموليّ، فهو ما يقابل الوجود المحموليّ، وهو مفاد ليس التامّة، كما 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العدم النعتيّ، فهو مقابل للوجود النعتيّ، وهو مفاد ليس الناقصة،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بقائم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عن الوجود الربطيّ بأنّه وجود نعتيّ، وعن العدم </w:t>
      </w:r>
    </w:p>
    <w:p>
      <w:pPr>
        <w:pStyle w:val="BookText"/>
        <w:rPr/>
      </w:pPr>
      <w:r>
        <w:rPr>
          <w:rFonts w:ascii="Amiri" w:hAnsi="Amiri" w:eastAsia="Amiri" w:cs="Amiri"/>
          <w:color w:val="111111"/>
          <w:sz w:val="28"/>
          <w:sz w:val="28"/>
          <w:szCs w:val="28"/>
          <w:rtl w:val="true"/>
          <w:lang w:bidi="ar-SA"/>
        </w:rPr>
        <w:t>الذي هو مفاد ليس الناقصة بأنّه عدم نعتيّ، لا يخلو من مسامحة؛ لأنّ الوجود النعتيّ إنّما هو وجود العرض الذي هو من قسم الموجود لنفسه في غيره بغيره</w:t>
      </w:r>
      <w:r>
        <w:rPr>
          <w:rStyle w:val="FootnoteAnchor"/>
          <w:rtl w:val="true"/>
        </w:rPr>
        <w:footnoteReference w:id="140"/>
      </w:r>
      <w:r>
        <w:rPr>
          <w:rFonts w:ascii="Amiri" w:hAnsi="Amiri" w:eastAsia="Amiri" w:cs="Amiri"/>
          <w:color w:val="111111"/>
          <w:sz w:val="28"/>
          <w:sz w:val="28"/>
          <w:szCs w:val="28"/>
          <w:rtl w:val="true"/>
          <w:lang w:bidi="ar-SA"/>
        </w:rPr>
        <w:t>، ولكنّ وجوده المحموليّ نعت للغير، وبما أنّ النسب والارتباطات تكون من المعاني الحرفيّة، ولا استقلال لها في الوجود، وبعد أن كانت الأفعال الناقصة تدلّ إمّا على إيجاد الربط وإمّا على سلبه، فالأحسن أن يعبّر عن مفاد كان الناقصة بالوجود الربطيّ، وعن مفاد ليس الناقصة بالعدم الربطيّ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ذلك نقول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الأثر الشرعيّ مترتّباً على وجود أحد الحادثين، بنحوٍ خاصّ من التقدّم أو التأخّر أو التقارن، دون الحادث الآخر، وذلك كتقدّم رجوع المرتهن عن الإذن على البيع، وتقدّم العيب على العقد، فإنّ رجوع المرتهن عن إذنه قبل البيع يوجب بطلان البيع، كما أنّ تقدّم العيب على العقديوجب الخيار، ونحو ذلك من الأشباه والنظائر، فإنّ احد الحادثين، وهو رجوع المرتهن، وعيب المبيع، في هذين المثالين، لايترتّب عليه </w:t>
      </w:r>
    </w:p>
    <w:p>
      <w:pPr>
        <w:pStyle w:val="BookText"/>
        <w:rPr/>
      </w:pPr>
      <w:r>
        <w:rPr>
          <w:rFonts w:ascii="Amiri" w:hAnsi="Amiri" w:eastAsia="Amiri" w:cs="Amiri"/>
          <w:color w:val="111111"/>
          <w:sz w:val="28"/>
          <w:sz w:val="28"/>
          <w:szCs w:val="28"/>
          <w:rtl w:val="true"/>
          <w:lang w:bidi="ar-SA"/>
        </w:rPr>
        <w:t>الأثر، إلّا على وجوده بنحو خاصّ، وهو تقدّمه على حادث آخر، وهو البيع؛ إذ لا أثر لرجوع المرتهن عن الإذن بعد البيع، وكذا لا أثر لحدوث العيب في المبيع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التأخّر، كما إذا لاقى الثوب المتنجّس الماء؛ فإنّ أثر هذه الملاقاة، وهو الطهارة، مترتّب على الملاقاة بنحو خاصّ، وهو تأخّرها عن كرّيّة الماء، فلا أثر للملاقاة قبل الكرّيّة، ولا مع التقارن، فإنّ المستفاد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ظهور رجوع الضمير فيه إلى الكرّ، أنّ الماء الذي فرضنا كونه كرّاً لا ينفعل بالملاقاة، فيعتبر في عدم تنجّسه بالملاقاة سبق الكرّيّة، فصورة 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داخلة في مفهوم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التقارن، كمحاذاة الرجل والمرأة في الصلاة مع وحدة زمان شروعهما في الصلاة، فإنّ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الحادثين،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 الرجل والمرأة مع تقارنهما شروعاً وعدم وجود الحائل وعدم الفصل بينهما بعشرة أذرع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وكتقارن عقدي الاُختين في زمان واحد لرجل، فإنّ البطلان مترتّب على تقارنهما؛ إذ مع اختلافهما زماناً نحكم بصحّة المتقدّم منهما وبطلان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وكتقارن عقدي الاُم وبنتها لرجل، أو تقارن عقدي الفاطميّتين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الجمع بينهما وبطلان عقديهما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الأثر في هذه </w:t>
      </w:r>
    </w:p>
    <w:p>
      <w:pPr>
        <w:pStyle w:val="BookText"/>
        <w:rPr/>
      </w:pPr>
      <w:r>
        <w:rPr>
          <w:rFonts w:ascii="Amiri" w:hAnsi="Amiri" w:eastAsia="Amiri" w:cs="Amiri"/>
          <w:color w:val="111111"/>
          <w:sz w:val="28"/>
          <w:sz w:val="28"/>
          <w:szCs w:val="28"/>
          <w:rtl w:val="true"/>
          <w:lang w:bidi="ar-SA"/>
        </w:rPr>
        <w:t>المسائل ونحوها مع تقارن الحادثين، وهما العقدان، هو البطلان، ففيما إذا كان الأثر مترتّباً على أحد الحادثين بنحو خاصّ، من التقدّم أو التأخّر أو التقارن، كتقدّم رجوع المرتهن عن الإذن في البيع أو تقدّم العيب على البيع، فإنّ له الأثر، وأمّا تأخّرهما، فلا أثر لهما كما ذكرنا، فيجري أصل عدم تقدّم الرجوع والعيب، ويكون الأثر هو صحّة البيع، ولا يجري الأصل في الحادث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تقدّم البيع على الرجوع أو العيب؛ لأنّه لا أثر له حتى يجري وينهض لمعارضة ذلك الاستصحاب الجاري في الموضوع ذي الأثر الشرعيّ، كما لو فرض أنّ أحد المتوارثين كان كافراً، فإنّ استصحاب عدم موت المسلم منهما إلى زمان موت الآخر الكافر جارٍ ويترتّب عليه الأثر، وهو ارث المسلم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موت الكافر إلى زمان موت المسلم، فلا يمكن جريانه؛ وذلك لعدم أثر له شرعاً، حتى في صورة العلم بتأخّر موته عن موت المسلم؛ لأنّ الكافر لا يرث من المسلم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هناك أثر لكلٍّ منهما، كما في مثال عقد الاُختين أو الفاطميّتين، مع كون الشكّ في تقدّمه أو تأخّره،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كلّ عقد أو تأخّره بالنسبة إلى العقد الآخر، فإنّ الاستصحاب في كليهما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بكذبأحدهما فيتعارضان؛ لأنّ أركان الاستصحاب تكون متحقّقة في كلّ منهما، وبعد التعارض </w:t>
      </w:r>
    </w:p>
    <w:p>
      <w:pPr>
        <w:pStyle w:val="BookText"/>
        <w:rPr/>
      </w:pPr>
      <w:r>
        <w:rPr>
          <w:rFonts w:ascii="Amiri" w:hAnsi="Amiri" w:eastAsia="Amiri" w:cs="Amiri"/>
          <w:color w:val="111111"/>
          <w:sz w:val="28"/>
          <w:sz w:val="28"/>
          <w:szCs w:val="28"/>
          <w:rtl w:val="true"/>
          <w:lang w:bidi="ar-SA"/>
        </w:rPr>
        <w:t>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الأثر مترتّباً على وجود أحد الحادثين مع التأخّر، كما في مثل ملاقاة النجس للماء، فإنّ استصحاب عدم الملاقاة إلى زمان الكرّيّة جارٍ لإثبات الأثر، وهو طهارة الثوب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عدم الكرّيّة إلى زمان الملاقاة، فلا أثر له، وكذلك في صورة التقارن بين الكرّيّة والملاقاة، بأن وقعا في زمان واحد،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أثر، فلا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يفرض إمكان جريان الاستصحاب فيه في حدّ نفسه، ولكنّه مع ذلك لا يجري من جهة أُخرى،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ما إذا كان الأثر ثابتاً لكلّ واحد من الحادثين، المتقدّم والمتأخّر، كما في مثال عقد الفاطميّتين، وإنّما لا يجري الاستصحاب هنا، لا من جهة تعارض الأصلين، بل من جهة عدم ثبوت حالة سابقة للمستصحب؛ لأنّ اتّصاف موت زيد بكونه مقدّماً على موت عمرو لم يكن له حالة سابقة، ولم يكن متيقّناً في السابق حتى يتعبّد ببقائه في ظرف الشكّ، حيث إنّه في حال حياة زيد لم يكن موت حتى يتّصف بالتقدّم على موت عمرو أو بالتأخّر عنه، وعدم اتّصاف الموت بالتقدّم حال الحياة إنّما هو من باب السالبة بانتفاء الموضوع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نتمسّك هنا باستصحاب العدم الأزليّ؛ لأنّ موت زيد حال الحياة كما لم يكن بنفسه، فكذلك هو لم يكنوصفه،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تقدّمه على موت عمرو، وبعد حصول اليقين بموت زيد يشكّ في انتقاض عدم تقدّمه فيستصحب، كاستصحاب عدم قرشيّة المرأة بعد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الاستصحابين، فإنّ الحكم في استصحاب عدم القرشيّة إنّما ورد على العدم، وأمّا في المقام، فالحكم إنّما ورد على اتّصاف موت زيد بعدم تقدّمه على موت عمرو، لا على عدم اتّصافه بالتقدّم، فاستصحاب عدم الأزليّ، على فرض حجّيّته، إنّما يثبت عدم الاتّصاف بالتقدّم، لا اتّصاف موت زيد بعدم تقدّمه على موت عمرو،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بأنّه لا يجري الاستصحاب في معلوم التاريخ؛ لأنّ زمانه يكون معلوماً، فموت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معلوماً أنّه في غرّة شهر رمضان، فعدم الموت إلى ذلك الزمان معلوم، ومن ذلك الوقت يكون الوقت معلوماً، فمتى يكون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يستصحب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يكون بالنسبة إلى نفس أجزاء الزمان، وأمّا بالنسبة إلى زمان حدوث الحادث الآخر، حيث إنّ ذلك الزمان يكون مجهولاً، فقهراً يحصل الشكّ والترديد في بقاء عدم معلوم التاريخ إلى زمان حدوث مجهول التاريخ وفي عدم بقاء عدمه إلى ذلك الزمان</w:t>
      </w:r>
      <w:r>
        <w:rPr>
          <w:rFonts w:eastAsia="Amiri" w:cs="Amiri" w:ascii="Amiri" w:hAnsi="Amiri"/>
          <w:color w:val="111111"/>
          <w:sz w:val="28"/>
          <w:szCs w:val="28"/>
          <w:rtl w:val="true"/>
          <w:lang w:bidi="ar-SA"/>
        </w:rPr>
        <w:t xml:space="preserve">. </w:t>
      </w:r>
      <w:bookmarkStart w:id="153" w:name="pg15437_354898"/>
    </w:p>
    <w:p>
      <w:pPr>
        <w:pStyle w:val="Heading3"/>
        <w:numPr>
          <w:ilvl w:val="2"/>
          <w:numId w:val="1"/>
        </w:numPr>
        <w:rPr/>
      </w:pPr>
      <w:bookmarkStart w:id="154" w:name="__RefHeading___Toc6974501_2142443653"/>
      <w:bookmarkStart w:id="155" w:name="_Toc57"/>
      <w:bookmarkEnd w:id="153"/>
      <w:bookmarkEnd w:id="154"/>
      <w:r>
        <w:rPr>
          <w:rtl w:val="true"/>
        </w:rPr>
        <w:t xml:space="preserve">التنبيه السابع </w:t>
      </w:r>
      <w:r>
        <w:rPr>
          <w:rtl w:val="true"/>
        </w:rPr>
        <w:t>:</w:t>
      </w:r>
      <w:r>
        <w:rPr>
          <w:rtl w:val="true"/>
        </w:rPr>
        <w:t>في جريان استصحاب الصحّة</w:t>
      </w:r>
      <w:r>
        <w:rPr>
          <w:rtl w:val="true"/>
        </w:rPr>
        <w:t>:</w:t>
      </w:r>
      <w:bookmarkEnd w:id="155"/>
    </w:p>
    <w:p>
      <w:pPr>
        <w:pStyle w:val="BookText"/>
        <w:rPr/>
      </w:pPr>
      <w:r>
        <w:rPr>
          <w:rFonts w:ascii="Amiri" w:hAnsi="Amiri" w:eastAsia="Amiri" w:cs="Amiri"/>
          <w:color w:val="111111"/>
          <w:sz w:val="28"/>
          <w:sz w:val="28"/>
          <w:szCs w:val="28"/>
          <w:rtl w:val="true"/>
          <w:lang w:bidi="ar-SA"/>
        </w:rPr>
        <w:t xml:space="preserve">فإذا احتمل وجود مانع، كالزيادة، أو قاطع للعمل المركّب بالنسبة إلى الأجزاء السابقة، فهل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 أم لا؟</w:t>
      </w:r>
    </w:p>
    <w:p>
      <w:pPr>
        <w:pStyle w:val="BookText"/>
        <w:rPr/>
      </w:pPr>
      <w:r>
        <w:rPr>
          <w:rFonts w:ascii="Amiri" w:hAnsi="Amiri" w:eastAsia="Amiri" w:cs="Amiri"/>
          <w:color w:val="111111"/>
          <w:sz w:val="28"/>
          <w:sz w:val="28"/>
          <w:szCs w:val="28"/>
          <w:rtl w:val="true"/>
          <w:lang w:bidi="ar-SA"/>
        </w:rPr>
        <w:t>وقد تقدّم الكلام في جريان هذا الاستصحاب عند الحديث عن أصالة الاشتغال، وذلك في باب الاستدلال على عدم بطلان العمل بواسطة الزيادة السهويّة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فيما محلّه، أنّ هذا الاستصحاب إنّما يتصوّر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استصحاب الصحّة التأهليّة التي كانت لهذه الأجزاء التي عمل بها قبل أن يأتي بهذه الزيادة،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باقية على صلاحيّتها، بحيث لو انضمّ إليها سائر الأجزاء التي لم يأتِ بها، لكان العمل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استصحاب الهيئة الاتّصاليّة التي كانت للعمل المركّب قبل وجود هذه الزيادة،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الصوريّ للمركّب القائم بمادّته،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الأجزاء، وهذا الجزء الصوريّ، وهو الهيئة الاتّصاليّة، يستكشف من أدلّة القواطع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يراد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الفعليّة التي تكون قائمة بمجموع العمل، والتي هي عبارة عن تماميّة العمل بما له من الأجزاء والشرائط، وإعدام الموانع المعتبرة فيه عقلاً وشرعاً</w:t>
      </w:r>
      <w:r>
        <w:rPr>
          <w:rFonts w:eastAsia="Amiri" w:cs="Amiri" w:ascii="Amiri" w:hAnsi="Amiri"/>
          <w:color w:val="111111"/>
          <w:sz w:val="28"/>
          <w:szCs w:val="28"/>
          <w:rtl w:val="true"/>
          <w:lang w:bidi="ar-SA"/>
        </w:rPr>
        <w:t xml:space="preserve">. </w:t>
      </w:r>
      <w:bookmarkStart w:id="156" w:name="pg15437_354899"/>
    </w:p>
    <w:p>
      <w:pPr>
        <w:pStyle w:val="BookText"/>
        <w:rPr/>
      </w:pPr>
      <w:bookmarkEnd w:id="156"/>
      <w:r>
        <w:rPr>
          <w:rFonts w:ascii="Amiri" w:hAnsi="Amiri" w:eastAsia="Amiri" w:cs="Amiri"/>
          <w:color w:val="111111"/>
          <w:sz w:val="28"/>
          <w:sz w:val="28"/>
          <w:szCs w:val="28"/>
          <w:rtl w:val="true"/>
          <w:lang w:bidi="ar-SA"/>
        </w:rPr>
        <w:t>ولكنّ هذا المعنى لا يمكن أن نقول به؛ لأنّه لا يتحقّق إلّا بعد وجود المركّب على النحو الذي أمر به الشارع أو العقل بجميع أجزائه وشرائطه وإعدام موانعه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974503_2142443653"/>
      <w:bookmarkStart w:id="158" w:name="_Toc58"/>
      <w:bookmarkEnd w:id="157"/>
      <w:r>
        <w:rPr>
          <w:rtl w:val="true"/>
        </w:rPr>
        <w:t>التنبيه الثامن</w:t>
      </w:r>
      <w:r>
        <w:rPr>
          <w:rtl w:val="true"/>
        </w:rPr>
        <w:t xml:space="preserve">: </w:t>
      </w:r>
      <w:r>
        <w:rPr>
          <w:rtl w:val="true"/>
        </w:rPr>
        <w:t>الاستصحاب في الاُمور العقائديّة</w:t>
      </w:r>
      <w:bookmarkEnd w:id="158"/>
    </w:p>
    <w:p>
      <w:pPr>
        <w:pStyle w:val="BookText"/>
        <w:rPr/>
      </w:pPr>
      <w:r>
        <w:rPr>
          <w:rFonts w:ascii="Amiri" w:hAnsi="Amiri" w:eastAsia="Amiri" w:cs="Amiri"/>
          <w:color w:val="111111"/>
          <w:sz w:val="28"/>
          <w:sz w:val="28"/>
          <w:szCs w:val="28"/>
          <w:rtl w:val="true"/>
          <w:lang w:bidi="ar-SA"/>
        </w:rPr>
        <w:t>فهل هو يجري فيها أم لا؟</w:t>
      </w:r>
    </w:p>
    <w:p>
      <w:pPr>
        <w:pStyle w:val="BookText"/>
        <w:rPr/>
      </w:pPr>
      <w:r>
        <w:rPr>
          <w:rFonts w:ascii="Amiri" w:hAnsi="Amiri" w:eastAsia="Amiri" w:cs="Amiri"/>
          <w:color w:val="111111"/>
          <w:sz w:val="28"/>
          <w:sz w:val="28"/>
          <w:szCs w:val="28"/>
          <w:rtl w:val="true"/>
          <w:lang w:bidi="ar-SA"/>
        </w:rPr>
        <w:t>وقبل الدخول في محلّ البحث، لابدّ من القول بأنّ الاستصحاب، كما استفدناه من أخبار الباب، هو عبارة عن حكم الشارع بالجري العمليّ على طبق الحالة السابقة عند الشكّ في بقائها مع اليقين بوجودها سابقاً، ولكنّه يحتاج إلى أثر عمليّ حتى يكون الحكم بالجري العمليّ بلحاظ ذلك الأثر، ولا يكفي فيه صرف مجعوليّة المستصحب شرعاً ما لم ينته إلى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الأثر العمليّ لا يفرّق فيه بين أن يكون من أعمال الجوارح أو من أفعال الجوانح،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الالتزامات والاعتقادات القلبيّة، فلو كان للمستصحب أثر عمليّ، وكان متيقّناً، ثمّ شكّ في بقائه، فيجري الاستصحاب؛ وذلك لتماميّة أركانه، ولا يضرّ كونه من الاُمور الاعتقاديّة والأفعال القلبيّة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لبقاء النبوّة والإمامة أثر عمليّ، لا يجري الاستصحاب فيهما، وإن كانا من جملة المجعولات الشرعيّة والمناصب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لبقائهما أثر عمليّ شرعيّ، فيجري الاستصحاب فيهما، وإن كانا من الاُمور التكوينيّة،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والمهمّ فيها شرعاً هو الانقياد وعقد القلب، وأمثال ذلك من الأعمال القلبيّة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فيها هو تحصيل اليقين والعلم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الاستصحاب فيه، إلّا ما قد يتصوّر من أنّ الاستصحاب هو من الاُصول العمليّة، ولكنّ ذلك لا يصلح للمانعيّة منه؛ لأنّ التعبير بالأصل العمليّ ليس له في دليل الاستصحاب أو غيره عين ولا أثر كي يدّعى انصرافه إلى عمل الجوارح دون عمل الجوانح، وإنّما هو تعبير اصطلاحيّ عبّر به الاُصوليّون عمّا كان وظيفةً للشاكّ تعبّداً، لغرض جعل فرق بينه وبين الأمارات الحاكية عن الواقع،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يعمّ عمل الجوانح والجوارح معاً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الحكم جارٍ فيه، فلو شكّ في بقاء وجوب اليقين بشيء بعد اليقين بالوجوب، يستصحب البقاء، ولا مانع منه، ويترتّب عليه لزوم تحصيل اليقين بذلك الشيء والعلم به، دون الموضوع؛ لأنّ المفروض كونالمطلوب تحصيل اليقين به، والاستصحاب لا يجدي في ذلك؛ لعدم رفعه الشكّ إلّا تعبّداً، كما </w:t>
      </w:r>
    </w:p>
    <w:p>
      <w:pPr>
        <w:pStyle w:val="BookText"/>
        <w:rPr/>
      </w:pPr>
      <w:r>
        <w:rPr>
          <w:rFonts w:ascii="Amiri" w:hAnsi="Amiri" w:eastAsia="Amiri" w:cs="Amiri"/>
          <w:color w:val="111111"/>
          <w:sz w:val="28"/>
          <w:sz w:val="28"/>
          <w:szCs w:val="28"/>
          <w:rtl w:val="true"/>
          <w:lang w:bidi="ar-SA"/>
        </w:rPr>
        <w:t>لا يخفى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الاعتقاديّة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فيها شرعاً مجرّد الالتزام بها وعقد القلب عليها، ولو لم يحصل اليقين بما لها من الخصوصيّات، كتفاصيل عالم البرزخ والبعث والجنّة والنار والميزان، فإنّ الواجب علينا إنّما هو الاعتقاد بها والتسليم والانقياد لها على ما هي عليه، بأن نعتقد بما هو الواقع،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بقاء سؤال منكر ونكير في بعض بقاع الأرض؛ لكرامتها بكرامة من دفن فيها، من نبيٍّ أو وصيّ، فإنّه يجري الاستصحاب في جميع ذلك ويترتّب عليه وجوب الاعتقاد بذلك كلّه، حيث لم يكن هنا فرق في الحكم الشرعيّ بين تعلّقه بعمل جارحيّ وعمل جانحيّ، </w:t>
      </w:r>
    </w:p>
    <w:p>
      <w:pPr>
        <w:pStyle w:val="BookText"/>
        <w:rPr/>
      </w:pPr>
      <w:r>
        <w:rPr>
          <w:rFonts w:ascii="Amiri" w:hAnsi="Amiri" w:eastAsia="Amiri" w:cs="Amiri"/>
          <w:color w:val="111111"/>
          <w:sz w:val="28"/>
          <w:sz w:val="28"/>
          <w:szCs w:val="28"/>
          <w:rtl w:val="true"/>
          <w:lang w:bidi="ar-SA"/>
        </w:rPr>
        <w:t>بعد شمول دليل الاستصحاب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الاستصحاب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الحكم، فكما إذا فرضنا أنّه حصل الشكّ في وجوب اعتقادنا بنبوّة الأنبياء السابقين، لاحتمال وجوبهعلى خصوص المسلمين في صدر الإسلام، مع القطع بوجوده سابقاً، فيجري الاستصحاب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وجوب الاعتقاد والتسليم الاُمور الاعتقاديّة بشرط اليقين بها، لا مطلقاً، كوجود الصانع وتوحيده والنبوّة والمعاد؛ فإنّ موضوع وجوب الالتزام والاعتقاد بها إنّما هو معرفتها واليقين بها، لا نفس وجودها واقعاً، وإن لم تتعلّق بها المعرفة، فلا يجري فيها الاستصحاب الموضوعيّ؛ لأنّها لم تكن بوجودها الواقعيّ موضوعاً لوجوب الاعتقاد والتسليم حتى تثبت بالاستصحاب، بل موضوعه هو المعرفة بها، وهي لا تثبت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الحكميّ، فلا مانع من جريانه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 الاُمور الاعتقاديّة المطلوب فيها عمل الجوانح من الاعتقاد والانقياد والتسليم له وعقد القلب عليه إلى قسمين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أوّلاً بحكم العقل تحصيل العلم واليقين به، ثمّ يجب بحكم العقل بعد العلم واليقين به الاعتقاد به والانقياد والتسليم له وعقد القلب عليه، كالتوحيد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لا مجال لجريان الاستصحاب فيه موضوعاً، وذلك لأنّه ممّا يجب فيه من تحصيل القطع والمعرفة به، ومعلوم أنّ الاستصحاب ممّا لا يجدي في حصولهما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بحكم العقل ولا الشرع تحصيل اليقين به، ولكن إذا حصل العلم واليقين به بطبعه وجب فيه بحكم العقل والشرع جميعاً الاعتقاد به والانقياد والتسليم له، وذلك كما في تفاصيل البرزخ والقيامة وسؤال النكيرين والصراط والحساب والكتاب والميزان والحوض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ممّا يجري فيه الاستصحاب حكماً وموضوعاً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ما تقدّم،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يفيد تمسّك الكتابيّ بالاستصحاب لإثبات نبوّة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مرّ الكلام فيه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استصحاب متعلّق الاعتقاد مع الشكّ فيه، بقوله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أمكن دفعه بأنّ ما لا يتمشّى مع الشكّ إنّما هو التسليم والانقياد الجزميّ، وأمّا التسليم والانقياد له بعنوان كونه نبيّاً أو إماماً ظاهراً بمقتضى </w:t>
      </w:r>
      <w:bookmarkStart w:id="159" w:name="pg15437_354904"/>
    </w:p>
    <w:p>
      <w:pPr>
        <w:pStyle w:val="BookText"/>
        <w:rPr/>
      </w:pPr>
      <w:bookmarkEnd w:id="159"/>
      <w:r>
        <w:rPr>
          <w:rFonts w:ascii="Amiri" w:hAnsi="Amiri" w:eastAsia="Amiri" w:cs="Amiri"/>
          <w:color w:val="111111"/>
          <w:sz w:val="28"/>
          <w:sz w:val="28"/>
          <w:szCs w:val="28"/>
          <w:rtl w:val="true"/>
          <w:lang w:bidi="ar-SA"/>
        </w:rPr>
        <w:t>الأمارة أو الأصل المنقّح، فلا بأس به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الانقياد والتسليم ههنا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أو النبوّة الظاهريّة؛ لأنّه بعد التعبّد بها، تَثبت ظاهراً، فيسلّم بها بهذا النحو، لا على طريق الجزم واليقين كي يورد عليه بتنافيه مع الشكّ في أصل الإمامة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غير تامّ، لما مرّ من أنّ الرسالة والإمامة من الاُمور التكوينيّة، وليستا من الاُمور المجعولة، حتى يمكن جريان الاستصحاب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974505_2142443653"/>
      <w:bookmarkStart w:id="161" w:name="_Toc59"/>
      <w:bookmarkEnd w:id="160"/>
      <w:r>
        <w:rPr>
          <w:rtl w:val="true"/>
        </w:rPr>
        <w:t xml:space="preserve">التنبيه التاسع </w:t>
      </w:r>
      <w:r>
        <w:rPr>
          <w:rtl w:val="true"/>
        </w:rPr>
        <w:t>:</w:t>
      </w:r>
      <w:r>
        <w:rPr>
          <w:rtl w:val="true"/>
        </w:rPr>
        <w:t>الرجوع إلى عموم العامّ أو استصحاب حكم المخصّص</w:t>
      </w:r>
      <w:r>
        <w:rPr>
          <w:rtl w:val="true"/>
        </w:rPr>
        <w:t>:</w:t>
      </w:r>
      <w:bookmarkEnd w:id="161"/>
    </w:p>
    <w:p>
      <w:pPr>
        <w:pStyle w:val="BookText"/>
        <w:rPr/>
      </w:pPr>
      <w:r>
        <w:rPr>
          <w:rFonts w:ascii="Amiri" w:hAnsi="Amiri" w:eastAsia="Amiri" w:cs="Amiri"/>
          <w:color w:val="111111"/>
          <w:sz w:val="28"/>
          <w:sz w:val="28"/>
          <w:szCs w:val="28"/>
          <w:rtl w:val="true"/>
          <w:lang w:bidi="ar-SA"/>
        </w:rPr>
        <w:t xml:space="preserve">إذا ورد عامّ أفراديّ، وكان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الأزمانيّ، وخصّص بعض الأفراد، وشكّ في خروج ذلك البعض في جميع الأزمنة أو في بعض تلك الأزمنة، فهل يرجع في زمان الشكّ في الخروج إلى عموم العامّ، أم إلى استصحاب حكم المخصّص؟</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أَوْفُواْ بِالْعُقُودِ</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عموم أفراديّ؛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بالألف واللّام، وهو من صيغ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أزمانيّ، وإلّا، يلزم لغويّة هذا الحكم؛ لأنّ لزوم الوفاء بالعقد في زمان لا أثر له، فمعنى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بكلّ عقد في كلّ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جاء دليل خيار الغبن وأخرج المعاملة الغبنيّة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العموم، وعلمنا بخروجها عن تحت هذا العامّ في آن أوّل الالتفات إلى الغبن، فهل المرجع هو عموم العامّ والحكم باللّزوم في سائر الأزمنة حتى يكون الخيار فوريّاً، أمهو استصحاب حكم المخصّص، حتى يكون الخيار على التراخي؟</w:t>
      </w:r>
    </w:p>
    <w:p>
      <w:pPr>
        <w:pStyle w:val="BookText"/>
        <w:rPr/>
      </w:pPr>
      <w:r>
        <w:rPr>
          <w:rFonts w:ascii="Amiri" w:hAnsi="Amiri" w:eastAsia="Amiri" w:cs="Amiri"/>
          <w:color w:val="111111"/>
          <w:sz w:val="28"/>
          <w:sz w:val="28"/>
          <w:szCs w:val="28"/>
          <w:rtl w:val="true"/>
          <w:lang w:bidi="ar-SA"/>
        </w:rPr>
        <w:t>وثمرة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فوريّة خيار الغبن، تمسّكاً بعموم أَوْفُواْ بِالْعُقُودِ، فإنّه يدلّ على وجوب الوفاء بالعقد الذي هو كناية عن اللّزوم في كلّ آنٍ وكلّ فرد، وقد خرج عن هذا العموم آن الالتفات إلى الغبن والتمكّن من الفسخ، فإذا لم يفسخ المغبون في آن الالتفات، وشكّ في بقاء الخيار فيما بعده من الآنات، يحكم بسقوطه؛ لعموم أَوْفُواْ بِالْعُقُودِ، كما أنّ من يقول بعدم فوريّة الخيار يتمسّك باستصحاب الحكم المخصّص، وجواز العقد الموجب لكون الخيار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ورود المخصّص فإنّ التخصيص هل يسقط العامّ عن الحجّيّة رأساً بحيث يمنع عن أصالة العموم مطلقاً؟ أم لا يسقطه كذلك؟ أم يسقطه في الجملة؟</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بالعموم مطلقاً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حكم المخصّص مطلقاً</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المخصّص اللّبّيّ واللّفظيّ بالتمسّك بالعامّ في الأوّل، وبالاستصحاب في الثاني، كما عن صاحب الرياض</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أن يكون الزمان مفرّداً للعامّ، وبين أن يكون ظرفاً لاستمرار حكمه، بالتشبّث بالعامّ في الأوّل، وبالاستصحاب في الثاني، كما اختاره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التفصيل في المقام،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أُخذ فيه عموم الأزمان أفراديّاً، بأن أُخذ كلّ زمانٍ موضوعاً مستقلّاً لحكم مستقلّ، لينحلّ العموم إلى أحكامٍ متعدّدة بتعدّد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عند الشكّ بالعموم، ولا يجري الاستصحاب، بل لو لم يكن عموم وجب الرجوع إلى سائر الاُصول، لعدم قابليّة المورد للاستصحاب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أُخذ لبيان الاستمرار،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ثمّ خرج فرد في زمان، وشكّ في حكم ذلك الفرد بعد ذلك الزمان، فالظاهر جريان الاستصحاب؛ إذ لا يلزم من ثبوت ذلك الحكم للفرد بعد ذلك الزمان تخصيص زائد على التخصيص المعلوم؛ لأنّ مورد التخصيص الأفراد </w:t>
      </w:r>
    </w:p>
    <w:p>
      <w:pPr>
        <w:pStyle w:val="BookText"/>
        <w:rPr/>
      </w:pPr>
      <w:r>
        <w:rPr>
          <w:rFonts w:ascii="Amiri" w:hAnsi="Amiri" w:eastAsia="Amiri" w:cs="Amiri"/>
          <w:color w:val="111111"/>
          <w:sz w:val="28"/>
          <w:sz w:val="28"/>
          <w:szCs w:val="28"/>
          <w:rtl w:val="true"/>
          <w:lang w:bidi="ar-SA"/>
        </w:rPr>
        <w:t>دون الأزمنة، بخلاف القسم الأوّل، بل لو لم يكن هنا استصحاب لم يرجع إلى العموم، بل إلى الاُصول الأُخَر</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التفريق بين ما لوحظ الزمان في أفراد وحصص متعدّدة، بحيث يكون كلّ فرد من أفراد العامّ محكوماً بأحكام متعدّدة بتعدّد آنات الزمان وقطعه، وبين ما إذا لوحظ الزمان قطعة واحدة؛ لاستمرار الحكم، ولا عموم إلّا بلحاظ الأفراد دون الأزمان، فقال بجريان الاستصحاب في نفسه في الثاني، وعدم كونه مورداً لأصالة العموم، بخلاف الأوّل، فإنّه مورد لهذه الأصالة، ولا يجري فيه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عالم الثبوت إذا قلنا بكون العامّ بحسب عمومه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انحلاليّاً، مثل عمومه الأفراديّ،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قطعة من الزمان القابل لوقوع متعلّق التكليف أو الوضع موضوعاً مستقلاً لحكم العامّ، بحيث لا يكون امتثال الحكم أو عصيانه في تلك القطعة بعينها مربوطاً بالامتثال والعصيان في سائر القطعات الأُخرى، بل يكون لكلّ قطعة امتثالها وعصيانها الخاصّ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قطعة من الزمان عن تحت العموم الأزمانيّ غير مضرّ أبداً بوجود أصالة العموم بالنسبة إلى القطعات الأُخرى؛ إذ إنّ </w:t>
      </w:r>
    </w:p>
    <w:p>
      <w:pPr>
        <w:pStyle w:val="BookText"/>
        <w:rPr/>
      </w:pPr>
      <w:r>
        <w:rPr>
          <w:rFonts w:ascii="Amiri" w:hAnsi="Amiri" w:eastAsia="Amiri" w:cs="Amiri"/>
          <w:color w:val="111111"/>
          <w:sz w:val="28"/>
          <w:sz w:val="28"/>
          <w:szCs w:val="28"/>
          <w:rtl w:val="true"/>
          <w:lang w:bidi="ar-SA"/>
        </w:rPr>
        <w:t xml:space="preserve">حال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الأزمان هو حال أصالة العموم بالنسبة إلى الأفراد، فكما أنّ خروج فرد عن تحت العموم باعتبارحكمه لا يكون مضرّاً بشمول العامّ لسائر الأفراد المشكوكة، فكذلك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المعاملة الغبنيّة في آن الالتفات إلى الغبن عن عموم مثل أَوْفُواْ بِالْعُقُودِ، لا يضرّ بشمول العموم فيه لسائر الآنات والقطعات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وجود أصالة العموم فلا يبقى مجال للاستصحاب، بل حتى لو فرض عدم جريان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ما لو كانت كلّ قطعة من الزمن وجوداً مستقلّاً، مع خروج قطعة من الزمن عن تحت العموم يقيناً، فأيضاً لا مجال لجريان استصحاب الحكم المخصّص بالنسبة إلى الأفراد المشكوكة من قطعات الزمان؛ لأنّه يكون من باب إسراء الحكم من موضوع إلى موضوع آخر، وليس من إبقاء ما كان، الذي هو مورد الاستصحاب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بل كان مجموع القطعات موضوعاً واحد، فلا يبقى مجال للتمسّك بعموم العامّ؛ لأنّ الفرد الخارج يقيناً في بعض قطعات الزمان عن تحت العامّ قد خرج عن تحت حكم العامّ رأساً، وليس للعامّ بحسب الزمان أحكام متعدّدة حسب الفرض، بل هو حكم واحد فقط، وقد سقط عن هذا الفرد بواسطة التخصّص، وليس في البين من حكم آخر حتى يثبت بأصالة العموم لهذا الفرد، فإذا شككنا في حكم هذا </w:t>
      </w:r>
      <w:bookmarkStart w:id="162" w:name="pg15437_354909"/>
    </w:p>
    <w:p>
      <w:pPr>
        <w:pStyle w:val="BookText"/>
        <w:rPr/>
      </w:pPr>
      <w:bookmarkEnd w:id="162"/>
      <w:r>
        <w:rPr>
          <w:rFonts w:ascii="Amiri" w:hAnsi="Amiri" w:eastAsia="Amiri" w:cs="Amiri"/>
          <w:color w:val="111111"/>
          <w:sz w:val="28"/>
          <w:sz w:val="28"/>
          <w:szCs w:val="28"/>
          <w:rtl w:val="true"/>
          <w:lang w:bidi="ar-SA"/>
        </w:rPr>
        <w:t xml:space="preserve">الفرد بقاءً بعد خروجه عن تحت العامّ، 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للرجوع إلى الاستصحاب</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974507_2142443653"/>
      <w:bookmarkStart w:id="164" w:name="_Toc60"/>
      <w:bookmarkEnd w:id="163"/>
      <w:r>
        <w:rPr>
          <w:rtl w:val="true"/>
        </w:rPr>
        <w:t>هذا في مقام الثبوت</w:t>
      </w:r>
      <w:r>
        <w:rPr>
          <w:rtl w:val="true"/>
        </w:rPr>
        <w:t>.</w:t>
      </w:r>
      <w:bookmarkEnd w:id="164"/>
    </w:p>
    <w:p>
      <w:pPr>
        <w:pStyle w:val="BookText"/>
        <w:rPr/>
      </w:pPr>
      <w:r>
        <w:rPr>
          <w:rFonts w:ascii="Amiri" w:hAnsi="Amiri" w:eastAsia="Amiri" w:cs="Amiri"/>
          <w:color w:val="111111"/>
          <w:sz w:val="28"/>
          <w:sz w:val="28"/>
          <w:szCs w:val="28"/>
          <w:rtl w:val="true"/>
          <w:lang w:bidi="ar-SA"/>
        </w:rPr>
        <w:t>وأمّا في مقام الإثبات، فلا فرق بين أن يكون العموم الأزمانيّ مأخوذاً على نحو العموم الأفراديّ عامّاً اُصوليّاً انحلاليّاً، بأن تكون كلّ قطعة من الزمان قد أُخذت موضوعاً مستقلّاً، وبين كونه من قبيل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ذكرناه بين أن يكون شمول العامّ لجميع الأفراد بأحد ألفاظ العموم، أو بنحو العامّ الاُصوليّ بالإطلاق، فلا فرق في شمول العامّ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الوفاء بكلّ عقد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يدلّ على انحلال هذا الحكم إلى أحكام متعدّدة حسب تعدّد أزمنة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ألفاظ العموم، أو يكون الدالّ على الانحلال هو الإطلاق، مثل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حيث إنّه يدلّ على وجوب الوفاء بكلّ عقد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انحلال الحكم باعتبار الأزمنة أيضاً إلى أحكام متعدّدة، مثل انحلاله باعتبار الأفراد، فكما أنّ مورد الانحلال بحسب الأفراد لو علم بخروج فرد عن تحت عموم الحكم، لا مجال لتوهّم جريان استصحاب حكم الفرد الخارج يقيناً بالنسبة إلى الفرد المشكوك، فكذلك في مورد الانحلال بحسب الزمان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كون العامّ نهياً، وبين كونه أمراً، ففي </w:t>
      </w:r>
    </w:p>
    <w:p>
      <w:pPr>
        <w:pStyle w:val="BookText"/>
        <w:rPr/>
      </w:pPr>
      <w:r>
        <w:rPr>
          <w:rFonts w:ascii="Amiri" w:hAnsi="Amiri" w:eastAsia="Amiri" w:cs="Amiri"/>
          <w:color w:val="111111"/>
          <w:sz w:val="28"/>
          <w:sz w:val="28"/>
          <w:szCs w:val="28"/>
          <w:rtl w:val="true"/>
          <w:lang w:bidi="ar-SA"/>
        </w:rPr>
        <w:t>النهي بما أنّه بنفسه يكون ظاهراً في الانحلال بحسب الأفراد والأزمان،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العرضيّة والطوليّة، فلو علمنا بخروج فرد في زمان عن تحت عموم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بجواز شرب الخمر لأجل كونه دواءً منحصراً، ثمّ شككنا في زمانٍ بعد ذلك الزمان، لا مجال لاستصحاب الجواز، بل لابدّ من الرجوع إلى عموم النهي؛ لأنّ خروج الفرد عن تحت العموم لا يوجب خروج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أمراً، فلابدّ فيه من استفادة العموم من ألفاظ العموم أو أدواته أو من الإطلاق الثابت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استفدنا العموم الاستغراقيّ بالنسبة إلى الأفراد والأزمان، سواء كان ذلك من ألفاظ العموم وصيغه، أو من أدواته، أو من الإطلاق الثابت بمقدّمات الحكمة، فإذا علمنا بخروج قطعة من الأزمنة عن تحت العموم، وشككنا بالنسبة إلى الأزمنة المتأخّرة، فلا يمكن التشبّث بالاستصحاب، لما ذكرناه، بل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إذ كما يمكن التمسّك بأصالة العموم بالنسبة إلى الأفراد المشكوكة في العموم الأفراديّ، فكذلك في الأزمانيّ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الذي ذكرناه في العامّ، من تقسيم العامّ إلى قسمين بالنسبة إلى العموم الأزمانيّ، يأتي بالنسبة إلى المخصّص أيضاً، فإنّ المخصّص بدوره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المأخوذ فيه موضوعاً مستقلّاً، بحيث يكون الفرد الخارج في زمان عن تحت عموم العامّ يكون نفس ذلك الزمان موضوعاً مستقلّاً لحكم المخصّص،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ثبوت حكم المخصّص له في الزمانالمتأخّر عن ذلك الزمان المتّصل به، فإنّه يكون حكماً آخر لموضوع آخر، وليس من قبيل 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الزمان موضوعاً مستقلّاً، بل يكون حكم المخصّص من ناحية الزمان مهملاً، وله من هذه الجهة قدر متيقّن، وهو الزمان الذي نقطع بخروجه عن تحت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قبيل الأوّل، فلا مجال لجريان الاستصحاب فيه، ولو فرض عدم جريان العموم، كما إذا لم يكن العامّ انحلاليّاً؛ لأنّه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إسراء الحكم من موضوع إلى موضوع آخر، لا إبقاء 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الثاني، فإن كان العامّ انحلاليّاً، يجب الرجوع إلى العامّ، ويكون من قبيل الشكّ في أصل التخصيص، ومع وجود أصالة العموم، فلا يبقى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المسألة أربع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انحلاليّاً، وكذلك الخاصّ، ويكون الزمان المأخوذ فيه موضوعاً مستقلّاً لحكم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لابدّ من الرجوع إلى العامّ في مورد الشكّ،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w:t>
      </w:r>
    </w:p>
    <w:p>
      <w:pPr>
        <w:pStyle w:val="BookText"/>
        <w:rPr/>
      </w:pPr>
      <w:r>
        <w:rPr>
          <w:rFonts w:ascii="Amiri" w:hAnsi="Amiri" w:eastAsia="Amiri" w:cs="Amiri"/>
          <w:color w:val="111111"/>
          <w:sz w:val="28"/>
          <w:sz w:val="28"/>
          <w:szCs w:val="28"/>
          <w:rtl w:val="true"/>
          <w:lang w:bidi="ar-SA"/>
        </w:rPr>
        <w:t>أن يطالب بالخيار في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إمكان الرجوع إلى العامّ لسبب من الأسباب، فلا مجال للرجوع إلى الاستصحاب، بل لابدّ من الرجوع إلى أصل آخر غيره، لما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انحلاليّاً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الخاصّ لا يكون انحلاليّاً، ولا يكون الزمان المأخوذ فيه مستقلّاً، بل يكون مهملاً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لابدّ من الرجوع إلى العموم، ولا يمكن الرجوع إلى الخاصّ، بل لو فرض عدم التمكّن من الرجوع إلى العموم، فأيضاً لا يمكن استصحاب الخاصّ، لما عرفنا من أنّه من مصاديق إسراء الحكم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العامّ انحلاليّاً، والخاصّ يكون الزمان المأخوذ فيه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الشكّ، لا يجوز الرجوع إلى العامّ، ولا إلى استصحاب حكم الخاصّ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جواز الرجوع إلى العامّ؛ فلعدم أصالة العموم، بل كان حكماً واحداً بالنسبة إلى كلّ فرد من أفراد العامّ في مجموع الأزمنة، وذهب ذلك الحكم عن هذا الفرد الذي خصّص، وليس هناك حكم آخر حتى يتمسّك بعمومه، ولا فرق في ذلك بين أن يكون التخصيص من أوّل الأزمنة أو أوسطها</w:t>
      </w:r>
      <w:r>
        <w:rPr>
          <w:rFonts w:eastAsia="Amiri" w:cs="Amiri" w:ascii="Amiri" w:hAnsi="Amiri"/>
          <w:color w:val="111111"/>
          <w:sz w:val="28"/>
          <w:szCs w:val="28"/>
          <w:rtl w:val="true"/>
          <w:lang w:bidi="ar-SA"/>
        </w:rPr>
        <w:t xml:space="preserve">. </w:t>
      </w:r>
      <w:bookmarkStart w:id="165" w:name="pg15437_354913"/>
    </w:p>
    <w:p>
      <w:pPr>
        <w:pStyle w:val="BookText"/>
        <w:rPr/>
      </w:pPr>
      <w:bookmarkEnd w:id="165"/>
      <w:r>
        <w:rPr>
          <w:rFonts w:ascii="Amiri" w:hAnsi="Amiri" w:eastAsia="Amiri" w:cs="Amiri"/>
          <w:color w:val="111111"/>
          <w:sz w:val="28"/>
          <w:sz w:val="28"/>
          <w:szCs w:val="28"/>
          <w:rtl w:val="true"/>
          <w:lang w:bidi="ar-SA"/>
        </w:rPr>
        <w:t>وأمّا عدم جواز الرجوع إلى الاستصحاب؛ فلما تقدّم من أنّه إسراء حكم من موضوع إلى موضوع آخر، وليس من 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العامّ انحلاليّاً،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الزمان المأخوذ فيه موضوعاً مستقلاً، فالمرجع فيهذه الصورة هو الاستصحاب، لما ذكرناه من أنّه لا مجال للرجوع إلى العموم، فتصل النوبة إلى الاستصحاب</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974509_2142443653"/>
      <w:bookmarkStart w:id="167" w:name="_Toc61"/>
      <w:bookmarkEnd w:id="166"/>
      <w:r>
        <w:rPr>
          <w:rtl w:val="true"/>
        </w:rPr>
        <w:t>التنبيه العاشر</w:t>
      </w:r>
      <w:r>
        <w:rPr>
          <w:rtl w:val="true"/>
        </w:rPr>
        <w:t xml:space="preserve">: </w:t>
      </w:r>
      <w:r>
        <w:rPr>
          <w:rtl w:val="true"/>
        </w:rPr>
        <w:t>تعذّر بعض قيود المركّب</w:t>
      </w:r>
      <w:r>
        <w:rPr>
          <w:rtl w:val="true"/>
        </w:rPr>
        <w:t>:</w:t>
      </w:r>
      <w:bookmarkEnd w:id="167"/>
    </w:p>
    <w:p>
      <w:pPr>
        <w:pStyle w:val="BookText"/>
        <w:rPr/>
      </w:pPr>
      <w:r>
        <w:rPr>
          <w:rFonts w:ascii="Amiri" w:hAnsi="Amiri" w:eastAsia="Amiri" w:cs="Amiri"/>
          <w:color w:val="111111"/>
          <w:sz w:val="28"/>
          <w:sz w:val="28"/>
          <w:szCs w:val="28"/>
          <w:rtl w:val="true"/>
          <w:lang w:bidi="ar-SA"/>
        </w:rPr>
        <w:t>إذا تعذّر إتيان بعض أجزاء المركّب أو شرائطه أو تعذّر ترك بعض موانعه، فتارةً يكون هناك دليل اجتهاديّ، من إطلاق دليل أو عموم قاعدة الميسور أو غير ذلك، وأُخرى لا يكون،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التمسّك بالاستصحاب لإثبات وجوب الباقي غير المتعذّر أم 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149"/>
      </w:r>
      <w:r>
        <w:rPr>
          <w:rFonts w:ascii="Amiri" w:hAnsi="Amiri" w:eastAsia="Amiri" w:cs="Amiri"/>
          <w:color w:val="111111"/>
          <w:sz w:val="28"/>
          <w:sz w:val="28"/>
          <w:szCs w:val="28"/>
          <w:rtl w:val="true"/>
          <w:lang w:bidi="ar-SA"/>
        </w:rPr>
        <w:t>، لو فرض أنّ لها إطلاقاً يشمل كلتا حالتي التمكّن من رمي الجمرة وعدم التمكّن منه، فإذا لم يتمكّن منه، وسقط الأمر عنه بواسطة عدم القدرة،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بإطلاق دليل وجوب الحجّ لإثبات وجوب الباقي، وعدم سقوطه بسقوط وجوب ذلك الجزء، أو ذلك الشرط المتعذّر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نظائر لهذه الآية الشريفة المتقدّمة عند الكلام عن أدلّة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هنا في أنّه لو لم يكن هناك دليل اجتهاديّ من إطلاق دليل أو عموم قاعدة أو غير ذلك، فهل يمكن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الاستصحاب أصل عمليّ، فلاتصل النوبة إليه إلّا بعد فقدان العموم أو الإطلاق، وفقدان إطلاق دليل القيد؛ إذ مع وجود إطلاق في دليل المركّب، وكون دليل القيد مجملاً، فيكون بقاء الوجوب للبقيّة معلوماً بواسطة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مجال للاستصحاب؛ وذلك لحكومة إطلاق دليل المركّب، وكذا لو كان لدليل الجزء إطلاق فيسقط الوجوب سواء كان لدليل المركّب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يمكن جريانه؟</w:t>
      </w:r>
    </w:p>
    <w:p>
      <w:pPr>
        <w:pStyle w:val="BookText"/>
        <w:rPr/>
      </w:pPr>
      <w:r>
        <w:rPr>
          <w:rFonts w:ascii="Amiri" w:hAnsi="Amiri" w:eastAsia="Amiri" w:cs="Amiri"/>
          <w:color w:val="111111"/>
          <w:sz w:val="28"/>
          <w:sz w:val="28"/>
          <w:szCs w:val="28"/>
          <w:rtl w:val="true"/>
          <w:lang w:bidi="ar-SA"/>
        </w:rPr>
        <w:t>وتقرير جريان الاستصحاب في المقام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شخص الوجوب كان موجوداً، وشموله لتلك القطعة الباقية غير المتعذّرة، وهو الوجوب النفسيّ الضمنيّ المتعلّق بتلك القطعة الباقية في ضمن تعلّقه المجموع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منشأ اعتبار الوجوب هو الإرادة المنبسطة على جميع الأجزاء والشرائط وإعدام الموانع قبل طروّ التعذّر، وبعد طروّه يشكّ في أنّه هل ارتفعت جميع قطعات تلك الإرادة المنبسطة على مجموع أجزاء المركّب وشرائطها أم أنّ الذي ارتفع هو خصوص القطعة التي كانت </w:t>
      </w:r>
      <w:bookmarkStart w:id="168" w:name="pg15437_354915"/>
    </w:p>
    <w:p>
      <w:pPr>
        <w:pStyle w:val="BookText"/>
        <w:rPr/>
      </w:pPr>
      <w:bookmarkEnd w:id="168"/>
      <w:r>
        <w:rPr>
          <w:rFonts w:ascii="Amiri" w:hAnsi="Amiri" w:eastAsia="Amiri" w:cs="Amiri"/>
          <w:color w:val="111111"/>
          <w:sz w:val="28"/>
          <w:sz w:val="28"/>
          <w:szCs w:val="28"/>
          <w:rtl w:val="true"/>
          <w:lang w:bidi="ar-SA"/>
        </w:rPr>
        <w:t>متعلّقة بغير المتعذّر؟ فيجري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أنّ المستصحب في ظرف اليقين به كان وجوبه من قبيل الوجوب النفسيّ الضمنيّ، ثمّ في ظرف الشكّ صار وجوبه نفسيّاً استقلاليّاً، وهذا المقدار من الاختلاف لايوجب اختلافاً في ذات المستصحب، بل إنّما يوجب التبدّل في حدّه، من الضمنيّة إلى الاستقلاليّة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الاستقلاليّة والضمنيّة متغايران؛ لرجوعهما إلى البشرط شيء والبشرط لا، كما الركعتين في صلاة الحاضر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إسراء حكم من موضوع إلى موضوع آخر، وليس إبقاء لما كان كما كان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974511_2142443653"/>
      <w:bookmarkStart w:id="170" w:name="_Toc62"/>
      <w:bookmarkEnd w:id="169"/>
      <w:r>
        <w:rPr>
          <w:rtl w:val="true"/>
        </w:rPr>
        <w:t xml:space="preserve">التنبيه الحادي عشر </w:t>
      </w:r>
      <w:r>
        <w:rPr>
          <w:rtl w:val="true"/>
        </w:rPr>
        <w:t>:</w:t>
      </w:r>
      <w:r>
        <w:rPr>
          <w:rtl w:val="true"/>
        </w:rPr>
        <w:t>المراد من الشكّ في البقاء</w:t>
      </w:r>
      <w:r>
        <w:rPr>
          <w:rtl w:val="true"/>
        </w:rPr>
        <w:t>:</w:t>
      </w:r>
      <w:bookmarkEnd w:id="170"/>
    </w:p>
    <w:p>
      <w:pPr>
        <w:pStyle w:val="BookText"/>
        <w:rPr/>
      </w:pPr>
      <w:r>
        <w:rPr>
          <w:rFonts w:ascii="Amiri" w:hAnsi="Amiri" w:eastAsia="Amiri" w:cs="Amiri"/>
          <w:color w:val="111111"/>
          <w:sz w:val="28"/>
          <w:sz w:val="28"/>
          <w:szCs w:val="28"/>
          <w:rtl w:val="true"/>
          <w:lang w:bidi="ar-SA"/>
        </w:rPr>
        <w:t>المراد من الشكّ في البقاء الذي أُخذ موضوعاً للاستصحاب هو عدم قيام علم أو علميّ على ارتفاع الحالة السابقة أو على بقائها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قد استعمل بمعناه المتبادر عند العرف، وهو الترديد واحتمال الخلاف، وحيث إنّ احتمال الخلاف تارةً يكون مساوياً لاحتمال الوفاق، وهو الشكّ بمعناه الأخصّ، وأُخرى يكون راجحاً أو مرجوحاً، ويسمّى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والثاني وهماً، حيث كان كذلك، فيكون الشكّ بمعناه هنا شاملاً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يكن له معنىً في </w:t>
      </w:r>
    </w:p>
    <w:p>
      <w:pPr>
        <w:pStyle w:val="BookText"/>
        <w:rPr/>
      </w:pPr>
      <w:r>
        <w:rPr>
          <w:rFonts w:ascii="Amiri" w:hAnsi="Amiri" w:eastAsia="Amiri" w:cs="Amiri"/>
          <w:color w:val="111111"/>
          <w:sz w:val="28"/>
          <w:sz w:val="28"/>
          <w:szCs w:val="28"/>
          <w:rtl w:val="true"/>
          <w:lang w:bidi="ar-SA"/>
        </w:rPr>
        <w:t>المقام سوى عدم الجزم بالنسبة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يضرّ بتحقّق الشكّ إنّما هو حصول العلم بالبقاء، أو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بمعناه الأخصّ، والظنّ،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خروج القضيّة التي تعلّق بها عنكونها مشكوكة، فتشملها أدلّة الاستصحاب، وتكون بذلك مجرىً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المعتبر، فإنّه بعد تتميم كشفه، يقوم مقام العلم، بل هو علم تعبّداً، كما تقدّم، ولذا 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 على البقاء أو على الارتفاع، فلا يبقى مجال للاستصحاب؛ لفرض ارتفاع موضوعه تعبّداً، وهذا هو المقصود من حكومة الأمارات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المراد بالشكّ هو خصوص الشكّ المتساوي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الشكّ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إجراء الاستصحاب في مورد الظنّ بالخلاف، بل وحتى في مورد الظنّ بالوفاق،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فبعيد؛ لأنّ المتفاهم العرفيّ من 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جواز نقض اليقين بشيء بصرف احتمال عدم بقائه، سواء كان احتمال العدم مساوياً لاحتمال البقاء، أم كان راجحاً أم مرجوحاً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لذلك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انقضه بيقين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يكون </w:t>
      </w:r>
    </w:p>
    <w:p>
      <w:pPr>
        <w:pStyle w:val="BookText"/>
        <w:rPr/>
      </w:pPr>
      <w:r>
        <w:rPr>
          <w:rFonts w:ascii="Amiri" w:hAnsi="Amiri" w:eastAsia="Amiri" w:cs="Amiri"/>
          <w:color w:val="111111"/>
          <w:sz w:val="28"/>
          <w:sz w:val="28"/>
          <w:szCs w:val="28"/>
          <w:rtl w:val="true"/>
          <w:lang w:bidi="ar-SA"/>
        </w:rPr>
        <w:t>ما عدا العلم بارتفاع الحالة السابقة مشمولاً للشكّ، وإلّا ، يلزم إهمال حكم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الذي ذكروه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خصوص كون الاحتمالين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لغويّاً أو عرفيّاً للشكّ، وإنّما هو اصطلاح علميّ لبيان استيفاءالحالات الأربع التي تحصل للنفس بالنسبة إلى كلّ قضيّة التفت الإنسان إليها، ولا يخلو من أحدها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71" w:name="pg15437_354918"/>
    </w:p>
    <w:p>
      <w:pPr>
        <w:pStyle w:val="Heading2"/>
        <w:numPr>
          <w:ilvl w:val="1"/>
          <w:numId w:val="1"/>
        </w:numPr>
        <w:rPr/>
      </w:pPr>
      <w:bookmarkStart w:id="172" w:name="__RefHeading___Toc6974513_2142443653"/>
      <w:bookmarkStart w:id="173" w:name="_Toc63"/>
      <w:bookmarkEnd w:id="171"/>
      <w:bookmarkEnd w:id="172"/>
      <w:r>
        <w:rPr>
          <w:rtl w:val="true"/>
        </w:rPr>
        <w:t>خاتمة</w:t>
      </w:r>
      <w:bookmarkEnd w:id="173"/>
    </w:p>
    <w:p>
      <w:pPr>
        <w:pStyle w:val="Heading3"/>
        <w:numPr>
          <w:ilvl w:val="2"/>
          <w:numId w:val="1"/>
        </w:numPr>
        <w:rPr/>
      </w:pPr>
      <w:bookmarkStart w:id="174" w:name="__RefHeading___Toc6974515_2142443653"/>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فيها اُمور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974517_2142443653"/>
      <w:bookmarkStart w:id="177" w:name="_Toc65"/>
      <w:bookmarkEnd w:id="176"/>
      <w:r>
        <w:rPr>
          <w:rtl w:val="true"/>
        </w:rPr>
        <w:t xml:space="preserve">الأمر الأوّل </w:t>
      </w:r>
      <w:r>
        <w:rPr>
          <w:rtl w:val="true"/>
        </w:rPr>
        <w:t>:</w:t>
      </w:r>
      <w:r>
        <w:rPr>
          <w:rtl w:val="true"/>
        </w:rPr>
        <w:t>الكلام في وحدة القضيّة المتيقّنة والمشكوكة</w:t>
      </w:r>
      <w:r>
        <w:rPr>
          <w:rtl w:val="true"/>
        </w:rPr>
        <w:t>:</w:t>
      </w:r>
      <w:bookmarkEnd w:id="177"/>
    </w:p>
    <w:p>
      <w:pPr>
        <w:pStyle w:val="Heading4"/>
        <w:numPr>
          <w:ilvl w:val="3"/>
          <w:numId w:val="1"/>
        </w:numPr>
        <w:rPr/>
      </w:pPr>
      <w:bookmarkStart w:id="178" w:name="__RefHeading___Toc6974519_2142443653"/>
      <w:bookmarkStart w:id="179" w:name="_Toc66"/>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عرفناه من أنّ حقيقة الاستصحاب هي الحكم ببقاء ما كان تعبّداً في ظرف الشكّ في بقائه وجداناً،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تحقّق موضوع الاستصحاب، وفي ثبوت المجرى له، من أن يكون هناك قضيّتان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متيقّنة،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لابدّ من اتّحاد القضيّتين موضوعاً ومحمولاً، وإلّا، فمع اختلافهما من ناحية الموضوع أو المحمول أو كليهما، فلا يجري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المعتبر في بقاء الموضوع هو بقاء الموضوع بمعنى اتّحاد القضيّة المتيقّنة مع القضيّة المشكوكة،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ما كان متعلّق اليقين سابقاً، فلابدّ وأن يكون هو متعلّق الشكّ أيضاً، فإذا كان المتيقّن هو قيام زيد، فلابدّ أن يكون هو المشكوك، لا قيام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بقاؤه في الخارج فغير معتبر في الاستصحاب، وإنّما هو معتبر في مقام ترتّب الأثر إذا كان الوجود الخارجيّ دخيلاً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اعتبار بقاء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موضوعاً، كاتّحادهما حكماً؛ ضرورة أنّه بدونه لا يكون الشكّ في البقاء، بل في الحدوث، ولا رفع اليد عن اليقين في محلّ الشكّ نقض اليقين بالشكّ، فاعتبار البقاء بهذا المعنى لا يحتاج إلى زيادة بيان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بمعنى إحراز وجود الموضوع خارجاً، فلا يعتبر قطعاً في جريانه؛ لتحقّق أركانه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ممّا لا بدّ منه في ترتيب بعض الآثار، ففي استصحاب عدالة زيد، لا يحتاج إلى إحراز حياته لجواز تقليده، وإن كان محتاجاً إليه في جواز الاقتداء به أو وجوب إكرامه أو الإنفاق عليه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تتّحد القضيّتان المتيقّنة والمشكوكة موضوعاً، </w:t>
      </w:r>
    </w:p>
    <w:p>
      <w:pPr>
        <w:pStyle w:val="BookText"/>
        <w:rPr/>
      </w:pPr>
      <w:r>
        <w:rPr>
          <w:rFonts w:ascii="Amiri" w:hAnsi="Amiri" w:eastAsia="Amiri" w:cs="Amiri"/>
          <w:color w:val="111111"/>
          <w:sz w:val="28"/>
          <w:sz w:val="28"/>
          <w:szCs w:val="28"/>
          <w:rtl w:val="true"/>
          <w:lang w:bidi="ar-SA"/>
        </w:rPr>
        <w:t>كاتّحادهما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فإذا فُرض أنّ موضوع القضيّة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ومحمولها هو القيام، فيجب أن يكون الموضوع في القضيّة المشكوكة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ويجب أن يكون محمولها هو القيام، بأن يستصحب عند الشكّ قيام زيد نفسه، لا قيام عمرو، ليختلف الموضوع، ولا عدالة زيد، ليختلف المحمول، فلو لم يكن موضوع القضيّتين متحداً كاتّحادهما محمولاً،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شكّاً في بقاء الأمر الأوّل، بل يصبح شكّاً في حدوث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موضوع القضيّتين واحداً، كما كان محمولاً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رفع اليد عن اليقين في محلّ الشكّ نقضاً لليقين بالشكّ، بل هو لا يكون نقضاً أصلاً، فلو تيقّن في السابق بعدالة زيد، ثمّ شكّ فعلاً بعدالة عمرو، لم يكن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بقاء ما كان، ولا رفعاً لليد عن اليقين بعدالة زيد، ولا نقضاً لليقين بالشكّ، وهذا واضح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اعتبار بقاء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يعلم تحقّق الموضوع فعلاً في ظرف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أُريد بقاء المستصحب العارض له المتقوّم به، فإمّا أن يبقى في غير محلّ وموضوع، وهو محال، وإمّا أن يبقى في موضوع غير الموضوع السابق،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ليسإبقاءً لنفس ذلك العارض، وإنّما هو حكم بحدوث عارضٍ مثله في موضوع جديد، فيخرج عن الاستصحاب، بل حدوثه للموضوع </w:t>
      </w:r>
    </w:p>
    <w:p>
      <w:pPr>
        <w:pStyle w:val="BookText"/>
        <w:rPr/>
      </w:pPr>
      <w:r>
        <w:rPr>
          <w:rFonts w:ascii="Amiri" w:hAnsi="Amiri" w:eastAsia="Amiri" w:cs="Amiri"/>
          <w:color w:val="111111"/>
          <w:sz w:val="28"/>
          <w:sz w:val="28"/>
          <w:szCs w:val="28"/>
          <w:rtl w:val="true"/>
          <w:lang w:bidi="ar-SA"/>
        </w:rPr>
        <w:t>الجديد كان مسبوقاً بالعدم، فهو المستصحب دون وجوده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يعلم تحقّق الموضوع فعلاً في ظرف الشكّ، وأُريد إبقاء المستصحب العارض له المتقوّم به، فإمّا أن يبقى في غير محلّ وموضوع، وهو محال، وإمّا أن يبقى في موضوع غير الموضوع السابق، وهو كذلك، إمّا لاستحالة انتقال من موضوع إلى موضوع آخر؛ للزوم الطفرة، وهي المستلزمة لكون العرض بلا معروض، ولو آناً ما، في حال الانتقال والتحوّل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المتيقّن سابقاً هو وجوده في الموضوع السابق والحكم بعدم ثبوته لهذا الموضوع الجديد ليس نقضاً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العرض من موضوع إلى موضوع آخر، بل وهكذا بقاؤه في غير محلّ وموضوع، وإن كان محالاً حقيقةً، ولكنّه ممّا لا يستحيل التعبّد به والالتزام بآثاره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عليه باستحالة انتقال العرض إلى موضوع آخر؛ لتقوّمه بالموضوع وتشخّصه به، غريب؛ بداهة أنّاستحالته حقيقةً غير مستلزم لاستحالته تعبّداً والالتزام بآثاره شرعاً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بعد الفراغ عن أنّه يعتبر بقاء الموضوع في جريان الاستصحاب لا محالة، فهل اللّازم هو بقاء الموضوع العقليّ الدقّيّ، أم الموضوع المأخوذ في لسان الدليل، أم الموضوع الذي يحدّده النظر العرفيّ؟</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عرفنا لزوم بقاء الموضوع في جميع حالات جريان الاستصحاب، فليس المراد به بقاء الموضوع الدقّيّ العقليّ؛ لأنّه بعد رجوع القيود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آنفاً في مثل آية وجوب الحجّ، من أنّ مردّها بعد ملاحظة القيود فيها إلى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المستطيع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في الأحكام الشرعيّة، في كلّ مقام شكّ في بقاء الحكم فيه؛ لأنّ الشكّ فيه لا يكون إلّا من جهة أنّ القيد الذي زال هل هو دخيل في ترتّب الحكم أم ليس بدخيل؟ فلو علم بعدم دخله فيه، فلا يحصل له الشكّ، كما هو واضح، بل يكون لديه علم ببقاء الحكم، ولو علم بدخله فيه، فكذلك، فإنّه يكون لديه علم بارتفاع الحكم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اعتبار بقاء الموضوع الدقّيّ العقليّ، لا يجري الاستصحاب في الأحكام الشرعيّة، بل يختصّ جريانه بالموضوعات، دون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اللّازم هو بقاء الموضوع الذي يفهم من لسان الدليل، فقد فرّق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الوصف مأخوذاً فيه بنحو الشرط،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يتنجّس إذا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والموضوع فيه هو نفس الماء، فإذا زال التغيّر استصحب النجاسة، وبين ما كان مأخوذاً فيه بنحو الوصف </w:t>
      </w:r>
    </w:p>
    <w:p>
      <w:pPr>
        <w:pStyle w:val="BookText"/>
        <w:rPr/>
      </w:pPr>
      <w:r>
        <w:rPr>
          <w:rFonts w:ascii="Amiri" w:hAnsi="Amiri" w:eastAsia="Amiri" w:cs="Amiri"/>
          <w:color w:val="111111"/>
          <w:sz w:val="28"/>
          <w:sz w:val="28"/>
          <w:szCs w:val="28"/>
          <w:rtl w:val="true"/>
          <w:lang w:bidi="ar-SA"/>
        </w:rPr>
        <w:t>للموضوع،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التغيّر، لم تستصحب النجاسة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لزوم بقاء ما هو الموضوع بنظر العرف، فإنّ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إنّما هو ما يفهمه العرف موضوعاً ومعروضاً للمستصحب، بحسب ما هو مرتكز في أذهانهم وبحسب ما يشخّصونه من مناسبات الحكم والموضوع، ولو في بعض الأمثلة، بعد فرض زوال العناوين المحتمل كونها مأخوذة في لسان الدليل؛ لكون العرف بحسب مرتكزاته يرى عدم تبدّل الموضوع بعد زوال بعض صفاته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الدالّ على حلّيّة الحنطة، يرى العرف أنّ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معروض الحلّيّة، ولكنّه في الوقت عينه، يرى بحسب مرتكزاته أنّ عروض الحليّة ليس من مختصّات الحنطة، بل يعمّها ويعمّ الدقيق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بقاء الحكم من جهة بقاء ما </w:t>
      </w:r>
      <w:bookmarkStart w:id="180" w:name="pg15437_354924"/>
    </w:p>
    <w:p>
      <w:pPr>
        <w:pStyle w:val="BookText"/>
        <w:rPr/>
      </w:pPr>
      <w:bookmarkEnd w:id="180"/>
      <w:r>
        <w:rPr>
          <w:rFonts w:ascii="Amiri" w:hAnsi="Amiri" w:eastAsia="Amiri" w:cs="Amiri"/>
          <w:color w:val="111111"/>
          <w:sz w:val="28"/>
          <w:sz w:val="28"/>
          <w:szCs w:val="28"/>
          <w:rtl w:val="true"/>
          <w:lang w:bidi="ar-SA"/>
        </w:rPr>
        <w:t xml:space="preserve">هو الموضوع عرفاً، كعنوان القائم وأمثاله من العناوين المشيرة إلى ما هو الموضوع واقعاً، وأنّه من الحالات المتبادلة له، لا الاُمور المقوّمة للموضوع حقيقةً، فإذا ورد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العصير العنبيّ إذا غلى يحرم، فلو جفّ العنب وأصبح زبيباً، فيجري الاستصحاب عندئذٍ، بعدما كان المدار على ما هو الموضوع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ما هو مرتكز في أذهانهم في مثل المثال، هو ما يعمّ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يشخّصون أنّ عنوان العنب المأخوذ في لسان الدليل هو من العناوين المشيرة والحالات المتبادلة، نظير عنوان القائم أو القاعد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يرون العنوان من العناوين المشيرة والحالات المتبادلة، ولكنّهم في بعض الأحيان قد يرون العنوان من القيود المقوّمة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والعنوان المشير عند زواله، فإنّ الحكم لا يزال على حاله، وهو لم يزل، وإذا 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عند النائم، وبما أنّ هذا العنوان يكون من العناوين المقوّمة، فإذا زال، فقد زال الحكم من أصله، وإذا شكّ فلا يكون هناك مجال لاستصحابه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974521_2142443653"/>
      <w:bookmarkStart w:id="182" w:name="_Toc67"/>
      <w:bookmarkEnd w:id="181"/>
      <w:r>
        <w:rPr>
          <w:rtl w:val="true"/>
        </w:rPr>
        <w:t>فإذا عرفت هذا، فاعلم</w:t>
      </w:r>
      <w:r>
        <w:rPr>
          <w:rtl w:val="true"/>
        </w:rPr>
        <w:t>:</w:t>
      </w:r>
      <w:bookmarkEnd w:id="18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النقض وعدمه يختلفان بحسب الموارد، فإذا لم تتّحد القضيّتان </w:t>
      </w:r>
    </w:p>
    <w:p>
      <w:pPr>
        <w:pStyle w:val="BookText"/>
        <w:rPr/>
      </w:pPr>
      <w:r>
        <w:rPr>
          <w:rFonts w:ascii="Amiri" w:hAnsi="Amiri" w:eastAsia="Amiri" w:cs="Amiri"/>
          <w:color w:val="111111"/>
          <w:sz w:val="28"/>
          <w:sz w:val="28"/>
          <w:szCs w:val="28"/>
          <w:rtl w:val="true"/>
          <w:lang w:bidi="ar-SA"/>
        </w:rPr>
        <w:t xml:space="preserve">المتيقّنة والمشكوكة موضوعاً كاتّحادهمامحمولاً، فلم يكن رفع اليد عن اليقين في ظرف الشكّ نقضاً لليقين بالشكّ، فإنّ النقض إنّما يصدق فيما إذا كان الموضوع باقياً، فإذا زال عنوان من العناوين المأخوذة في لسان الدليل، وكان العرف يراه من العناوين المشيرة والحالات المتبادلة وليس من القيود المقوّمة، فرفع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في ظرف الشكّ، لا يكون نقضاً، لا بحسب الموضوع العقليّ، ولا بحسب ما هو الموضوع في لسان الدليل؛ لعدم بقائهما، وإن كان يعدّ نقضاً بحسب الموضوع العرفيّ؛ لبقائه وعدم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زالت خصوصيّة من خصوصيّات الموضوع، ممّا يحتمل دخلها في الحكم، ولم تكن مأخوذة في لسان الدليل، ولا من القيود المقوّمة للموضوع في نظر العرف، فرفع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في ظرف الشكّ، لا يكون نقضاً بحسب الموضوع العقليّ الدقّيّ؛ لعدم بقائه، ولكنّه يكون نقضاً بحسب الموضوع المأخوذ في لسان الدليل والموضوع العرفيّ؛ لبقائهما وعدم ارتفاعهما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زال عنوان من العناوين المأخوذة في لسان الدليل، ممّا يراه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لا ممّا يراه من العناوين المشيرة والحالات المتبادلة، فرفع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في ظرف الشكّ نقض بحسب الموضوع العقليّ الدقّي، وبحسب الموضوع المأخوذ في لسان الدليل، وأيضاً بحسب الموضوع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المراد من جعل النظر العرفيّ في مقابل النظر بحسب الدليل؟ فإنّه إن أُريد من الرجوع إلى العرف الرجوع إليه في مقام تعيّن مفهوم اللّفظ، فهذا يرجع إلى تحكيم الدليل، وليس قسماً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الرجوع إليه في مقام التطبيق وصدق المفهوم على مصاديقه، فلا عبرة بالعرف في هذا المقام كي يحتمل أنّه المحكم والمرجع في تعيّن الموضوع؟</w:t>
      </w:r>
    </w:p>
    <w:p>
      <w:pPr>
        <w:pStyle w:val="BookText"/>
        <w:rPr/>
      </w:pPr>
      <w:r>
        <w:rPr>
          <w:rFonts w:ascii="Amiri" w:hAnsi="Amiri" w:eastAsia="Amiri" w:cs="Amiri"/>
          <w:color w:val="111111"/>
          <w:sz w:val="28"/>
          <w:sz w:val="28"/>
          <w:szCs w:val="28"/>
          <w:rtl w:val="true"/>
          <w:lang w:bidi="ar-SA"/>
        </w:rPr>
        <w:t>وفي تقريب هذا الإشكال يقول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من الرجوع إلى العرف الرجوع إليه في معرفة معنى موضوع الدليل وتشخيص مفهومه، فهو صحيح، إلّا أنّه لا يختصّ بباب الاستصحاب؛ لعموم مرجعيّة نظر العرف في تشخيص مفاهيم الألفاظ وتحديد مداليلها في القضايا الشرعيّة وغيرها، فلا معنى لجعل الموضوع العرفيّ مقابلاً لموضوع الدليليّ في خصوص باب الاستصحاب، لرجوع موضوع الدليليّ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الموضوع العرفيّ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الرجوع إلى العرف الرجوع إليه فيما يتسامح فيه العرف ويراه من مصاديق موضوع الدليل في مقام التطبيق مع عدم كونه بالنظر الدقّيّ 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عبرة بالمسامحات العرفيّة في باب التطبيقات بعد تشخيص المفاهيم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للعرف 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من جهة أنّه من أهل المحاورة في مقام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آخر من جهة ما يرتكز في ذهنه من مناسبات الأحكام وموضوعاتها، وإنّما يتّحد الموضوع بالنظر العرفيّ مع الموضوع بحسب الدليل، إذا كان المراد بنظر العرف هو النظر الأوّل، وأمّا إذا كان المراد به الثاني،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في نظر العرف مغايراً له بحسب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يبيّن إشكال آخر على المقابلة المذكورة، ذكره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الكفاية،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لموضوع الحكم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الواقع واللّبّ، ومرحلة الإنشاء والدلالة، فهو باعتبار الأُولى عقليّ دقّيّ، وباعتبار الثانية موضوع دليلي، ولا يكون الطلب متعلّقاً بشيء في غير هاتين المرحلتين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العرف في الموضوع إنّما هو طريق محض إلى ما هو الموضوع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الموضوعيّة من الاُمور الاعتباريّة المتقوّمة بالاعتبار كي يصحّ للعرف اعتبارها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فرض كون الموضوع لا ثبوت له إلّا في مرحلة اللّبّ واللّفظ، فنظر العرف في كون هذا الشيء موضوعاً للحكم مرجعه إلى المسامحة في الموضوع في قبال العقل والنقل، ولا يصحّ أخذه مقابلاً؛ لأنّ المسامحة في الموضوع تقتضي المسامحة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يقين بثبوت الحكم لهذا الموضوع شرعاً كي يحرم نقضه ورفع اليد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في الموضوع العرفيّ المسامحيّ،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موضوعيّة شيءٍ لحكم لها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اللّبّ والواقع وفي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والدلالة ومقام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باعتبار الأُولى موضوع حقيقيّ عقليّ، وباعتبار الثانية موضوع دليليّ، ولا يكون الشيء معروضاً للطلب في غير هاتين المرحلتين يوصف بالموضوعيّة، فكون الشيء موضوعاً لحكم الشارع ليس إلّا باعتبار تعلّق طلبه به لبّاً أو لفظاً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الموضوعيّة متقوّمة باعتبار المعتبر حتى يتصوّر اعتبارها من العرف حقيقةً، بل لا بدّ من كون نظر العرف طريقاً محضاً إلى ما هو الموضوع عند الشارع، والمفروض أنّ ذا الطريق لا ثبوت له على التحقيق، إلّا في مرحلة اللّبّ أو اللّفظ، فلا يعقل أن يشكّل نظر العرف المسامحيّ موضوعاً له حكم، بل مرجعه إلى المسامحة في الموضوع مع فرض كون العقل والنقل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الموضوع مسامحيّ، فمقتضى التضايف كون الحكم كذلك، فثبوت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مسامحيّ، فلا يقين بثبوت الحكم من الشارع لهذا الموضوع حتى يكون إبقاؤه واجباً ونقضه محرّماً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عبارة عن أمر اعتباريّ، فهو متقوّم بالاعتبار، ولكنّه في عالم الاعتبار وبعد اعتبار المعتبر يكون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وللموضوع في مقام ترتّب الحكم واقع متحقّق، فالبحث في حقيقة الأمر في أنّ تعيين الموضوع في واقعه هل يكون بنظر العرف وفهمه من الدليل، أو بنظر العقل، أو بنظر العرف بحسب مرتكزاته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المشهور بين المحقّقين هو الرجوع إلى العرف في مقام تعيين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كما أنّ حجّيّة الظواهر عند الشارع تستفاد من كونه كأحد أهل العرف في مقام المحاورة والتفهيم، فكذلك إن كان للظاهر مصاديق حقيقيّة، وكان بعضها مصداقاً له بنظر العرف، وكانت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لإرادته الجدّيّة، كما لو كان مُلقي الكلام أحد أهل العرف، ما لم ينصب قرينة على تعيين مراده الجدّيّ من المصاديق؛ لأنّه إذا لم يكن له اصطلاح خاصّ به، فلابدّ أن يكون قد أراد ما هو عند العرف مصداق حقيقيّ، مع عدم نصب قرينة على العدم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يكون مراد الشارع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ينصب قرينة على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مصاديقه العرفيّة الحقيقيّة، ومرجع صدق النقض حقيقة عرفاً إلى تعيينه الموضوع، فإنّه بعدما يرى أنّ الموضوع هو كذا يرى أنّ رفع اليد عن الحالة السابقة نقض حقيقة، </w:t>
      </w:r>
    </w:p>
    <w:p>
      <w:pPr>
        <w:pStyle w:val="BookText"/>
        <w:rPr/>
      </w:pPr>
      <w:r>
        <w:rPr>
          <w:rFonts w:ascii="Amiri" w:hAnsi="Amiri" w:eastAsia="Amiri" w:cs="Amiri"/>
          <w:color w:val="111111"/>
          <w:sz w:val="28"/>
          <w:sz w:val="28"/>
          <w:szCs w:val="28"/>
          <w:rtl w:val="true"/>
          <w:lang w:bidi="ar-SA"/>
        </w:rPr>
        <w:t>فإذا اعتبرنظره في صدق النقض يكشف عن ذلك عن اعتبار نظره في التعيين</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حجّيّة الظاهر عند الشارع تستفاد من كونه في مقام محاوراته وإفهامه لمراداته كأحد أهل العرف، فكذلك إذا كان للظاهر مصاديق ومطابقات كلّها من أفراده حقيقة، وكان بعض مصاديقه مصداقاً له بنظر العرف، فإنّ الشارع من حيث مخاطبته مع العرف كأحدهم، فكما يكون المراد الجدّيّ من مصاديق النقض لما هو مصداق عندهم، إذا ألقى هذا الكلام من بعضهم إلى بعض، كذلك إذا ألقى من الشارع إليهم، فإنّ إرادة غيره منهم تحتاج إلى نصب ما يدلّ على تعيينه، دون ما هو متعيّن عندهم، وقد مرّ سابقاً أنّه لا مسامحة هنا، لا في تحديد مفهوم النقض، ولا في تطبيقه على مصاديقه، بل في أمر آخر، وهو تحديد موضوع الحكم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موضوع الحكم بنظر العرف إنّما يكون إذا وصل إلى مرتبة القطع بأنّه مراد الشارع،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للتصرّف في حجّيّة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الظاهر إنّما يكون حجّة إذا لم يكن هناك قطع بخلافه، أو كان نظره بمنزلة القرينة الحاليّة، فهو يكون سبباً للتصرّف في ظهور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هنا إنّما هو في تقديم نظر العرف، ولو لم يصل إلى مرتبة القطع، أو كان لسان الدليل باقياً على حجّيّته وظهوره، فإذا كان ظنّيّاً، فلا دليل على حجّيّة هذا الظنّ، لا شرعاً ولا عقلاً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بالإطلاق والرجوع إلى العرف في مصداق النقض؛ إذ لا دليل على اعتبار العقلاء للنظر العرفيّ في المصداق المبتني </w:t>
      </w:r>
    </w:p>
    <w:p>
      <w:pPr>
        <w:pStyle w:val="BookText"/>
        <w:rPr/>
      </w:pPr>
      <w:r>
        <w:rPr>
          <w:rFonts w:ascii="Amiri" w:hAnsi="Amiri" w:eastAsia="Amiri" w:cs="Amiri"/>
          <w:color w:val="111111"/>
          <w:sz w:val="28"/>
          <w:sz w:val="28"/>
          <w:szCs w:val="28"/>
          <w:rtl w:val="true"/>
          <w:lang w:bidi="ar-SA"/>
        </w:rPr>
        <w:t>على الظنّ في تعيين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المقام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إشكال في احتياج إعمال الاستصحاب إلى نحو من المسامحة في إرجاع القضيّة المشكوكة إلى القضيّة المتيقّنة، لأنّ الإرجاع الحقيقيّ مستلزم لتعلّق الشكّ بما تعلّق به اليقين، وهو مفاد قاعدة اليقين لا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استفادة البقاء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جهة انتزاعهما عن اعتبار وحدة القضيّة المتيقّنة والمشكوكة، وكون متعلّق الشكّ هو اليقين بالشيء، فإنّه يقتضي نحواً من الاتّحاد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إطلاق النقض في المقام المقابل للبقاء الصادق حقيقةً على مجرّد اتّحادهما بأحد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الخلاف في أنّ المسامحة المحتاج إليها هل هي بمقدار إلغاء خصوصيّة الزمان مع التحفّظ على باقي الخصوصيّات بالدقّة، أو أنّها ملحوظة من سائر الجهات؟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الوجه الأوّل، لابدّ من جعل مركز البحث في اختلاف الانظار هو موضوع الحكم الذي به قوام البقاء والاتّحاد؛ لأنّ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منها اعتبار الاتّحاد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المفاهيم المحرزة، ولا خلاف فيها، ولابدّ من تطبيق عنوانهما على المورد بالدقّة العقليّة، </w:t>
      </w:r>
    </w:p>
    <w:p>
      <w:pPr>
        <w:pStyle w:val="BookText"/>
        <w:rPr/>
      </w:pPr>
      <w:r>
        <w:rPr>
          <w:rFonts w:ascii="Amiri" w:hAnsi="Amiri" w:eastAsia="Amiri" w:cs="Amiri"/>
          <w:color w:val="111111"/>
          <w:sz w:val="28"/>
          <w:sz w:val="28"/>
          <w:szCs w:val="28"/>
          <w:rtl w:val="true"/>
          <w:lang w:bidi="ar-SA"/>
        </w:rPr>
        <w:t>لا بالمسامحة العرفيّة، والتطبيق الحقيقيّ يختلف باختلاف الأنظار في الموضوع للحكم، فلابدّ من تعيين النظر المحكّم لإحراز تحقّق الاتّحاد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لوحظت المسامحة من سائر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محلّ الخلاف ومركزه هو نفس البقاء والإبقاء التعبّديّ، لا في كبرى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وأنّ المسامحة ملحوظة في الجهات الأُخرى غير خصوصيّة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إذا كانت استفادة البقاء على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حقيقةً يصدق بمجرّد وحدة القضيّتين بأحد الأنظار، فلا شبهة في شموله لجميع الأنظار، وأمّا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الحقيقيّ لا يصدق إلّا مع وحدة القضيّتين دقّةً، فلا يشمل النقض الادّعائيّ المسامحيّ، بل شموله له يحتاج إلى دليل خاصّ؛ لعدم جامع بين النقض الحقيقيّ والادّعائيّ، إلّا أن يتمسّك بالإطلاق المقاميّ الذي مقتضاه شمول النقض لما كان نقضاً بنظر العرف؛ لأنّ القضيّة مسوقة على طبق الأنظار العرفيّة ويكون مقدّماً على الإطلاق اللّفظيّ الدالّ على اعتبار النقض الحقيقيّ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وتصرّف منّا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هنا غير قابل لحمله على المعنى الحقيقيّ؛ لأنّه معناه الحقيقيّ يقتضي أن يكون الشكّ قد تعلّق بنفس ما تعلّق به اليقين، وهذا هو مفاد قاعدة اليقين، لا الاستصحاب؛ لأنّ الشكّ في الاستصحاب إنّما يتعلّق ببقاء ما تيقّن به، وأمّا في قاعدة اليقين فهو يتعلّق بأصل ما تيقّن به، فإذا شكّ بعدالة زيد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شكّ في بقاء عدالته يوم السبت، كان هذا هو مجرى الاستصحاب، وأمّا إذا شكّ بعدالة زيد يوم الجمعة، ثمّ حصل له الشكّ في يوم السبت في أصل ثبوت عدالته في يوم الجمعة، بأن زال ما كانمدركاً لاعتقاده ومنشأً لعلمه، فهذا هو مجرى قاعدة اليقين المعروف بالشكّ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اختلافاً بين الشكّ واليقين؛ لأنّ أحدهما متعلّق بالحدوث، والآخر بالبقاء، فلابدّ أن يحمل على المعنى المسامحيّ للنقض، بعد عدم إمكان حمله على المعنى الحقيقيّ، فيتمسّك بدليل الاستصحاب في كلّ مورد يصدق فيه النقض ولو مسامحةً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بين القاعدة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تعلّق الشكّ بأصل ما تيقّن في الأوّل وبالبقاء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جواز اجتماع اليقين والشكّ في الاستصحاب في زمانٍ واحد، بخلاف قاعدة اليقين، فإنّه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الاستصحاب، يمكن أن يقطع فعلاً بعدالة زيد في يوم الجمعة ويشكّ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في بقاء عدالته في هذا اليوم، وذلك غير ممكن بالنسبة إلى قاعدة اليقين أصلاً؛ فلا يجوز أن يقطع فعلاً </w:t>
      </w:r>
      <w:bookmarkStart w:id="183" w:name="pg15437_354934"/>
    </w:p>
    <w:p>
      <w:pPr>
        <w:pStyle w:val="BookText"/>
        <w:rPr/>
      </w:pPr>
      <w:bookmarkEnd w:id="183"/>
      <w:r>
        <w:rPr>
          <w:rFonts w:ascii="Amiri" w:hAnsi="Amiri" w:eastAsia="Amiri" w:cs="Amiri"/>
          <w:color w:val="111111"/>
          <w:sz w:val="28"/>
          <w:sz w:val="28"/>
          <w:szCs w:val="28"/>
          <w:rtl w:val="true"/>
          <w:lang w:bidi="ar-SA"/>
        </w:rPr>
        <w:t>بعدالته في يوم الجمعة ويشكّ فعلاً في أصل عدالته فى يوم الجمعة،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الاستصحاب من أن يكون اليقين والشكّ طوليّين لا عرضيّين واقعين في زمان واحد</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974523_2142443653"/>
      <w:bookmarkStart w:id="185" w:name="_Toc68"/>
      <w:bookmarkEnd w:id="184"/>
      <w:r>
        <w:rPr>
          <w:rtl w:val="true"/>
        </w:rPr>
        <w:t xml:space="preserve">الأمر الثاني </w:t>
      </w:r>
      <w:r>
        <w:rPr>
          <w:rtl w:val="true"/>
        </w:rPr>
        <w:t>:</w:t>
      </w:r>
      <w:r>
        <w:rPr>
          <w:rtl w:val="true"/>
        </w:rPr>
        <w:t>هل تشمل أخبار الاستصحاب قاعدة اليقين أم لا؟</w:t>
      </w:r>
      <w:bookmarkEnd w:id="185"/>
    </w:p>
    <w:p>
      <w:pPr>
        <w:pStyle w:val="BookText"/>
        <w:rPr/>
      </w:pPr>
      <w:r>
        <w:rPr>
          <w:rFonts w:ascii="Amiri" w:hAnsi="Amiri" w:eastAsia="Amiri" w:cs="Amiri"/>
          <w:color w:val="111111"/>
          <w:sz w:val="28"/>
          <w:sz w:val="28"/>
          <w:szCs w:val="28"/>
          <w:rtl w:val="true"/>
          <w:lang w:bidi="ar-SA"/>
        </w:rPr>
        <w:t>قد يتوهّم أنّ المدرك في قاعدة اليقين هو نفس أدلّة الاستصحاب، وأنّ أدلّة الاستصحاب تشملها،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أنّمدلول هذه الأخبار ممّا لا يختصّ بالشكّ في البقاء فقط، بل الشكّ بعد اليقين ملغىً مطلقاً، سواء كان متعلّقاً بنفس ما تيقّنه، أم لا، أم تعلّق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صرّح بذلك الفاضل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 في مسألة من شكّ في بعض أفعال الوضوء،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فرغ من الوضوء متيقّناً للإكمال، ثمّ عرض له الشكّ،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شيء؛ لصحيحة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له من كلام الحلّيّ في السرائر، حيث استدلّ على المسألة المذكورة بأنّه لا يخرج عن حال الطهارة إلّا على يقين من إكمالها وليس ينقض الشكّ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التعبير من الحلّيّ لا يلزم أن يكون استفاده من أخبار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هذا التعبير عبارة جماعة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التعبير لا يلزم دعوى شمول الأخبار للقاعدتين، على ما توهّمه غير واحد من المعاصرين، وإن اختلفوا بين مُدّعٍ لانصرافها إلى خصوص الاستصحاب، وبين منكر له، عامل بعمومها</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هذا التوهّم المذكور وتضعيفه، وقد أفاد في مقام دفعه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ملخّصه على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الدالّة على عدم نقض اليقين بالشكّ هو اتّحاد متعلّق اليقين والشكّ، فلابدّ أن يلاحظ المتيقّن والمشكوك في قاعدة الاستصحاب غير مقيّدين بالزمان، وإلّا، لم يجز استصحابه كما تقدّم في ردّ شبهة من قال بتعارض الوجود والعدم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 كلامه في ذيل استصحاب الاُمور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القاعدة الثانية كون الشكّ متعلّقاً بالمتيقّن السابق بوصف وجوده في الزمان السابق،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إرادة الاعتبارين، من اليقين والشكّ، في تلك الأخبار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إذا ثبت عدم جواز إرادة المعنيين، فلا بدّ أنّ </w:t>
      </w:r>
    </w:p>
    <w:p>
      <w:pPr>
        <w:pStyle w:val="BookText"/>
        <w:rPr/>
      </w:pPr>
      <w:r>
        <w:rPr>
          <w:rFonts w:ascii="Amiri" w:hAnsi="Amiri" w:eastAsia="Amiri" w:cs="Amiri"/>
          <w:color w:val="111111"/>
          <w:sz w:val="28"/>
          <w:sz w:val="28"/>
          <w:szCs w:val="28"/>
          <w:rtl w:val="true"/>
          <w:lang w:bidi="ar-SA"/>
        </w:rPr>
        <w:t>يُخصّ مدلولها بقاعدة الاستصحاب؛ لورودها في موارد تلك القاعدة، كالشكّ في الطهارة من الحدث والخبث ودخول هلال شهر رمضان أو شوّال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سلّمنا دلالة الروايات على ما يشمل القاعدتين، لزم حصول التعارض في مدلول الرواية المسقط له عن الاستدلال به على القاعدة الثانية؛ لأنّه إذا شكّ فيما تيقّن سابقاً،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زيد في يومالجمعة، فهذا الشكّ معارض لفردين من اليقين،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بعدالته المقيّدة بيوم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بعدم عدالته المطلقة قبل يوم الجمعة، فتدلّ بمقتضى القاعدة الثانية على عدم نقض اليقين بعدالة زيد يوم الجمعة باحتمال انتفائها في ذلك الزمان، وبمقتضى قاعدة الاستصحاب على عدم نقض اليقين بعدم عدالته قبل الجمعة باحتمال حدوثها في الجمعة، فكلّ من طرفي الشكّ معارض لفرد من اليقين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 إلى أنّ في الاستصحاب والقاعدة جهات أربع،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اليقين، وجهة المتيقّن، وجهة النقض، وجهة الحكم، ولا يمكن الجمع بين هاتين القاعدتين في اللّحاظ من جميع الجهات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جهة اليقين؛ فلأنّ اليقين في باب الاستصحاب إنّما يكون ملحوظاً من حيث كونه طريقاً وكاشفاً عن المتيقّن، وفي القاعدة يكون ملحوظاً من حيث نفسه؛ لبطلان كاشفيّته بعد تبدّله إلى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المتيقّن؛ فلأنّ المتيقّن في الاستصحاب لا بدّ وأن يكون معرّى عن الزمان، غير مقيّد به، وفي القاعدة لا بدّ من لحاظه مقيّداً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النقض؛ فلأنّ نقض اليقين في الاستصحاب إنّما يكون باعتبار ما يقتضيه اليقين من الجري العمليّ علىطبق المتيقّن، وفي القاعدة إنّما يكون باعتبار نفس اليقين، وذلك من لوازم لحاظ اليقين موضوعاً أو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الحكم؛ فلأنّ الحكم المجعول في القاعدة إنّما هو البناء العمليّ على ثبوت المتيقّن في زمان اليقين، وفي الاستصحاب هو البناء العمليّ على ثبوت المتيقّن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تباين الاستصحاب من كلّ جهة من هذه الجهات الأربع، فلا يمكن أن تعمّها أخبار الباب</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وإن كان محلّاً للتأمّل، ولكنّ ما أفاده من عدم شمول الأخبار للقاعدتين، فلا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 لحاظ اتّحاد متعلّقي الشكّ واليقين؛ حيث كان النقض والإبقاء متوقّفين على ذلك، فلابدّ من إلغاء خصوصيّة الزمان في الاستصحاب،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الاستصحاب تتمّ ملاحظة المتيقّن بدون الزمان، وأمّا في القاعدة فيلاحظ المتيقّن مع الزمان، فاللّحاظان في القاعدتين مختلفان، وبذلك يختلف ما هو المؤدّى في إحداهما عن ما هو المؤدّى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أُفيد المؤدّيان بمفهوم اسميّ يعمّهما، بحيث يكشف عن اللّحاظين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تنقضاليقين بالشكّ الذي له تعلّق بما تعلّق 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فلا يمكن أداء هذين المؤدّيين بمعنى حرفيّ بحيث لا يكاد يراد منه إلّا أحدهما؛ لعدم إمكان اجتماع اللّحاظين المتنافيين في 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الباب ليس لها مفهوم اسميّ يعمّ المؤدّيين، فيكون مفهومها حرفيّاً، فلا يعمّهما بلحاظهما المتنافيين، فلا يصلح لأن يستفاد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لحاظ اتّحادهما، لما كان العمل على خلاف اليقين نقضاً له بالشّكّ، ولا العمل على طبقه مضيّاً على اليقين، فلا بدّ من عدم ملاحظة الزّمان، وأن متعلّقهما مع ملاحظته اثنين، ومتعلّق الشّكّ واليقين في </w:t>
      </w:r>
    </w:p>
    <w:p>
      <w:pPr>
        <w:pStyle w:val="BookText"/>
        <w:rPr/>
      </w:pPr>
      <w:r>
        <w:rPr>
          <w:rFonts w:ascii="Amiri" w:hAnsi="Amiri" w:eastAsia="Amiri" w:cs="Amiri"/>
          <w:color w:val="111111"/>
          <w:sz w:val="28"/>
          <w:sz w:val="28"/>
          <w:szCs w:val="28"/>
          <w:rtl w:val="true"/>
          <w:lang w:bidi="ar-SA"/>
        </w:rPr>
        <w:t xml:space="preserve">القاعدة،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إلّا أنّه مع ملاحظة الزّمان، فكان إلغاء الشّكّ والمضيّ على اليقين في الاستصحاب عبارة عن التّعبّد بثبوت المشكوك في اللّاحق، كما كان في السابق، وفي القاعدة عبارة عن التّعبّد بثبوته فيه سابقاً، وإن شكّ في ثبوته كذلك لاحقاً، واختلاف مؤدّاهما، وإن لم يمنع عن الجمع بينهما في كلام واحد مشتمل على ما يعمّهما بمفهومه ويحويهما بمعناه حاكٍ عن حرمة النّقض، ووجوب المضيّ في الواقع باللّحاظين اللّذين كانا موجبين لاختلاف مؤدّى القاعدتين،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الذي كان له تعلّق بما تعلّق به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التّعلّق بإطلاقه يعمّ ماإذا كان تعلّقه به بأصل ثبوته الذي لا بدّ فيه من اتّحاد المتعلّقين، ولو مع ملاحظة الزمان أو بقائه الذي لا بدّ من اتّحادهما مع عدم ملاحظته، إلّا أنّه لا يكاد يمكن الجمع بينهما فيما إذا لم يكن هناك ما يحكي عنهما بمفهومه، ويظهر في تحقّقهما بإطلاقه أو عمومه، بل كان إرادتهما بالجمع بين اللّحاظين في خطاب واحد قصد به ضرب كلتا القاعدتين؛ ضرورة امتناع الإنشاء الواحد بلحاظين متنافيين ونظرين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المتيقّن مع زمانه، ولحاظه بدونه، والنّظر إلى ثبوته في زمان قطع بثبوته فيه من دون نظر إلى بقائه، والنّظر إلى خصوص بقائه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الاستصحاب لحاظ المتيقّن بدون الزمان، كما ذكر، بل الذي هو معتبر إنّما هو تعلّق الشكّ بالبقاء </w:t>
      </w:r>
    </w:p>
    <w:p>
      <w:pPr>
        <w:pStyle w:val="BookText"/>
        <w:rPr/>
      </w:pPr>
      <w:r>
        <w:rPr>
          <w:rFonts w:ascii="Amiri" w:hAnsi="Amiri" w:eastAsia="Amiri" w:cs="Amiri"/>
          <w:color w:val="111111"/>
          <w:sz w:val="28"/>
          <w:sz w:val="28"/>
          <w:szCs w:val="28"/>
          <w:rtl w:val="true"/>
          <w:lang w:bidi="ar-SA"/>
        </w:rPr>
        <w:t>على حدّ تعلّق اليقين بالحدوث فعلاً، لا أن يلحظ عدم الزمان في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فإنّ بعض أخبار الباب وإن كانت مختصّةً بالاستصحاب، ولكنّ بعضها مجمل، كموثّقة إسحاق بن عمّار المتقدّمة،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مجملة مردّدة بين قاعدة الاستصحاب وقاعدة اليقين، فلا يمكن الاستدلال بها لشيء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بشمولها لكلتا القاعدتين، على تقدير تجويزها ثبوتاً، خلاف الظاهر بلا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شكّ فليمضِ على يقينه، فإنّ الشكّ 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اليقين لا يدفع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عند الحديث عن أخبار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قاعدة اليقين؛ لظهوره في اختلاف زمان الوصفين المعتبر في قاعدة اليقين دون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ادّعى صاحب 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أنّها ظاهرة في الاستصحاب،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الشكّ 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اليقين لا يدفع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يشير إلى القضيّة المرتكزة في الاستصحاب الواردة في الصحاح الثلاث المتقدّمة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الشيخ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الشكّ لا ينقض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بملاحظة ما سبق في </w:t>
      </w:r>
      <w:bookmarkStart w:id="186" w:name="pg15437_354941"/>
    </w:p>
    <w:p>
      <w:pPr>
        <w:pStyle w:val="BookText"/>
        <w:rPr/>
      </w:pPr>
      <w:bookmarkEnd w:id="186"/>
      <w:r>
        <w:rPr>
          <w:rFonts w:ascii="Amiri" w:hAnsi="Amiri" w:eastAsia="Amiri" w:cs="Amiri"/>
          <w:color w:val="111111"/>
          <w:sz w:val="28"/>
          <w:sz w:val="28"/>
          <w:szCs w:val="28"/>
          <w:rtl w:val="true"/>
          <w:lang w:bidi="ar-SA"/>
        </w:rPr>
        <w:t>الصحاح،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ظاهره مساوقته لها، ظاهرة في الاستصحاب، ويبعد حملها على المعنى الذي ذكرنا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اليقين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974525_2142443653"/>
      <w:bookmarkStart w:id="188" w:name="_Toc69"/>
      <w:bookmarkEnd w:id="187"/>
      <w:r>
        <w:rPr>
          <w:rtl w:val="true"/>
        </w:rPr>
        <w:t>الأمر الثالث</w:t>
      </w:r>
      <w:r>
        <w:rPr>
          <w:rtl w:val="true"/>
        </w:rPr>
        <w:t xml:space="preserve">: </w:t>
      </w:r>
      <w:r>
        <w:rPr>
          <w:rtl w:val="true"/>
        </w:rPr>
        <w:t>في تقدّم الأمارات على الاستصحاب</w:t>
      </w:r>
      <w:r>
        <w:rPr>
          <w:rtl w:val="true"/>
        </w:rPr>
        <w:t>:</w:t>
      </w:r>
      <w:bookmarkEnd w:id="188"/>
    </w:p>
    <w:p>
      <w:pPr>
        <w:pStyle w:val="BookText"/>
        <w:rPr/>
      </w:pPr>
      <w:r>
        <w:rPr>
          <w:rFonts w:ascii="Amiri" w:hAnsi="Amiri" w:eastAsia="Amiri" w:cs="Amiri"/>
          <w:color w:val="111111"/>
          <w:sz w:val="28"/>
          <w:sz w:val="28"/>
          <w:szCs w:val="28"/>
          <w:rtl w:val="true"/>
          <w:lang w:bidi="ar-SA"/>
        </w:rPr>
        <w:t>ولا شبهة في هذا التقديم ولا كلام، وإنّما الكلام في وجهه، وأنّه هل يكون من باب التخصيص أو التخصّص أو الحكومة أو الورود؟</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المراد من كلّ من هذه المصطلحات الأربعة،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إخراج بعض الأفراد عن تحت العامّ الذي ثبت له الحكم، مع حفظ فرديّته ومصداقيّته له، كخروج الفسّاق من العلماء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الفرد عن تحت العامّ حقيقة تكويناً وذاتاً، بلا حاجة إلى ما يخرجه، كخروج زيد الجاهل عن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نحتاج في إخراجه إلى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الجاهل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إذا كان أحد الدليلين رافعاً لموضوع الآخر حقيقةً، ولكن لا تكويناً، بل بواسطة التعبّد الشرعيّ، فهو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كون الخروج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مع التخصّص، وإنّما يختلف عنه في أنّ الخروج هنا يكون ببركة التعبّد وجعل الشارع واعتباره، ولولا ذلك لما كان بياناً أصلاً حتى يكون متقدّماً على قاعدة قبح العقاب بلا بيان ورافعاً لموضوعها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والورود قد يكون حقيقةً، كما في الأمارات بالنسبة إلى الاُصول العقليّة كالبراءة العقليّة والاحتياط والتخيير العقليّين، فإنّ الأمارة إذا قامت على حكم أو موضوع ذي حكم فلا يبقى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لحكم العقل بقبح العقاب بلا بيان، بل ينقلب اللّابيان، الذي هو موضوع هذه القاعدة، إلى البيان، وهكذا موضوع الاحتياط والتخيير العقليّين، وهو احتمال العقاب وعدم الترجيح لتقديم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تعبّداً، كما في الأمارات بالنسبة إلى الاُصول الشرعيّة، كالبراءة الشرعيّة والاستصحاب، بناءً على إدخاله في باب الاُصول العمليّة، وكقاعدتي الحلّ والطهارة، بل بناءً على عدم دخوله في الأمارات ولا الاُصول، كما ذكرناه من أنّ الاستصحاب فرش الاُصول وعرش الأمارات؛ فإنّه إذا قامت الأمارة على شيء فالجهل، ولو كان باقياً ولم يرتفع معها حقيقةً، ولكن لا جهل معها شرعاً بعد أن كان الشارع قد نزّلها منزلة العلم، 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لمثل حديث الرفع ممّا أُخذ في موضوعه الجهل أو الشكّ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شرحها في هذا المقام </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في باب التعارض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الشارع في ضمن الدليل بوجوب رفع اليد عمّا يقتضيه الدليل الآخر لولا هذا الدليل الحاكم، أو بوجوب العمل في موردٍ بحكمٍ لا يقتضيه دليله لولا الدليل الحاكم،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شيء خارجٍ عن موضوع دليلٍمنزلةَ ذلك الموضوع في ترتيب أحكامه عليه، أو داخلٍ في موضوعٍ منزلة الخارج منه، في عدم ترتيب أحكامه عليه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مبحث التعادل والتراجيح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بمدلوله اللّفظيّ متعرّضاً لحال دليل الآخر ورافعاً للحكم الثابت بالدليل الآخر عن بعض أفراد موضوعه، فيكون مبيّناً لمقدار مدلوله، مسوقاً لبيان حاله، متفرّعاً عليه، وميزان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لو فرض عدم ورود ذلك الدليل لكان هذا الدليل لغواً خالياً عن المورد</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هي ما إذا كان أحد الدليلين ناظراً إلى الدليل الآخر مفسّراً له متصرّفاً فيه، وذلك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في حكمه،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وجوب </w:t>
      </w:r>
    </w:p>
    <w:p>
      <w:pPr>
        <w:pStyle w:val="BookText"/>
        <w:rPr/>
      </w:pPr>
      <w:r>
        <w:rPr>
          <w:rFonts w:ascii="Amiri" w:hAnsi="Amiri" w:eastAsia="Amiri" w:cs="Amiri"/>
          <w:color w:val="111111"/>
          <w:sz w:val="28"/>
          <w:sz w:val="28"/>
          <w:szCs w:val="28"/>
          <w:rtl w:val="true"/>
          <w:lang w:bidi="ar-SA"/>
        </w:rPr>
        <w:t>لإكرام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المخصّص وهذا النوع من الحاكم مع كونهما متساويين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ليس له نظر إلى العامّ، بخلاف الحاكم، فله نظر إلى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موضوعه،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الفاسق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لا فرق في تصرّف الحاكم في المحكوم بين أن يكون بنحو التضييق،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بنحو التوسعة،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بالبيت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التغيير والتبديل،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الفقير من لا مال له بل الفقير لا دين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فرق بين أن تكون الحكومة واقعيّة كما في الأمثلة المتقدّمة، وبين أن تكون ظاهريّة،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الصلاة طهارة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فيوسع الثاني دائرة الشرط ظاهراً ويجعل الشرط أعمّ من الطهارة الواقعيّة والظاهريّة،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الصلاة كذا وكذا من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فيضيّق الثاني دائرة الأجزاء ظاهراً ويخصّصها بصورة العلم فقط، فتكون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ظاهريّة،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العمل مجزياً عن الحكم الواقعيّ عند انكشاف الخلاف، بل هو، والحال هذه، </w:t>
      </w:r>
    </w:p>
    <w:p>
      <w:pPr>
        <w:pStyle w:val="BookText"/>
        <w:rPr/>
      </w:pPr>
      <w:r>
        <w:rPr>
          <w:rFonts w:ascii="Amiri" w:hAnsi="Amiri" w:eastAsia="Amiri" w:cs="Amiri"/>
          <w:color w:val="111111"/>
          <w:sz w:val="28"/>
          <w:sz w:val="28"/>
          <w:szCs w:val="28"/>
          <w:rtl w:val="true"/>
          <w:lang w:bidi="ar-SA"/>
        </w:rPr>
        <w:t>كَسَرَابٍ بِقِيعَةٍ يَحْسَبُهُ الظَّمْآنُ مَاء</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واردة على الاُصول العقليّة، وحاكمة على 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تقديم الأمارات على الاستصحاب بنحو الورود أو الحكومة أو التخصيص؟وقد صرّح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بتقديم دليل الأمارات على دليل الاستصحاب بالحكومة،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الشأن في أنّ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أقامه الشارع مقام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تخصيص أدلّة الاستصحاب، أو من باب 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بالتخصّص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حكومة أدلّة تلك الاُمور على أدلّة الاستصحاب، وليس تخصيصاً بمعنى خروج المورد بمجرّد وجود الدليل عن مورد الاستصحاب؛ لأنّ هذا مختصّ بالدليل العلميّ المزيل وجوده للشكّ المأخوذ في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إلى بيان معنى الحكومة، بعبارة نقلنا نصّها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نحن فيه، 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بالبيّنة في نجاسة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والمفروض أنّ الشكّ موجود مع قيام البيّنة على نجاسة الثوب، فإنّ الشارع جعل الاحتمال المطابق للبيّنة بمنزلة اليقين الذي ينتقض به اليقين السابق،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المخالف للبيّنة كالمعدوم، فكأنه لا شكّ حتى يرجع فيه إلى الاستصحاب،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على هذا الشكّ بحكمه المقرّر في قاعدة الاستصحاب، وافرضه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باب التعادل والتراجيح، ليقول بالتفصيل، ونصّ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الأصل ممّا كان مؤدّاه بحكم العقل، كأصالة البراءة العقليّة والاحتياط والتخيير العقليّين، 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وارد عليه، ورافع لموضوعه؛ لأنّ موضوع الأوّل عدم البيان، وموضوع الثاني احتمال العقاب، ومورد الثالث عدم المرجّح لأحد طرفي التخيير، وكلّ ذلك يرتفع بالدليل العلميّ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الذي ثبت اعتباره بالعلم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مؤدّاه من المجعولات الشرعيّة، كالاستصحاب ونحوه، كان ذلك الدليل حاكماً على الأصل،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عليه بخروج مورده عن مجرى الأصل، فالدليل العلميّ المذكور وإن لم يرفع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يرفع حكم الشكّ،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ساق الكلام إلى بيان ضابط الحكومة، بعبارةٍ نقلنا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 وبين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المخصّص بياناً للعامّ إنّما هو بحكم العقل، الحاكم بعدم جواز إرادة العموم مع العمل بالخاصّ، وهذا بيان بلفظه، ومفسّر للمراد منالعامّ، فهو تخصيص في المعنى بعبارة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خالف في ذلك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ادّعى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الأمارات على الاستصحاب ليس إلّا بمناط الورود، وذلك لأنّ الأمارات مهما قامت على خلاف اليقين السابق، فرفع اليد عنه لا يكون نقضاً لليقين بالشكّ، بل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التنزيليّ،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وهكذا الأمر فيما إذا قامت الأمارة المعتبرة على وفق اليقين السابق، فعدم رفع اليد عنه ليس لأجل أن لا يلزم نقض اليقين بالشكّ، بل من جهة لزوم العمل بالحجّة، أي باليقين التنزيليّ، وانتفاء الشك، ولو تعبّداً،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للورود، فإنّ رفع اليد عن اليقين السابق بسبب أمارة معتبرة على خلافه ليس من نقض اليقين بالشكّ، بل باليقين، وعدم رفع </w:t>
      </w:r>
    </w:p>
    <w:p>
      <w:pPr>
        <w:pStyle w:val="BookText"/>
        <w:rPr/>
      </w:pPr>
      <w:r>
        <w:rPr>
          <w:rFonts w:ascii="Amiri" w:hAnsi="Amiri" w:eastAsia="Amiri" w:cs="Amiri"/>
          <w:color w:val="111111"/>
          <w:sz w:val="28"/>
          <w:sz w:val="28"/>
          <w:szCs w:val="28"/>
          <w:rtl w:val="true"/>
          <w:lang w:bidi="ar-SA"/>
        </w:rPr>
        <w:t>اليد عنه مع الأمارة على وفقه ليس لأجل أن لا يلزم نقضه به، بل من جهة لزوم العمل بالحجّة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على نفسه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تكون الأمارة واردة على الاستصحاب لو أُخذ بدليلها في مورد الاجتماع مع الاستصحاب، ولكن لماذا لا يؤخذ بدليل الاستصحابويؤخذ بدليل الأمارة؟ وأيّ مرجّح لتقديم جانب الأمارة على جانب الاستصحاب؟</w:t>
      </w:r>
    </w:p>
    <w:p>
      <w:pPr>
        <w:pStyle w:val="BookText"/>
        <w:rPr/>
      </w:pPr>
      <w:r>
        <w:rPr>
          <w:rFonts w:ascii="IRNazanin" w:hAnsi="IRNazanin" w:eastAsia="IRNazanin"/>
          <w:color w:val="111111"/>
          <w:sz w:val="28"/>
          <w:sz w:val="28"/>
          <w:szCs w:val="28"/>
          <w:rtl w:val="true"/>
          <w:lang w:bidi="fa-IR"/>
        </w:rPr>
        <w:t>وقد أجاب عنه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المرجّح لتقديم جانب الأمارة على جانب الاستصحاب، هو أنّا لو أخذنا بجانب الأمارة فلا يلزم منه شيء سوى ارتفاع موضوع الاستصحاب بها، وهو الشكّ، ولزوم نقض اليقين باليقين، وهذا ليس بمحذور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أخذنا بجانب الاستصحاب ورفعنا اليد عن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من دون ما يُخرج الأمارة عن تحت عموم أدلّة الاعتبار، كان تخصيصاً بلا مخصّص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لأجل الاستصحاب وكونه مخصّصاً لأدلّة اعتبارها، فهذا دور؛ فإنّ مخصّصيّة الاستصحاب لها يتوقّف على اعتبار الاستصحاب </w:t>
      </w:r>
    </w:p>
    <w:p>
      <w:pPr>
        <w:pStyle w:val="BookText"/>
        <w:rPr/>
      </w:pPr>
      <w:r>
        <w:rPr>
          <w:rFonts w:ascii="Amiri" w:hAnsi="Amiri" w:eastAsia="Amiri" w:cs="Amiri"/>
          <w:color w:val="111111"/>
          <w:sz w:val="28"/>
          <w:sz w:val="28"/>
          <w:szCs w:val="28"/>
          <w:rtl w:val="true"/>
          <w:lang w:bidi="ar-SA"/>
        </w:rPr>
        <w:t>مع الأمارة، واعتبار الاستصحاب مع الأمارة يتوقّف على مخصّصيته لها، وإلّا، فلا مورد له معها، بعدما عرفت من ورود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الاجتماع مع الاستصحاب، لابدّ من الأخذ بدليل الأمارة دون الاستصحاب، وإلّا، لزم محذور التخصيص بلا مخصّص، أو التخصيص على وجه دائر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وسلك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 آخر، رأى فيه أنّ التقديم إنّما يكون من باب الحكومة؛ وذلك نظراً إلى أنّ مقتضى التحقيقهو كون المجعول في الأمارة هي الطريقيّة وتتميم الكشف وإلغاء احتمال الخلاف، وما أشبه ذلك، لا المنجّزيّة؛ لاستلزامه تخصيص الحكم العقليّ بقبح العقاب بلا بيان، وهو غير قابل للتخصيص، ولا لجعل المؤدّى؛ لمحذور اجتماع الحكم الواقعيّ والظاهريّ،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موضوع الاستصحاب تعبّداً عند قيام الأمارة، وهو معنى الحكومة؛ لأنّه أوجب التصرّف في عقد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الأدلّة المتكفّلة للأحكام الظاهريّة بعضها على بعض، إنّما تكون باعتبار رفع دليل الحاكم موضوع دليل المحكوم في عالم التشريع، مع بقائه في عالم التكوين، فإنّ قيام الأمارة على خلاف مؤدّى الأصل لا يوجب رفع الشكّ خارجاً؛ لاحتمال مخالفة الأمارة للواقع، فموضوع الأصل محفوظ تكويناً، ولكن لمّا كان المجعول في </w:t>
      </w:r>
    </w:p>
    <w:p>
      <w:pPr>
        <w:pStyle w:val="BookText"/>
        <w:rPr/>
      </w:pPr>
      <w:r>
        <w:rPr>
          <w:rFonts w:ascii="Amiri" w:hAnsi="Amiri" w:eastAsia="Amiri" w:cs="Amiri"/>
          <w:color w:val="111111"/>
          <w:sz w:val="28"/>
          <w:sz w:val="28"/>
          <w:szCs w:val="28"/>
          <w:rtl w:val="true"/>
          <w:lang w:bidi="ar-SA"/>
        </w:rPr>
        <w:t>باب الأمارات هو الإحراز وإلغاء احتمال الخلاف، كانت الأمارة رافعة للشكّ في عالم التشريع؛ لأنّ المكلّف يكون محرزاً للواقع بحكم التعبّد بالأمارة، فلا يبقى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ذلك ما اختاره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بتعبير آخر، فقد التزم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غاية الاستصحاب، وهو اليقين، ولم يرَ بأنّه يرفعموضوعه،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أنّ موضوع الاستصحاب ليس عبارة عن عدم العلم كي يكون اعتبار العلم رافعاً لموضوعه، بل عبارة عن أمر وجوديّ، وهو الاحتمال الذي يصل إلى حدّ العلم،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أحد الضدّين لا يلازم اعتبار عدم الضدّ الآخر، فالتلازم بين الواقعين لا يستلزم التلازم بين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العلم لا يلازم اعتبار عدم الاحتمال الخاصّ، فلا يكون اعتباره رافعاً لموضوع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التنزيل المستفاد من أدلّة الأمارات، إمّا أن يكون ناظراً إلى حيث تتميم الكشف وإثبات العلم بالواقع، وإمّا أن يكون ناظراً إلى المؤدّى بإثبات كونه هو الواقع، بلا تكفّله لحيث تتميم كشف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تقديم الأمارة على الاُصول التي منها الاستصحاب بمناط الحكومة، لا غيرها؛ إذ هي بدليل تتميم كشفها تكون رافعةً للشكّ الذي أُخذ موضوعاً في الاُصول، ومثبتة للمعرفة المأخوذة غايةً في مثل دليل الحلّيّة ودليل حرمة النقض، وبهذا الاعتبار، تكون ناظرةً إلى نفي الحكم المترتّب على عدم انكشاف الواقع واستتاره،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رفع اليد عن اليقين السابق في الاستصحاب من نقض اليقين بالشكّ، بل كان من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يفهم من دليل حرمة النقض ليس هو تحديد وتحقيق غاية للاستصحاب، بل إنّما هو عبارة عن تحديد جريان الاستصحاب بارتفاع موضوعه، ونتيجته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الاستصحاب بارتفاع موضوعه؛ ومع وجود اليقين فلا يبقى الشكّ، الذي هو موضوع الاستصحاب، فيشكل القول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بعدما عرفت من الفرق بين الورود والحكومة، وأنّ معنى الورود هو أن يكون الدليل رافعاً لموضوع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الحكومة فهي أن يكون أحد الدليلين ناظراً إلى الآخر، فقد يقال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دليل الأمارة لا نظر فيه إلى دليل الاستصحاب في مقام الإثبات، </w:t>
      </w:r>
    </w:p>
    <w:p>
      <w:pPr>
        <w:pStyle w:val="BookText"/>
        <w:rPr/>
      </w:pPr>
      <w:r>
        <w:rPr>
          <w:rFonts w:ascii="Amiri" w:hAnsi="Amiri" w:eastAsia="Amiri" w:cs="Amiri"/>
          <w:color w:val="111111"/>
          <w:sz w:val="28"/>
          <w:sz w:val="28"/>
          <w:szCs w:val="28"/>
          <w:rtl w:val="true"/>
          <w:lang w:bidi="ar-SA"/>
        </w:rPr>
        <w:t>وإن كان دالّاً على إلغاء الاستصحاب معها في عالم الثبوت والواقع؛ للتنافي بين لزوم العمل بها وبين العمل به لو كان الاستصحاب على خلافها، ولكنّ هذا المعنى، كما أنّه يكون موجوداً في طرف الأمارة، فكذلك هو موجود في طرف الاستصحاب لمنافاة وجوب العمل به مع العمل بها لو كانت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إنّما يتمّ فيما لو كان الاستصحاب مخالفاً للأمارة، دون ما إذا كان موافقاً لها؛ لأنّه لا منافاة بين وجوب العمل بها وبين العمل به، فيلزم منه اختصاص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الاستصحاب مخالفاً للأمارة، مع أنّالأمارة عندهم تكون مقدّمة عليه مطلقاً، بلا فرق بين صورتي الخلاف والوفاق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بالورود، وفاقاً لصاحب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دليل الأمارة لا نظر له بمدلوله اللّفظيّ إلى دليل الاستصحاب أصلاً حتى يكون مفسّراً له، فلا يكون من 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كما تكون واردة على الاستصحاب، فإنّ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وارداً على بقيّة الاُصول، من البراءة والاشتغال والتخيير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وروده على البراءة الشرعيّة ورود تعبّديّ، بمعنى كونه رافعاً لموضوعها، الذي هو الشك، رفعاً شرعيّاً، لا حقيقيّاً؛ لأنّ الشكّ باقٍ معه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وروده على الاُصول العقليّة الثلاثة فإنّه يكون وروداً </w:t>
      </w:r>
    </w:p>
    <w:p>
      <w:pPr>
        <w:pStyle w:val="BookText"/>
        <w:rPr/>
      </w:pPr>
      <w:r>
        <w:rPr>
          <w:rFonts w:ascii="Amiri" w:hAnsi="Amiri" w:eastAsia="Amiri" w:cs="Amiri"/>
          <w:color w:val="111111"/>
          <w:sz w:val="28"/>
          <w:sz w:val="28"/>
          <w:szCs w:val="28"/>
          <w:rtl w:val="true"/>
          <w:lang w:bidi="ar-SA"/>
        </w:rPr>
        <w:t xml:space="preserve">حقيقيّاً؛ لارتفاع موضوعها بالاستصحاب واقعاً، فببركة الاستصحاب يرتفع اللّابيان، الذي هو موضوع البراءة العقليّة، وينقلب إلى بيان، كما يرتفع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الأمن من العقوبة، الذي هو موضوع قاعدة الاحتياط، فإنّه بعد جريان الاستصحاب ينقلب إلى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الترجيح، الذي هو موضوع حكم العقل بالتخيير في دوران الأمر بين المحذورين، وينقلب إلى الترجيح،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بأنّ صلاة الجمعة هي إمّا واجبة أو محرّمة، فبعدما كانت الحالة هي الوجوب، يجرياستصحابه،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العقل بالتخيير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بحكومة الأمارات على الاستصحاب، نجده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الاستصحاب على البراءة الشرعيّة، ولا يقول بالتخيير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الأصل السببيّ على المسبّبيّ باُمور أربعة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السببيّ عن شمول العامّ للمسبّبيّ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بتقديم السببيّ على المسبّبي لكان الاستصحاب قليل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عدم الاعتبار باليقين السابق في المسبّبيّ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من بين هذه الوجوه الأربعة إنّما هو الوجه الثاني، وذلك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لليقين والشكّ في السببيّ، وبشموله لهما، يكون مانعاً من شموله لليقين والشكّ في المسبّبيّ؛ لأنّ اليقين فيه قد ارتفع بالدليل، فلا يكون في المسبّبيّ نقض لليقين بالشكّ، بل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إذا قلنا بشموله لليقين والشكّ في المسبّبيّ، كان مستلزماً لنقض اليقين بالشكّ في السببيّ، دون ما يخرجه عن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ومرجع ذلك إلى 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ما هذا لفظه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السبب والمسبّب، وإن كان مورداً للاستصحاب، إلّا أنّ الاستصحاب في الأوّل بلا محذور، بخلافه في الثاني، ففيه محذور التخصيص بلا وجه إلّا بنحو محال، فاللّازم الأخذ بالاستصحاب السببيّ، نعم، لو لم يجرِ هذا الاستصحاب بوجهٍ، لكان الاستصحاب المسبّبي </w:t>
      </w:r>
    </w:p>
    <w:p>
      <w:pPr>
        <w:pStyle w:val="BookText"/>
        <w:rPr/>
      </w:pPr>
      <w:r>
        <w:rPr>
          <w:rFonts w:ascii="Amiri" w:hAnsi="Amiri" w:eastAsia="Amiri" w:cs="Amiri"/>
          <w:color w:val="111111"/>
          <w:sz w:val="28"/>
          <w:sz w:val="28"/>
          <w:szCs w:val="28"/>
          <w:rtl w:val="true"/>
          <w:lang w:bidi="ar-SA"/>
        </w:rPr>
        <w:t>جارياً، فإنّه لا محذور فيه حينئذٍ مع وجود أركانه وعموم خطابه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أخذنا بجانب السببيّ، فإنّه لا يلزم منه شيء سوى نقض اليقين باليقين، وهو ليس بمحذور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أخذنا بجانب المسبّبيّ، فإنّه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التخصيص بلا مخصّص، أو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نجاسة الثوب، وغسله بالماء المشكوك الطهارة، فإن أخذنا باستصحاب طهارة الماء وبنينا على طهارة الثوب المغسول به، فلا يكون هناك سوى نقض اليقين السابق بنجاسة الثوب باليقين بطهارة الماء طهارة ظاهريّةً ناشئة من استصحاب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أخذنا باستصحاب نجاسة الثوب المغسول بماء شكّ في بقاء طهارته، فإن رفعنا اليد عن طهارة الماء بدون ما يخرجه عن تحت دليل الاستصحاب، كان من التخصيص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رفعنا اليد عنه لأجل كون استصحاب نجاسة الثوب مخصّصاً له، كان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مخصّصية المسبّبيّ للسببيّ ممّا يتوقّف على اعتباره معه، واعتباره معه ممّا يتوقّف على مخصّصيته له، وإلّا، لكان السببيّ وارداً عليه، وهو دور ومحال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الأصل السببيّ رافع لموضوع الأصل المسبّبيّ، وهو </w:t>
      </w:r>
      <w:bookmarkStart w:id="189" w:name="pg15437_354956"/>
    </w:p>
    <w:p>
      <w:pPr>
        <w:pStyle w:val="BookText"/>
        <w:rPr/>
      </w:pPr>
      <w:bookmarkEnd w:id="189"/>
      <w:r>
        <w:rPr>
          <w:rFonts w:ascii="Amiri" w:hAnsi="Amiri" w:eastAsia="Amiri" w:cs="Amiri"/>
          <w:color w:val="111111"/>
          <w:sz w:val="28"/>
          <w:sz w:val="28"/>
          <w:szCs w:val="28"/>
          <w:rtl w:val="true"/>
          <w:lang w:bidi="ar-SA"/>
        </w:rPr>
        <w:t xml:space="preserve">الشكّ، ولو من قبل الشرع، لا العقل، 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لجريان الأصل المسبّبيّ، لورود السببيّ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يجرِ الأصل السببيّ لسبب من الأسباب،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النوبة إلى الأصل المسبّبيّ، كما إذا فرض عدم جريان استصحاب طهارة الماء لوقوعه طرفاً لعلم إجماليّ، فإنّه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المسبّبيّ، وهو استصحاب نجاسة الثوب المغسول به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974527_2142443653"/>
      <w:bookmarkStart w:id="191" w:name="_Toc70"/>
      <w:bookmarkEnd w:id="190"/>
      <w:r>
        <w:rPr>
          <w:rtl w:val="true"/>
        </w:rPr>
        <w:t xml:space="preserve">الأمر الخامس </w:t>
      </w:r>
      <w:r>
        <w:rPr>
          <w:rtl w:val="true"/>
        </w:rPr>
        <w:t>:</w:t>
      </w:r>
      <w:r>
        <w:rPr>
          <w:rtl w:val="true"/>
        </w:rPr>
        <w:t>في تعارض الاستصحابين</w:t>
      </w:r>
      <w:r>
        <w:rPr>
          <w:rtl w:val="true"/>
        </w:rPr>
        <w:t>:</w:t>
      </w:r>
      <w:bookmarkEnd w:id="191"/>
    </w:p>
    <w:p>
      <w:pPr>
        <w:pStyle w:val="BookText"/>
        <w:rPr/>
      </w:pPr>
      <w:r>
        <w:rPr>
          <w:rFonts w:ascii="Amiri" w:hAnsi="Amiri" w:eastAsia="Amiri" w:cs="Amiri"/>
          <w:color w:val="111111"/>
          <w:sz w:val="28"/>
          <w:sz w:val="28"/>
          <w:szCs w:val="28"/>
          <w:rtl w:val="true"/>
          <w:lang w:bidi="ar-SA"/>
        </w:rPr>
        <w:t>إذا تعارض الاستصحابان، ولم يكن أحدهما من آثار الآخر، كما إذا كان الاستصحابان عرْضيّين، كاستصحاب طهارة الإناءين مع العلم الإجماليّ بنجاسة أحدهما، فإنّالاستصحابين لا يجريان معاً؛ لتنجّز العلم الإجماليّ ولزوم المخالفة القطعيّة بجريانهما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الاستصحاب في بعض الأطراف دون الأطراف الأُخرى؛ لاستلزامه الوقوع في المخالفة الاحتماليّة، وقد تقدّم في محلّه حرمة المخالفة القطعيّة ووجوب الموافقة القطعيّة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الأصلان في أطراف علم إجماليّ بتكليف فعليّ، بحيث لو أجرينا الأصلين معاً لم يلزم مخالفة قطعيّة، وإذا جرى أحدهما دون الآخر لم يلزم مخالفة 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استصحابي النجاسة في أطراف العلم الإجماليّ بالطهارة، أو كإجراء الأصلين في دوران الأمر بين </w:t>
      </w:r>
      <w:bookmarkStart w:id="192" w:name="pg15437_354957"/>
    </w:p>
    <w:p>
      <w:pPr>
        <w:pStyle w:val="BookText"/>
        <w:rPr/>
      </w:pPr>
      <w:bookmarkEnd w:id="192"/>
      <w:r>
        <w:rPr>
          <w:rFonts w:ascii="Amiri" w:hAnsi="Amiri" w:eastAsia="Amiri" w:cs="Amiri"/>
          <w:color w:val="111111"/>
          <w:sz w:val="28"/>
          <w:sz w:val="28"/>
          <w:szCs w:val="28"/>
          <w:rtl w:val="true"/>
          <w:lang w:bidi="ar-SA"/>
        </w:rPr>
        <w:t xml:space="preserve">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الأصلان جميعاً؛ وذلك لوجود المقتضي وفقد المانع، كما هو ظاهر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974529_2142443653"/>
      <w:bookmarkStart w:id="194" w:name="_Toc71"/>
      <w:bookmarkEnd w:id="193"/>
      <w:r>
        <w:rPr>
          <w:rtl w:val="true"/>
        </w:rPr>
        <w:t>الأمر السادس</w:t>
      </w:r>
      <w:r>
        <w:rPr>
          <w:rtl w:val="true"/>
        </w:rPr>
        <w:t xml:space="preserve">: </w:t>
      </w:r>
      <w:r>
        <w:rPr>
          <w:rtl w:val="true"/>
        </w:rPr>
        <w:t>تقدّم التجاوز والفراغ وأصالة الصحّة على الاستصحاب بالتخصيص</w:t>
      </w:r>
      <w:r>
        <w:rPr>
          <w:rtl w:val="true"/>
        </w:rPr>
        <w:t>:</w:t>
      </w:r>
      <w:bookmarkEnd w:id="194"/>
    </w:p>
    <w:p>
      <w:pPr>
        <w:pStyle w:val="BookText"/>
        <w:rPr/>
      </w:pPr>
      <w:r>
        <w:rPr>
          <w:rFonts w:ascii="Amiri" w:hAnsi="Amiri" w:eastAsia="Amiri" w:cs="Amiri"/>
          <w:color w:val="111111"/>
          <w:sz w:val="28"/>
          <w:sz w:val="28"/>
          <w:szCs w:val="28"/>
          <w:rtl w:val="true"/>
          <w:lang w:bidi="ar-SA"/>
        </w:rPr>
        <w:t>قد يدّعى تقديم هذه القواعد على الاستصحاب؛ لتخصيص أدلّتها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القاعدتين وأمثالهما، إن كانت من الأمارات، فيكون تقدّمها على الاستصحاب بمناط الحكومة، طبقاً لمبناه القاضي بتقديم الأمارات على الاستصحاب بالحكومة، وإن كانت من الاُصول شرعيّة، فيكون تقدّمها على الاستصحاب بالتخصيص، إلّا في أصالة الصحّة، فقد تنظّر في تقديمها على الاستصحاب الموضوعيّالذي في مورده من استصحاب عدم الإتيان بالجزء أو الشرط ونحوه، ولم يقل بتقديمها عليه بالتخصيص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الكلام في المقام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الاستصحاب لبعض الأمارات التي يتراءى كونها من الاُصول، كاليد ونحوها، يعني التجاوز والفراغ وأصل الصحّة في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 مسائل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ممّا لا يعارضها الاستصحاب بل هي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إن قلنا بكونها من الأمارات المنصوبة دليلاً على الملكيّة، من حيث كون الغالب في مواردها كون صاحب اليد مالكاً أو نائباً عنه، وأنّ اليد المستقلّة غير المالكيّة قليلة بالنسبة إليها، وأنّ الشارع إنّما اعتبر هذه الغلبة تسهيلاً على العباد، فلا إشكال في تقديمها على الاستصحاب، على ما عرفت من حكومة أدلّة الأمارات على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غير كاشفة بنفسها على الملكيّة، أو أنّها كاشفة لكنّ اعتبار الشارع لها ليس من هذه الحيثيّة، بل جعلها في محلّ الشكّ تعبّداً؛ لتوقّف استقامة نظام معاملات العباد على اعتبارها، نظير أصالة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فاليد على تقدير كونها من الاُصول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الاستصحاب، وإن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 الظنيّة؛ لأنّ الشارع نصبها في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دليلها أخصّ من عمومات الاستصحاب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أصالة الصحّة في العمل عند الفراغ عنه لا يعارَض بها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من الأمارات، كما يشعر به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بعض روايات ذلك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لأنّها وان كانت من الاُصول، إلّا أنّ الأمر بالأخذ بها في مورد الاستصحاب يدلّ على تقديمها عليه، فهي خاصّة بالنسبة إليه، يخصَّص بأدلّتها أدلّته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الكلام طويلاً في تحقيق قاعدة التجاوز والفراغ، إلى أن وصل به الكلام إلى أصالة الصحّة في فعل الغير وتحقيق حالها، فذكر في جملة ما ذكره تنبيهات عدّة،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ورود هذا الأصل على الاستصحاب،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تقدّمه على استصحاب الفساد وما في معناه، فواضح</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هذا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الصحّة أصل سببيّ، وأمّا أصل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الأثر عقيب الفعل المشكوك في تأثيره فهو مسبّبيّ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تقديمه على الاستصحاب الموضوعيّة المترتّب عليها الفساد، كأصالة عدم البلوغ وعدم اختيار المبيع بالرؤية أو الكيل أو الوزن، فقد اضطربت فيه كلمات الأصحاب، خصوصاً العلّامة وبعض 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جعلنا هذا الأصل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 جماعة،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تقديمه على تلك الاستصحابات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تقديمه على الاستصحاب الموضوعيّ نظر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5437_354962"/>
      <w:bookmarkStart w:id="196" w:name="pg15437_354962"/>
      <w:bookmarkEnd w:id="196"/>
    </w:p>
    <w:p>
      <w:pPr>
        <w:pStyle w:val="Heading2"/>
        <w:numPr>
          <w:ilvl w:val="1"/>
          <w:numId w:val="1"/>
        </w:numPr>
        <w:rPr/>
      </w:pPr>
      <w:bookmarkStart w:id="197" w:name="pg15437_354962"/>
      <w:bookmarkStart w:id="198" w:name="__RefHeading___Toc6974531_2142443653"/>
      <w:bookmarkStart w:id="199" w:name="_Toc72"/>
      <w:bookmarkEnd w:id="197"/>
      <w:bookmarkEnd w:id="198"/>
      <w:r>
        <w:rPr>
          <w:rtl w:val="true"/>
        </w:rPr>
        <w:t>قاعدة القرعة</w:t>
      </w:r>
      <w:bookmarkEnd w:id="199"/>
    </w:p>
    <w:p>
      <w:pPr>
        <w:pStyle w:val="BookText"/>
        <w:rPr/>
      </w:pPr>
      <w:r>
        <w:rPr>
          <w:rFonts w:ascii="Amiri" w:hAnsi="Amiri" w:eastAsia="Amiri" w:cs="Amiri"/>
          <w:color w:val="111111"/>
          <w:sz w:val="28"/>
          <w:sz w:val="28"/>
          <w:szCs w:val="28"/>
          <w:rtl w:val="true"/>
          <w:lang w:bidi="ar-SA"/>
        </w:rPr>
        <w:t>وأمّا بالنسبة إلى قاعدة القرعة فالاستصحاب مقدّم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هنا من البحث في أنّ هذه القاعدة هل تجري مطلقاً، أم أنّها لا تجري إلّا في موارد خاصّة،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الموارد التي أجراها فيها الأصحاب؟</w:t>
      </w:r>
    </w:p>
    <w:p>
      <w:pPr>
        <w:pStyle w:val="BookText"/>
        <w:rPr/>
      </w:pPr>
      <w:r>
        <w:rPr>
          <w:rFonts w:ascii="Amiri" w:hAnsi="Amiri" w:eastAsia="Amiri" w:cs="Amiri"/>
          <w:color w:val="111111"/>
          <w:sz w:val="28"/>
          <w:sz w:val="28"/>
          <w:szCs w:val="28"/>
          <w:rtl w:val="true"/>
          <w:lang w:bidi="ar-SA"/>
        </w:rPr>
        <w:t>وقد استدلّ لهذه القاعدة بأدلّة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الكتاب العزيز،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إِذْ يُلْقُون أَقْلاَمَهُمْ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يَكْفُلُ مَرْيَمَ</w:t>
      </w:r>
      <w:r>
        <w:rPr>
          <w:rStyle w:val="FootnoteAnchor"/>
          <w:rtl w:val="true"/>
        </w:rPr>
        <w:footnoteReference w:id="18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الْمُدْحَضِينَ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عن العترة الطاهرة، كخبر دعائم الإسلام عن أمير المؤمنين وأبي جعفر وأبي عبد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أوجبوا الحكم بالقرعة فيما أشكل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ورواية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مجهول ففيه القرعة،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وتصيب،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حكم اﷲ به فليس بمخطئ</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والروايات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اشتهر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لكلّ أمر مشكل</w:t>
      </w:r>
      <w:r>
        <w:rPr>
          <w:rStyle w:val="FootnoteAnchor"/>
          <w:rtl w:val="true"/>
        </w:rPr>
        <w:footnoteReference w:id="185"/>
      </w:r>
      <w:r>
        <w:rPr>
          <w:rFonts w:ascii="Amiri" w:hAnsi="Amiri" w:eastAsia="Amiri" w:cs="Amiri"/>
          <w:color w:val="111111"/>
          <w:sz w:val="28"/>
          <w:sz w:val="28"/>
          <w:szCs w:val="28"/>
          <w:rtl w:val="true"/>
          <w:lang w:bidi="ar-SA"/>
        </w:rPr>
        <w:t>، أو القرعة لكلّ أمرٍ مجهول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أنّه أحد من الإماميّة الاثني عشريّة ما ادّعى عدم اعتباره بنحو السلب الكلّيّ، فهذا الشهيد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التعادل والتراجيح من مقدّمته في اشتباه القبلة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السيّد رضيّ الدين بن طاووس هنا إلى الرجوع إلى القرعة، استضعافاً لمستند وجوب الصلاة إلى أربع، وهو حسن،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القرعة الواردة لكل أمر مشتبه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إدريس في كتاب القضاء من السرائر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ولد مولود ليس له ما للرجال، ولا ما للنساء، أُقرع عليه، فإن خرج سهم الرجال أُلحق بهم، وورث ميراثهم، وإن خرج سهم النساء أُلحق بهنّ، وورث ميراثهنّ، وكل أمر مشكل مجهول يشتبه الحكم فيه فينبغي أن يستعمل فيه القرعة؛ لما روي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وتواترت به الآثار، وأجمعت عليه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المحقّق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الإجماع، فثبوته في مشروعيّة القرعة وكونها مرجعاً للتميّز والمعرفة في الجملة ممّا لا شكّ فيه ولا شبهة تعتريه، كما يظهر لكلّ من تتبّع كلمات المتقدّمين والمتأخّرين في كثير من أبواب الفقه، فإنّهم يراهم مجتمعين على العمل بها، وبناء الأمر عليها طرّاً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الآشتياني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أصل مشروعيّة القرعة فهو ممّا لا خلاف فيه بين المسلمين، بل إجماعهم عليه بحيث لا يرتاب فيه ذو مسكة، ويكفي في القطع بتحقّق الإجماع ملاحظة الإجماعات المتواترة المنقولة في ذلك من زمان الشيخين إلى زماننا هذا، كما هو واضح لمن راجع كلماتهم، بل يمكن </w:t>
      </w:r>
    </w:p>
    <w:p>
      <w:pPr>
        <w:pStyle w:val="BookText"/>
        <w:rPr/>
      </w:pPr>
      <w:r>
        <w:rPr>
          <w:rFonts w:ascii="Amiri" w:hAnsi="Amiri" w:eastAsia="Amiri" w:cs="Amiri"/>
          <w:color w:val="111111"/>
          <w:sz w:val="28"/>
          <w:sz w:val="28"/>
          <w:szCs w:val="28"/>
          <w:rtl w:val="true"/>
          <w:lang w:bidi="ar-SA"/>
        </w:rPr>
        <w:t>دعوى الضرورة الفقهائيّة عليه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إجماعات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مظنونة، بل مقطوعة المدركيّة، ومدركها إنّما هو الآيات والروايات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 هذه القاعدة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فيه في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تقع القرعة مطلقاً فيما كان له واقع معيّن في الواقع وعالم الثبوت، أو لا تقع إلّا فيما لم يكن له واقع معيّن فيعالم الثبوت،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زوجاتي طالق، أو أحد عبيدي حرّ؟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مختصّة بالشبهات الموضوعيّة أم تشمل الحكميّة أيضاً؟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مختصّة بصورة المنازعة أم لا، بل تشمل موارد لا نزاع فيها ولا قضاء؟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العناوين العامّة الواردة في أدلّة القرعة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المجهول، وعنوان المشتبه، وعنوان المشكل، وعنوان الملتبس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المجهول والمشتبه، ولو كان لهما عموم بحسب المفهوم بحيث إنّ مفهوميهما يشمل الشبهة بصورها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والموضوعيّة، سواء كانتا بدويّة أو مقرونة بالعلم الإجماليّ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التتبّع في موارد تلك الروايات والتأمّل فيها والعلّة التي ذكرها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قضيّة أعدل من القرعة إذا فوّضوا أمرهم إلى اﷲ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يوجب الاطمئنان بأنّ المراد من هذه العناوين الأربعة هو المجهول والمشتبه الذي في الشبهة الموضوعيّة المقرونة بالعلم الإجماليّ إذا كان من المشكلات والمعضلات التي لا طريق إلى إثباتها، وكان الاحتياط إمّا ليس بممكن، أو يوجب العسر والحرج، أو نعلم بأنّ الشارع ما أوجب الاحتياط فيها، ففي مثل هذا المورد شرّع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بين أن يكون المشتبه من حقوق اﷲ أو من حقوق الناس، ولا بين أن يكون له واقع معيّن في عالم الثبوت والقرعة واسطة ودليلاً في عالم الإثبات، أو لم يكن له واقع معيّن في عالم الثبوت والقرعة واسطة في الثبوت، كما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زوجاتي طالق، أو أحد عبيدي حرّ، بناءً على صحّة مثل هذا الطلاق، ومثل هذا العتق</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عدم شمولها للحكميّة، حيث اختصّ العمل عند العقلاء والعرف بالشبهة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الحقّ معه في جريان القاعدة بلا فرق بين ما إذا كان الشيء له واقع معيّن في عالم الثبوت أم لم يكن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عامّة وغير مختصّة بباب المنازعات وباب الحقوق </w:t>
      </w:r>
    </w:p>
    <w:p>
      <w:pPr>
        <w:pStyle w:val="BookText"/>
        <w:rPr/>
      </w:pPr>
      <w:r>
        <w:rPr>
          <w:rFonts w:ascii="Amiri" w:hAnsi="Amiri" w:eastAsia="Amiri" w:cs="Amiri"/>
          <w:color w:val="111111"/>
          <w:sz w:val="28"/>
          <w:sz w:val="28"/>
          <w:szCs w:val="28"/>
          <w:rtl w:val="true"/>
          <w:lang w:bidi="ar-SA"/>
        </w:rPr>
        <w:t>والقضاء، وإن تخيّل البعض أنّها لكونه من مدارك القضاء الشرعيّ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 هذه القاعدة تجري في مثل الغنم الموطوء المشتبه في قطيع الغنم، وإن كان مقتضى القاعدة في باب العلم الإجماليّ هو لابدّيّة الاجتناب عن الكلّ، ووجوب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قلنا هنا بالاحتياط، فإنّه يكون سبباً لتضييع المال الكثير الذي هو غير متحمّل عادةً، وبعد فرض عدم إمكان تعيين الموطوء، كذا لا يمكن الحكم بحرمة لحم الجميع، وما يترتّب على ذلك، كوجوب إحراق الجميع، فكان ذلك داعياً للشارع لتشريع القرعة، بعدما كان الاحتياط مشكلاً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مختصّاً بباب القضاء، فلماذا ذكروها هناك؟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أكثر مواردها في باب المنازعات والحقوق فلأجل ذلك ذكروها هناك، وهذا لا يدلّ على اختصاصها بذلك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جريانها في مثل اشتباه الموطوءة بغيرها، مع أنّه ليس من باب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القرعة إنّما هو الشبهة الموضوعيّة المقرونة بالعلم الإجماليّ، التي يكون الاحتياط فيها غير ممكن، أو غير جائز، وإن كان ممكناً، أو غير واجب، وليس هناك من أصل أو أمارة موافقة للمعلوم بالإجمال كي يكون موجباً لانحلاله، مع عدم إمكان تعيّن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فهل هي مقدّمة على الاستصحاب أم 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من الأمارات كما هو ظاهر كثير من الروايات، كما روي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قوم تنازعوا، ثمّ فوّضوا أمرهم إلى اﷲ، إلّا خرج سهم المحقّ</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اﷲ به فليس بمخطئ</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الاستصحاب، شأنها في ذلك شأن 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بأنّه تقع المعارضة بينها وبين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المعارضة بينهما أصلاً؛ لأنّ قاعدة القرعة لا تجري في مورد الشبهة الحكميّة البدويّة، ولا الشبهة الحكميّة المقرونة بالعلم الإجماليّ، ولا الموضوعيّة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يختصّ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بالشبهة الموضوعيّة المقرونة بالعلم الإجماليّ، وهي وإن كانت ممّا يجري فيها الاستصحاب في حدّ ذاتها، إلّا أنّه غالباً يسقط فيها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القرعة من الاُصول، فبما أنّها من أضعف الاُصول، فيتقدّم عليها الاستصحاب؛ لأنّ تشريعها إنّما يكون في مورد لا حيلة فيه ولا علاج؛ لحلّ المشكل والملتبس، ومن هنا قيّدنا موردها بما إذا لم يكن الاحتياط ممكناً أو جائزاً أو واجباً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بناءً على أماريّة قاعدة القرعة، يمكن القول بتقديم الاستصحاب عليها، فإنّه وإن كنّا نقول بأنّ الأمارات واردة أو حاكمة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الاُصول، إلّا أنّ ذلك إنّما يتمّ بعد تحقّق موضوع الأمارة، وأمّا إذا كان الأصل، كما هو الحال هنا، رافعاً لموضوع التعبّد بها، فلا، وفيما نحن فيه، فالاستصحاب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سقوطه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رافعاً لموضوع القرعة، وهو كون الأمر مشكلاً ومعضلاً</w:t>
      </w:r>
      <w:r>
        <w:rPr>
          <w:rFonts w:eastAsia="Amiri" w:cs="Amiri" w:ascii="Amiri" w:hAnsi="Amiri"/>
          <w:color w:val="111111"/>
          <w:sz w:val="28"/>
          <w:szCs w:val="28"/>
          <w:rtl w:val="true"/>
          <w:lang w:bidi="ar-SA"/>
        </w:rPr>
        <w:t xml:space="preserve">. </w:t>
      </w:r>
      <w:bookmarkStart w:id="200" w:name="pg15437_354970"/>
    </w:p>
    <w:p>
      <w:pPr>
        <w:pStyle w:val="Heading2"/>
        <w:numPr>
          <w:ilvl w:val="1"/>
          <w:numId w:val="1"/>
        </w:numPr>
        <w:rPr/>
      </w:pPr>
      <w:bookmarkStart w:id="201" w:name="__RefHeading___Toc6974533_2142443653"/>
      <w:bookmarkStart w:id="202" w:name="_Toc73"/>
      <w:bookmarkEnd w:id="200"/>
      <w:bookmarkEnd w:id="201"/>
      <w:r>
        <w:rPr>
          <w:rtl w:val="true"/>
        </w:rPr>
        <w:t>الكلام في أصالة الصحّة</w:t>
      </w:r>
      <w:bookmarkEnd w:id="202"/>
    </w:p>
    <w:p>
      <w:pPr>
        <w:pStyle w:val="Heading3"/>
        <w:numPr>
          <w:ilvl w:val="2"/>
          <w:numId w:val="1"/>
        </w:numPr>
        <w:rPr/>
      </w:pPr>
      <w:bookmarkStart w:id="203" w:name="__RefHeading___Toc6974535_2142443653"/>
      <w:bookmarkStart w:id="204" w:name="_Toc74"/>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والكلام فيها في اُمور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974537_2142443653"/>
      <w:bookmarkStart w:id="206" w:name="_Toc75"/>
      <w:bookmarkEnd w:id="205"/>
      <w:r>
        <w:rPr>
          <w:rtl w:val="true"/>
        </w:rPr>
        <w:t>الأمر الأوّل</w:t>
      </w:r>
      <w:r>
        <w:rPr>
          <w:rtl w:val="true"/>
        </w:rPr>
        <w:t>:</w:t>
      </w:r>
      <w:bookmarkEnd w:id="206"/>
    </w:p>
    <w:p>
      <w:pPr>
        <w:pStyle w:val="BookText"/>
        <w:rPr/>
      </w:pPr>
      <w:r>
        <w:rPr>
          <w:rFonts w:ascii="Amiri" w:hAnsi="Amiri" w:eastAsia="Amiri" w:cs="Amiri"/>
          <w:color w:val="111111"/>
          <w:sz w:val="28"/>
          <w:sz w:val="28"/>
          <w:szCs w:val="28"/>
          <w:rtl w:val="true"/>
          <w:lang w:bidi="ar-SA"/>
        </w:rPr>
        <w:t>هل أصالة الصحّة وقاعدة الفراغ شيء واحد أم لا؟</w:t>
      </w:r>
    </w:p>
    <w:p>
      <w:pPr>
        <w:pStyle w:val="BookText"/>
        <w:rPr/>
      </w:pPr>
      <w:r>
        <w:rPr>
          <w:rFonts w:ascii="Amiri" w:hAnsi="Amiri" w:eastAsia="Amiri" w:cs="Amiri"/>
          <w:color w:val="111111"/>
          <w:sz w:val="28"/>
          <w:sz w:val="28"/>
          <w:szCs w:val="28"/>
          <w:rtl w:val="true"/>
          <w:lang w:bidi="ar-SA"/>
        </w:rPr>
        <w:t>ذهب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لأنّه أرجعهما إلى أصالة الصحّة في عمل نفسه وعمل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أنّهما مختلفتان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الموضوع؛ فإنّ موضوع قاعدة الفراغ هو الشكّ الحادث بعد العمل، ويكون في 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الصحّة فالشكّ فيها في عمل الغير، أعمّ من أن يكون بعد الفراغ من العمل، أو أثناء مباشرة العمل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منشأ الشكّ؛ فإنّ الشكّ في موارد قاعدة الفراغ </w:t>
      </w:r>
      <w:bookmarkStart w:id="207" w:name="pg15437_354971"/>
    </w:p>
    <w:p>
      <w:pPr>
        <w:pStyle w:val="BookText"/>
        <w:rPr/>
      </w:pPr>
      <w:bookmarkEnd w:id="207"/>
      <w:r>
        <w:rPr>
          <w:rFonts w:ascii="Amiri" w:hAnsi="Amiri" w:eastAsia="Amiri" w:cs="Amiri"/>
          <w:color w:val="111111"/>
          <w:sz w:val="28"/>
          <w:sz w:val="28"/>
          <w:szCs w:val="28"/>
          <w:rtl w:val="true"/>
          <w:lang w:bidi="ar-SA"/>
        </w:rPr>
        <w:t>غالباً ما يكون ناشئاً عن الشكّ في الغفلة، وأمّا الغالب في موارد قاعدة الصحّة فهو أن يأتي الشكّ من جهة عدم مبالاة العامل وتسامحه، وبينهما بون شاسع كما لا يخفى</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974539_2142443653"/>
      <w:bookmarkStart w:id="209" w:name="_Toc76"/>
      <w:bookmarkEnd w:id="208"/>
      <w:r>
        <w:rPr>
          <w:rtl w:val="true"/>
        </w:rPr>
        <w:t>الأمر الثاني</w:t>
      </w:r>
      <w:r>
        <w:rPr>
          <w:rtl w:val="true"/>
        </w:rPr>
        <w:t>:</w:t>
      </w:r>
      <w:bookmarkEnd w:id="209"/>
    </w:p>
    <w:p>
      <w:pPr>
        <w:pStyle w:val="BookText"/>
        <w:rPr/>
      </w:pPr>
      <w:r>
        <w:rPr>
          <w:rFonts w:ascii="Amiri" w:hAnsi="Amiri" w:eastAsia="Amiri" w:cs="Amiri"/>
          <w:color w:val="111111"/>
          <w:sz w:val="28"/>
          <w:sz w:val="28"/>
          <w:szCs w:val="28"/>
          <w:rtl w:val="true"/>
          <w:lang w:bidi="ar-SA"/>
        </w:rPr>
        <w:t>استدلّ على حجّيّة هذه القاعدة بالكتاب والسنّة والإجماع والعقل والسيرة المستمرّة بين المسلمين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974541_2142443653"/>
      <w:bookmarkStart w:id="211" w:name="_Toc77"/>
      <w:bookmarkEnd w:id="210"/>
      <w:r>
        <w:rPr>
          <w:rtl w:val="true"/>
        </w:rPr>
        <w:t>أمّا الكتاب</w:t>
      </w:r>
      <w:r>
        <w:rPr>
          <w:rtl w:val="true"/>
        </w:rPr>
        <w:t>:</w:t>
      </w:r>
      <w:bookmarkEnd w:id="211"/>
    </w:p>
    <w:p>
      <w:pPr>
        <w:pStyle w:val="BookText"/>
        <w:rPr/>
      </w:pPr>
      <w:r>
        <w:rPr>
          <w:rFonts w:ascii="Amiri" w:hAnsi="Amiri" w:eastAsia="Amiri" w:cs="Amiri"/>
          <w:color w:val="111111"/>
          <w:sz w:val="28"/>
          <w:sz w:val="28"/>
          <w:szCs w:val="28"/>
          <w:rtl w:val="true"/>
          <w:lang w:bidi="ar-SA"/>
        </w:rPr>
        <w:t>فقد استدلّوا منه بآيات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194"/>
      </w:r>
      <w:r>
        <w:rPr>
          <w:rFonts w:ascii="IRNazanin" w:hAnsi="IRNazanin" w:eastAsia="IRNazanin"/>
          <w:color w:val="111111"/>
          <w:sz w:val="28"/>
          <w:sz w:val="28"/>
          <w:szCs w:val="28"/>
          <w:rtl w:val="true"/>
          <w:lang w:bidi="fa-IR"/>
        </w:rPr>
        <w:t>، 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للناس ما تحبّون أن يقال لكم</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اﷲ يبغض اللّعّان السبّاب الطعّان على المؤمنين، المتفحّش السائل الملحف، ويحبّ الحييّ الحليم العفيف المتعفّف</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تفسيرها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 ولا تقولوا إلّا خيراً حتى تعلموا ما هو؟</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بذلك ورتّبوا آثار الاعتقاد الصحيح </w:t>
      </w:r>
      <w:bookmarkStart w:id="212" w:name="pg15437_354972"/>
    </w:p>
    <w:p>
      <w:pPr>
        <w:pStyle w:val="BookText"/>
        <w:rPr/>
      </w:pPr>
      <w:bookmarkEnd w:id="212"/>
      <w:r>
        <w:rPr>
          <w:rFonts w:ascii="Amiri" w:hAnsi="Amiri" w:eastAsia="Amiri" w:cs="Amiri"/>
          <w:color w:val="111111"/>
          <w:sz w:val="28"/>
          <w:sz w:val="28"/>
          <w:szCs w:val="28"/>
          <w:rtl w:val="true"/>
          <w:lang w:bidi="ar-SA"/>
        </w:rPr>
        <w:t>حتى في معاملاتهم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محلّ البحث، بل هي غير مربوطة أصلاً بترتيب آثار الاعتقاد الصحيح، بل لو سُلِّم دلالتها على الأمر بترتيب الآثار، فهي إنّما تدلّ على ترتيب آثار الحسن لا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الظَّنِّ إِثْمٌ</w:t>
      </w:r>
      <w:r>
        <w:rPr>
          <w:rStyle w:val="FootnoteAnchor"/>
          <w:rtl w:val="true"/>
        </w:rPr>
        <w:footnoteReference w:id="198"/>
      </w:r>
      <w:r>
        <w:rPr>
          <w:rFonts w:ascii="Amiri" w:hAnsi="Amiri" w:eastAsia="Amiri" w:cs="Amiri"/>
          <w:color w:val="111111"/>
          <w:sz w:val="28"/>
          <w:sz w:val="28"/>
          <w:szCs w:val="28"/>
          <w:rtl w:val="true"/>
          <w:lang w:bidi="ar-SA"/>
        </w:rPr>
        <w:t>، فإنّ المقصود بالظنّ الذي هو إثم فيها خصوص ظنّ السوء ضرورة أنّ ظنّ الخير لا يكون إثماً، فيكون المراد النهي عن ترتيب آثار ظنّ السوء، بعد أن كان الظنّ غير قابل لتعلّق التكليف به،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يحمل عمله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لو كانت تدلّ على حرمة ترتيب الآثار فهي إنّما تدلّ على حرمة ترتيب آثار العمل السيِّئ ، لا العمل الفاسد، فيكون الاستدلال بها أجنبيّاً عن المدّعى</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974543_2142443653"/>
      <w:bookmarkStart w:id="214" w:name="_Toc78"/>
      <w:bookmarkEnd w:id="213"/>
      <w:r>
        <w:rPr>
          <w:rtl w:val="true"/>
        </w:rPr>
        <w:t>وأمّا السنّة</w:t>
      </w:r>
      <w:r>
        <w:rPr>
          <w:rtl w:val="true"/>
        </w:rPr>
        <w:t>:</w:t>
      </w:r>
      <w:bookmarkEnd w:id="214"/>
    </w:p>
    <w:p>
      <w:pPr>
        <w:pStyle w:val="BookText"/>
        <w:rPr/>
      </w:pPr>
      <w:r>
        <w:rPr>
          <w:rFonts w:ascii="Amiri" w:hAnsi="Amiri" w:eastAsia="Amiri" w:cs="Amiri"/>
          <w:color w:val="111111"/>
          <w:sz w:val="28"/>
          <w:sz w:val="28"/>
          <w:szCs w:val="28"/>
          <w:rtl w:val="true"/>
          <w:lang w:bidi="ar-SA"/>
        </w:rPr>
        <w:t>فقد استدلّوا منها بروايات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أخيك على أحسنه حتى يأتيك ما يقلبك عنه، ولا تظنّنّ بكلمةٍ خرجت من أخيك سوءاً وأنت تجد لها في الخير محملاً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15" w:name="pg15437_354973"/>
    </w:p>
    <w:p>
      <w:pPr>
        <w:pStyle w:val="BookText"/>
        <w:rPr/>
      </w:pPr>
      <w:bookmarkEnd w:id="215"/>
      <w:r>
        <w:rPr>
          <w:rFonts w:ascii="Amiri" w:hAnsi="Amiri" w:eastAsia="Amiri" w:cs="Amiri"/>
          <w:color w:val="111111"/>
          <w:sz w:val="28"/>
          <w:sz w:val="28"/>
          <w:szCs w:val="28"/>
          <w:rtl w:val="true"/>
          <w:lang w:bidi="ar-SA"/>
        </w:rPr>
        <w:t xml:space="preserve">ولكنّ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الأمر بحسن الظنّ والاعتقاد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والبناء على أنّ المراد بها هو وجوب ترتيب الآثار، فلا يكون المراد بها إلّا وجوب ترتيب آثار العمل الحسن لا الصحيح، فلا ربط لها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عمدة الدليل على هذا الأصل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 كافّةً، من جميع الملل، في جميع العصور، من أرباب جميع الأديان، من المسلمين وغيرهم، والشارع لم يردع عن هذه الطريقة، بل أمضاها كما هو مفاد الأخبار في أبواب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هذا الأصل معتبراً لا يمكن أن يقوم للمسلمين سوق، بل يوجب عدم اعتباره اختلال النظام، كما ادّعاه شيخنا الأعظم الأنصاريّ</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974545_2142443653"/>
      <w:bookmarkStart w:id="217" w:name="_Toc79"/>
      <w:bookmarkEnd w:id="216"/>
      <w:r>
        <w:rPr>
          <w:rtl w:val="true"/>
        </w:rPr>
        <w:t>الأمر الثالث</w:t>
      </w:r>
      <w:r>
        <w:rPr>
          <w:rtl w:val="true"/>
        </w:rPr>
        <w:t>:</w:t>
      </w:r>
      <w:bookmarkEnd w:id="217"/>
    </w:p>
    <w:p>
      <w:pPr>
        <w:pStyle w:val="BookText"/>
        <w:rPr/>
      </w:pPr>
      <w:r>
        <w:rPr>
          <w:rFonts w:ascii="Amiri" w:hAnsi="Amiri" w:eastAsia="Amiri" w:cs="Amiri"/>
          <w:color w:val="111111"/>
          <w:sz w:val="28"/>
          <w:sz w:val="28"/>
          <w:szCs w:val="28"/>
          <w:rtl w:val="true"/>
          <w:lang w:bidi="ar-SA"/>
        </w:rPr>
        <w:t>هل المراد من الصحّة هي الصحّة الواقعيّة أم الصحّة باعتقاد العامل؟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دون الثاني؛ لأنّ الصحّة التي يبني عليها العقلاء في المعاملات بعد وقوعها هي الصحّة الواقعيّة؛ لأنّ الذي يوجب ترتيب الأثر لدى جميع الناس هو خصوص الصحّة الواقعيّة؛ وأمّا اعتقاد الصحّة </w:t>
      </w:r>
      <w:bookmarkStart w:id="218" w:name="pg15437_354974"/>
    </w:p>
    <w:p>
      <w:pPr>
        <w:pStyle w:val="BookText"/>
        <w:rPr/>
      </w:pPr>
      <w:bookmarkEnd w:id="218"/>
      <w:r>
        <w:rPr>
          <w:rFonts w:ascii="Amiri" w:hAnsi="Amiri" w:eastAsia="Amiri" w:cs="Amiri"/>
          <w:color w:val="111111"/>
          <w:sz w:val="28"/>
          <w:sz w:val="28"/>
          <w:szCs w:val="28"/>
          <w:rtl w:val="true"/>
          <w:lang w:bidi="ar-SA"/>
        </w:rPr>
        <w:t>عند الفاعل، فلا يكون مثمراً للثمر، ولا يكون موجباً لترتيب آثار الصحّة عند سائر الناس، مع أنّنا نرى أنّ جميع الناس يرتّبون آثار هذا الفعل عليه بعد وقوعه من الفاعل، فإذا باع شخص داره، فإنّ الناس يحملونه على الصحّة الواقعيّة، ويرتّبون على فعله هذا آثار الصحّة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974547_2142443653"/>
      <w:bookmarkStart w:id="220" w:name="_Toc80"/>
      <w:bookmarkEnd w:id="219"/>
      <w:r>
        <w:rPr>
          <w:rtl w:val="true"/>
        </w:rPr>
        <w:t>الأمر الرابع</w:t>
      </w:r>
      <w:r>
        <w:rPr>
          <w:rtl w:val="true"/>
        </w:rPr>
        <w:t>:</w:t>
      </w:r>
      <w:bookmarkEnd w:id="220"/>
    </w:p>
    <w:p>
      <w:pPr>
        <w:pStyle w:val="BookText"/>
        <w:rPr/>
      </w:pPr>
      <w:r>
        <w:rPr>
          <w:rFonts w:ascii="Amiri" w:hAnsi="Amiri" w:eastAsia="Amiri" w:cs="Amiri"/>
          <w:color w:val="111111"/>
          <w:sz w:val="28"/>
          <w:sz w:val="28"/>
          <w:szCs w:val="28"/>
          <w:rtl w:val="true"/>
          <w:lang w:bidi="ar-SA"/>
        </w:rPr>
        <w:t xml:space="preserve">أنّ العقلاء إنّما يُجْرون هذا الأصل ويحملون على الصحّة فيما إذا كان عنوان العمل محرزاً؛ فإنّ بناء العقلاء قائم على أنّ العمل الصادر من الغير بعد صدوره بعنوان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فقد جزء، أو شرط، أو وجود المانع، يبنون على الصحّة، ولا يعتنون بذلك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يعلم أنّه هل قصد الغسل أو السباحة فليس لهم بناء على صحّة هذا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الحمل على الصحّة إنّما يتمّ في التوصّليّات، كالتطهير من الخبث، حتى لو لم يحرز أنّه بهذا العمل قصد تطهير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فلو رأى شخصاً يغسل ثوبه ولو لم يعلم بأنّه كان بصدد تطهير ذلك الثوب، وقلنا بأنّ الغسل شرط، وشككنا في أنّه هل عصره أم لا؟ فيمكن أن يحمل على الصحّة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التعبّديات، كما إذا شكّ في أنّه هل قصد الغسل أو السباحة، فليس بناؤهم على الصحّة؛ لما عرفت من أنّ هذا الأصل لا يجري إلّا </w:t>
      </w:r>
      <w:bookmarkStart w:id="221" w:name="pg15437_354975"/>
    </w:p>
    <w:p>
      <w:pPr>
        <w:pStyle w:val="BookText"/>
        <w:rPr/>
      </w:pPr>
      <w:bookmarkEnd w:id="221"/>
      <w:r>
        <w:rPr>
          <w:rFonts w:ascii="Amiri" w:hAnsi="Amiri" w:eastAsia="Amiri" w:cs="Amiri"/>
          <w:color w:val="111111"/>
          <w:sz w:val="28"/>
          <w:sz w:val="28"/>
          <w:szCs w:val="28"/>
          <w:rtl w:val="true"/>
          <w:lang w:bidi="ar-SA"/>
        </w:rPr>
        <w:t>بعد إحراز عنوان العمل؛ لأنّ قصد العنوان في العناوين القصديّة يكون بمنزلة الموضوع لهذا الأصل، ومعلوم أنّه لا معنى لإجراء هذا الأصل مع كون الشكّ شكّاً في موضوعه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974549_2142443653"/>
      <w:bookmarkStart w:id="223" w:name="_Toc81"/>
      <w:bookmarkEnd w:id="222"/>
      <w:r>
        <w:rPr>
          <w:rtl w:val="true"/>
        </w:rPr>
        <w:t>الأمر الخامس</w:t>
      </w:r>
      <w:r>
        <w:rPr>
          <w:rtl w:val="true"/>
        </w:rPr>
        <w:t>:</w:t>
      </w:r>
      <w:bookmarkEnd w:id="223"/>
    </w:p>
    <w:p>
      <w:pPr>
        <w:pStyle w:val="BookText"/>
        <w:rPr/>
      </w:pPr>
      <w:r>
        <w:rPr>
          <w:rFonts w:ascii="Amiri" w:hAnsi="Amiri" w:eastAsia="Amiri" w:cs="Amiri"/>
          <w:color w:val="111111"/>
          <w:sz w:val="28"/>
          <w:sz w:val="28"/>
          <w:szCs w:val="28"/>
          <w:rtl w:val="true"/>
          <w:lang w:bidi="ar-SA"/>
        </w:rPr>
        <w:t>أنّ هذا الأصل لا يجري إلّا بعد وجود الشيء،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على الميت، وشككنا في صحّة صلاته،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بعمل وشككنا بأنّه صحيح، أي تامّ من ناحية الأجزاء والشرائط وعدم الموانع ويترتّب عليه الأثر المقصود منه أم لا؟ فبمقتضى هذا الأصل نحكم بالصحّة، ويترتّب عليه الأثر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وجوده فلا معنى لأن يحكم عليه بالصحّة، ولا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يريد أن يأتي به صحيح وتامّ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أثناء عمل شخص بأنّ ما يأتي به هل هو صحيح أم لا؟ لا مورد لجريان أصالة الصحّة؛ فلو أراد رجل أن يصلّي على الميت، أو أن يغسّله، فلا يمكن إجراء أصالة الصحّة قبل وجود هذه المذكورات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أثناء العمل فبالنسبة إلى الأجزاء التي أتى بها يمكن جريان أصالة الصحّة، دون ما لم يأتِ بها، وهذا من جملة الفروق بين أصالة الصحّة وبين قاعدة الفراغ؛ فإنّه لا يشترط في جريان أصالة الصحّة الدخول في الغير، بخلاف قاعدة الفراغ، فإنّ الدخول في الغير يكون </w:t>
      </w:r>
      <w:bookmarkStart w:id="224" w:name="pg15437_354976"/>
    </w:p>
    <w:p>
      <w:pPr>
        <w:pStyle w:val="BookText"/>
        <w:rPr/>
      </w:pPr>
      <w:bookmarkEnd w:id="224"/>
      <w:r>
        <w:rPr>
          <w:rFonts w:ascii="Amiri" w:hAnsi="Amiri" w:eastAsia="Amiri" w:cs="Amiri"/>
          <w:color w:val="111111"/>
          <w:sz w:val="28"/>
          <w:sz w:val="28"/>
          <w:szCs w:val="28"/>
          <w:rtl w:val="true"/>
          <w:lang w:bidi="ar-SA"/>
        </w:rPr>
        <w:t>شرطاً في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السبب في ذلك إلى أنّ معنى أصالة الصحّة عند العقلاء هو أنّ العمل الذي صدر عن الغير، ويشكّ فيه أنّه أوجده صحيحاً تامّاً أم لا، فالعقلاء يبنون على صحّته وتماميّته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974551_2142443653"/>
      <w:bookmarkStart w:id="226" w:name="_Toc82"/>
      <w:bookmarkEnd w:id="225"/>
      <w:r>
        <w:rPr>
          <w:rtl w:val="true"/>
        </w:rPr>
        <w:t>الأمر السادس</w:t>
      </w:r>
      <w:r>
        <w:rPr>
          <w:rtl w:val="true"/>
        </w:rPr>
        <w:t>:</w:t>
      </w:r>
      <w:bookmarkEnd w:id="226"/>
    </w:p>
    <w:p>
      <w:pPr>
        <w:pStyle w:val="BookText"/>
        <w:rPr/>
      </w:pPr>
      <w:r>
        <w:rPr>
          <w:rFonts w:ascii="Amiri" w:hAnsi="Amiri" w:eastAsia="Amiri" w:cs="Amiri"/>
          <w:color w:val="111111"/>
          <w:sz w:val="28"/>
          <w:sz w:val="28"/>
          <w:szCs w:val="28"/>
          <w:rtl w:val="true"/>
          <w:lang w:bidi="ar-SA"/>
        </w:rPr>
        <w:t>في جريان هذا الأصل في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فيها تكون مقدَّمةً على أصالة الفساد، التي هي عبارة عن أصالة عدم النقل والانتقال في المعاملة، سواء قلنا بأنّ المدرك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سيرة العقلاء، أم الإجماع، ثمّ على الثاني، سواء قلنا بوجود إجماع آخر خاصّ بباب المعاملات، وهي العقود والإيقاعات، أم قلنا بتحقّق إجماع واحد مطلق يدلّ على اعتبارها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الكلام في أنّ جريانها في مورد الشكّ في صحّتها مطلقاً، سواء أكان الشكّ من جهة احتمال وقوع خلل في شرائط العقد أو في شرائط المتعاقدين أو في العوضين، أو لا يجري إلّا في مورد الشكّ في شرائط نفس العقد، دون شرائط المتعاقدين، أو العوضين، أو يجري فيما سوى الشروط العرفيّة للمتعاقدين أو العوضين؟ </w:t>
      </w:r>
    </w:p>
    <w:p>
      <w:pPr>
        <w:pStyle w:val="BookText"/>
        <w:rPr/>
      </w:pPr>
      <w:r>
        <w:rPr>
          <w:rFonts w:ascii="Amiri" w:hAnsi="Amiri" w:eastAsia="Amiri" w:cs="Amiri"/>
          <w:color w:val="111111"/>
          <w:sz w:val="28"/>
          <w:sz w:val="28"/>
          <w:szCs w:val="28"/>
          <w:rtl w:val="true"/>
          <w:lang w:bidi="ar-SA"/>
        </w:rPr>
        <w:t>فبناءً على الاحتمال الأوّل تكون حاكمة على كلّ أصل يقتضي فساد العقد، سواء كان ذلك الأصل المقتضي للفساد جارياً في شرائط العقد، أو في شرائط المتعاقدين، أو في شرائط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الاحتمال الثاني، تكون حاكمةً على الأصل الذي يقتضي الفساد الجاري في شرائط نفس العقد، دون ما يقتضي الفساد الجاري في شرائط المتعاقدين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الاحتمال الثالث تكون حاكمةً على كلّ أصل يقتضي الفساد، إلّا إذا كان ذلك الأصل الذي يقتضي الفساد جارياً في الشرائط العرفيّة للعوضين أو المتعاقدين،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الاحتمال لو شكّ في ماليّة العوضين، أو في رشد المتعاقدين، أو أحدهما، فلا تجري أصالة الصحّة كي تكون حاكمة على أصالة عدم ماليّة العوضين، أو أصالة عدم رشد المتعاقدين، أو أحدهما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المدرك لو كان هو الإجماع، فالصحيح كما أفاد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تكون أصالة الصحّة في العقود بنفسها معقد الإجماع بالخصوص، مع قطع النظر عن الإجماع على أصالة الصحّة في مطلق عمل الغير، وحيث إنّ أصالة الصحّة في العقود من المسائل المهمّة التي تعمّ بها البلوى، خصوصاً في باب الترافع والتخاصم؛ فإنّ </w:t>
      </w:r>
    </w:p>
    <w:p>
      <w:pPr>
        <w:pStyle w:val="BookText"/>
        <w:rPr/>
      </w:pPr>
      <w:r>
        <w:rPr>
          <w:rFonts w:ascii="Amiri" w:hAnsi="Amiri" w:eastAsia="Amiri" w:cs="Amiri"/>
          <w:color w:val="111111"/>
          <w:sz w:val="28"/>
          <w:sz w:val="28"/>
          <w:szCs w:val="28"/>
          <w:rtl w:val="true"/>
          <w:lang w:bidi="ar-SA"/>
        </w:rPr>
        <w:t>قطع الخصومة وتشخيص المدّعي والمنكر يتوقّف على تعيين مقدار سعة أصالة الصحّة ليكون المنكر من وافق قوله لها فينبغي 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لمعقد الإجماع إطلاق يعمّ جميع موارد الشكّ في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المتيقّن منه هو ما إذا كان الشكّ في الصحّة والفساد مسبّباً عن الشكّ في تأثير العقد للنقل والانتقال بعد الفراغ عن سلطنة العاقد لإيجاد المعاملة من حيث نفسه ومن حيث المال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العاقد لإيجاد المعاملة وقابليّة المعقود عليه للنقل والانتقال إنّما يكون مأخوذاً في عقد وضع أصالة الصحّة، فلا محلّ لها إلّا بعد إحراز أهليّة العاقد وقابليّة المعقود عليه، فأصالة الصحّة إنّما تجري إذا كان الشكّ راجعاً إلى ناحية السبب من حيث كونه واجداً للشرائط المعتبرة فيه أو فاقداً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الشكّ راجعاً إلى أهليّة العاقد أو قابليّة المعقود عليه للنقل والانتقال، فالمرجع هو سائر الاُصول العمليّة حسب 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الصحّة والفساد إن كان مسبّباً عن الشكّ فيما يعتبر في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العربيّة والماضويّة والموالاة ونحو ذلك ممّا ذكره الفقهاء رضوان اﷲ تعالى عليهم في شروط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فيه 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الشكّ في الصحّة والفساد مسبّباً عن الشكّ في فقدان شرط من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للشرط دخل في ماليّة العوضين عرفاً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كانللشرط دخل في قابليّتهما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أصالة الصحّة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المدرك هو الإجماع، ولكنّه إجماع منقول ومحتمل المدركيّة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المدرك هي سيرة العقلاء، فهي إنّما تجري فيما إذا شكّ في الشرط المحتمل الفقدان في أنّه هل هو من شرائط المتعاقدين أو العوضين، وكذلك الحال في المانع المحتمل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ردّ المحقّق الأصفهانيّ</w:t>
      </w:r>
      <w:r>
        <w:rPr>
          <w:rStyle w:val="FootnoteAnchor"/>
          <w:rtl w:val="true"/>
        </w:rPr>
        <w:footnoteReference w:id="203"/>
      </w:r>
      <w:r>
        <w:rPr>
          <w:rFonts w:ascii="Amiri" w:hAnsi="Amiri" w:eastAsia="Amiri" w:cs="Amiri"/>
          <w:color w:val="111111"/>
          <w:sz w:val="28"/>
          <w:sz w:val="28"/>
          <w:szCs w:val="28"/>
          <w:rtl w:val="true"/>
          <w:lang w:bidi="ar-SA"/>
        </w:rPr>
        <w:t>على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قصور معقد الإجماع غير ضائر بعد قيام السيرة العمليّة على إمضاء المعاملات المشكوكة، ولو كان منشأ الشكّ هو الشكّ في الإخلال بشرط من شرائط العوضين أو المتعاقدين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 في أيّ حال تُضافان إلى العقد دون غيره، وهذا لا يرتبط بإضافة الشرط إلى غيره، فكون الشرط لغيره لا يضرّ في إضافة الفساد للعقد عند انتفاء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ومعقد الإجماع هو البناء على </w:t>
      </w:r>
    </w:p>
    <w:p>
      <w:pPr>
        <w:pStyle w:val="BookText"/>
        <w:rPr/>
      </w:pPr>
      <w:r>
        <w:rPr>
          <w:rFonts w:ascii="Amiri" w:hAnsi="Amiri" w:eastAsia="Amiri" w:cs="Amiri"/>
          <w:color w:val="111111"/>
          <w:sz w:val="28"/>
          <w:sz w:val="28"/>
          <w:szCs w:val="28"/>
          <w:rtl w:val="true"/>
          <w:lang w:bidi="ar-SA"/>
        </w:rPr>
        <w:t>صحّة العقد عند الشكّ، لا البناء على وجود شرط العقد كي لا يكون شاملاً لموردٍ يكون الشكّ فيه في شرط المتعاقدين أو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الدعوى المذكورة تبتني على انعقاد إجماعين قوليّين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العبادات،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العقود والإيقاعات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انعقاد الإجماع على البناء على صحّة كلّ عمل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عباديّاً أم معامليّاً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للدعوى المذكورة؛ لأنّ الصحّة في معقد الإجماع لم تسند إلى العقد بما هو عقد، بل إلى العمل العباديّ أو المعامليّ، وظاهر أنّ جميع الشرائط دخيلة في ترتّب الأثر على المعاملة بما هي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حتى لو كان المدرك هو السيرة، ولكن مع ذلك فلا يجري هذا الأصل في مورد يعلم بجهل العامل بالصحيح والفاسد، حيث إنّ مطابقة عمله للصحّة الواقعيّة، والحالة هذه، تكون من باب المصادفة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من 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شكّ في صحّته وفساده، تارةً هو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وأُخرى هو المسبّب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الكذائيّة،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هو العقد واحتمل عدم صحّته،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تماميّته من حيث الأجزاء والشرائط وعدم الموانع، بحيث يشكّ في ترتّب الأثر المقصود </w:t>
      </w:r>
    </w:p>
    <w:p>
      <w:pPr>
        <w:pStyle w:val="BookText"/>
        <w:rPr/>
      </w:pPr>
      <w:r>
        <w:rPr>
          <w:rFonts w:ascii="Amiri" w:hAnsi="Amiri" w:eastAsia="Amiri" w:cs="Amiri"/>
          <w:color w:val="111111"/>
          <w:sz w:val="28"/>
          <w:sz w:val="28"/>
          <w:szCs w:val="28"/>
          <w:rtl w:val="true"/>
          <w:lang w:bidi="ar-SA"/>
        </w:rPr>
        <w:t>منه عليه، ولو انضمّ إليه سائر الشرائط المعتبرة في المتعاقدين، فلا شكّ في جريان أصالة الصحّة في نفس العقد إذا لم يكن الشرط المحتمل الفقدان، أو المانع المحتمل الوجود ممّا له دخل في تحقّق عنوانالعقد عرفاً؛ لما ذكرنا من لزوم تحقّق ما هو موضوع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إحراز ما هو موضوع أصالة الصحّة يثبت به الشرط المحتمل الفقدان،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عدم المانع المحتمل الوجود، فيترتّب على ذلك العقد الأثر المقصود،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الفلانية إذا انضمّ إليه سائر ما اعتبر في المعاملة من شرائط المتعاقدين، كبلوغهما ورضائهما،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كونهما مكرهين، أو أحدهما مكرهاً، وأمثال ذلك، ومن شرائط العوضين، ككونهما قابلين للنقل والانتقال، كأن لا يكون أحدهما حرّاً مثلاً، وأن يكونا مملوكين، بأن لا يكونا من قبيل 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صحّة العقد ليس معناها ترتّب أثر المعاملة الصحيحة عليه بمجرّده، بل معنى صحّته أن يترتّب الأثر المطلوب من المعاملة عليه لو انضمّ إليه سائر ما اعتبر من المعاملة من شرائط المتعاقدين والعوضين، وذلك من جهة أنّ الصحّة التعبّديّة الثابتة بأصالة الصحّة ليست بأعظم من الصحّة المحرزة بالوجدان، ومعلوم أنّ صحّة العقد واقعاً وقطعاً لاتترتّب عليها آثار صحّة المعاملة ما لم ينضمّ إليه جميع الشرائط التي للمتعاقدين، وأيضاً للعوضين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ما شكّ في صحّته وفساده هو المسبّب،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p>
    <w:p>
      <w:pPr>
        <w:pStyle w:val="BookText"/>
        <w:rPr/>
      </w:pPr>
      <w:r>
        <w:rPr>
          <w:rFonts w:ascii="Amiri" w:hAnsi="Amiri" w:eastAsia="Amiri" w:cs="Amiri"/>
          <w:color w:val="111111"/>
          <w:sz w:val="28"/>
          <w:sz w:val="28"/>
          <w:szCs w:val="28"/>
          <w:rtl w:val="true"/>
          <w:lang w:bidi="ar-SA"/>
        </w:rPr>
        <w:t>الكذائيّة لأجل احتمال خللٍ، من فقد شرط، أو وجود مانع للعقد أو للمتعاقدين أو العوضين، فيجري هذا الأصل فيها ويحكم بصحّتها، سواء كان الشرط المحتملالفقدان، أو المانع المحتمل الوجود، من شرائط العقد أو موانعه، أو من شرائط المتعاقدين وموانعهما، أو العوضين، أو نفس المسبّب كذلك، ما لم يكن من مقوّمات تحقّق المعاملة عرفاً؛ لما بيّنّا مفصّلاً، فلا نعيد</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جريان الأصل عند الشكّ في أي شرط مع إحراز الشرائط العرفيّة للعقد؛ فإنّه بعد أن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المعتبرة في صحّة العقد وتأثيره الفعليّ لترتّب الأثر ليست على نمط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اعتباره إلى دخله في السبب، وهو العقد، كالموالاة بين الإيجاب والقبول، والماضويّة،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اعتباره إلى دخله في قابليّة المسبّب للتحقّق، وهذه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يكون محلّه المتعاقدين، كالبلوغ والعقل وغيرهما، وبين ما يكون محلّه العوضين، كالمعلوميّة والماليّة، وبين ما يكون محلّه نفس المسبّب، كعدم الربويّة والغرريّة في البيع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كلّ شيء بحسبه؛ لكونها بمعنى التماميّة، وتماميّة </w:t>
      </w:r>
    </w:p>
    <w:p>
      <w:pPr>
        <w:pStyle w:val="BookText"/>
        <w:rPr/>
      </w:pPr>
      <w:r>
        <w:rPr>
          <w:rFonts w:ascii="Amiri" w:hAnsi="Amiri" w:eastAsia="Amiri" w:cs="Amiri"/>
          <w:color w:val="111111"/>
          <w:sz w:val="28"/>
          <w:sz w:val="28"/>
          <w:szCs w:val="28"/>
          <w:rtl w:val="true"/>
          <w:lang w:bidi="ar-SA"/>
        </w:rPr>
        <w:t>كلّ شيء إنّما هي بلحاظ وفائه بالأثر المرغوب عنه، في قبال فاسده، الذي لا يكون كذلك، فصحّة الإيجاب بمعنى أنّه لو تعقّبه قبول صحيح لحصل أثر العقد، وصحّة العقد عبارة عن تماميّته في نفسه، بحيث لو ورد علىمحلٍّ قابل لأثر فيه النقل والانتقال، وترتّب عليه الأثر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عبارة عن مفاد قضيّة تعليقيّة، لا تنجيزيّة، وهو كونه بحيث لو ورد على محلٍّ قابل لاتّصف بالمؤثّريّة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ذكر هذين الأمرين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الشكّ في الصحّة والفساد إن كان مسبّباً عن الشكّ في وجود بعض الشرائط العرفيّة للسبب أو المسبّب، كالشكّ في التوالي بين الإيجاب والقبول المعتبر عرفاً، ومطلق الماليّة في العوضين، فلا تجري أصالة الصحّة، لا في السبب، ولا في المسبّب؛ لرجوع هذا الشكّ إلى الشكّ في مجرى أصالة الصحّة، مع أنّه لابدّ من إحراز عنوان موضوعه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مسبّباً عن الشكّ في وجود بعض الشرائط الشرعيّة مع إحراز الشرائط العرفيّة، فإن كان الشرط المشكوك فيه من شرائط العقد، جرت أصالة الصحّة في العقد؛ لأنّه عقد عرفيّ مشكوك الصحّة والفساد شرعاً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شرائط المسبّب، كالبيع، فلا تجري أصالة الصحّة في العقد لإحراز صحّته؛ لأنّها مفاد قضيّة تعليقيّة، وهي محرزة ولو مع القطع بانتفاء شرط المسبّب، وإنّما تجري في نفس المسبّب، وهو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بيع عرفيّ مشكوك الصحّة والفساد شرعاً، وإن كان من شرائط </w:t>
      </w:r>
    </w:p>
    <w:p>
      <w:pPr>
        <w:pStyle w:val="BookText"/>
        <w:rPr/>
      </w:pPr>
      <w:r>
        <w:rPr>
          <w:rFonts w:ascii="Amiri" w:hAnsi="Amiri" w:eastAsia="Amiri" w:cs="Amiri"/>
          <w:color w:val="111111"/>
          <w:sz w:val="28"/>
          <w:sz w:val="28"/>
          <w:szCs w:val="28"/>
          <w:rtl w:val="true"/>
          <w:lang w:bidi="ar-SA"/>
        </w:rPr>
        <w:t>السبب والمسبّب، بأن كان الشكّ من الجهتين، جرت أصالة الصحّة في السبب والمسبّب</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 الدليل هو السيرة فيجري هذا الأصل في جميع صور الشكّ في صحّته وفساده بعد إحراز موضوع الصحّة عرفاً، بلا فرق بين أن يكون الشكّ في ناحية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أو المسبّب،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المعاملات المذكورة في أبواب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الشكوك التي يكون محلّها إمّا العقد أو المتعاقدين أو العوضين ترجع إلى السبب أو المسبّب أو كذبهما فيكفي في جريانها إحراز القابليّة العرفيّة دون الشرعيّة، خلافاً للاُستاذ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باختصاص جريان أصالة الصحّة في مورد الشكّ في شروط العقد دون غيره، واشترط في جريانها إحراز القابليّة الشرعيّة والعرفيّة في الفاعل والمورد</w:t>
      </w:r>
      <w:r>
        <w:rPr>
          <w:rStyle w:val="FootnoteAnchor"/>
          <w:rtl w:val="true"/>
        </w:rPr>
        <w:footnoteReference w:id="206"/>
      </w:r>
      <w:r>
        <w:rPr>
          <w:rFonts w:ascii="Amiri" w:hAnsi="Amiri" w:eastAsia="Amiri" w:cs="Amiri"/>
          <w:color w:val="111111"/>
          <w:sz w:val="28"/>
          <w:sz w:val="28"/>
          <w:szCs w:val="28"/>
          <w:rtl w:val="true"/>
          <w:lang w:bidi="ar-SA"/>
        </w:rPr>
        <w:t>، واختصّ جريان الأصل في موارد الشكّ في شروط العقد دون غيره، وذلك تبعاً لاُستاذه المحقّق النائيني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بعد أن حرّر موضوع المسألة وبيّن صور الشكّ، وذكر أنّ المحقّق الثاني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إلى عدم جريان أصالة الصحّة عند الشكّ في قابليّة </w:t>
      </w:r>
    </w:p>
    <w:p>
      <w:pPr>
        <w:pStyle w:val="BookText"/>
        <w:rPr/>
      </w:pPr>
      <w:r>
        <w:rPr>
          <w:rFonts w:ascii="Amiri" w:hAnsi="Amiri" w:eastAsia="Amiri" w:cs="Amiri"/>
          <w:color w:val="111111"/>
          <w:sz w:val="28"/>
          <w:sz w:val="28"/>
          <w:szCs w:val="28"/>
          <w:rtl w:val="true"/>
          <w:lang w:bidi="ar-SA"/>
        </w:rPr>
        <w:t>الفاعل أو المورد العرفيّة والشرعيّة، حكم بصحّة ما ذهب إليه متمسّكاً بذلك بعدم وجود دليل لفظيّ لأصالة الصحّة كي يتمسّك بعمومه وإطلاقه، بلدليلها ليس سوى السيرة، ولم يحرز قيامها على ترتيب آثار الصحيح عند الشكّ في القابليّة، وهو كافٍ في الحكم بعدم جريان أصالة الصحّة، بل المحرز قيامها على عدم ترتيب الآثار، وقد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زيد دار عمرو مع اعترافه بكونها دار عمرو، وشكّ في كونه وكيلاً عن عمرو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طلّق زيد زوجة عمرو، وشكّ في كونه وكيلاً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العقلاء لا يرتّبون آثار البيع الصحيح أو الطلاق الصحيح على ما صدر من زيد، وهذا لا يرجع إلّا لعدم ترتيب آثار الصحّة عند الشكّ في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السيرة على ترتيب الآثار على المعاملات الصادرة من الناس في الأسواق مع عدم إحراز قابليّة الفاعل، فهو وإن كان مسلّماً، إلّا أنّه من جهة قاعدة اليد، فإنّه لولاها لما استقام للمسلمين سوق، فلا ربط له بأصالة الصحّة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الفاعل في الموارد المذكورة محرزة بقاعدة اليد، لا أنّ أصالة الصحّة جارية مع عدم إحراز القابليّة، فالأمثلة المذكورة خارجة عن محلّ الكلام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27" w:name="pg15437_354986"/>
    </w:p>
    <w:p>
      <w:pPr>
        <w:pStyle w:val="Heading3"/>
        <w:numPr>
          <w:ilvl w:val="2"/>
          <w:numId w:val="1"/>
        </w:numPr>
        <w:rPr/>
      </w:pPr>
      <w:bookmarkStart w:id="228" w:name="__RefHeading___Toc6974553_2142443653"/>
      <w:bookmarkStart w:id="229" w:name="_Toc83"/>
      <w:bookmarkEnd w:id="227"/>
      <w:bookmarkEnd w:id="228"/>
      <w:r>
        <w:rPr>
          <w:rtl w:val="true"/>
        </w:rPr>
        <w:t xml:space="preserve">الأمر السابع </w:t>
      </w:r>
      <w:r>
        <w:rPr>
          <w:rtl w:val="true"/>
        </w:rPr>
        <w:t>:</w:t>
      </w:r>
      <w:bookmarkEnd w:id="229"/>
    </w:p>
    <w:p>
      <w:pPr>
        <w:pStyle w:val="BookText"/>
        <w:rPr/>
      </w:pPr>
      <w:r>
        <w:rPr>
          <w:rFonts w:ascii="Amiri" w:hAnsi="Amiri" w:eastAsia="Amiri" w:cs="Amiri"/>
          <w:color w:val="111111"/>
          <w:sz w:val="28"/>
          <w:sz w:val="28"/>
          <w:szCs w:val="28"/>
          <w:rtl w:val="true"/>
          <w:lang w:bidi="ar-SA"/>
        </w:rPr>
        <w:t>اختلاف الصحّة بحسب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تأهّليّة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قابليّة الجزء لكي يترتّب عليه الأثر الشرعيّ لو انضمّ إليه غيره من الأجزاء ممّا له دخل في ترتّب هذا الأثر، وفي الواقع، هي عبارة عن قابليّة ذلك الجزء فيما لو انضمّت إليه بقيّة الأجزاء أن يشكّل مع تلك الأجزاء مجموعاً هو عبارة عن عبادة أو معاملة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الصحّة بمعنى تماميّة جميع الأجزاء والشرائط، سواء كان موردها عبادة أم عقداً، بحيث يترتّب عليه ما له من الآثار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فاتّصاف الجزء بالصحّة التأهّليّة لا يتوقّف على انضمام بقيّة الأجزاء فعلاً إليه، وأمّا الصحّة الفعليّة، فالاتّصاف بها متوقّف على توفّر جميع الأجزاء، فالمتّصف بها ليس إلّا المجموع المركّب، وهو لا يتّصف بغيرها، وأمّا الذي يتّصف بالصحّة التأهّليّة فليس إلّا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كلّ شيء بحسبه، فالجزء لا يتّصف بالصحّة الفعليّة، والكلّ بالنسبة إلى أثره بعكسه، فهو لا يتّصف إلّا بالصحّة الفعليّة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الصحّة في الإيجاب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لإثبات الصحّة في الإجازة،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إجازة المالك به؛ لأنّها صحّة تأهليّة، فلا تدلّ على أزيد من صحّة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إذا شكّ في تحقّق القبض في الصرف والسلم، فإنّ جريان أصالة الصحّة في العقد لا يدلّ على تحقّق القبض في المجلس الذي هو شرط في صحّة تلك المعاملة ووقوع النقل والانتقال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القول هنا بجريان أصالة الصحّة فيما لو أحرزنا تحقّق المعاملة في نظر العرف، فإذا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وجود شرط اعتبره الشارع في صحّة المعاملة، كمثل القبض في المجلس في مسألة بيع الصرف، أمكن التمسّك بأصالة الصحّة لإثبات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فقد يستشكل في جريان أصالة الصحّة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بعد ثبوت عدم صحّة هذا البيع لو خُلّي ونفسه، وأنّه لا يجوز إلّا بطروّ شيءٍ من المجوّزات التي ذكروها لبيعه، فإذا ادّعى البائع للوقف وجود شيءٍ من هذه المجوّزات، فهل تثبت أصالة الصحّة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بيعه؟ الظاهر العدم بعد أن كان بناء بيع الوقف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إثبات الصحّة من ظهور حال المسلم في أنّه لا يرتكب ما لا يجوز، إلّا أنّ هذا المعنى مغاير لأصالة الصحّة التي ثبتت حجّيّتها ببناء العقلاء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البائع للوقف إن كان هو الناظر أو الحاكم الشرعيّ، فحيث إنّه يمكن أن يكون صحيحاً مع وجود أحد المسوّغات، وحيث إنّ وجود المسوّغ لم يكن من مقوّمات تحقّق بيع الوقف عرفاً، بل </w:t>
      </w:r>
      <w:bookmarkStart w:id="230" w:name="pg15437_354988"/>
    </w:p>
    <w:p>
      <w:pPr>
        <w:pStyle w:val="BookText"/>
        <w:rPr/>
      </w:pPr>
      <w:bookmarkEnd w:id="230"/>
      <w:r>
        <w:rPr>
          <w:rFonts w:ascii="Amiri" w:hAnsi="Amiri" w:eastAsia="Amiri" w:cs="Amiri"/>
          <w:color w:val="111111"/>
          <w:sz w:val="28"/>
          <w:sz w:val="28"/>
          <w:szCs w:val="28"/>
          <w:rtl w:val="true"/>
          <w:lang w:bidi="ar-SA"/>
        </w:rPr>
        <w:t>هو ممّا اعتبره الشارع فيصحّته، فتجري أصالة الصحّة حينئذٍ، وتكون حاكمةً على أصالة عدم وجود المسوّغ، كما هو شأن أصالة الصحّة في سائر المقامات، حيث تُقدَّم على جميع الاُصول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الراهن إذن المرتهن في بيع العين المرهونة، فإنّ أصالة صحّة البيع لا تثبت إذنه، وقد مرّ أنّ الرهن إذا كان قد حصل عرفاً، فإذنه للبيع إن كان من مقوّمات تحقّق البيع عرفاً فأصالة الصحّة لا تجري، وإلّا فتجري</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974555_2142443653"/>
      <w:bookmarkStart w:id="232" w:name="_Toc84"/>
      <w:bookmarkEnd w:id="231"/>
      <w:r>
        <w:rPr>
          <w:rtl w:val="true"/>
        </w:rPr>
        <w:t>الأمر الثامن</w:t>
      </w:r>
      <w:r>
        <w:rPr>
          <w:rtl w:val="true"/>
        </w:rPr>
        <w:t>:</w:t>
      </w:r>
      <w:bookmarkEnd w:id="232"/>
    </w:p>
    <w:p>
      <w:pPr>
        <w:pStyle w:val="BookText"/>
        <w:rPr/>
      </w:pPr>
      <w:r>
        <w:rPr>
          <w:rFonts w:ascii="IRNazanin" w:hAnsi="IRNazanin" w:eastAsia="IRNazanin"/>
          <w:color w:val="111111"/>
          <w:sz w:val="28"/>
          <w:sz w:val="28"/>
          <w:szCs w:val="28"/>
          <w:rtl w:val="true"/>
          <w:lang w:bidi="fa-IR"/>
        </w:rPr>
        <w:t>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والعناوين القصديّة إنّما تجري فيها أصالة الصحّة إذا كان الفاعل لذلك الفعل قد قصد عنوان ذلك العنوان القصديّ، فإذا كان الشخص نائباً عن أحدٍ في الحجّ أو زيارة أحد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ينوِ النيابة عن المنوب عنه، فإنّ النيابة لا تقع؛ لأنّها من العناوين القصديّة، 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جريان أصالة الصحّة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أحرز المستنيب أنّ النائب قصد بفعله النيابة عن قبله بمحرز وجدانيّ أو تعبّدي، ولكن شكّ في أنّ النائب هل أتى بالحجّ بجميع ما اعتبر فيه من الأجزاء والشرائط وعدم الموانع، فتجري أصالة الصحّة في فعل النائب، ويثبت بها أنّه قد جيء به بجميع ما اعتبر فيه وجوداً وعدماً، فيسقط عن المنوب عنه</w:t>
      </w:r>
      <w:r>
        <w:rPr>
          <w:rFonts w:eastAsia="Amiri" w:cs="Amiri" w:ascii="Amiri" w:hAnsi="Amiri"/>
          <w:color w:val="111111"/>
          <w:sz w:val="28"/>
          <w:szCs w:val="28"/>
          <w:rtl w:val="true"/>
          <w:lang w:bidi="ar-SA"/>
        </w:rPr>
        <w:t xml:space="preserve">. </w:t>
      </w:r>
      <w:bookmarkStart w:id="233" w:name="pg15437_354989"/>
    </w:p>
    <w:p>
      <w:pPr>
        <w:pStyle w:val="Heading3"/>
        <w:numPr>
          <w:ilvl w:val="2"/>
          <w:numId w:val="1"/>
        </w:numPr>
        <w:rPr/>
      </w:pPr>
      <w:bookmarkStart w:id="234" w:name="__RefHeading___Toc6974557_2142443653"/>
      <w:bookmarkStart w:id="235" w:name="_Toc85"/>
      <w:bookmarkEnd w:id="233"/>
      <w:bookmarkEnd w:id="234"/>
      <w:r>
        <w:rPr>
          <w:rtl w:val="true"/>
        </w:rPr>
        <w:t>الأمر التاسع</w:t>
      </w:r>
      <w:r>
        <w:rPr>
          <w:rtl w:val="true"/>
        </w:rPr>
        <w:t>:</w:t>
      </w:r>
      <w:bookmarkEnd w:id="235"/>
    </w:p>
    <w:p>
      <w:pPr>
        <w:pStyle w:val="BookText"/>
        <w:rPr/>
      </w:pPr>
      <w:r>
        <w:rPr>
          <w:rFonts w:ascii="Amiri" w:hAnsi="Amiri" w:eastAsia="Amiri" w:cs="Amiri"/>
          <w:color w:val="111111"/>
          <w:sz w:val="28"/>
          <w:sz w:val="28"/>
          <w:szCs w:val="28"/>
          <w:rtl w:val="true"/>
          <w:lang w:bidi="ar-SA"/>
        </w:rPr>
        <w:t>في أنّ أصالة الصحّة هل هي أصل أم أمارة؟</w:t>
      </w:r>
    </w:p>
    <w:p>
      <w:pPr>
        <w:pStyle w:val="BookText"/>
        <w:rPr/>
      </w:pPr>
      <w:r>
        <w:rPr>
          <w:rFonts w:ascii="Amiri" w:hAnsi="Amiri" w:eastAsia="Amiri" w:cs="Amiri"/>
          <w:color w:val="111111"/>
          <w:sz w:val="28"/>
          <w:sz w:val="28"/>
          <w:szCs w:val="28"/>
          <w:rtl w:val="true"/>
          <w:lang w:bidi="ar-SA"/>
        </w:rPr>
        <w:t>وقع الكلام في ذلك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بأنّها من الأمارات، وقد عرفنا أنّ الحجّيّة في باب الأمارات من باب تتميم الكشف، فيستفاد منها ترتيب جميع الآثار التي لذلك الفعل الذي تجري فيه أصالة الصحّة إذا كان صحيحاً واقعاً، حتى ولو كانت من اللّوازم العقليّة التي لها آثار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من الاُصول العمليّة، بلا فرق بين أن تكون من الاُصول المحرزة أم لا، فلا يثبت بها إلّا الآثار الشرعيّة التي تكون لذلك الفعل، ولا يثبت بها الحكم الشرعيّ الذي يترتّب بواسطة الأثر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لإثبات كونها من الأمارات أو الاُصول من الرجوع إلى مدرك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المحقّق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يستظهر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الاُصول،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عبارته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الثابت من القاعدة المذكورة الحكم بوقوع الفعل بحيث يترتّب عليه الآثار الشرعيّة المترتّبة على العمل الصحيح، أمّا ما يلازم الصحّة من الاُمور الخارجة عن حقيقة الصحيح فلا دليل على ترتّبها عليه، فلو شكّ في أنّ الشراء الصادر من الغير كان بما لا يملك، كالخمر والخنزير، أو بعينٍ من أعيان ماله، فلا يحكم بخروج تلكالعين من </w:t>
      </w:r>
    </w:p>
    <w:p>
      <w:pPr>
        <w:pStyle w:val="BookText"/>
        <w:rPr/>
      </w:pPr>
      <w:r>
        <w:rPr>
          <w:rFonts w:ascii="Amiri" w:hAnsi="Amiri" w:eastAsia="Amiri" w:cs="Amiri"/>
          <w:color w:val="111111"/>
          <w:sz w:val="28"/>
          <w:sz w:val="28"/>
          <w:szCs w:val="28"/>
          <w:rtl w:val="true"/>
          <w:lang w:bidi="ar-SA"/>
        </w:rPr>
        <w:t>تركته، بل يحكم بصحّة الشراء وعدم انتقال شيءٍ من تركته إلى البائع؛ لأصالة عدمه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يُفصّل بين ما إذا كان منشأ الشكّ في الصحّة احتمال تعمّد الإخلال بما يعتبر في العمل من الأجزاء والموانع أو احتمال عروض الغفلة والسهو مع علم الفاعل بالحكم، فتكون من الأمارات؛ لأنّ احتمال التعمّد خلاف ظاهر حال الفاعل، كما أنّ احتمال عروض الغفلة والسهو منافٍ لما ورد في باب قاعدة الفراغ من التعليل بالأذكريّة حين الفعل، حيث إنّ ورود هذه الكلمة في ذلك الباب لا يوجب اختصاصها به؛ لأنّه أمر عام يشمل العامل والحامل، والأوّل،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وهو الحامل، ففيما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منشأ الشكّ احتمال جهل الفاعل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القاعدة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أصلاً تعبّدياً حينئذٍ؛ وذلك لعدم وجود ملاك الأماريّة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ذلك بما حاصله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غاية ما يستفاد من التعليل بالأذكريّة وكذلك ظهور حال المسلم هو حمل فعله على الصحّة عند فاعله، لا الصحّة الواقعيّة التي نحن بصددها،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لأن يُعدّ هذاالأصل من الأمارات المعتبرة، بل لا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سنخ الاُصول العمليّة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كون هذه القاعدة أصلاً أو أمارةً لابدّ أن يرجع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مدرك اعتبارها؛ فإن كان المدرك هو الإجماع، فالقدر المتيقّن من معقده هو ترتيب الآثار الشرعيّة التي للفعل بلا واسطة لازمه العقليّ، دون الآثار الشرعيّة التي تترتّب عليه بواسطة الآثار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المدرك هو بناء العقلاء، فإن كان بناؤهم على اعتبارها من ناحية ظهور حال المسلم، بل حال كلّ فاعل عاقل، مسلماً كان أم غير مسلم، في أنّه يأتي بعمله صحيحاً تامّاً، لا فاسداً ناقصاً، ففي هذه الحالة، فإن قلنا بأنّ بناءهم من جهة تتميمهم الكشف الناقص الموجود في ظهور حالهم، فتكون أمارة،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مثبتاتها حجّة، كما هو الحال في كلّ أمارة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بناءهم ليس من باب تتميم الكشف، بل هم إنّما يعملون على طبق ذلك الظهور من دون أن يروه طريقاً كاشفاً في عالم اعتبارهم، وإنّما يعملون على طبقه عمل المتيقّن، فيكون أصلاً </w:t>
      </w:r>
      <w:bookmarkStart w:id="236" w:name="pg15437_354992"/>
    </w:p>
    <w:p>
      <w:pPr>
        <w:pStyle w:val="BookText"/>
        <w:rPr/>
      </w:pPr>
      <w:bookmarkEnd w:id="236"/>
      <w:r>
        <w:rPr>
          <w:rFonts w:ascii="Amiri" w:hAnsi="Amiri" w:eastAsia="Amiri" w:cs="Amiri"/>
          <w:color w:val="111111"/>
          <w:sz w:val="28"/>
          <w:sz w:val="28"/>
          <w:szCs w:val="28"/>
          <w:rtl w:val="true"/>
          <w:lang w:bidi="ar-SA"/>
        </w:rPr>
        <w:t>محرزاً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عملهم على طبق ذلك الظهور من دون أن يبنوا على كونه من باب عمل المتيقّن، فيكون من الاُصول 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فحيث كان المدرك في اعتبارها عندنا هو بناء العقلاء، والظاهر أنّه من باب تتميم الكشف، فتكون القاعدة المزبورة من الأمارات،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عليها جميع الآثار الشرعيّة، وتكون مثبتاتها حجّةً أيضاً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974559_2142443653"/>
      <w:bookmarkStart w:id="238" w:name="_Toc86"/>
      <w:bookmarkEnd w:id="237"/>
      <w:r>
        <w:rPr>
          <w:rtl w:val="true"/>
        </w:rPr>
        <w:t>الأمر العاشر</w:t>
      </w:r>
      <w:r>
        <w:rPr>
          <w:rtl w:val="true"/>
        </w:rPr>
        <w:t>:</w:t>
      </w:r>
      <w:bookmarkEnd w:id="238"/>
    </w:p>
    <w:p>
      <w:pPr>
        <w:pStyle w:val="BookText"/>
        <w:rPr/>
      </w:pPr>
      <w:r>
        <w:rPr>
          <w:rFonts w:ascii="Amiri" w:hAnsi="Amiri" w:eastAsia="Amiri" w:cs="Amiri"/>
          <w:color w:val="111111"/>
          <w:sz w:val="28"/>
          <w:sz w:val="28"/>
          <w:szCs w:val="28"/>
          <w:rtl w:val="true"/>
          <w:lang w:bidi="ar-SA"/>
        </w:rPr>
        <w:t>في تقديم هذه القاعدة على الاستصحابات الموضوعيّة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بأماريّة هذه الأصالة وجريانها على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العقد والعوضين والمتعاقدين،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حاكمة على الاُصول الموضوعيّة العدميّة؛ لأنّها تكشف عن وجود تلك الشرائط تعبّداً،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للاستصحاب أصلاً، فتقدّم تلك القاعدة على أصالة الفساد في المعاملات، وأصالة الاشتغال في العبادات؛ إذ بعد أن كان الشكّ في بقاء شغل الذمّة في الاُمور العباديّة أو في حصول النقل والانتقال في المعاملات مسبّباً عن الشكّ في صحّة ذلك العمل العباديّ، أو الشكّ في صحّة ذلك العقد الصادر من العاقد، فتكون أصالة الصحّة أمراً سببيّاً، فتكون مقدّمةً بهذا الملاك على الأصل المسبّبيّ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بأنّها من الاُصول المحرزة،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فتقديمها على سائر الاُصول بحاجة إلى دليل، فيقع التعارض بينهما بعدما كان كلاهما من الاُصول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كلمات الأعلام في حكومة أصالة الصحّة في العقود على جميع الاُصول الموضوعيّة المقتضية لفساد العقد، والمتحصّل من الكلمات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حكومتها على كلّ أصلٍ يقتضي فساد العقد، سواء كان الأصل جارياً في شرائط العقد أو في شرائط المتعاقدين أو في شرائط العوضين، فلو اختلف المتعاقدان في كون العقد واجداً لشرائط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العربيّة والماضويّة أو في بلوغ العاقد، أو في قابليّة أحد العوضين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من يدّعي الصحّة، ولا تجري أصالة عدم بلوغ العاقد، أو عدم كون المال قابلاً للنقل والانتقال لو فرض أنّ في البين أصلاً موضوعيّاً يقتضي عدم قابليّة المال للانتقال، فتكون أصالة الصحّة حاكمة على جميع الاُصول السببيّة والمسبّبيّة المقتضية لفساد العقد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على خصوص الأصل الذي يقتضي فساد العقد من حيث الشرائط الراجعة إلى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العربيّة والماضويّة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الشكّ متمحّضاً في تأثير السبب وكونه واجداً للشرائط المعتبرة فيه، كان الأصل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الشكّ في الصحّة والفساد مسبّباً </w:t>
      </w:r>
    </w:p>
    <w:p>
      <w:pPr>
        <w:pStyle w:val="BookText"/>
        <w:rPr/>
      </w:pPr>
      <w:r>
        <w:rPr>
          <w:rFonts w:ascii="Amiri" w:hAnsi="Amiri" w:eastAsia="Amiri" w:cs="Amiri"/>
          <w:color w:val="111111"/>
          <w:sz w:val="28"/>
          <w:sz w:val="28"/>
          <w:szCs w:val="28"/>
          <w:rtl w:val="true"/>
          <w:lang w:bidi="ar-SA"/>
        </w:rPr>
        <w:t>عن الشكّ في شرائط المتعاقدين أو شرائط العوضين، فلا تجري فيه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إنّما تكون حاكمة على خصوص أصالة عدم النقل والانتقال وبقاء المال على ملك مالكه، فإذا لم يكن في مورد الشكّ إلّا أصل عدم الانتقال كانت أصالة الصحّة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مورد الشكّ أصل موضوعيّ آخر يقتضي الفساد، كأصالة عدم بلوغ العاقد، أو عدم قابليّة المال للنقل والانتقال، فلا تجري فيه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على كلّ أصل يقتضي فساد العقد إلّا إذا كان الشكّ في الصحّة والفساد مسبّباً عن الشكّ في الشرائط العرفيّة للعوضين أو المتعاقدين، كماليّة العوضين ورشد المتعاقدين فى الجملة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إنّما تقدّم على أصالة بقاء المال على ملك مالكه، ولا تقدّم على سائر الاُصول الموضوعيّة الأُخَر؛ فإنّه لا دليل على أصالة الصحّة في العقود سوى الإجماع، وليس لمعقد الإجماع إطلاق يعمّ جميع موارد الشكّ في الصحّة والفساد، بل القدر المتيقّن منه هو ما إذا كان الشكّ في الصحّة والفساد مسبّباً عن الشكّ في تأثير العقد للنقل والانتقال بعد الفراغ عن سلطنة العاقد لإيجاد المعاملة </w:t>
      </w:r>
    </w:p>
    <w:p>
      <w:pPr>
        <w:pStyle w:val="BookText"/>
        <w:rPr/>
      </w:pPr>
      <w:r>
        <w:rPr>
          <w:rFonts w:ascii="Amiri" w:hAnsi="Amiri" w:eastAsia="Amiri" w:cs="Amiri"/>
          <w:color w:val="111111"/>
          <w:sz w:val="28"/>
          <w:sz w:val="28"/>
          <w:szCs w:val="28"/>
          <w:rtl w:val="true"/>
          <w:lang w:bidi="ar-SA"/>
        </w:rPr>
        <w:t>من حيث نفسه ومن حيث المال المعقود عليه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قلنا بأنّ المدرك لاعتبارها هو الإجماع، وأمّا لو قلنا بأنّ المدرك لذلك هو السيرة العقلائيّة،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تعمّ جميع موارد الشكّ في الصحّة والفساد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كان مرجع الصحّة والفساد إلى تماميّة الشيء من حيث ترتّب الأثر عليه وعدمه، فلا محيص من أن يكون مركز هذا الأصل ما يتصوّر له الصحّة والفساد، ولازم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مجرى هذا الأصل تارةً هو السبب، وأُخرى المسبّب من حيث تماميّته في قابليّته للترتّب على المسبّب، وحيث إنّ مجرى هذا الأصل لا بدّ وأن يكون محرزاً بالوجدان، 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الشكّ في قابليّة المسبّب للتأثّر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الشكّ إلى قابليّته شرعاً مع كون المسبّب محرزاً عرفاً بالوجدان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الشكّ في تماميّة المسبّب أو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قيدٍ يكون محلّه العقد أو المتعاقدين أو العوضين، أو محلّه نفس المسبّب، 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القيود راجعة إمّا إلى السبب أو المسبّب؛ لاستحالة تماميّة السبب وقابليّة المسبّب وعدم الأثر،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يكون الشكّ في قيدٍ من ناحية العرف، لا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لعدم إحراز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مورد يكون </w:t>
      </w:r>
    </w:p>
    <w:p>
      <w:pPr>
        <w:pStyle w:val="BookText"/>
        <w:rPr/>
      </w:pPr>
      <w:r>
        <w:rPr>
          <w:rFonts w:ascii="Amiri" w:hAnsi="Amiri" w:eastAsia="Amiri" w:cs="Amiri"/>
          <w:color w:val="111111"/>
          <w:sz w:val="28"/>
          <w:sz w:val="28"/>
          <w:szCs w:val="28"/>
          <w:rtl w:val="true"/>
          <w:lang w:bidi="ar-SA"/>
        </w:rPr>
        <w:t xml:space="preserve">الشكّ في قيد شرعيّ، يجري فيه أصالة الصحّة؛ لعموم التعليل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الجزم بعدم الفرق في الجريان من حيث المورد، وبطلان الترجيح بلا مرجّح،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كفاية أجزاء العقد عرفاً في إثبات تماميّة السبب، فهو كما ترى؛ إذ مهما شكّ في وجود قيدٍ من قيود نفس العقد فأصالة الصحّة في نفس العقد لا يقتضي أزيد في تماميّة العقد في المؤثّرية، وليس شأنه إثبات قابليّة المحلّ للتأثّر، فمع الشكّ فيه عرفاً للشكّ في فقد قيدٍ عرفيّ، لا يُنتج مثل هذا الأصل ترتّب المسبّب على السبب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أحرز قابليّته العرفيّة، وتحقّق مثل هذا البيع، فيحتاج في إثبات تماميّته إلى إجراء أصالة الصحّة في المسبّب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437_354998"/>
      <w:bookmarkStart w:id="240" w:name="pg15437_354998"/>
      <w:bookmarkEnd w:id="240"/>
    </w:p>
    <w:p>
      <w:pPr>
        <w:pStyle w:val="Heading2"/>
        <w:numPr>
          <w:ilvl w:val="1"/>
          <w:numId w:val="1"/>
        </w:numPr>
        <w:rPr/>
      </w:pPr>
      <w:bookmarkStart w:id="241" w:name="pg15437_354998"/>
      <w:bookmarkStart w:id="242" w:name="__RefHeading___Toc6974561_2142443653"/>
      <w:bookmarkStart w:id="243" w:name="_Toc87"/>
      <w:bookmarkEnd w:id="241"/>
      <w:bookmarkEnd w:id="242"/>
      <w:r>
        <w:rPr>
          <w:rtl w:val="true"/>
        </w:rPr>
        <w:t>الكلام في تعارض الاستصحابين</w:t>
      </w:r>
      <w:bookmarkEnd w:id="243"/>
    </w:p>
    <w:p>
      <w:pPr>
        <w:pStyle w:val="Heading3"/>
        <w:numPr>
          <w:ilvl w:val="2"/>
          <w:numId w:val="1"/>
        </w:numPr>
        <w:rPr/>
      </w:pPr>
      <w:bookmarkStart w:id="244" w:name="__RefHeading___Toc6974563_2142443653"/>
      <w:bookmarkStart w:id="245" w:name="_Toc88"/>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أحد المستصحبين إمّا أن يكون مسبّباً عن الشكّ في بقاء المستصحب الآخر، وإمّا أن يكونالشكّ في بقاء كلّ من المستصحبين مسبّباً عن أمر آخر، ولا يمكن أن يكون الشكّ في كلّ منهما مسبّباً عن الآخر؛ لاستحالته عقلاً؛ إذ لا يعقل أن تكون علّة الشيء معلولاً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يسمّى بالاستصحاب السببيّ والمسبّبيّ، حيث إنّ الشكّ في بقاء أحدهما يكون مسبّباً شرعاً عن بقاء الشكّ في الآخر، كما إذا غسلت الثوب النجس بالماء المستصحب الطهارة؛ فإنّه بعد إجراء استصحاب طهارة الماء تكون هذه الطهارة المستصحبة سبباً شرعيّاً لطهارة الثوب الذي غسل بذلك الماء، فيكون الشكّ شكّاً في تحقّق السبب، وهو طهارة الماء سبباً للشكّ في طهارة ذلك الثوب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في الأصل السببيّ حاكماً عليه في جانب </w:t>
      </w:r>
    </w:p>
    <w:p>
      <w:pPr>
        <w:pStyle w:val="BookText"/>
        <w:rPr/>
      </w:pPr>
      <w:r>
        <w:rPr>
          <w:rFonts w:ascii="IRNazanin" w:hAnsi="IRNazanin" w:eastAsia="IRNazanin"/>
          <w:color w:val="111111"/>
          <w:sz w:val="28"/>
          <w:sz w:val="28"/>
          <w:szCs w:val="28"/>
          <w:rtl w:val="true"/>
          <w:lang w:bidi="fa-IR"/>
        </w:rPr>
        <w:t>الأصل المسبّبيّ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السببيّ مقدّم دائماً، بلا فرق بين أن يكون كلا الأصلين تنزيليّاً مشمولاً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يكون أحدهما أصلاً تنزيليّاً والآخر غير تنزيليّ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بالأصل التنزيليّ هو ما يكون المجعول فيه هو البناء العمليّ على ثبوت الواقع في أحد طرفي الشكّ، وتنزيله عملاً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غير التنزيليّ فهو ما يكون المجعول فيه مجرّد تطبيق العمل على أحد طرفي الشكّ، من دون أن يكون الجعل متكفّلاً لثبوت الواقع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وقاعدة الفراغ والتجاوز، وأصالة الصحّة، فإنّ جميع هذه الاُصول متكفّلةللتنزيل والإحراز، والمجعول فيها هو البناء العمليّ على ثبوت الواقع إن كان مؤدّى الأصل مقام الثبوت، كما هو الشأن في الاستصحاب، أو البناء العمليّ على الإتيان بالواقع إن كان مؤدّى الأصل مقام الفراغ والسقوط، كما هو الحال في قاعدة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وأصالة الحلّ والطهارة، فإنّ المجعول في هذه الاُصول مجرّد تطبيق العمل على أحد طرفي الشكّ، من دون أن تكون متكفّلة لثبوت الواقع أو الإتيان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الثمرة بين الاُصول المحرزة وغيرها، فتظهر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موارد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الاُصول المحرزة مقام القطع الطريقيّ، دون الاُصول 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الاُصول المحرزة في أطراف العلم الإجماليّ مطلقاً، سواء كان مؤدّاها نفي التكليف المعلوم بالإجمال ولزم من جريانها مخالفة عمليّة، أو كان مؤدّاها ثبوت التكليف المعلوم بالإجمال ولم يلزم من جريانها مخالفة عمليّة؛ فإنّ التعبّد ببقاء الواقع في كلّ واحدٍ من أطراف العلم الإجماليّ ينافي العلم الوجدانيّ بعدم بقاء الواحد في أحدهما، وكيف يعقل العلم ببقاء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الإناءين مع العلم بطهارة أحدهما، ومجرّد أنّه لا يلزم من الاستصحابين مخالفة عمليّة لا يقتضي صحّة التعبّد ببقاءالنجاسة في كلٍّ منهما؛ فإنّ الجمع في التعبّد ببقاء مؤدّى الاستصحابين يناقض العلم الإجماليّ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الاُصول غير المحرزة؛ فإنّه لمّا كان المجعول فيها مجرّد تطبيق العمل على أحد طرفي الشكّ، فلا مانع من التعبّد بها في أطراف العلم الإجماليّ إذا لم يلزم منها مخالفة عمليّة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السببيّ، ولو لم يكن تنزيليّاً، مقدّم على الأصل المسبّبيّ، ولو كان تنزيليّاً، فلو كان هناك ماء لا يعلم حالته السابقة وأنّه </w:t>
      </w:r>
    </w:p>
    <w:p>
      <w:pPr>
        <w:pStyle w:val="BookText"/>
        <w:rPr/>
      </w:pPr>
      <w:r>
        <w:rPr>
          <w:rFonts w:ascii="Amiri" w:hAnsi="Amiri" w:eastAsia="Amiri" w:cs="Amiri"/>
          <w:color w:val="111111"/>
          <w:sz w:val="28"/>
          <w:sz w:val="28"/>
          <w:szCs w:val="28"/>
          <w:rtl w:val="true"/>
          <w:lang w:bidi="ar-SA"/>
        </w:rPr>
        <w:t>طاهر أو نجس، وغسلت به الثوب النجس، فبعد جريان أصالة الطهارة في الماء، وهي ليست بأصل تنزيليّ، تقدّم على استصحاب نجاسة الثوب، والذي هو أصل تنزيليّ، لما عرفت من أنّ الأصل السببيّ حاكم على الأصل المسبّبيّ ورافع لموضوعه في عالم التعبّد والتشريع؛ إذ بعد أن كان المشكوك، وهو طهارة الثوب في المثال المتقدّم، من الآثار الشرعيّة لطهارة الماء، فإذا جاء دليل تعبّدي على طهارة ذلك الماء الذي غسل هذا الثوب به، فمن جملة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الخبث عن هذا الثوب الذي غُسل به، وأنّه لم يبقَ لذلك الثوب نجاسة، وإن كان ثبوت الطهارة لذلك الماء بمفاد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مقام العمل شكّ في نجاسة الثوب حتى تستصحب نجاسته، وليس هذا الارتفاع الذي نقول به للشكّ بارتفاع حقيقيّ، حتى يقال بأنّ ترتيب آثار الطهارة علىالماء تعبّداً لا يوجب ارتفاع الشكّ حقيقةً؛ لأنّه من الاُمور التكوينيّة، وهي لا ترتفع إلّا بأسبابها التكوينيّة، بل ما هو إلّا الرفع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يثبت طهارة الماء، سواء كان أصلاً تنزيليّاً أم غير تنزيليّ، فهو موجب لرفع الشكّ في مرحلة الإثبات والظاهر، لا في مرحلة الثبوت والواقع، وإلّا، كان وارداً لا حاكماً، فتأمّل جيّداً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حكومة الأصل السببيّ على المسبّبيّ مشروطة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السببيّة شرعيّة لا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في جانب السبب رافعاً لموضوع المسبّب، وإلّا، فلا حكومة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لعدم كونه رافعاً بالشكّ في مأكول اللّحم والشكّ في جواز الصلاة فيه، حيث إنّ الشكّ الثاني مسبّب شرعاً عن الشكّ الأوّل، وأصالة الحلّ في الشكّ الأوّل لا ترفع الشكّ الثاني الذي هو موضوع عدم جواز الصلاة؛ لما ذكره من أنّ جواز الصلاة موضوعه العناوين المحلّلة كالغنم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الشكّ في أحدهما مسبّباً عن الشكّ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حكومة الاستصحاب السببيّ على الاستصحاب المسبّبي، بل في حكومة كلّ أصل سببيّ على كلّ أصل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الأصل السببيّ من الاُصول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الأصل السببيّ واجداً 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ترتّب المسبّب على السبب شرعيّاً لا عقليّاً،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طرفي الشكّ المسبّبيّ من الآثار الشرعيّة المترتّبة على أحد طرفي الشكّ السببيّ، فالشكّ في بقاء الكلّيّ لأجل الشكّ في حدوث الفرد الباقي خارج عن محلّ الكلام؛ لأنّ بقاء الكلّيّ ببقاء الفرد عقليّ، فلا يكون استصحاب عدم حدوث الفرد حاكماً على استصحاب بقاء الكلّيّ، بل يجري استصحاب بقاء الكلّيّ في عرض استصحاب عدم حدوث الفرد، </w:t>
      </w:r>
    </w:p>
    <w:p>
      <w:pPr>
        <w:pStyle w:val="BookText"/>
        <w:rPr/>
      </w:pPr>
      <w:r>
        <w:rPr>
          <w:rFonts w:ascii="Amiri" w:hAnsi="Amiri" w:eastAsia="Amiri" w:cs="Amiri"/>
          <w:color w:val="111111"/>
          <w:sz w:val="28"/>
          <w:sz w:val="28"/>
          <w:szCs w:val="28"/>
          <w:rtl w:val="true"/>
          <w:lang w:bidi="ar-SA"/>
        </w:rPr>
        <w:t>ولا معارضة بينهما، وقد تقدم تفصيل ذلك في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السببيّ رافعاً للشكّ المسببيّ، فالشكّ في جواز الصلاة في الثوب لأجل الشكّ في اتّخاذه من الحيوان المحلّل خارج عن محلّ الكلام أيضاً، فإنّ أصالة الحلّ في الحيوان، وإن كان تجري، إلّا أنّها لا تقتضي جواز الصلاة في الثوب، لبقاء الشكّ في جواز الصلاة فيه على حاله؛ لأنّ أصالة الحلّ لا تُثبت كون الثوب متّخذاً من الأنواع المحلّلة، على ما تقدّم بيانه أيضاً في استصحاب الكلّيّ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عجيب؛ لأنّ كلامنا في هذا المقام في الأصل السببيّ والمسبّبيّ، فإذا كان الشكّ في الأصل المسبّبيّ مسبّباً شرعاً عن بقاء الشكّ في الأصل السببيّ، فإذا ارتفع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تعبّداً، ومنحيث الجري العمليّ، فمحال أن يبقى المسبّب الذي هو معلول له، وإلّا، تخلّف المعلول عن علّته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المثل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جواز الصلاة مسبّب عن الشكّ في الحلّيّة، فلا محالة يرتفع بأصالة الحلّ، 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جواز الصلاة مسبّب عن الشكّ في أنّه من العناوين المحلّلة، فليس مسبّباً عن الحلّيّة حتى يلزم منه رفع الموضوع في جانب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الشكّ في الأصل المسبّبيّ معلولاً للشكّ السببيّ شرعاً ومن آثاره، ومع ذلك لا يرتفع بارتفاعه بالأصل في طرف السبب، من المتناقضات، ومن الالتزام ببقاء المعلول مع زوال علّته، ولو تعبّداً ومن حيث الجري العمليّ، لا حقيقةً ووجداناً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لأنّ الأصل في جانب السبب إنّما يكون رافعاً لموضوع المسبّب تعبّداً، ومن حيث الجري العمليّ، بعدما كان الشكّ في الأصل المسبّبيّ مسبّباً شرعاً عن بقاء الشكّ في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ارتفع الشكّ، ولو ببركة جريان الأصل في السبب، فمحال أن يبقى المسبّب الذي هو المعلول له؛ لعدم إمكان انفكاك المعلول وتخلّفه عن علّته، وبعدما كان الشكّ في جوازالصلاة مسبّباً عن الشكّ في الحلّيّة، فهذا الشكّ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أصالة الحلّ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يتقدّم الأصل السببيّ على المسبّبيّ فيما إذا كان لكلّ واحدٍ منهما دليل مستقلّ، حتى يكون أحد الدليلين رافعاً لموضوع دليل الآخر، وأمّا إذا كان لكليهما دليل واحد يشمل بعمومه الاثنين، كما في مورد البحث هنا، في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الذي هو شامل بعمومه للأصل السببيّ والمسبّبيّ معاً، فكيف يمكن أن يكون دليل </w:t>
      </w:r>
    </w:p>
    <w:p>
      <w:pPr>
        <w:pStyle w:val="BookText"/>
        <w:rPr/>
      </w:pPr>
      <w:r>
        <w:rPr>
          <w:rFonts w:ascii="Amiri" w:hAnsi="Amiri" w:eastAsia="Amiri" w:cs="Amiri"/>
          <w:color w:val="111111"/>
          <w:sz w:val="28"/>
          <w:sz w:val="28"/>
          <w:szCs w:val="28"/>
          <w:rtl w:val="true"/>
          <w:lang w:bidi="ar-SA"/>
        </w:rPr>
        <w:t>واحد بالنسبة إلى أحدهما، وهو الأصل السببيّ، حاكماً، وبالنسبة إلى الآخر، وهو الأصل المسبّبيّ، محكوماً؟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إلّا أن يكون شيء واحد حاكماً على نفسه،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هنا من قبيل العامّ الانحلاليّ، ومعلوم أنّ العموم الانحلاليّ هو في حكم القضايا المتعدّدة، ومن هنا أمكن أن يكون هذا العامّ بالنسبة إلى الأصل السببيّ حاكماً، وبالنسبة إلى الأصل المسبّبيّ محكوماً؛ إذ له انطباقات متعدّدة على حسب تعدّد وجودات الطبيعة، وهذا المقدار كافٍ في أن يكون الشيء الواحد حاكماً بالنسبة إلى أصلٍ، ومحكوماً بالنسبة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دليل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إلى كلا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 والمسبّبي، على حدٍّ سواء، فلا معنى لتقديم جريان الاستصحاب بالنسبة إلى الأصل السببيّ على الاستصحاب في جانب المسبّبيّ حتىلا يبقى موضوع للأصل المسبّبيّ، بل جريان الأصل ابتداء في الأصل المسبّبيّ ممكن، وموضوعه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باعتبار الأصل المثبت، فإذا أجرينا الأصل المسبّبيّ أوّلاً، يرتفع موضوع الاستصحاب في الشكّ السببيّ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المثبت ليس بحجّة، فجريان الاستصحاب في الأصل المسبّبيّ أوّلاً، لا يرفع موضوع الاستصحاب في الأصل السببيّ، وأمّا جريان الاستصحاب في الأصل السببيّ أوّلاً، فهو رافع لموضوع </w:t>
      </w:r>
    </w:p>
    <w:p>
      <w:pPr>
        <w:pStyle w:val="BookText"/>
        <w:rPr/>
      </w:pPr>
      <w:r>
        <w:rPr>
          <w:rFonts w:ascii="Amiri" w:hAnsi="Amiri" w:eastAsia="Amiri" w:cs="Amiri"/>
          <w:color w:val="111111"/>
          <w:sz w:val="28"/>
          <w:sz w:val="28"/>
          <w:szCs w:val="28"/>
          <w:rtl w:val="true"/>
          <w:lang w:bidi="ar-SA"/>
        </w:rPr>
        <w:t>الاستصحاب في الأصل المسبّبيّ بمدلوله المطابقي، لا من جهة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أنّه كيف يتقدّم الأصل السببيّ على المسبّبيّ حتى تكون النتيجة رفع موضوعه؟</w:t>
      </w:r>
    </w:p>
    <w:p>
      <w:pPr>
        <w:pStyle w:val="BookText"/>
        <w:rPr/>
      </w:pPr>
      <w:r>
        <w:rPr>
          <w:rFonts w:ascii="IRNazanin" w:hAnsi="IRNazanin" w:eastAsia="IRNazanin"/>
          <w:color w:val="111111"/>
          <w:sz w:val="28"/>
          <w:sz w:val="28"/>
          <w:szCs w:val="28"/>
          <w:rtl w:val="true"/>
          <w:lang w:bidi="fa-IR"/>
        </w:rPr>
        <w:t>وفي ذلك يقول اُستاذنا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يبقى الكلام في أصل تقديم أصل السببيّ على المسبّبيّ حتى ينتج رفع موضوعه، وأنّه لا وجه له لإخراج الشكّ المسبّبيّ عن تحت العامّ،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اليقين بالشكّ، بإدخال الشكّ السببيّ، مع أنّ نسبة العامّ إلى كليهما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القاعدة إجراء الاستصحاب في كليهما معاً، وفي رتبةٍ واحدة، بلا تقديم أحدهما على الآخر، فيكون الموضوع باقياً في كلا الاستصحابين، فيتساقطان؛ للعلم الإجماليّ بكذب أحدهما، فلا حكومة في البين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وإن كان شموله للأصل السببيّ والمسبّبيّ في عرضٍ واحد،ولكنّ شموله للأصل المسبّبيّ يحتاج إلى مؤونة، وهي عدم شموله للأصل السببيّ وخروجه عن تحته، وذلك لما ذكرنا من أنّ دخوله تحت العامّ يوجب رفع موضوع الأصل المسبّبيّ، فيكون خارجاً بالتخصّص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خروج الأصل السببيّ إذا كان، لا بدّ وأن يكون بالتخصيص، ولا مخصّص في البين إلّا على وجه دائر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خروج المسبّبيّ بالتخصّص، أو خروج السببيّ على وجه محال،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مخصّص، أو على وجه دائر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فرديّة الأصل المسبّبيّ للعامّ المذكور تنجيزيّ؛ لأنّه وجدانيّ، فليس شمول العامّ،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اليقين بالشكّ، له معلَّقاً على أمر، بخلاف شموله للمسبّبيّ، فإنّه معلّق على عدم شموله للأصل المسبّبيّ، وإلّا، يرفع موضوعه بالحكومة ولا يشمله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بحكومة الأصل السببيّ على المسبّبيّ، ولو قلنا باعتبار الاُصول المثبتة؛ لأنّه على هذا المبنى أيضاً فإثباتها للوازمها فرع وجودها، والمفروض عدم تحقّق موضوع المسبّبيّ مع جريان الأصل السببيّ حتى يثبت لوازمها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المسبّبيّ يتوقّف على الشكّ في مؤدّاه، والشكّ في مؤدّاه يتوقّف على عدم جريانالأصل السببيّ؛ إذ مع جريانه يرتفع الشكّ في مؤدّى الأصل المسبّبيّ، وعدم جريان الأصل السببيّ يتوقّف على جريان الأصل المسبّبيّ وإثباته اللّوازم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جريان الأصل السببيّ فهو لا يتوقّف على شيء؛ لأنّ موضوعه محرز بالوجدان، وليس له في مرتبة جريانه رافع</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الشكّ في أحدهما من الآثار الشرعيّة لبقاء الشكّ في الآخر والذي يسمّى بالأصل السببيّ والمسبّبيّ</w:t>
      </w:r>
      <w:r>
        <w:rPr>
          <w:rFonts w:eastAsia="Amiri" w:cs="Amiri" w:ascii="Amiri" w:hAnsi="Amiri"/>
          <w:color w:val="111111"/>
          <w:sz w:val="28"/>
          <w:szCs w:val="28"/>
          <w:rtl w:val="true"/>
          <w:lang w:bidi="ar-SA"/>
        </w:rPr>
        <w:t xml:space="preserve">. </w:t>
      </w:r>
      <w:bookmarkStart w:id="246" w:name="pg15437_355008"/>
    </w:p>
    <w:p>
      <w:pPr>
        <w:pStyle w:val="Heading3"/>
        <w:numPr>
          <w:ilvl w:val="2"/>
          <w:numId w:val="1"/>
        </w:numPr>
        <w:rPr/>
      </w:pPr>
      <w:bookmarkStart w:id="247" w:name="__RefHeading___Toc6974565_2142443653"/>
      <w:bookmarkStart w:id="248" w:name="_Toc89"/>
      <w:bookmarkEnd w:id="246"/>
      <w:bookmarkEnd w:id="247"/>
      <w:r>
        <w:rPr>
          <w:rtl w:val="true"/>
        </w:rPr>
        <w:t>وأمّا القسم الثاني</w:t>
      </w:r>
      <w:r>
        <w:rPr>
          <w:rtl w:val="true"/>
        </w:rPr>
        <w:t>:</w:t>
      </w:r>
      <w:bookmarkEnd w:id="248"/>
    </w:p>
    <w:p>
      <w:pPr>
        <w:pStyle w:val="BookText"/>
        <w:rPr/>
      </w:pPr>
      <w:r>
        <w:rPr>
          <w:rFonts w:ascii="Amiri" w:hAnsi="Amiri" w:eastAsia="Amiri" w:cs="Amiri"/>
          <w:color w:val="111111"/>
          <w:sz w:val="28"/>
          <w:sz w:val="28"/>
          <w:szCs w:val="28"/>
          <w:rtl w:val="true"/>
          <w:lang w:bidi="ar-SA"/>
        </w:rPr>
        <w:t xml:space="preserve">وهو ما إذا كان الشكّ في أحدهما مسبّباً عن الشكّ في الآخر، ولكن عقلاً لا شرعاً، فإذا قلنا بعدم حجّيّة الأصل المثبت، وأنّ الاُصول ليست بحجّة في لوازمها ومثبتاتها، فلا يكون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الأصل المسبّبيّ، بل يكون حال الأصلين حال ما إذا كان الشكّ في كلّ واحد منهما مسبّباً عن أمر آخر، ويرجع إلى القسم الثالث من الاستصحابين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الأصلين في حدّ ذاتيهما، بل منشأ التعارض هو العلم الإجماليّ بكذب أحد الاستصحابين؛ إذ لا تنافي بين الحكم ببقاء شيء في موضوع ببركة الاستصحاب مع بقاء شيء آخر في موضوع آخر ببركة استصحاب آخر فيه لولا ذلك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القسم، فإن أجرينا الاستصحابين معاً، فإمّا أن يلزم من ذلك مخالفة عمليّة قطعيّة وإمّا أن لا يلزم منه مخالفة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لزم منه المخالفة العمليّة القطعيّة لم يجز إجراء كلا الاستصحابين والجمع بينهما، وهو ما عليه المشهور، بل المتّفق عليه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نُسِب إلى المحقّق الخونساريّ وصاحب القوانين</w:t>
      </w:r>
      <w:r>
        <w:rPr>
          <w:rStyle w:val="FootnoteAnchor"/>
          <w:rtl w:val="true"/>
        </w:rPr>
        <w:footnoteReference w:id="217"/>
      </w:r>
      <w:r>
        <w:rPr>
          <w:rFonts w:ascii="Amiri" w:hAnsi="Amiri" w:eastAsia="Amiri" w:cs="Amiri"/>
          <w:color w:val="111111"/>
          <w:sz w:val="28"/>
          <w:sz w:val="28"/>
          <w:szCs w:val="28"/>
          <w:rtl w:val="true"/>
          <w:lang w:bidi="ar-SA"/>
        </w:rPr>
        <w:t xml:space="preserve">أنّ العلم </w:t>
      </w:r>
    </w:p>
    <w:p>
      <w:pPr>
        <w:pStyle w:val="BookText"/>
        <w:rPr/>
      </w:pPr>
      <w:r>
        <w:rPr>
          <w:rFonts w:ascii="Amiri" w:hAnsi="Amiri" w:eastAsia="Amiri" w:cs="Amiri"/>
          <w:color w:val="111111"/>
          <w:sz w:val="28"/>
          <w:sz w:val="28"/>
          <w:szCs w:val="28"/>
          <w:rtl w:val="true"/>
          <w:lang w:bidi="ar-SA"/>
        </w:rPr>
        <w:t>الإجماليّ مقتضٍ لتنجّز التكليف، وليس بعلّة تامّة حتى بالنسبة إلى المخالفة القطعيّة، ولكنّ هذا القول باطل، كما حقّق في محلّه، مضافاً إلى كونه مخالفاً للاتّفاق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الأصل في تعارض الاُصول يقتضي التخيير في أعمال أحدها؟ أو أنّ الأصل في تعارض الاُصول يقتضي التساقط؟</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يقتضي التخيير، قياساً لها على تعارض الطرق والأمارات على القول بالسببيّة فيها،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اﷲ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تعارض الأمارات هو التساقط بناءً على الطريقيّة والتخيير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هو التساقط؛ فإنّ التخيير في إعمال أحد الأصلين المتعارضين ممّا لا دليل عليه، ولا يقتضيهأدلّة اعتبار الاُصول؛ لأنّ أدلّة اعتبارها تقتضي إعمال كلّ أصلٍ بعينه، فإذا لم يمكن ذلك فلا بدّ من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 في كلامه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يلزم فيه المخالفة القطعيّة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تكن هناك مخالفة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فبتعبير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هناك لا مانع من إجراء كلا الأصلين مطلقاً، أو لا يجوز مطلقاً، أو التفصيل بين الاُصول التنزيليّة مثل الاستصحاب فلا يجوز، وبين غير التنزيليّة فيجوز؟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بالقول بعدم الجريان بالنسبة إلى الاُصول التنزيليّة، وبالجريان بالنسبة إلى غير التنزيليّة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الاستصحاب وغيره، وقال في الاستصحاب بعدم الجريان من جهة عدم الدليل في عالم الإثبات، لا عدم إمكانه في عالم الثبوت؛ لأنّ الدليل على الاستصحاب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 ولكن انقضه بيقين مثله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الرواية من حيث الصدر، وإن كانت تشمل أطراف العلم الإجماليّ؛ لأنّ كلّ واحد منها مشكوك مسبوق باليقين الإجماليّ، فأركان الاستصحاب من اليقين السابق والشكّاللّاحق فيه تمام، إلّا أنّ ذيل الرواية، أعني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انقضه بيقين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ينفي الاستصحاب؛ للعلم الإجماليّ بارتفاع الحالة السابقة في أحدهما،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هناك كأسان نجسان، فعلم بطهارة أحدهما، فاستصحاب النجاسة في الكأسين ولو كان لا يلزم منه مخالفة عمليّة أصلاً، إلّا أنّه مع ذلك لا يجري؛ </w:t>
      </w:r>
    </w:p>
    <w:p>
      <w:pPr>
        <w:pStyle w:val="BookText"/>
        <w:rPr/>
      </w:pPr>
      <w:r>
        <w:rPr>
          <w:rFonts w:ascii="Amiri" w:hAnsi="Amiri" w:eastAsia="Amiri" w:cs="Amiri"/>
          <w:color w:val="111111"/>
          <w:sz w:val="28"/>
          <w:sz w:val="28"/>
          <w:szCs w:val="28"/>
          <w:rtl w:val="true"/>
          <w:lang w:bidi="ar-SA"/>
        </w:rPr>
        <w:t>لتناقض صدر الرواية وذيلها، فالصدر يُثبت والذيل ينفي</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حديث التناقض بين الذيل والصدر إنّما يتمّ فيما إذا كان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انقضه بيقين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التفصيليّ والإجماليّ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هو اليقين التفصيليّ لا الإجماليّ؛ وذلك من جهة أنّه لابدّ في الاستصحاب من وحدة متعلّق الشكّ واليقين، وإلّا، فلا يصدق النقض، وبعدما كان متعلّق الشكّ هو خصوص الفرد، فلابدّ أن يكون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الفرد، وهو غير ممكن إلّا أن يكون اليقين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المدرك في حجّيّة الاستصحاب في مقام الإثبات منحصراً بهذه الرواية التي هي مذيّلة بهذا الذيل، بل هنا روايات أُخرى ليس لها هذا الذيل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جريان الاستصحاب، بل وكذلك الأمارات ومطلق الاُصول، هو أنّ البناء على بقاء الحالة السابقة على أنّه متيقّن في الطرفين وإلغاء الشكّ وأنّ الواقع منكشف في الأمارات مع العلم بالخلاف إجمالاً لا يجتمعان، لمكان التناقض والتهافت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موارد كثيرة ذكر أنّهم يجرون فيها الاستصحاب مع العلم إجمالاً بمخالفة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بمائع مردّد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غفلةً حتى يتمشّى منه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يجرون استصحاب طهارة البدن مع بقاء الحدث، فهم يفكّكون بين المتلازمين في الواقع في الحكم الظاهريّ؛ فإنّ طهارة البدن في الفرض، وإن كان ملازماً في الواقع مع ارتفاع الحدث، وكذلك بقاء الحدث ملازم بحسب الواقع مع نجاسة البدن، ولكن في مقام الظاهر لا مانع من تفكيك المتلازمين والالتزام بطهارة البدن وبقاء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الحكم الظاهريّ على خلاف الواقع لا مانع منه في صورة استتار الواقع، وإن كان يعلم إجمالاً أنّ أحد الجعلين مخالف للواقع، ولكن لا يعلم بخالفة كلّ واحدٍ من الجعلين في مورده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ونظائر ما ذكرنا من التفكيك بين المتلازمين في الواقع بحسب الحكم الظاهريّ في الفقه كثير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يمكن أن يقال في جواب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فرق بين أن يكون مؤدّى الاستصحابين متّفقين في أمر نعلم تفصيلاً بمخالفته للواقع، كما أنّه في الفرع المذكور يكون الأمر هكذا؛ فإنّ استصحاب نجاسة الكأسين اللّذين يعلم بطهارة أحدهما متّفقان في نجاسة ذلك الذي نعلم تفصيلاً بطهارته، وكذلك الاستصحابان في عدم زوجيّة كلّ واحدةٍ من المرأتين اللّتين نعلم تفصيلاً بزوجيّة إحداهما متّفقان في نفي زوجيّة من نعلم تفصيلاً بزوجيّتها، وهي مصداق إحداهما؛ فإنّه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مؤدّى الاستصحابين جمعاً مخالفاً لما هو 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بعدم جريان الاستصحابين ولو لم يكونا مستلزمين للمخالفة العلميّة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التفكيك بين المتلازمين بحسب الواقع في الحكم الظاهريّ إذا لم يكن مخالفاً لما هو معلوم بالتفصيل، ولم يكن دليل خارجيّ، من إجماع أو غيره، على عدم جواز التفكيك،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بجريانهما، وموارده في الفقه كثيرة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49" w:name="pg15437_355014"/>
    </w:p>
    <w:p>
      <w:pPr>
        <w:pStyle w:val="Heading2"/>
        <w:numPr>
          <w:ilvl w:val="1"/>
          <w:numId w:val="1"/>
        </w:numPr>
        <w:rPr/>
      </w:pPr>
      <w:bookmarkStart w:id="250" w:name="__RefHeading___Toc6974567_2142443653"/>
      <w:bookmarkStart w:id="251" w:name="_Toc90"/>
      <w:bookmarkEnd w:id="249"/>
      <w:bookmarkEnd w:id="250"/>
      <w:r>
        <w:rPr>
          <w:rtl w:val="true"/>
        </w:rPr>
        <w:t>مبحث التعادل والتراجيح</w:t>
      </w:r>
      <w:bookmarkEnd w:id="251"/>
    </w:p>
    <w:p>
      <w:pPr>
        <w:pStyle w:val="Heading3"/>
        <w:numPr>
          <w:ilvl w:val="2"/>
          <w:numId w:val="1"/>
        </w:numPr>
        <w:rPr/>
      </w:pPr>
      <w:bookmarkStart w:id="252" w:name="__RefHeading___Toc6974569_2142443653"/>
      <w:bookmarkStart w:id="253" w:name="_Toc91"/>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974571_2142443653"/>
      <w:bookmarkStart w:id="255" w:name="_Toc92"/>
      <w:bookmarkEnd w:id="254"/>
      <w:r>
        <w:rPr>
          <w:rtl w:val="true"/>
        </w:rPr>
        <w:t>الأمر الأوّل</w:t>
      </w:r>
      <w:r>
        <w:rPr>
          <w:rtl w:val="true"/>
        </w:rPr>
        <w:t xml:space="preserve">: </w:t>
      </w:r>
      <w:r>
        <w:rPr>
          <w:rtl w:val="true"/>
        </w:rPr>
        <w:t>في تعريفهما</w:t>
      </w:r>
      <w:r>
        <w:rPr>
          <w:rtl w:val="true"/>
        </w:rPr>
        <w:t>:</w:t>
      </w:r>
      <w:bookmarkEnd w:id="25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التعادل مأخوذ من العدل، وهو التسوية، ولذا يسمّى أحد الحملين عدلاً، لمساواته مع الآخر في الوزن، والمراد به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التراجيح فهو مأخوذ من الترجيح، وهو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ذا مزيّة موجبة لتقديمه على الآخر في الباب، وهو تقدّم أحد الدليلين المتعارضين لأجل مزيّة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الفقهاء من أتى بهذا اللّفظ مفرداً،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عبّر بلفظ الجمع،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أتى به مفرداً كان نظره إلى نفس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أحد الدليلين </w:t>
      </w:r>
      <w:bookmarkStart w:id="256" w:name="pg15437_355015"/>
    </w:p>
    <w:p>
      <w:pPr>
        <w:pStyle w:val="BookText"/>
        <w:rPr/>
      </w:pPr>
      <w:bookmarkEnd w:id="256"/>
      <w:r>
        <w:rPr>
          <w:rFonts w:ascii="Amiri" w:hAnsi="Amiri" w:eastAsia="Amiri" w:cs="Amiri"/>
          <w:color w:val="111111"/>
          <w:sz w:val="28"/>
          <w:sz w:val="28"/>
          <w:szCs w:val="28"/>
          <w:rtl w:val="true"/>
          <w:lang w:bidi="ar-SA"/>
        </w:rPr>
        <w:t>بعينه على الآخر، لكونه مرجَّحاً على ذلك الآخر بسبب مزيّة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به بلفظ الجمع فنظره إلى الحاصل من أقسام المرجّحات من حيث صفات الراوي بأقسامها أو من حيث مضمون الرواية أو جهة الصدور، وهكذا،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الترجيح،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 الطلبة في النجف الأشرف أنّه حضر بحث بعض الأساتذة الذي تحدّث لمدّة أربعة أشهر حول أنّصاحب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في عنوان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المفرد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974573_2142443653"/>
      <w:bookmarkStart w:id="258" w:name="_Toc93"/>
      <w:bookmarkEnd w:id="257"/>
      <w:r>
        <w:rPr>
          <w:rtl w:val="true"/>
        </w:rPr>
        <w:t xml:space="preserve">الأمر الثاني </w:t>
      </w:r>
      <w:r>
        <w:rPr>
          <w:rtl w:val="true"/>
        </w:rPr>
        <w:t>:</w:t>
      </w:r>
      <w:r>
        <w:rPr>
          <w:rtl w:val="true"/>
        </w:rPr>
        <w:t>في أنّه من المسائل الاُصوليّة</w:t>
      </w:r>
      <w:r>
        <w:rPr>
          <w:rtl w:val="true"/>
        </w:rPr>
        <w:t>:</w:t>
      </w:r>
      <w:bookmarkEnd w:id="258"/>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البحث من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عدّه في خاتمة المسائل الاُصوليّة، لا في صميمها، سواء قلنا بأنّ المسائل الاُصوليّة هي ما يبحث فيها عن عوارض الدليل على الحكم الشرعيّ وجعلنا المائز بين المسائل الاُصوليّة والفقهيّة هو المحمول، أم قلنا بأنّ المائز بين المسائل الاُصوليّة والفقهيّة أنّ المسائل الاُصوليّة لا يكون المجتهد والمقلّد فيها على حدٍّ سواء، بل هي من مختصّات وشؤون الأوّل، وأمّا الفقهيّة فيكونان فيها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المناط في كون المسألة اُصوليّة وقوع نتيجة البحث عنها كبرىً في </w:t>
      </w:r>
      <w:bookmarkStart w:id="259" w:name="pg15437_355016"/>
    </w:p>
    <w:p>
      <w:pPr>
        <w:pStyle w:val="BookText"/>
        <w:rPr/>
      </w:pPr>
      <w:bookmarkEnd w:id="259"/>
      <w:r>
        <w:rPr>
          <w:rFonts w:ascii="Amiri" w:hAnsi="Amiri" w:eastAsia="Amiri" w:cs="Amiri"/>
          <w:color w:val="111111"/>
          <w:sz w:val="28"/>
          <w:sz w:val="28"/>
          <w:szCs w:val="28"/>
          <w:rtl w:val="true"/>
          <w:lang w:bidi="ar-SA"/>
        </w:rPr>
        <w:t>قياس الاستنباط، ولا شكّ أنّ نتيجة البحث في هذه المسألة سواء كان هو التخيير مطلقاً بعد فقد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المرجّحات، فالترجيح وتقديم ذي المزيّة هو تعيين الحجّة وتشخيصها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معيّناً،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ذي المزيّة، أو مخيّراً مطلقاً، أو في خصوص صورة فقد المرجّح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تشخيص ما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المعيّن أو المختار في المخيّر كبرى في قياس، يستنتج من ذلك القياس الحكم الفرعيّ الكلّيّ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من أهمّ المسائل الاُصوليّة، وفائدة حجّيّة الخبر الواحد لا يتمّ إلّا بهذه المسألة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974575_2142443653"/>
      <w:bookmarkStart w:id="261" w:name="_Toc94"/>
      <w:bookmarkEnd w:id="260"/>
      <w:r>
        <w:rPr>
          <w:rtl w:val="true"/>
        </w:rPr>
        <w:t>الأمر الثالث</w:t>
      </w:r>
      <w:r>
        <w:rPr>
          <w:rtl w:val="true"/>
        </w:rPr>
        <w:t xml:space="preserve">: </w:t>
      </w:r>
      <w:r>
        <w:rPr>
          <w:rtl w:val="true"/>
        </w:rPr>
        <w:t>في تعريف التعارض</w:t>
      </w:r>
      <w:r>
        <w:rPr>
          <w:rtl w:val="true"/>
        </w:rPr>
        <w:t>:</w:t>
      </w:r>
      <w:bookmarkEnd w:id="261"/>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الدليلين إنّما يكون باعتبار عدم إمكان اجتماع المحكي والمنكشف بهما بحيث تؤول حكايتهما إلى اجتماع الضدّين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هو التنافي الذي يقع بين الدليلين باعتبار تنافي مدلوليهما في عالم الجعل والتشريع، فالتنافي أوّلاً وبالذات يكون بين المدلولين أنفسهما، ونسبته الى الدليلين ليست إلّا بالمسامحة، بل </w:t>
      </w:r>
      <w:bookmarkStart w:id="262" w:name="pg15437_355017"/>
    </w:p>
    <w:p>
      <w:pPr>
        <w:pStyle w:val="BookText"/>
        <w:rPr/>
      </w:pPr>
      <w:bookmarkEnd w:id="262"/>
      <w:r>
        <w:rPr>
          <w:rFonts w:ascii="Amiri" w:hAnsi="Amiri" w:eastAsia="Amiri" w:cs="Amiri"/>
          <w:color w:val="111111"/>
          <w:sz w:val="28"/>
          <w:sz w:val="28"/>
          <w:szCs w:val="28"/>
          <w:rtl w:val="true"/>
          <w:lang w:bidi="ar-SA"/>
        </w:rPr>
        <w:t>لا تنافي بين الدليلين في مرحلة الدلالة حقيقةً؛ لأنّ كليهما يفيد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الدليلين المتعارضين يُثبت ما هو الضدّ للآخر،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التعارض إنّما عرض لمثل هذين الدليلين باعتبار كونهما يثبتان المتنافيين ويحكيان عن المتناقضين، فالتعارض يحصل من جهة التنافي بين مدلوليهما بحيث لا يمكن اجتماعهما في وعاء الاعتبار، فمفادهما جمعاً هو اجتماع الضدّين، أو أنّ أحدهما ينفي ما ثبت الآخر فيكون من باب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التنافي قد يكون لأجل عدم امتناع اجتماع الدليلين ذاتاً في حدّ أنفسهما، أو من جهة تنافي اللّوازم، أو من جهة التنافي بين الاُمور الخارجية، كالخبرين اللّذين يدلّ أحدهما على وجوب صلاة الظهر والآخر على وجوب صلاة الجمعة، مع أنّا نعلم من خارج بأنّ الواجب ظهر الجمعة هو صلاة واحدة هي إحداهما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974577_2142443653"/>
      <w:bookmarkStart w:id="264" w:name="_Toc95"/>
      <w:bookmarkEnd w:id="263"/>
      <w:r>
        <w:rPr>
          <w:rtl w:val="true"/>
        </w:rPr>
        <w:t xml:space="preserve">الأمر الرابع </w:t>
      </w:r>
      <w:r>
        <w:rPr>
          <w:rtl w:val="true"/>
        </w:rPr>
        <w:t>:</w:t>
      </w:r>
      <w:r>
        <w:rPr>
          <w:rtl w:val="true"/>
        </w:rPr>
        <w:t>في شرائط حصول التعارض</w:t>
      </w:r>
      <w:r>
        <w:rPr>
          <w:rtl w:val="true"/>
        </w:rPr>
        <w:t>:</w:t>
      </w:r>
      <w:bookmarkEnd w:id="264"/>
    </w:p>
    <w:p>
      <w:pPr>
        <w:pStyle w:val="BookText"/>
        <w:rPr/>
      </w:pPr>
      <w:r>
        <w:rPr>
          <w:rFonts w:ascii="Amiri" w:hAnsi="Amiri" w:eastAsia="Amiri" w:cs="Amiri"/>
          <w:color w:val="111111"/>
          <w:sz w:val="28"/>
          <w:sz w:val="28"/>
          <w:szCs w:val="28"/>
          <w:rtl w:val="true"/>
          <w:lang w:bidi="ar-SA"/>
        </w:rPr>
        <w:t>إنّما يحصل التعارض بين الدليلين باُمور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والصلاة ليست بواجبة؛ إذ لو كان موضوع الدليلين متعدّداً فلا يكون هناك تعارض، كما في الأصل العمليّ الذي يقع مقابلاً للدليل الاجتهاديّ، فإنّ موضوع الأصل العمليّ </w:t>
      </w:r>
    </w:p>
    <w:p>
      <w:pPr>
        <w:pStyle w:val="BookText"/>
        <w:rPr/>
      </w:pPr>
      <w:r>
        <w:rPr>
          <w:rFonts w:ascii="Amiri" w:hAnsi="Amiri" w:eastAsia="Amiri" w:cs="Amiri"/>
          <w:color w:val="111111"/>
          <w:sz w:val="28"/>
          <w:sz w:val="28"/>
          <w:szCs w:val="28"/>
          <w:rtl w:val="true"/>
          <w:lang w:bidi="ar-SA"/>
        </w:rPr>
        <w:t>هو الأشياء بوصف كونها مجهولة، بخلاف موضوع الدليل الاجتهاديّ، فإنّه الأشياء بما هي، وكذلك، فإنّ الدليل الاجتهاديّ حاكم على الأصل؛ لأنّه لا يجري الاستصحاب إلّا في مقام لا يكون فيه دليل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المحمول ووحدة القيود المأخوذة من الزمان أو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وجود التنافي بين أن يكون في تمام المدلول أو في جزئه فقط في العامّين من وجه، أمّا لو كان بينهما عموم وخصوص مطلقاً، فإن كان العرف يجمع بينهما بحمل العامّ على الخاصّ فهو، وإلّا، فإن كان الخاصّ منفصلاً فيعقد لكلّ منهما ظهور منافٍ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 الدليلين واجداً لشرائط الحجّيّة بحيث لا يكون التوقّف في العمل بكلّ واحدٍ منهما إلّا من جهة معارضة الآخر له، بحيث لو فرض عدم وجود المعارض لكان من اللّازم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لم يكن أحد الدليلين حجّة، كما لو علم بكذب أحدهما وعدم صدوره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تعارض الدليلين والحجّتين، بل يكون من باب اشتباه الحجّة باللّاحجّة، فلابدّ أن يعمل فيه بقواعد العلم الإجماليّ، لا بقواعد باب التعارض؛ لأنّ التعارض مأخوذ فيه أن يكون بين دليلين، وظاهر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يكونا حجّتين، وذلك واضح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التعارض إنّما يلحق الدليلين ثانياً وبالعرض، والذي </w:t>
      </w:r>
      <w:bookmarkStart w:id="265" w:name="pg15437_355019"/>
    </w:p>
    <w:p>
      <w:pPr>
        <w:pStyle w:val="BookText"/>
        <w:rPr/>
      </w:pPr>
      <w:bookmarkEnd w:id="265"/>
      <w:r>
        <w:rPr>
          <w:rFonts w:ascii="Amiri" w:hAnsi="Amiri" w:eastAsia="Amiri" w:cs="Amiri"/>
          <w:color w:val="111111"/>
          <w:sz w:val="28"/>
          <w:sz w:val="28"/>
          <w:szCs w:val="28"/>
          <w:rtl w:val="true"/>
          <w:lang w:bidi="ar-SA"/>
        </w:rPr>
        <w:t>يتّصف به أوّلاً وبالذات هو مدلول الدليلين وما يكشفان عنه ويؤدّيان إليه، مطابقةً أو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تكاذب الدليلان في المؤدّى امتنع اجتماع المدلول المطابقيّ أو الالتزاميّ لأحدهما مع مدلول الآخر كذلك في عالم الجعل والتشريع،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التعارض بين الدليلين مطلقاً أو في بعض الأفراد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 أن يكون التكاذب بينهما بأنفسهما ابتداءً وبين أن يكون التكاذب بينهما لأمر خارج، كما إذا دلّ أحدهما على وجوب الجمعة والآخر على وجوب الظهر وعلمنا من الخارج أنّ الوجوب لا يلحق إلّا إحدى هاتين الصلاتين فقط؛ فإنّ الدليلين هنا، وإن لم يتكاذبا ابتداءً ولم يمتنع اجتماعمؤدّاهما ثبوتاً، إلّا أنّه بعد العلم بعدم وجوب إحدى الصلاتين يقع التكاذب بين الدليلين، فإنّ كلاً منهما يثبت مؤدّاه وينفي بلازمه مؤدّى الآخر، فيَؤُول الأمر إلى امتناع اجتماع المؤدّيين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974579_2142443653"/>
      <w:bookmarkStart w:id="267" w:name="_Toc96"/>
      <w:bookmarkEnd w:id="266"/>
      <w:r>
        <w:rPr>
          <w:rtl w:val="true"/>
        </w:rPr>
        <w:t xml:space="preserve">الأمر الخامس </w:t>
      </w:r>
      <w:r>
        <w:rPr>
          <w:rtl w:val="true"/>
        </w:rPr>
        <w:t>:</w:t>
      </w:r>
      <w:r>
        <w:rPr>
          <w:rtl w:val="true"/>
        </w:rPr>
        <w:t>في الفرق بين التعارض والتزاحم</w:t>
      </w:r>
      <w:r>
        <w:rPr>
          <w:rtl w:val="true"/>
        </w:rPr>
        <w:t>:</w:t>
      </w:r>
      <w:bookmarkEnd w:id="267"/>
    </w:p>
    <w:p>
      <w:pPr>
        <w:pStyle w:val="BookText"/>
        <w:rPr/>
      </w:pPr>
      <w:r>
        <w:rPr>
          <w:rFonts w:ascii="Amiri" w:hAnsi="Amiri" w:eastAsia="Amiri" w:cs="Amiri"/>
          <w:color w:val="111111"/>
          <w:sz w:val="28"/>
          <w:sz w:val="28"/>
          <w:szCs w:val="28"/>
          <w:rtl w:val="true"/>
          <w:lang w:bidi="ar-SA"/>
        </w:rPr>
        <w:t>وحاصل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التعارض لا يكون الملاك ثابتاً لكلّ واحد من الحكمين، بل يكون المقتضي والملاك ثابتاً لأحدهما غير المعيّن فقط، وأمّا في باب التزاحم، فيكون الملاك ثابتاً وموجوداً في كلّ واحدٍ منهما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متى ما ثبت وجود الملاك لكلا </w:t>
      </w:r>
    </w:p>
    <w:p>
      <w:pPr>
        <w:pStyle w:val="BookText"/>
        <w:rPr/>
      </w:pPr>
      <w:r>
        <w:rPr>
          <w:rFonts w:ascii="Amiri" w:hAnsi="Amiri" w:eastAsia="Amiri" w:cs="Amiri"/>
          <w:color w:val="111111"/>
          <w:sz w:val="28"/>
          <w:sz w:val="28"/>
          <w:szCs w:val="28"/>
          <w:rtl w:val="true"/>
          <w:lang w:bidi="ar-SA"/>
        </w:rPr>
        <w:t>الحكمين فالمورد من موارد التزاحم ، ومتى لم يثبت وجود الملاكين كان المورد من موارد التعارض</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اختلاف موردي التزاحم والتعارض، فلكل منهما مقام مستقلّ عن مقام الآخر وينفرد عنه،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يرجع إلى التنافي في مرحلة الجعل والتشريع بحيث لا يمكن جعل كلا الحكمين فهو التعارض، كالتنافي بينوجوب الشيء وحرمته، فإنّه يستحيل جعل كلا الحكمين من المولى لتضادّهما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يرجع إلى التنافي في عالم الامتثال ومرحلة فعليّة الحكمين بأن كان جعل كلا الحكمين في نفسه وبنحو القضيّة الحقيقيّة ممكناً للمولى، فلا تنافي بينهما في عالم الجعل، وإنّما التنافي بينهما في مرحلة فعليّتهما، باعتبار عدم إمكان امتثالهما معاً؛ لعدم تحقّق موضوعيهما معاً، فهو التزاحم، كوجوب إنقاذ هذا الغريق ووجوب إنقاذ ذاك الثابتين بدليليهما في زمانٍ واحد، فإنّ جعل كلا الحكمين لا محذور فيه؛ لأنّ جعل الأحكام بنحو القضايا الحقيقيّة، وهو لا ينظر إلى ثبوت الموضوع وعدمه، بل هو ثابت ولو لم يكن الموضوع ثابتاً وموجوداً، فاجتماع الغريقين مع عدم القدرة إلّا على إنقاذ أحدهما لا يوجب التنافي بين </w:t>
      </w:r>
    </w:p>
    <w:p>
      <w:pPr>
        <w:pStyle w:val="BookText"/>
        <w:rPr/>
      </w:pPr>
      <w:r>
        <w:rPr>
          <w:rFonts w:ascii="Amiri" w:hAnsi="Amiri" w:eastAsia="Amiri" w:cs="Amiri"/>
          <w:color w:val="111111"/>
          <w:sz w:val="28"/>
          <w:sz w:val="28"/>
          <w:szCs w:val="28"/>
          <w:rtl w:val="true"/>
          <w:lang w:bidi="ar-SA"/>
        </w:rPr>
        <w:t>الحكمين في عالم الجعل، بل في عالم الفعليّة، لأجل التردّد في صَرف القدرة في هذا الطرف، فيكون حكمه فعليّاً دون الآخر،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أحدهما ليس من شأن المولى والجاعل؛ إذ لا يرتبط بمولويّته وبجعله، بل من وظائف غيره، وهو لا يضرّ بنفس الجعل؛ لأنّه ينفي موضع الحكم الآخر، لا أنّه ينفي الحكم عن موضوعه</w:t>
      </w:r>
    </w:p>
    <w:p>
      <w:pPr>
        <w:pStyle w:val="BookText"/>
        <w:rPr/>
      </w:pPr>
      <w:r>
        <w:rPr>
          <w:rFonts w:ascii="Amiri" w:hAnsi="Amiri" w:eastAsia="Amiri" w:cs="Amiri"/>
          <w:color w:val="111111"/>
          <w:sz w:val="28"/>
          <w:sz w:val="28"/>
          <w:szCs w:val="28"/>
          <w:rtl w:val="true"/>
          <w:lang w:bidi="ar-SA"/>
        </w:rPr>
        <w:t>هذا 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وإن كان يشترك مع التعارض في عدم إمكان اجتماع الحكمين، إلّا أنّ عدم إمكان الاجتماع في التعارض إنّما يكون في مرحلة الجعل والتشريع، بحيثيمتنع تشريع الحكمين ثبوتاً؛ لأنّه يلزم من تشريعهما اجتماع الضدّين أو النقيضين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التزاحم فعدم إمكان اجتماع الحكمين فيه إنّما يكون في مرحلة الامتثال، بعد تشريعهما وإنشائهما على موضوعهما المقدّر وجوده، وكان بين الحكمين في عالم الجعل والتشريع كمال الملاءمة، من دون أن يكون بينهما مزاحمة في مقام التشريع والإنشاء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وقع بينهما المزاحمة في مقام الفعليّة بعد تحقّق الموضوع خارجاً؛ لعدم القدرة على الجمع بينهما في الامتثال، فيقع التزاحم بينهما لتحقّق القدرة على امتثال أحدهما، فيصلح كلّ منهما لأن يكون تعجيزاً مولويّاً عن الآخر ورافعاً لموضوعه، فإنّ كلّ تكليفٍ </w:t>
      </w:r>
    </w:p>
    <w:p>
      <w:pPr>
        <w:pStyle w:val="BookText"/>
        <w:rPr/>
      </w:pPr>
      <w:r>
        <w:rPr>
          <w:rFonts w:ascii="Amiri" w:hAnsi="Amiri" w:eastAsia="Amiri" w:cs="Amiri"/>
          <w:color w:val="111111"/>
          <w:sz w:val="28"/>
          <w:sz w:val="28"/>
          <w:szCs w:val="28"/>
          <w:rtl w:val="true"/>
          <w:lang w:bidi="ar-SA"/>
        </w:rPr>
        <w:t>يستدعي حفظ القدرة على متعلّقه، وصَرفها نحوه، وإن لزم منه سلب القدرة عن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ثبوت القدرة على كلٍّ منهما منفرداً، وإن لم يمكن الجمع بينهما، فكلٌّ من الحكمين يقتضي حفظ موضوعه ورفع موضوع الآخر بصرف القدرة إلى امتثاله، فيقع التزاحم بينهما في مقام الامتثال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المحقّقين الخراساني والنائيني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يتوارد فيه الحكمان المتنافيان على موضوع واحد، ولم يكن التنافي ناشئاًعن عجز المكلّف عن الجمع بين الامتثالين مع ثبوت الملاك لكلٍّ من الحكمين، كالصلاة في الدار المغصوبة بناءً على الاتّحاد والانحصار، فإنّها مشمولة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المورد عند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في باب التزاحم؛ لوجود الملاك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موارد التعارض؛ لرجوع التنافي إلى عالم الجعل لا إلى مرتبة الفعليّة؛ لعدم إمكان اجتماع الأمر والنهي وامتناعه</w:t>
      </w:r>
      <w:r>
        <w:rPr>
          <w:rFonts w:eastAsia="Amiri" w:cs="Amiri" w:ascii="Amiri" w:hAnsi="Amiri"/>
          <w:color w:val="111111"/>
          <w:sz w:val="28"/>
          <w:szCs w:val="28"/>
          <w:rtl w:val="true"/>
          <w:lang w:bidi="ar-SA"/>
        </w:rPr>
        <w:t xml:space="preserve">. </w:t>
      </w:r>
      <w:bookmarkStart w:id="268" w:name="pg15437_355023"/>
    </w:p>
    <w:p>
      <w:pPr>
        <w:pStyle w:val="Heading3"/>
        <w:numPr>
          <w:ilvl w:val="2"/>
          <w:numId w:val="1"/>
        </w:numPr>
        <w:rPr/>
      </w:pPr>
      <w:bookmarkStart w:id="269" w:name="__RefHeading___Toc6974581_2142443653"/>
      <w:bookmarkStart w:id="270" w:name="_Toc97"/>
      <w:bookmarkEnd w:id="268"/>
      <w:bookmarkEnd w:id="269"/>
      <w:r>
        <w:rPr>
          <w:rtl w:val="true"/>
        </w:rPr>
        <w:t>الأمر السادس</w:t>
      </w:r>
      <w:r>
        <w:rPr>
          <w:rtl w:val="true"/>
        </w:rPr>
        <w:t xml:space="preserve">: </w:t>
      </w:r>
      <w:r>
        <w:rPr>
          <w:rtl w:val="true"/>
        </w:rPr>
        <w:t>مرجّحات بابي التعارض والتزاحم</w:t>
      </w:r>
      <w:r>
        <w:rPr>
          <w:rtl w:val="true"/>
        </w:rPr>
        <w:t>:</w:t>
      </w:r>
      <w:bookmarkEnd w:id="270"/>
    </w:p>
    <w:p>
      <w:pPr>
        <w:pStyle w:val="BookText"/>
        <w:rPr/>
      </w:pPr>
      <w:r>
        <w:rPr>
          <w:rFonts w:ascii="Amiri" w:hAnsi="Amiri" w:eastAsia="Amiri" w:cs="Amiri"/>
          <w:color w:val="111111"/>
          <w:sz w:val="28"/>
          <w:sz w:val="28"/>
          <w:szCs w:val="28"/>
          <w:rtl w:val="true"/>
          <w:lang w:bidi="ar-SA"/>
        </w:rPr>
        <w:t>أمّا مرجّحات باب التعارض، فهي ترجع إمّا إلى قوّة السند، كأوثقيّة الراوي وأعدليّته، أو كون الرواية أشهر، ونحو ذلك ممّا سيأتي الكلام فيه، وإمّا إلى قوّة الدلالة، ككونها أظهر،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مرجّحات باب التزاحم فهي اُمور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المتزاحمين مضيّقاً والآخر موسّعاً، فالمضيّق يقدّم على الموسّع؛ لأنّ المضيّق بالنسبة إلى الفرد المزاحم من الموسّع معه يكون مُخرجاً للطبيعة عن تساوي الإقدام عليها بالنسبة إلى أفرادها الطوليّة؛ فإنّ التخيير في تطبيق الصلاة الماُمور بها على أيّ فردٍ شاء بحسب الأوقات التي هي بين الحدّين عقليّ من جهة تساوي إقدام الماُمور بهفي تحصيل المصلحة الملزمة بالنسبة إلى تلك الأوقات، فإذا كان تطبيقه للفرد المزاحم موجباً لفوات مصلحةٍ ملزمة يخرج بالنسبة إلى هذا الفرد عن التساوي، فلا يرخّص العقل في التطبيق على هذا الفرد، ولذلك يحكم بتقديم المضيّق على الموسّع، ولو كان الموسّع أقوى منه ملاكاً وأهمّ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المتزاحمين مشروطاً بالقدرة الشرعيّة والآخر مشروطاً بالقدرة العقليّة، فيقدّم المشروط بالقدرة العقليّة على الآخر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الشرعيّة دخيلة في الملاك ومأخوذة في </w:t>
      </w:r>
    </w:p>
    <w:p>
      <w:pPr>
        <w:pStyle w:val="BookText"/>
        <w:rPr/>
      </w:pPr>
      <w:r>
        <w:rPr>
          <w:rFonts w:ascii="Amiri" w:hAnsi="Amiri" w:eastAsia="Amiri" w:cs="Amiri"/>
          <w:color w:val="111111"/>
          <w:sz w:val="28"/>
          <w:sz w:val="28"/>
          <w:szCs w:val="28"/>
          <w:rtl w:val="true"/>
          <w:lang w:bidi="ar-SA"/>
        </w:rPr>
        <w:t>موضوع الحكم، وما لم يتحقّق لم يوجد لا خطاب ولا ملاك؛ لأنّها مأخوذة في الموضوع، فما هو المشروط بالقدرة العقليّة يذهب بموضوع ما هو المشروط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القول بالعكس؛ لأنّ موضوع المشروط بالقدرة العقليّة ليس مقيّداً بها، بل هو مطلق من هذه الجهة، وهذا معنى أنّ المقيّد بالقدرة العقليّة يكون مقدّماً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المتزاحمين أهمّ من الآخر من حيث الملاك والمصلحة، فإنّ الأهمّ مقدّم على غيره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الواجبين المتزاحمين مقدّماً في الوجود في مقام الامتثال على الآخر، مثل العاجز عن القيام في جميع ركعات صلاته وليس قادراً إلّا على القيام في بعض الركعات،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القيام في أوّل ركعة من ركعات صلاته، ثمّ إذا عجز يجلس في سائر ركعاته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لزوم صرف قدرته في المقدّم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بالنسبة إليه قد صار فعليّاً في الزمان المتقدّم ومحرّكاً نحو الامتثال، والقدرة على الامتثال في ذلك الزمان موجودة، وليس في ذلك الزمان واجب يزاحمه في صرف القدرة، بل ينبغي أن لا يعدّ هذا المفروض من أقسام الواجبين المتزاحمين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أنّه كان عاجزاً من صوم تمام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إلّا على صوم نصفه، فهل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مخيّر بين أن يصوم نصفه الأوّل وبين أن يصوم نصفه الثاني فيجوز أن يفطر في النصف الأوّل </w:t>
      </w:r>
    </w:p>
    <w:p>
      <w:pPr>
        <w:pStyle w:val="BookText"/>
        <w:rPr/>
      </w:pPr>
      <w:r>
        <w:rPr>
          <w:rFonts w:ascii="Amiri" w:hAnsi="Amiri" w:eastAsia="Amiri" w:cs="Amiri"/>
          <w:color w:val="111111"/>
          <w:sz w:val="28"/>
          <w:sz w:val="28"/>
          <w:szCs w:val="28"/>
          <w:rtl w:val="true"/>
          <w:lang w:bidi="ar-SA"/>
        </w:rPr>
        <w:t>مع كمال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بمردود ومستنكر عند العقلاء، بل وعند كلّ خبير بأحكام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الواجب المتأخّر الذي لا يمكن جمعه في الامتثال مع الواجب المتقدّم له أهمّيّة عظمى بحيث إنّه لو قدّم الواجب المتقدّم يفوّت مصلحةً لا يرضى المولى بتفويتها،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بلزوم حفظ القدرة وسقوط الواجب المقدّم عن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فرض آخر لا ربط له بما نحن فيه، والذي فرضنا أنّه يتمحور حول الواجبين المتساويين في الملاك والمصلحة، ويكون المرجّح الموجب لصرف القدرة هو مجرّد تقدّمه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له البدل دون الآخر، فيقدّم ما ليس له البدل على ما له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قدّم ما ليس له البدل لا يفوّت مصلحة ما له البدل بالمرّة، 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الانتقال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موجب لاستيفاء تمام مصلحة المبدل في حال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مصلحة البدل هي بمقدار المبدل بعد تحقّق موضوعه والانتقال إليه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موجب لاستيفاء مقدار مهمّ من المصلحة الفائتة بواسطة ترك المبدل، بخلاف ما لو قدّم ما له البدل، فإنّه يفوت مصلحة ما ليس له البدل ولا يستوفي شيئاً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من جملة الفروق بين التزاحم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مرجّحات باب التعارض اُمور تعبّديّة، وإلّا 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المسلك القائل بأنّ حجّيّة الروايات هي من باب الطريقيّة لا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تساقطهما، وأنّ النوبة لا تصل إلى التخيير إذا كانتا متساويتين، ولا إلى الترجيح إذا كان لأحدهما مزيّة على الآخر، ولكنّ الشارع حكم بالتخيير عند تساويهما، وبالترجيح عند وجود مزايا مخصوصة أو منصوصة أو مطلق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إنّما يتحقّق بين الدليلين فيما لو كان النفي الذي هو مدلول أحد الدليلين، مع الإثبات الذي هو مدلول دليل الآخر، واردين على موردٍ واحد؛ لأنّ مرجع التعارض إلى التناقض في مدلولي الدليلين، فلذلك لابدّ من كونهما واردين على موردٍ واحد،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فيه الوحدات المعتبرة في تحقّق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أحدهما حاكماً على الآخر؛ لأنّ دليل المحكوم يثبت الحكم على تقدير ثبوت موضوعه، وليس متكفّلاً لإثبات ذلك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هو موضوع الحكم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قاعدة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ثبت الشكّ في عدد الركعات في الصلوات الرباعيّة بعد إكمال السجدتين يبني على الأكثر، وهذه القاعدة لا تنهض لإثبات موضوعها، بل مفادها أنّه إنّما يبني على الأكثر على تقدير وجود مثل ذلك الشكّ المذكور، فلو جاء دليل كان مفاده نفي </w:t>
      </w:r>
    </w:p>
    <w:p>
      <w:pPr>
        <w:pStyle w:val="BookText"/>
        <w:rPr/>
      </w:pPr>
      <w:r>
        <w:rPr>
          <w:rFonts w:ascii="Amiri" w:hAnsi="Amiri" w:eastAsia="Amiri" w:cs="Amiri"/>
          <w:color w:val="111111"/>
          <w:sz w:val="28"/>
          <w:sz w:val="28"/>
          <w:szCs w:val="28"/>
          <w:rtl w:val="true"/>
          <w:lang w:bidi="ar-SA"/>
        </w:rPr>
        <w:t xml:space="preserve">الشكّ عن كثير الشكّ، لا يمكن لقاعدة البناء على الأكثر أن تعارضه؛ لأنّ القاعدة تثبت شيئاً غير ما ينفيه الدليل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النفي والإثبات على محلٍّ واحد، وقد ذكرنا أنّه يشترط في تحقّق التعارض والتنافي أن يكون الدليلان واردين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أحدهما وارداً والآخر موروداً، فبما أنّ دليل الذي هو وارد على دليلٍ آخر يفني موضوع المورود فلا يبقى شيء في البين حتى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البراءة العقليّة،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فإذا جاء بيان من قبل الشارع، أو من قبل العقل، سواء كان أمارة أم أصلاً، تنزيليّاً أم غير تنزيليّ، شرعيّاً كان أو عقليّاً، فإنّه لا يبقى موضوع لحكم العقل حقيقةً وتكويناً، لا بصرف التعبّد، فينتفي حكم العقل من البين، وليس هناك شيء متبقٍّ حتى يقال بأنّه معارض أو غير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 هناك دليلان بينهما عموم وخصوص مطلق، فهل يقع بينهما التعارض ليقدّم الخاصّ على العامّ، ويكون هذا التقديم علاجاً؟ أم لا يقع، بل يكون حالهما حال الحاكم والمحكوم،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بينهما؟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أنّه في المخصّص إذا كان منفصلاً ينعقد للعامّ ظهورٌ في العموم، فإذا كان مخالفاً للدليل الخاصّ في السلب والإيجاب، فيقع التعارض بينهما في تلك القطعة التي هي محلّ اجتماعهما، </w:t>
      </w:r>
    </w:p>
    <w:p>
      <w:pPr>
        <w:pStyle w:val="BookText"/>
        <w:rPr/>
      </w:pPr>
      <w:r>
        <w:rPr>
          <w:rFonts w:ascii="Amiri" w:hAnsi="Amiri" w:eastAsia="Amiri" w:cs="Amiri"/>
          <w:color w:val="111111"/>
          <w:sz w:val="28"/>
          <w:sz w:val="28"/>
          <w:szCs w:val="28"/>
          <w:rtl w:val="true"/>
          <w:lang w:bidi="ar-SA"/>
        </w:rPr>
        <w:t>فأحدهما ينفي الحكم والآخر يثبته كما هو المفروض، ولكن عند العرف لا تعارض بينهما، بل هم يقدّمون الخاصّ على العامّ من دون أيّ 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يقع البحث في أن هذا التقدّم هل هو لأجل حكومة أصالة الظهور في طرف الخاصّ عليها في طرف العامّ أو لأجل التوفيق العرفيّ من جهة أظهرية الخاصّ في تلك القطعة على العامّ، أو تقديم الخاصّ على العامّ من جهة التخصّص، كتقديم الأدلّة المتكفّلة للعناوين الثانويّة، كأدلّة نفي الضرر أو الحرج على الأدلّة الأوّليّة، من باب الجمع العرفيّ، فيحمل الأوّليّ على الحكم الفعليّ، والثاني على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قطعيّ السند والدلالة، كالنصّ المتواتر، أو الخبر المحفوف بالقرائن القطعيّة، أو كان آيةً من القرآن هي نصّ في الدلالة، وفي هذه الحالة، يقدّم الخاصّ في تلك القطعة بالتخصّص؛ لأنّ حجّيّة العامّ في تلك القطعة إنّماتكون بأصالة الظهور، ولا محلّ لأصالة الظهور مع العلم بالعدم، كما هو مدلول الخاصّ القطعيّ سنداً ودلالة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هذا الخروج خروجاً بالتخصّص؛ لانتفاء موضوع الحجّيّة للعام تكويناً وحقيقة؛ لأنّ موضوع هذه الحجّيّة هو العامّ الذي لم يرِدْ دليل على خلافه وكان أقوى ظهوراً منه، وفي محلّ الفرض قد ورد دليل على خلافه فعلاً، وهو أقوى منه قطعاً، فالموضوع منتفٍ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ظنّيّاً بحسب الدلالة وقطعيّاً بحسب السند، أو يكون ظنّيّاً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الموردين ذهب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بأنّه لابدّ من تقديم أقوى الظهورين في تلك القطعة التي هي مجمع العنوانين، فإذا كان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الفاسق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فيقدّم العامّ في مورد اجتماع العنوانين ويطرح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ظهور الخاصّ في تلك القطعة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متساويين في درجة الظهور فيتساقطان</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في هذه المسألة مغاير لما التزم به من المبنى في الفقه، حيث التزم بتقديم الخاصّ على العامّ مطلقاً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وإن عارض ظهور الخاصّ مع ظهور العامّ وحكم بأنّه يؤخذ بأقوى الظهورين، إلّا أنّه لم يلتزم بذلك في شيءٍ من المسائل الفقهيّة، فإنّه لم يتّفق في موردٍ </w:t>
      </w:r>
    </w:p>
    <w:p>
      <w:pPr>
        <w:pStyle w:val="BookText"/>
        <w:rPr/>
      </w:pPr>
      <w:r>
        <w:rPr>
          <w:rFonts w:ascii="Amiri" w:hAnsi="Amiri" w:eastAsia="Amiri" w:cs="Amiri"/>
          <w:color w:val="111111"/>
          <w:sz w:val="28"/>
          <w:sz w:val="28"/>
          <w:szCs w:val="28"/>
          <w:rtl w:val="true"/>
          <w:lang w:bidi="ar-SA"/>
        </w:rPr>
        <w:t>عامل مع الخاصّ والعامّ معاملة التعارض، بل يقدّم الخاصّ مطلقاً على العامّ</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في الاعتذار عن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تماميّة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أقوائيّةً في ظهور العامّ على ظهور الخاصّ في غالبيّة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ظهور الخاصّ على ظهور العامّ، بلا فرق بين أن تكون الأقوائيّة لصالح ظهور العامّ أو الخاصّ؛ وذلك لأنّ أصالة الظهور في طرف الخاصّ تكون حاكمة على أصالة الظهور في طرف العامّ؛ إذ إنّ ظهور العامّ في العموم وكاشفيّته عن إرادة العموم متوقّف على أن لا يكون هناك قرينة على عدم إرادة العموم، فإذا كان التعبّد بظهور الخاصّ وأنّه كاشف عن مراد المتكلّم قرينةً على عدم إرادة العموم، فيقدّم على ظهور العامّ في العموم، ويكون ذكر الخاصّ دليلاً على عدم حجّيّة العامّ؛ لأنّ العامّإنّما ينفي القيد تعبّداً، لا تكويناً،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العامّ هو ما عدا تلك القطعة التي ينفيها الخاصّ</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ما ذكرناه فيما لو فرض أنّ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كلام واحد صادر من متكلّم واحد، فإنّ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في حمل العامّ على ما عدا الخاصّ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 ينقدح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حمل العامّ الصادر من الإمام المتقدّم زماناً على الخاصّ، ولو أتى هذا الخاصّ على لسان الإمام المتأخّر؛ فإنّ 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قبيل الكلام الصادر عن شخص واحد في مجلس واحد؛ لأنّ جميعهم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بيان حكم اﷲ كشخص واحد، فجاز أن يخصّص العامّ الوارد عن الإمام المتقدّم بالخاصّ الوارد عن الإمام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فإنّ الظهور الوضعيّ وإن كان أقوى من الظهور الإطلاقيّ، ولكن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لأنّه بالإطلاق، وذاك بالوضع، ولكن مع ذلك، يقدّم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العبارة هو الرجل الشجاع؛ لأنّه مع حكومة القرينة على ذيها لا يبقى مجال لأن تلاحظ الأقوائيّة والأضعفيّة بين الحاكم والمحكوم، وكذا ما نحن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أصالة الظهور في طرف الخاصّ على أصالة الظهور في طرف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للنصّ والظاهر، وكذا الأظهر مع الظاهر، فلا شكّ في أنّه يقدّم كلّ من النصّ والأظهر على الظاهر، وذلك لأنّ حجّيّة الظاهر مقيّدة بما إذا لم يكن هناك ما هو أقوى منهظهوراً، فورود النصّ أو ما هو أظهر يستوجب خروج الظاهر عن موضوع الحجّيّة، فلا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فلا تعارض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المطلق مع المقيّد، والعامّ مع الخاصّ، </w:t>
      </w:r>
      <w:bookmarkStart w:id="271" w:name="pg15437_355032"/>
    </w:p>
    <w:p>
      <w:pPr>
        <w:pStyle w:val="BookText"/>
        <w:rPr/>
      </w:pPr>
      <w:bookmarkEnd w:id="271"/>
      <w:r>
        <w:rPr>
          <w:rFonts w:ascii="Amiri" w:hAnsi="Amiri" w:eastAsia="Amiri" w:cs="Amiri"/>
          <w:color w:val="111111"/>
          <w:sz w:val="28"/>
          <w:sz w:val="28"/>
          <w:szCs w:val="28"/>
          <w:rtl w:val="true"/>
          <w:lang w:bidi="ar-SA"/>
        </w:rPr>
        <w:t>فيخرج هذان الموردان عن باب التعارض بالمعنى الذي ذكرناه؛ لأنّه لا تنافي ولا تدافع بينهما في نظر العرف والعقلاء كما عرفت</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974583_2142443653"/>
      <w:bookmarkStart w:id="273" w:name="_Toc98"/>
      <w:bookmarkEnd w:id="272"/>
      <w:r>
        <w:rPr>
          <w:rtl w:val="true"/>
        </w:rPr>
        <w:t xml:space="preserve">الأمر السابع </w:t>
      </w:r>
      <w:r>
        <w:rPr>
          <w:rtl w:val="true"/>
        </w:rPr>
        <w:t>:</w:t>
      </w:r>
      <w:r>
        <w:rPr>
          <w:rtl w:val="true"/>
        </w:rPr>
        <w:t>في حكم التعارض</w:t>
      </w:r>
      <w:r>
        <w:rPr>
          <w:rtl w:val="true"/>
        </w:rPr>
        <w:t>:</w:t>
      </w:r>
      <w:bookmarkEnd w:id="273"/>
    </w:p>
    <w:p>
      <w:pPr>
        <w:pStyle w:val="Heading4"/>
        <w:numPr>
          <w:ilvl w:val="3"/>
          <w:numId w:val="1"/>
        </w:numPr>
        <w:rPr/>
      </w:pPr>
      <w:bookmarkStart w:id="274" w:name="__RefHeading___Toc6974585_2142443653"/>
      <w:bookmarkStart w:id="275" w:name="_Toc99"/>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تارة يكون بين دليلين فقط، وأُخرى يكون بين أكثر من اثنين،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 أحد الدليلين على الوجوب والآخر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 دليل ثالث في المثال المتقدّم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في أحد المتعارضين مزيّة مع كون الآخر فاقداً لها، وإمّا أن لا يكون في أحدهما مزيّة لا توجد في الآخر، بل هما متساويان في المزايا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فالمزيّة تارةً تكون في السند، وأُخرى في جهة الصدور، وثالثة في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والمزيّة في السند ككون الرواية مشهورة بين الرواة والمحدّثين، وكصفات الراوي من كونه أوثق أو أعدل أو 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والمزيّة في جهة الصدور ككون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حكم اﷲ الواقعيّ، لا أنّه في مقام التقيّة وستر الحكم الواقعيّ خوفاً من الأعداء، ومثالها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أحد المتعارضين للعامّة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 من جهة الدلالة ومضمون أحدهما ومفاده أنّه حكم اﷲ، كموافقة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كانا متساويين في المزايا والخصوصيّات، ولم يكن لأحدهما مزيّة في إحدى الجهات الثلاث على الأُخرى، فالقاعدة الأوّليّة مع قطع النظر عن جعل ثانويّ واقعيّ أو ظاهريّ تقضي بالتساقط بناءً على الطريقيّة، والتخيير بناءً على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الروايات بناءً على الطريقيّة ليست إلّا من باب تتميم كشفها وجعلها في عالم الاعتبار كاشفاً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مؤدّياتها فتبقى على ما كان، من دون إحداث شيء من المصلحة أو المفسدة فيها من قبل قيام الأمارة عليها، فإن كان جعل كلا المؤدّيين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الاثنان جمعاً طريقاً فعليّاً إلى الحكم الواقعيّ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 واحد منهما له اقتضاء الطريقيّة، وهو مشمول لأدلّة جعلها طريقاً، ولكن بما أنّهما متساويان في شرائط الطريقيّة، ولا يمكن الأخذ بهما جميعاً؛ للزوم اجتماع الضدّين أو النقيضين، ولم يكن هناك وجه للتخيير؛ لعدم الملاك في الواقع لكلّ واحد منهما، ولم يكن تعيين أحدهما إلّا من باب الترجيح بلا مرجّح، فلا محالة يتساقطان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أحدهما حائزاً على المزيّة دون الآخر، فهذه المزيّة الموجودة إن كانت في السند أو في جهة الصدور كان لابدّ من الأخذ بصاحب المزيّة 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أخبار الترجيح التي سيأتي البحث فيها في محلّه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كانت المزيّة في الدلالة،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المتعارضين، ولا يجوز طرح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ادّعي الإجماع على ذلك، كما عن ابن أبي جمهور الأحسائي في عوالي اللئالي،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العمل بالدليلين مهما أمكن خير من ترك أحدهما وتعطيله بإجماع العلماء</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وهي القاعدة المعروفة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بين الدليلين اُولى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الذي اُولى هو من الطرح إنّما هو الجمع في الدلالة؛ ضرورة أنّه لو كان الجمع بينهما في الدلالة ممكناً ارتفع بينهما التعارض والتكاذب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المذكورة تشمل صورة تعادل المتعارضين في السند، وصورة ما إذا كان لأحدهما مزيّة تستوجب ترجيحه في السند؛ لأنّه في هذه الصورة الثانية يلزم بتقديم ذي المزيّة طرح الآخر مع فرض 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مع إمكان الجمع لا يجوز طرحهما معاً، ولا طرح أحدهما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هومقتضى القول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طرح أحدهما المعيّن،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المزيّة مع الترجيح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فإن كان مراده من الجمع الجمع العرفيّ فهو كلام حسن؛ لأنّ الجمع العرفيّ يكون إمّا بالورود أو بالحكومة أو بالنصّ والظاهر، ولذا </w:t>
      </w:r>
      <w:bookmarkStart w:id="276" w:name="pg15437_355035"/>
    </w:p>
    <w:p>
      <w:pPr>
        <w:pStyle w:val="BookText"/>
        <w:rPr/>
      </w:pPr>
      <w:bookmarkEnd w:id="276"/>
      <w:r>
        <w:rPr>
          <w:rFonts w:ascii="Amiri" w:hAnsi="Amiri" w:eastAsia="Amiri" w:cs="Amiri"/>
          <w:color w:val="111111"/>
          <w:sz w:val="28"/>
          <w:sz w:val="28"/>
          <w:szCs w:val="28"/>
          <w:rtl w:val="true"/>
          <w:lang w:bidi="ar-SA"/>
        </w:rPr>
        <w:t xml:space="preserve">عند تعارض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الحكومة؛ إذ لا تعارض بينهما حقيقةً، فمردّ الجمع العرفيّ في حقيقة الأمر إلى العمل بمضمون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مطلق الجمع ورفع اليد عن ظاهر كليهما أو أحدهما، بتأويلهما أو تأويل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أَولى، بل هو غير جائز؛ لما فيه من ترك العمل بأصالة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ترك الأخذ بها أَولى من ترك الأخذ بصدور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سبباً لطرح أخبار الترجيح عند وجود المرجّحات والمزايا، خصوصاً المنصوصة منها، أو حملها على خصوص ما لا يمكن الجمع فيه ولو بالتأويل، ومعلوم أنّه هذا المورد في غاية الندرة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974587_2142443653"/>
      <w:bookmarkStart w:id="278" w:name="_Toc100"/>
      <w:bookmarkEnd w:id="277"/>
      <w:r>
        <w:rPr>
          <w:rtl w:val="true"/>
        </w:rPr>
        <w:t>هل المرجّحات عرضيّة أم مترتّبة</w:t>
      </w:r>
      <w:r>
        <w:rPr>
          <w:rtl w:val="true"/>
        </w:rPr>
        <w:t>:</w:t>
      </w:r>
      <w:bookmarkEnd w:id="27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وقع الخلاف فيما بينهم في أنّ هذه الأنواع من المرجّحات هل كلّ واحد منها مرجّح في عرض الآخر بحيث لو كان أحد المرجّحات متوفّراً في أحد المتعارضين وكان في الآخر مرجّح آخر فيقع التزاحم، فلابدّ من أن يُعمل بقواعدباب التزاحم، فيقدّم ما هو الأقوى مناطاً منهما، وإلّا، كان لابدّ من التخيير؟ أم لا، بل هي مترتّبة في مقام الترجيح، فبعض الأنواع يكون مقدّماً على بعض؟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المرجّحات عرضيّة أو مترتّبة؟</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ولأجل ذلك وقع الخلاف بينهم في أنّ المرجّح الجهتيّ مقدّم على السنديّ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فقد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عرضيّة ولا ترتيب بينها بناءً على التعدّي من المرجّحات المنصوصة إلى غيرها؛ إذ بناءً على التعدّي يكون مناط الترجيح بشيءٍ هو أن يكون ذلك الشيء موجباً لأقربيّة ذي المزيّة إلى الواقع، فإذا كان لكلّ واحدٍ من المتعارضين مزيّة توجب أقربيّته إلى الواقع فيقع التزاحم بينهما، ويقدّم الأقوى مناطاً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يرى أنّ الأهمّ يكون صالحاً للمانعيّة عن المهمّ ثبوتاً؛ لحكمه بلزوم صرف القدرة إلى متعلّقه دون متعلّق المهمّ، فمن هنا يكون مانعاً عن شمول الإطلاق للفرد المهمّ في صورة المزاحمة، ولا يرى المانعيّة في طرف المهمّ؛ لكونه لا يصلح للمنع من ثبوت الأهمّ، فلا يبقى هناك تنافٍ بين الإطلاقين؛ لأنّ أحد الإطلاقين بضميمة حكم العقل بلزوم صرف القدرة إلى الفرد الأهمّ لا يشمل المهمّ بعد عدم القدرة على متعلّقه، وبذلك يخرج المورد موضوعاً عن باب التعارض، فلا يجري فيه أحكام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لم يكن أحدهما أقوى مناطاً،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إطلاقات التخيير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التعدّي من المنصوص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عدم التعدّي، فلكونها مرتبةً وجهٌ، وهو الترتيب المذكور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الصدوري مقدّم طبعاً على المرجّح الجهتيّ والمضمونيّ؛ لأنّه بعد التعبّد بصدور الخبر تصل النوبة إلى السؤال عن أنّه هل كان المتكلّم بصدد بيان مراده الواقعيّ أو صدر هذا الكلام منه تقيّةً وخوفاً؟</w:t>
      </w:r>
    </w:p>
    <w:p>
      <w:pPr>
        <w:pStyle w:val="BookText"/>
        <w:rPr/>
      </w:pPr>
      <w:r>
        <w:rPr>
          <w:rFonts w:ascii="Amiri" w:hAnsi="Amiri" w:eastAsia="Amiri" w:cs="Amiri"/>
          <w:color w:val="111111"/>
          <w:sz w:val="28"/>
          <w:sz w:val="28"/>
          <w:szCs w:val="28"/>
          <w:rtl w:val="true"/>
          <w:lang w:bidi="ar-SA"/>
        </w:rPr>
        <w:t>على أنّ ظاهر الكلام هو مرادهم في مقام التفهيم والتفهّم، كما قام عليه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الصدور فهو أصل تعبّديّ مدركه أدلّة حجّيّة خبر العادل، وإن كان المدرك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فقد ذكروا اُموراً لترجيح أحد الدليلين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أحد الدليلين عامّاً والآخر خاصّاً،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قطعيّ السند والدلالة فيقدّم على العامّ تخصّصاً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ما عدا هذه 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الثلاث الأُخَر،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الخاصّ بحسب الدلالة والسند ظنّيّاً،أو كان مختلفاً بحسبهما، فيقدّم على العام، ولكن بالحكومة لا بالورود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كان أحد المتعارضين عامّاً اُصوليّاً والآخر إطلاقاً شموليّاً،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عامّ اُصوليّ مقدّم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الاجتماع، وهو العالم الفاسق؛ لأنّ شمول العامّ الاُصوليّ لمورد الاجتماع كان بالوضع، وشمول الإطلاق الشموليّ له بالإطلاق ومقدّمات الحكمة، واللّازم لتماميّة مقدّمات الحكمة عدم القرينة على التقييد، ويكفي في القرينيّة شمول العموم لمورد الاجتماع بالوضع من دون اشتراطه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العموم بالوضع يصير قرينةً وبياناً لعدم شمول الإطلاق لمورد الاجتماع إذا قلنا بأنّ مطلق البيان القرينة ولو كانت منفصلة عن الكلام الملقى إلى المخاطب في مجلس التخاطب يكفي في منع التمسّك بالإطلاق وعدم جريان مقدّمات الحكمة؛ إذ حينئذٍ مع وجود تلك القرينة المنفصلة لا ينعقد للمطلق ظهور في الإطلاق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أساس مقدّمات الحكمة على كون المتكلّم في مقام بيان تمام مراده بخصوص الكلام الملقى إلى المخاطب في مجلس التخاطب، لا به وبكلامٍ آخر منفصلٍ عنه ولو بعد سنين، كما عليه بناء العرف والعقلاء في محاوراتهم، فلا محالة ينعقد ظهور إطلاقيّ للكلام، وتتحقّق الدلالة التصديقيّة النوعيّة التي يدور عليها مدار الحجّيّة في باب الألفاظ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المنفصلة لا تمنع من تحقّق الظهور الإطلاقيّ، فإذا تحقّق الظهور الإطلاقيّ، ثمّ جاءت قرينة منفصلة تصلح لأن تكون مقيّداً للإطلاق، يقع التعارض بينها وبين الظهور الإطلاقيّ، فيقدّم أقوى الظهورين، وليس المقام من قبيل المقتضى التعليقيّ والمقتضى التنجيزيّ لكي يقال بأنّ المقتضى التنجيزيّ يرفع موضوع المقتضى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جملة صدرت من المتكلّم فدلالته التصديقيّة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الذي قاله المتكلّم موقوف على إتمام الكلام، وإلّا، فما دام مشغولاً بالكلام له أن يُلْحق بكلامه ما شاء من القيود، وبعد أن أتمّ كلامه وسكت يصحّ أن يُسنِد إليه مضمون الجملة،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مضمون ما قاله فلان، ويصحّ إسناده إليه بعنوان أنّه قاله، لا يتوقّف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هذا مراده من هذا الكلام، فيتوقّف على عدم إتيان قرينةٍ على الخلاف، فلو أتى بقرينةٍ على خلاف هذا المضمون، بحيث تبدّل مع وجود تلك القرينة إلى معنىً آخر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تلك القرينة منفصلة، فيظهر أنّ مراده هذا المضمون الأخير دون المضمون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قال أوّلاً، وهذا القسم هي الدلالة التصديقيّة التي قالوا بأنّها تابعة للإرادة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ظاهر الجملة بعد تماميّتها كاشف عن المراد الواقعيّ حتى ولو جاء المتكلّم بقرينة منفصلة على عدم إرادته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أهل المحاورة على الأخذ بظاهر الجملة وعدم التوقّف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وإن كان حقّاً، إلّا أنّه إنّما يكون معتبراً هنا من جهة وجود الاُصول العقلائيّة، وهي أصالة عدم القرينة وأصالة عدم المخصّص وأصالة عدم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وجود القرينة والمخصّص والمقيّد، ولو كانت منفصلة، بل ولو كان مجيئها بعد سنين، فلا يكون حال هذه الجملة حالها قبل الإتيان بهذه القرينة، ولا يكون ظاهرها الذي كان لها قبل وجود هذه الأشياء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المعارضة بين ما كان ظاهر الجملة وبين ظهور هذه الأشياء، فيؤخذ بأقوى الظهورين؛ فإنّ ظهور القرينة يكون حاكماً على ظهور ذي القرينة، ويقدّم متى وجدت، متّصلةً كانت أم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يتّضح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الدلالة التصديقيّة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هو مراد المتكلّم، والذي هو المناط في لزوم الأخذ بالظاهر والعمل على طبقه في باب ظواهر الألفاظ، متوقّف على عدم مجيء قرينةٍ على أنّ الظاهر ليس بمراد، فإذا جاءت قرينة على خلافه، فلا يكون هذا الظاهر كاشفاً عن المراد والمناط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كان أحد المتعارضين من قبيل الإطلاق الشموليّ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قبيل الإطلاق البدليّ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 الإطلاقين وإن كانا بمقدّمات الحكمة، ولكنّ تقييد الإطلاق البدليّ مقدّم على تقييد الإطلاق الشموليّ؛ لأنّ الإطلاق البدلي ورد على نحو تعلّق التكليف بصرف الوجود، والطبيعة بالنسبة إلى وجودات جميع الأفراد متساوي الإقدام في انطباق صرف الوجود عليها، فالعقل يحكم بالتخيير في مقام انطباقها على كلّ فرد من الأفراد بواسطة إجراء مقدّمات الحكمة، بخلاف الإطلاق الشموليّ، فإنّه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مقدّمات الحكمة في الإطلاق البدليّ مشروط بشرط، وهو تساوي إقدام الأفراد، بخلاف الجريان في الإطلاق الشموليّ، فإنّه ليس مشروطاً بشرط؛ لأنّ إطلاق الشموليّ عبارة عن تعلّق الحكم بوجود الطبيعة السارية، وهو من هذه الناحية يشترك مع العامّ الاستغراقيّ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الفرق بينهما في أنّ دلالة اللّفظ على الاستيعاب وشمول الحكم لجميع الأفراد وعدم خروج فرد عن تحته بتوسّط الوضع، فهذا عامّ استغراقيّ، وإن كان بتوسّط مقدّمات الحكمة وإنّه فرد أو صنف من أفرادها خارج عن تحت هذا الحكم؛ لعدم الملاك، أو لوجود مانعٍ فيه، كان عليه البيان، وإلّا، هو الذي أخلّ بغرضه فهذا إطلاق شموليّ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كان أحد المتعارضين العامّين من وجه وارداً في مورد الاجتماع، فلابدّ أن يخصّص الآخر؛ لأنّ تخصيصالمورد قبيح، فإذا كان السؤال عن جواز إكرام العالم الفاسق، وقال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أن يقدّم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بينهما عموم من وجه، وإلّا، يلزم تخصيص المورد، وهو قبيح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كان لأحد الدليلين قدر متيقّن في مقام التخاطب، فيكون نصّاً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 مقام التخاطب وإن كان لا ينفع في مقام تقييد المطلق ما دام لم يصل إلى حدٍّ يوجب انصراف المطلق إلى المقيّد، إلّا أنّ وجود القدر المتيقّن ينفع في مقام رفع التعارض عن الدليلين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كان ثبوت القدر المتيقّن للمطلق بنحوٍ يكون موجباً لانصرافه، وإلّا، فإنّ كلّ مطلق له قدر متيقّن، فإنّ الدليل يكون كالنصّ في القدر المتيقّن، فيصلح لأن يكون قرينةً على التصرّف في الدليل الآخر، فلو كان مفاد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العلماء، وكان مفاد الدليل الآخر حرمة إكرام الفسّاق، وعلم من حال الآمر أنّه يبغض العالم </w:t>
      </w:r>
    </w:p>
    <w:p>
      <w:pPr>
        <w:pStyle w:val="BookText"/>
        <w:rPr/>
      </w:pPr>
      <w:r>
        <w:rPr>
          <w:rFonts w:ascii="Amiri" w:hAnsi="Amiri" w:eastAsia="Amiri" w:cs="Amiri"/>
          <w:color w:val="111111"/>
          <w:sz w:val="28"/>
          <w:sz w:val="28"/>
          <w:szCs w:val="28"/>
          <w:rtl w:val="true"/>
          <w:lang w:bidi="ar-SA"/>
        </w:rPr>
        <w:t>الفاسق ويكرهه أشدّ كراهة من الفاسق غير العالم، فالعالم الفاسق متيقّن الاندراج في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بمنزلة التصريح بحرمة إكرام العالمالفاسق، فلابدّ 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الفسّاق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كانت أفراد أحد العامّين بمرتبةٍ من القلّة بحيث لو خصّص بما عدا مورد الاجتماع مع العامّ الآخر يلزم تخصيص الأكثر،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خصّص العلماء بما عدا مورد الاجتماع من النحويّين يلزم التخصيص المستهجن، فيخصّص ما لا يلزم منه التخصيص المستهجن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دار الأمر بين النسخ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معنى النسخ،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في اللّغة بمعنى النقل والتغيير،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المواريث والدهور، ويأتي بمعنى الإزالة،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الاصطلاح فهو عبارة عن رفع الحكم الثابت في الدين بارتفاع أمده وزمانه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تتّضح حقيقة هذا المعنى من النسخ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المجعول من قبل الشارع في الواقع له نحوان من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الحكم في مرحلة التشريع والتقنين، وهو في هذه المرحلة مجعول على نهج القضايا الحقيقيّة،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ثبوته في هذه المرحلة لا يتوقّف على ثبوت الموضوع فعلاً في الخارج ولا على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وقت وُجد فيه الخمر فإنّه يكون حراماً، فالخمر ولو لم يكن له ثبوت خارجيّ إلّا أنّه متّصف بالحرمة فعلاً على تقدير وجوده، فثبوت الحرمة له غير مقيّد بوجوده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فعليّة هذه الحرمة متوقّفة على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الحكم في هذه المرحلة،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التشريع والإنشاء، لا يكون إلّا بالنسخ؛ وذلك لأنّه لم يكن لموضوع هذا الحكم في نظر المقنّن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فعليّ، واقعيّ أو ظاهريّ، حتى يتغيّر الحكم بتغيّر الموضوع، كما هو الشأن في النحو المثال الآتي، كما في الكلب الذي نجاسته متوقّفة على وجوده، فإذا استحال ملحاً تغيّر الموضوع، فتغيّر الحكم بتغيّره، فصار طاهراً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وتحقّقه وصيرورته فعليّاً في الخارج، وذلك </w:t>
      </w:r>
      <w:bookmarkStart w:id="279" w:name="pg15437_355045"/>
    </w:p>
    <w:p>
      <w:pPr>
        <w:pStyle w:val="BookText"/>
        <w:rPr/>
      </w:pPr>
      <w:bookmarkEnd w:id="279"/>
      <w:r>
        <w:rPr>
          <w:rFonts w:ascii="Amiri" w:hAnsi="Amiri" w:eastAsia="Amiri" w:cs="Amiri"/>
          <w:color w:val="111111"/>
          <w:sz w:val="28"/>
          <w:sz w:val="28"/>
          <w:szCs w:val="28"/>
          <w:rtl w:val="true"/>
          <w:lang w:bidi="ar-SA"/>
        </w:rPr>
        <w:t>إنّما يكون فيما إذا كان الموضوع موجوداً في الخارج ومتحقّقاً فيه فعلاً، كتحقّق وجود الخمر في الخارج، فإنّ الحرمة مستمرّة بوجود الموضوع، فإذا ذهب الموضوع ذهب الحكم بذهابه، حتى إذا تبدّل الخمر خلاً ذهبت عنه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ليس من النسخ في 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مورد البحث في النحو الأوّل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البحث بينهم في أنّ النسخ في الأحكام هل هو ممكن أم لا؟</w:t>
      </w:r>
    </w:p>
    <w:p>
      <w:pPr>
        <w:pStyle w:val="BookText"/>
        <w:rPr/>
      </w:pPr>
      <w:r>
        <w:rPr>
          <w:rFonts w:ascii="Amiri" w:hAnsi="Amiri" w:eastAsia="Amiri" w:cs="Amiri"/>
          <w:color w:val="111111"/>
          <w:sz w:val="28"/>
          <w:sz w:val="28"/>
          <w:szCs w:val="28"/>
          <w:rtl w:val="true"/>
          <w:lang w:bidi="ar-SA"/>
        </w:rPr>
        <w:t>والمعروف بين العقلاء من المسلمين وغيرهم هو القول بإمكانه وعدم استحالته، وخالف في ذلك اليهود والنصارى فقالوا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بالإمكان؛ لعدم كون النسخ بالمعنى المذكور مستلزماً لأيّ محذور، كنسبة الجهل أو عدم الحكمة إليه عزّ وجلّ، بل جاز أن يكون الحكم المجعول مقيّداً من أوّل الأمر بزمانٍ خاصّ معلوم عنده تعالى، ويكون ارتفاعه بعد انتهاء ذلك الزمان لانتهاء أمده الذي قُيّد به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974589_2142443653"/>
      <w:bookmarkStart w:id="281" w:name="_Toc101"/>
      <w:bookmarkEnd w:id="280"/>
      <w:r>
        <w:rPr>
          <w:rtl w:val="true"/>
        </w:rPr>
        <w:t>فإذا اتّضح ذلك نقول</w:t>
      </w:r>
      <w:r>
        <w:rPr>
          <w:rtl w:val="true"/>
        </w:rPr>
        <w:t>:</w:t>
      </w:r>
      <w:bookmarkEnd w:id="281"/>
    </w:p>
    <w:p>
      <w:pPr>
        <w:pStyle w:val="BookText"/>
        <w:rPr/>
      </w:pPr>
      <w:r>
        <w:rPr>
          <w:rFonts w:ascii="Amiri" w:hAnsi="Amiri" w:eastAsia="Amiri" w:cs="Amiri"/>
          <w:color w:val="111111"/>
          <w:sz w:val="28"/>
          <w:sz w:val="28"/>
          <w:szCs w:val="28"/>
          <w:rtl w:val="true"/>
          <w:lang w:bidi="ar-SA"/>
        </w:rPr>
        <w:t>إذا دار الأمر بين النسخ والتخصيص، فأيّهما يقدّم على الآخر النسخ أم التخصيص؟</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التخصيص؛ لكثرته،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 ولمكان ندرة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يُقدّم التخصيص على النسخ، وقد يُقدّم النسخ، ومن هنا، كان لابدّ أوّلاً من بيان كافّة صور المسألة وشقوقها،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العامّ والخاصّ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يردان في زمان واحد، وأُخرى في 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يكونا واردين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فالمتأخّر إمّا هو العامّ أو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أو الخاصّ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ورد بعد حضور وقت العمل بالمتقدّم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شقوق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كانا واردين في زمانٍ واحد، فيقدّم الخاصّ؛ لا لأنّ التخصيص أكثر مع كون النسخ نادراً؛ فإنّ كثرة وجود الشيء لا تكون سبباً للخروج عما هو الظاهر، بل لأنّه إذا تقارن الخاصّ مع العامّ، كان الخاصّ سبباً لعدم كاشفيّة ظهور العامّ في العموم، وأنّ العموم هو مراد المتكلّم؛ لأنّ أصالة الظهور في طرف الخاصّ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الظهور في طرف العامّ، ويكون من قبيل ظهور القرينة مع ظهور ذي القرينة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كانا واردين في زمانين، وكان الخاصّ هو المتأخّر ولكن قبل حضور وقت العمل بالعامّ، فكذلك يكون تقديم الخاصّ هو المتعيّن، لعين ما ذكرناه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السابقة، ولكن مع كون الخاصّ وارداً بعد حضور وقت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في هذه الصورة النسخ، وإلّا، يلزم تأخير البيان عن وقت الحاجة،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تأخير البيان عن وقت العمل بالعموم لعلّه كان لمصلحة في التأخير، فمفاد العمومات المتقدّمة بالنسبة إلى الخاصّ حكم ظاهريّ، كما أنّ البراءة قبل صدور كثيرٍ من الأحكام مفادها حكم ظاهريّ، وبعد صدورها تكون حكماً واقعيّاً مخالفاً لذلك الحكم الظاهريّالذي هو مؤدّى البراءة، فلا يلزم تأخير البيان عن وقت الحاجة بالنسبة إلى الحكم الواقعيّ؛ لأنّه لا حكم واقعيّ في البين حتى يكون البيان متأخّراً عن وقت الحاجة ويكون قبيحاً؛ لأنّه لا حكم واقعيّ بالنسبة إلى تلك القطعة التي تكون مجمعاً لعنواني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هنا الإشكال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مفاد العامّ لابدّ أن يكون بالنسبة إلى القطعة التي لا تتعنون بعنوان الخاصّ حكماً واقعيّاً، وبالنسبة إلى القطعة التي هي مجمع العنوانين حكماً ظاهريّاً، مع أنّه دليل واحد، وكلام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أصالة العموم ناظرة إلى الحكم الواقعيّ، لا أنّها ناظرة إلى إثبات حكم الشاكّ في الحكم الواقعيّ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إذا ورد بعد العامّ وبعد زمان </w:t>
      </w:r>
    </w:p>
    <w:p>
      <w:pPr>
        <w:pStyle w:val="BookText"/>
        <w:rPr/>
      </w:pPr>
      <w:r>
        <w:rPr>
          <w:rFonts w:ascii="Amiri" w:hAnsi="Amiri" w:eastAsia="Amiri" w:cs="Amiri"/>
          <w:color w:val="111111"/>
          <w:sz w:val="28"/>
          <w:sz w:val="28"/>
          <w:szCs w:val="28"/>
          <w:rtl w:val="true"/>
          <w:lang w:bidi="ar-SA"/>
        </w:rPr>
        <w:t>العمل به، فالاحتمالات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ناسخاً لا مخصّصاً، لئلّا يلزم تأخير البيان عن وقت الحاجة؛ لأنّه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هذه المخصّصات مع كثرتها ناسخة بعيدة غاية البعد؛ لأنّ كثيراً من هذه المخصّصات صادرة عن الأئمّة المتأخّرين، والحال أنّ العمومات صادرة عن الأئمّة المتقدّمين، فيلزم أن يكون أكثر هذه الخاصّات ناسخةً لا مخصّصة، مع أنّهم قالوا بندرة النسخ وكثرة التخصيص، حتى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عامٍّ إلّا وقد خصّ، بلقيل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تكون ناسخة؛ لأنّ النسخ لابدّ أن يكون بتوسّط الوحي، ومعلوم أنّه قد انقطع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يمكن أن يجاب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غير تامّ؛ لأنّ الوحي وإن كان قد انقطع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انقطاعه لا يلازم عدم جواز النسخ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الممكن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الحكم الناسخ عند الوصيّ حتى يظهره في وقته، وهكذا الوصيّ عند وصيّه، وهو عند وصيّ آخر، إلى أن يحين وقت إظهاره، فيظهره من كان عنده من الأئمّة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وردت أخبار صحيحة في تفويض دين اﷲ إلى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للتفويض إلّا ذلك؛ إذ احتمال أن يكون المراد بالتفويض أن يقولوا من عندهم من دون أن يكون من قبل اﷲ، مخالف لاُصول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w:t>
      </w:r>
    </w:p>
    <w:p>
      <w:pPr>
        <w:pStyle w:val="BookText"/>
        <w:rPr/>
      </w:pPr>
      <w:r>
        <w:rPr>
          <w:rFonts w:ascii="Amiri" w:hAnsi="Amiri" w:eastAsia="Amiri" w:cs="Amiri"/>
          <w:color w:val="111111"/>
          <w:sz w:val="28"/>
          <w:sz w:val="28"/>
          <w:szCs w:val="28"/>
          <w:rtl w:val="true"/>
          <w:lang w:bidi="ar-SA"/>
        </w:rPr>
        <w:t>يكون بالإلهام من قبل اﷲ تعالى إليهم، وإن كان ممكناً في حدّ نفسه، ولكنّه أيضاً مرتبة من الوحي،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الوحي بجميع مراتبه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احتفاف العامّ بالمخصّصات المتّصلة، ولم يصل إلينا إلّا هذه المخصّصات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العامّ حكماً ظاهريّاً بالنسبة إلى حكم الخاصّ، والحكم الواقعيّ لتلك القطعة من العامّ هو مفاد تلكالمخصّصات المنفصلة، وإنّما تأخّر بيانها لمصالح اقتضت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صورتان من الصور الخمس التي يدور فيها الأمر بين النسخ والتخصيص، وهما فيما إذا كان الخاصّ وارداً قبل العامّ، بلا فرق بين أن يكون ورود العامّ بعد حضور وقت العمل بالخاصّ،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يقدّم التخصيص أو النسخ على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جميعاً، أم أنّ هناك فرقاً بين ما لو كان الورود بعد حضور وقت العمل فيكون نسخاً، أم قبله، فيكون تخصيصاً؟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كلتا الصورتين يقدّم التخصيص على النسخ، بل تقديمه على النسخ في هاتين الصورتين أوضح من تقديمه عليه في الصور المتقدّمة؛ فإنّ اعتماد المتكلّم على القرينة المنفصلة المتقدّمة في مقام بيان مراده هو أَولى من اعتماده على القرينة المنفصلة المتأخّرة، فإذا كان </w:t>
      </w:r>
    </w:p>
    <w:p>
      <w:pPr>
        <w:pStyle w:val="BookText"/>
        <w:rPr/>
      </w:pPr>
      <w:r>
        <w:rPr>
          <w:rFonts w:ascii="Amiri" w:hAnsi="Amiri" w:eastAsia="Amiri" w:cs="Amiri"/>
          <w:color w:val="111111"/>
          <w:sz w:val="28"/>
          <w:sz w:val="28"/>
          <w:szCs w:val="28"/>
          <w:rtl w:val="true"/>
          <w:lang w:bidi="ar-SA"/>
        </w:rPr>
        <w:t xml:space="preserve">الخاصّ متقدّماً على العامّ، فالمتكلّم يُلقي العامّ، ولكنّه يريد به ما عدا الخاصّ؛ لأنّه مع وجود الخاصّ المتقدّم لا يبقى ظهور للعامّ في إرادة العموم؛ لأنّ أصالة الظهور في طرف الخاصّ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الظهور في طرف العامّ وحاكمة عليها،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الظهور في طرف العامّ ساقطةً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تأخّر العامّ عن الخاصّ فمراد المتكلّم إنّما هو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القرينة لم يتبقّ أيّ عموم في البين لكي يكون ناسخاً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جميع الصور الخمس يقدّم الخاصّ على العامّ، لا من جهة كثرة الخاصّ؛ لأنّه لا اعتبار بهذه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تنهض دليلاً على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تقديم الخاصّ إنّما هو لأنّه مع وجوده يكون المتكلّم قد أتى بقرينةٍ تدلّ على تصرّفه في ظهور العامّ، فلا يبقى له ظهور في العموم، ويُعْلم أنّ المراد من العامّ إنّما هو ما عدا الخاصّ</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منافٍ لما التزم به في تقديم العامّ على المطلق من أقوائيّة ظهور العامّ؛ لأنّه تنجيزيّ، وظهور الإطلاق تعليقيّ؛ لأنّ ظهور الكلام في الدوام والاستمرار إنّما هو بالإطلاق، بخلاف ظهوره بالعموم، فإنّه بالوضع، فمقتضى ذلك الوجه أنّه لابدّ من تقديم أصالة العموم على الإطلاق فيما نحن فيه، لا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شيوع التخصيص، فهو إنّما يوجب أقوائيّة الظهور الإطلاقيّ لو كان من قبيل القرائن المكتنفة للكلام، بحيث يوجب تبدّل ظهور العامّ، وإلّا، فهو لا يقتضي الأقوائيّة، وإن أوجب الظنّ بالتخصيص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الخاصّ أو العامّ على الاستمرار والدوام إنّما هو بالإطلاق لا بالوضع، فعلى الوجه العقليّ في تقديم التقييد على التخصيص، كان اللّازم في هذاالدوران تقديم النسخ على التخصيص أيضاً، وأنّ غلبة التخصيص إنّما توجب أقوائيّة ظهور الكلام في الاستمرار والدوام من ظهور العامّ في العموم إذا كانت مرتكزة في أذهان أهل المحاورة بمثابةٍ تعدّ من القرائن المكتنفة بالكلام، وإلّا، فهي وإن كانت مفيدة للظنّ بالتخصيص، إلّا أنّها غير موجبة لها كما لا يخفى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المقام ما حاصله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الدوام والاستمرار ليس ثابتاً بالإطلاق حتى يكون الكلام في ترجيح أحد الظهورين، بل هو ثابت بالاستصحاب؛ إذ ليس في المقام ظهوران يعارض أحدهما الآخر، وإنّما المعارضة البدويّة بين الاستصحاب وأصالة العموم، ولا كلام في تقدّمها عليه، فالالتزام </w:t>
      </w:r>
    </w:p>
    <w:p>
      <w:pPr>
        <w:pStyle w:val="BookText"/>
        <w:rPr/>
      </w:pPr>
      <w:r>
        <w:rPr>
          <w:rFonts w:ascii="Amiri" w:hAnsi="Amiri" w:eastAsia="Amiri" w:cs="Amiri"/>
          <w:color w:val="111111"/>
          <w:sz w:val="28"/>
          <w:sz w:val="28"/>
          <w:szCs w:val="28"/>
          <w:rtl w:val="true"/>
          <w:lang w:bidi="ar-SA"/>
        </w:rPr>
        <w:t>بالنسخ بحسب قواعد المعارضة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كان بناء العقلاء منعقداً على عدم العمل بأصالة العموم لو كان هناك خاصّ، ولو كان سابقاً أو لاحقاً؛ لأنّه يكون قرينة عليه، لم يمكن الالتزام بأصالة العموم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الالتزام بالعموم إنّما كان لهذا الأمر، لا لأقوائيّة دليل الاستمرار؛ إذ دليله الأصل، ولا ظهور فيه</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ودعوى أنّ النسخ يكون من قبيل تقييد الإطلاق، فيقدّم على تخصيص العامّ، لا تخلو عن مغالطة؛ فإنّ النسخ عبارة عن رفع الحكم الثابت، وثبوت أحكام الشريعة في جميع الأزمنة ليس من جهة إطلاق الأدلّة، بل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 ونحو ذلك من الأدلّة الدالّة على استمرار أحكام الشريعة وعدم نسخها، فلو ثبت نسخ الحكم في موردٍ فإنّما هو تخصيص لهذه الأدلّة، لا تقييد لإطلاق الأدلّة الأوّليّة المتكفّلة لبيان أصل ثبوت الأحكام في الشريعة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وصفاً وعارضاً على الجعل، نظير الحكم بوجوب الحجّ على المستطيع؛ فإنّه قد لا تحصل الاستطاعة أصلاً، فلا ثبوت للحكم الفعليّ مع استمرار هذا الجعل ودوامه مطلقاً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وصفاً للمجعول دون الجعل، نظير جعل وجوب التسبيح ساعةً عند الدخول إلى البلد؛ فإنّ الاستمرار ساعةً من </w:t>
      </w:r>
    </w:p>
    <w:p>
      <w:pPr>
        <w:pStyle w:val="BookText"/>
        <w:rPr/>
      </w:pPr>
      <w:r>
        <w:rPr>
          <w:rFonts w:ascii="Amiri" w:hAnsi="Amiri" w:eastAsia="Amiri" w:cs="Amiri"/>
          <w:color w:val="111111"/>
          <w:sz w:val="28"/>
          <w:sz w:val="28"/>
          <w:szCs w:val="28"/>
          <w:rtl w:val="true"/>
          <w:lang w:bidi="ar-SA"/>
        </w:rPr>
        <w:t>شؤون المجعول، وهو الوجوب، دون الجعل؛ إذ الجعل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 الذي يرجع إلى قطع الاستمرار ورفع الدوام إنّما يرتبط باستمرار الجعل لا المجعول؛ فإنّ الاستمرار وعدمه في المجعول لا يرتبط بالنسخ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الاستمرار من صفات الجعل ويتوقّف عليه توقّف العارض على معروضه لم يصلح الدليل المتكفّل لإنشاء الجعل لبيان الاستمرار؛ لأنّه متأخّر عن وجود الجعل، والدليل الإنشائيّ إنّما يتكفّل إيجاد الجعل، فيمتنع أن يتكفّل بنفسه بإثبات استمراره، بل لابدّ من دليل آخر يتكفّل بيان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الأدلّة الاجتهاديّة ما يصلح لبيان ذلك، إلّا ما يتوهّم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ظاهر في بيان دوام الشريعة المحمّديّة بما لها من الأحكام والمجموع بما هو مجموع، لا دوام كلّ حكم من أحكامه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الذي يتكفّل بإثبات الاستمرار إنّما هو الاستصحاب، </w:t>
      </w:r>
    </w:p>
    <w:p>
      <w:pPr>
        <w:pStyle w:val="BookText"/>
        <w:rPr/>
      </w:pPr>
      <w:r>
        <w:rPr>
          <w:rFonts w:ascii="Amiri" w:hAnsi="Amiri" w:eastAsia="Amiri" w:cs="Amiri"/>
          <w:color w:val="111111"/>
          <w:sz w:val="28"/>
          <w:sz w:val="28"/>
          <w:szCs w:val="28"/>
          <w:rtl w:val="true"/>
          <w:lang w:bidi="ar-SA"/>
        </w:rPr>
        <w:t>فباستصحاب الحكم يثبت بقاؤه ودوامه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الاستمرار ثابتاً بالاستصحاب لم يصلح لمعارضة أصالة العموم فيما نحن فيه؛ لأنّها دليل اجتهاديّ حاكم أو وارد عليه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جريان الاستصحاب في بعض الصور، وهي صورة تأخّر الخاصّ؛ فإنّه مع احتمال كون الدليل مخصّصاً، وأنّ حكم العامّ لم يكن ثابتاً للخاصّ من حينه، لا مجال لاستصحاب الحكم؛ لأنّ الشكّ في أصل الحدوث، فيبتني جريانه على قاعدة اليقين، وهي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من كلامه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الجعل لا يمكن بيانه بنفس الدليل المتكفّل لبيان الجعل؛ لأنّه متأخّر عن وجود الجعل، فلا يمكنبيانه بنفس الدليل المتكفّل لايجاد الجعل، فالدليل عليه هو الاستصحاب إذ لا دليل اجتهاديّاً يتكفّل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المتقدّم والمتأخّر يكون قرينة على العامّ بحيث يسلم ظهوره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فخلاصة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دوران الأمر بين النسخ والتخصيص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والخاصّ إمّا مجهولا التاريخ من حيث زمان الصدور، أو معلوما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إمّا متقارنان أو أحدهما مقدّم والآخر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والمؤخّر إمّا أن يصدر قبل حضور وقت العمل بالمقدّم أو بعده، فتصير صور المسألة ستّاً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كلاهما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كانا متقارنين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ورد الخاصّ بعد العامّ، وبعد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الخاصّ بعد العامّ أيضاً، ولكن قبل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العامّ بعد الخاصّ، ولكن قبل حضور وقت العمل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العامّ بعد الخاصّ أيضاً، ولكن بعد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 جميعاً يكون التخصيص مقدّماً على النسخ، وذلك لعدم بقاء ظهور للعامّ، وكون الخاصّ قرينة على عدم إرادة العموم في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النسخ على التخصيص فيما إذا دار الأمر بينهما؛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عبارة عن التصرّف في العموم الأفرادي الذي كان للعامّ بالوضع، والنسخ عبارة عن 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بين التصرّف فيما هو بالإطلاق أو التصرّف فيما هو بالوضع، قدّم الأوّل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في الحقيقة يرجع الدوران بين التقييد والتخصيص؛ لأنّ مرجع النسخ إلى التقييد، وعند دوران الأمر بين التقييد </w:t>
      </w:r>
    </w:p>
    <w:p>
      <w:pPr>
        <w:pStyle w:val="BookText"/>
        <w:rPr/>
      </w:pPr>
      <w:r>
        <w:rPr>
          <w:rFonts w:ascii="Amiri" w:hAnsi="Amiri" w:eastAsia="Amiri" w:cs="Amiri"/>
          <w:color w:val="111111"/>
          <w:sz w:val="28"/>
          <w:sz w:val="28"/>
          <w:szCs w:val="28"/>
          <w:rtl w:val="true"/>
          <w:lang w:bidi="ar-SA"/>
        </w:rPr>
        <w:t>والتخصيص، فالتقييد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متوقّف على شمول العامّ حكماً لمورد الخاصّ حتى يكون الحكم ثابتاً لأفراد الخاصّ التي هي تحت دائرة العموم، وبمجيء الخاصّ قبل العامّ، أو بعده، يرتفع حكم العامّ عن تلك القطعة التي هي مجمع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العامّ وعنوان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وجود الخاصّ قبل العامّ أو بعده يكون قرينةً على عدم إرادة العموم، ومع هذه القرينة لا يبقى موضوع للنسخ حتى تصل النوبة إلى تقديم النسخ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تقييد الإطلاق الذي هو بمقدّمات الحكمة على التخصيص الذي هو تصرّف في العموم الأفراديّ الذي هو بالوضع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الدوام والاستمرار في حكم العامّ الذي هو موضوع النسخ ليس بإطلاق الحكم؛ لعدم إمكان شمول إطلاق الحكم للحالات الواردة على نفس الحكم المتأخّر عنه؛ لأنّه من الانقسامات الثانويّة، كالعلم والجهل بالحكم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فكذلك دوام الحكم واستمراره لابدّ وأن يكون بدليلٍ آخر،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تخصيصاً؛ لأنّه تصرّف في عموم أفراد الزمان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كان التعارض بين دليلين فقط</w:t>
      </w:r>
      <w:r>
        <w:rPr>
          <w:rFonts w:eastAsia="Amiri" w:cs="Amiri" w:ascii="Amiri" w:hAnsi="Amiri"/>
          <w:color w:val="111111"/>
          <w:sz w:val="28"/>
          <w:szCs w:val="28"/>
          <w:rtl w:val="true"/>
          <w:lang w:bidi="ar-SA"/>
        </w:rPr>
        <w:t xml:space="preserve">. </w:t>
      </w:r>
      <w:bookmarkStart w:id="282" w:name="pg15437_355057"/>
    </w:p>
    <w:p>
      <w:pPr>
        <w:pStyle w:val="Heading3"/>
        <w:numPr>
          <w:ilvl w:val="2"/>
          <w:numId w:val="1"/>
        </w:numPr>
        <w:rPr/>
      </w:pPr>
      <w:bookmarkStart w:id="283" w:name="__RefHeading___Toc6974591_2142443653"/>
      <w:bookmarkStart w:id="284" w:name="_Toc102"/>
      <w:bookmarkEnd w:id="282"/>
      <w:bookmarkEnd w:id="283"/>
      <w:r>
        <w:rPr>
          <w:rtl w:val="true"/>
        </w:rPr>
        <w:t xml:space="preserve">الأمر الثامن </w:t>
      </w:r>
      <w:r>
        <w:rPr>
          <w:rtl w:val="true"/>
        </w:rPr>
        <w:t>:</w:t>
      </w:r>
      <w:r>
        <w:rPr>
          <w:rtl w:val="true"/>
        </w:rPr>
        <w:t>فيما لو كان التعارض بين أكثر من دليلين</w:t>
      </w:r>
      <w:r>
        <w:rPr>
          <w:rtl w:val="true"/>
        </w:rPr>
        <w:t>:</w:t>
      </w:r>
      <w:bookmarkEnd w:id="284"/>
    </w:p>
    <w:p>
      <w:pPr>
        <w:pStyle w:val="BookText"/>
        <w:rPr/>
      </w:pPr>
      <w:r>
        <w:rPr>
          <w:rFonts w:ascii="Amiri" w:hAnsi="Amiri" w:eastAsia="Amiri" w:cs="Amiri"/>
          <w:color w:val="111111"/>
          <w:sz w:val="28"/>
          <w:sz w:val="28"/>
          <w:szCs w:val="28"/>
          <w:rtl w:val="true"/>
          <w:lang w:bidi="ar-SA"/>
        </w:rPr>
        <w:t>لو فرض أنّ التعارض كان بين أكثر من دليلين، فهل يقدّم بعضها على بعضها الآخر تخصيصاً أو تقييداً، فيوجب انقلاب النسبة بينها بعد التقييد والتخصيص في بعضها أم لا يقدّم؟ بل كلّ واحدٍ منها يلاحظ مع غيره كما هو كذلك في حدّ نفسه من دون تقييده أو تخصيصه أوّلاً ثمّ ملاحظة النسبة بينه وبين غيره بعد ملاحظته مقيّداً أو مخصّصاً؟</w:t>
      </w:r>
    </w:p>
    <w:p>
      <w:pPr>
        <w:pStyle w:val="BookText"/>
        <w:rPr/>
      </w:pPr>
      <w:r>
        <w:rPr>
          <w:rFonts w:ascii="Amiri" w:hAnsi="Amiri" w:eastAsia="Amiri" w:cs="Amiri"/>
          <w:color w:val="111111"/>
          <w:sz w:val="28"/>
          <w:sz w:val="28"/>
          <w:szCs w:val="28"/>
          <w:rtl w:val="true"/>
          <w:lang w:bidi="ar-SA"/>
        </w:rPr>
        <w:t>ولتوضيح المطلب وبيان ما هو الحقّ من هذين الاحتمالين نذكر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للظهور التصديقيّ في قبال الظهور التصوّري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فيما أراد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ينعقد بعد تمام الكلام والفراغ منه، وليس متوقّفاً على عدم مجيء قرينة منفصلة على خلاف ظاهر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الكلام قرينة متّصلة مذكورة في نفس الكلام، فهي دخيلة، وجوداً وعدماً، في انعقاد ذلك الظهور، وليسهذا الظهور هو ما عليه مدار الحجّيّة، بل مدار الحجّيّة على الظهور التصديقيّ بالمعنى الثاني، وهو ظهور الكلام فيما أراد؛ إذ بعدما عرفنا أنّ الأحكام تابعة للمصالح والمفاسد، فإرادة المولى هي التي تكون منشأً للآثار واستحقاق الثواب على موافقتها والعقاب على مخالفتها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بعنوان ما أراده المتكلّم، متوقّف على عدم مجيء قرينة، ولو كانت منفصلة، على أنّ الظاهر ليس بمراد له، فلو جاءت قرينة منفصلة على عدم إرادة الظاهر، وأنّ الظاهر ليس بمراد له، فالجملة لا تكون دالّة بالدلالة التصديقيّة على أنّ الظاهر مراده، فلو كان العامّ والخاصّ كلّ منهما في جملتين مستقلّتين، فأصالة الظهور في طرف الخاصّ، ولو كان في كلام منفصل، قرينة على عدم إرادة الشمول والعموم بنحو يشمل عنوان العامّ وعنوان الخاصّ، بل يكشف عن أنّ مقدار الخاصّ كان خارجاً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الحجّيّة تدور مدار الإرادة سعةً وضيقاً، فلو لم يكن العامّ شاملاً للخاصّ من حيث المراديّة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بحجّة في ذلك المقدار، فلا تعارض بين العامّ والخاصّ؛ لأنّ التعارض فرع الحجّيّة، وما ليس بحجّة لا ينهض لأن يكون معارضاً لحجّةٍ أُخرى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هناك دليلان متعارضان بالتباين،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بينهما هي التباين، ثمّ ورد دليل آخر مخصّص لأحدهما،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يخصّص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ويصير قرينةً على عدم إرادة العموم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العدول منهم، فليس بحجّة في العلماء العدول، فكأنّه من أوّل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 غير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النسبة من التباين إلى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نتيجة </w:t>
      </w:r>
    </w:p>
    <w:p>
      <w:pPr>
        <w:pStyle w:val="BookText"/>
        <w:rPr/>
      </w:pPr>
      <w:r>
        <w:rPr>
          <w:rFonts w:ascii="Amiri" w:hAnsi="Amiri" w:eastAsia="Amiri" w:cs="Amiri"/>
          <w:color w:val="111111"/>
          <w:sz w:val="28"/>
          <w:sz w:val="28"/>
          <w:szCs w:val="28"/>
          <w:rtl w:val="true"/>
          <w:lang w:bidi="ar-SA"/>
        </w:rPr>
        <w:t>الجمع بين هذين الكلامين وجوب إكرام العلماء العدول دون الفسّاق منهم، فلا يصحّ إنكار انقلاب النسبة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المنفصل عين المخصّص المتّصل من ناحية أنّ العام لا يكون شاملاً لأفراد، وكذلك من ناحية كاشفيّته عن المراد، وإنّما الفرق بينهما أنّ المخصّص المنفصل لا يصادم ظهور العامّ بعنوان ما قال لا بعنوان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عامّ وخاصّ، فلا يمكن أن يكون حال هذا العامّ مع وجود هذا الخاصّ في مقام معارضته لدليل آخر مثل حال هذا الخاصّ مع فرض عدم هذا الخاصّ؛ لأنّ العامّ مع فرض عدم وجود الخاصّ تكون حجّيّته أوسع ويكون كاشفاً عمّا يراد، وشاملاً لجميع الأفراد، بما فيها أفراد ذلك الخاصّ، وأمّا مع فرض وجود الخاصّ فلا تكون شاملة لأفراد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ظهر ما في 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مقام ردّ انقلاب النسبة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النسبة إنّما هي بملاحظة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العامّ بمخصّص منفصل،ولو كان قطعيّاً، لا ينثلم به ظهوره، وإن انثلم به حجّيّته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المخصّص المنفصل، ولو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كالمتّصل </w:t>
      </w:r>
    </w:p>
    <w:p>
      <w:pPr>
        <w:pStyle w:val="BookText"/>
        <w:rPr/>
      </w:pPr>
      <w:r>
        <w:rPr>
          <w:rFonts w:ascii="Amiri" w:hAnsi="Amiri" w:eastAsia="Amiri" w:cs="Amiri"/>
          <w:color w:val="111111"/>
          <w:sz w:val="28"/>
          <w:sz w:val="28"/>
          <w:szCs w:val="28"/>
          <w:rtl w:val="true"/>
          <w:lang w:bidi="ar-SA"/>
        </w:rPr>
        <w:t>من جهة عدم انثلام ظهور العامّ به، لكنّ ذلك هو الظهور التصديقيّ بمعنى ما قال، لا بمعنى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المتعارضات والأدلّة وإن كانت باعتبار الظهورات، إلّا أنّ الظهورات التصديقيّة الكاشفة عن المراد لا صرف الظهور بعنوان ما قال، فما هو المناط في المعارضة هو هذا الظهور الكاشف عمّا أراد، وبه يكون الكلام حجّة، لا عن ما قال؛ لأنّه ليس بحجّة، وما لا يكون بحجّة فكيف يمكن أن يكون معارضاً لحجّة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أفاده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الجمع بعدما كان على تقديم أقوى الظهورين، وأنّ القرائن المنفصلة لا توجب انقلاب الظهور أيضاً، 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بدّيّة ملاحظة كلّ واحدٍ مع 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جمع كلّ واحدٍ مع الغير؛ إذ المفروض أنّ الجمع لا يوجب انقلاب الظهور شدّةً وضعفاً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 أنّ الظهور الذي لا ينثلم مغاير للظهور الذي عليه مدار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الكاشف عن مرادالمتكلّم، وهذا الظهور هو الذي مدار الحجّيّة، وعليه يدور وقوع التعارض بين الأدلّة، وهو غير باقٍ مع وجود القرينة المنفصلة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فإنّه بناءً على 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وخصوص من وجه، وكذا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فالنسبة الأوّليّة باقية بحالها، فلا يخصّص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العلماء، بل النتيجة هي إمّا التخيير أو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اخترناه، فيخصّص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العالم العادل، وسائر العدول يكون إكرامهم مستحبّاً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 بغير العلماء، بواسطة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تخصيص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تنقلب النسبة لو كان هناك عامّان متباينان، وكان دليل ثالث أخصّ من أحدهما،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الزوجة من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الزوجة من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عامّان متباينان، فإذا ورد الدليل الثالث، وكان مفاده أنّ الزوجة التي لها ولد من الميّت ترث من العقار، فتنقلب النسبة؛ لأنّها تخصّص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الزوجة من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فتنقلب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العامّ الآخر من التباين إلى العموم والخصوص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 الولد من الزوجة ترث، والزوجة التي ليس لها ولد من الزوج الميت لا ترث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إحدى صور التعارض بين أكثر من 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عامّ وخاصّان وكان بينهما تباين،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الكوفيّين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البصريّين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بين الخاصّين هي التباين، ولا شكّ في وجوب تخصيص العامّ بكلٍّ منهما ما لم يصل إلى حدّ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صور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في بعضها بعدم صحّة الترتيب في العلاج، وهي صور ما إذا كانت نسبة المتعارضات إلى الدليل نسبةً واحدة، كما لو كانت نسبتها نسبة الخاصّ إلى العامّ،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الصرفيّين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في البعض الآخر بملاحظة الترتيب في العلاج، وهي صور ما إذا كانت نسبة المتعارضات مختلفة، كما إذا ورد عامّ ثمّ ورد عامّ آخر نسبته مع الأوّل نسبة العموم من وجه، ثمّ ورد مخصّص لأحدهما،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حكم بتخصيص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فتنقلب نسبته إلى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نسبة الأخصّ مطلقاً فيتخصّص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فسّاق العلماء ووجوب إكرام عدولهم، واستحباب إكرام العدول من غير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على صحّة عدم الترتيب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تقديم أحد الخاصّين المعيّن على العامّ، ثمّ ملاحظة نسبة العامّ مع الخاصّ الآخر، ترجيح بلا مرجّح، فيتعيّن ملاحظتهما معاً بالنسبة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تخصيص العامّ بأحد المخصّصين، لا ينعقد له ظهور في الباقي إلّا مع إحراز عدم المخصّص، ومع وجود الخاصّ الآخر لا مجال لإحراز عدم المخصّص حتى بالأصل، فلا ينعقد له ظهور في الباقي كي يصلح لمعارضة الخاصّ الآخر، وملاحظة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ظهور العامّ في الباقي حتى يكون صالحاً للمعارضة يتوقّف على العلاج بالنسبة إلى الخاصّ الآخر ونفي مخصّصيّته، والعلاج بالنسبة إليه يتوقّف على انعقاد ظهوره كي تلاحظ النسبة بينه وبين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الدليل دفع توهّم صحّة الترتيب في العلاج، مع كون أحد الخاصّين ثابتاً بالإجماع أو العقل؛ فإنّه وإن أقرّه في نفس الترتيب؛ لأنّه يكون كالمخصّص المتّصل الذي لا إشكال في تقدّمه على العامّ، لكنّه لم يقرّه في دعوى انقلاب النسبة به كما ادّعاه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ملاحظة الترتيب في الثاني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باستلزام عدم الترتيب لمحذور طرح النصّ أو طرح الظاهر في مدلوله أجمع؛ وذلك لأنّه لو لم يرتّب في العلاجوقدّم العامّ الآخر وخصّص به </w:t>
      </w:r>
    </w:p>
    <w:p>
      <w:pPr>
        <w:pStyle w:val="BookText"/>
        <w:rPr/>
      </w:pPr>
      <w:r>
        <w:rPr>
          <w:rFonts w:ascii="Amiri" w:hAnsi="Amiri" w:eastAsia="Amiri" w:cs="Amiri"/>
          <w:color w:val="111111"/>
          <w:sz w:val="28"/>
          <w:sz w:val="28"/>
          <w:szCs w:val="28"/>
          <w:rtl w:val="true"/>
          <w:lang w:bidi="ar-SA"/>
        </w:rPr>
        <w:t xml:space="preserve">العامّ، كما لو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يخصّص العامّ بالخاصّ،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طرح النصّ؛ لأنّ الخاصّ نصّ في مدلوله، والعامّ ظاهر فيه،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طرح الظاهر مطلقاً، وهو ممنوع؛ لأنّ العامّ نصّ في منتهى التخصيص، فيلزم من طرحه طرح أحد النصّين، وهو محذور كما لا يخفى</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وجهاً لتقريب انقلاب النسبة،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للكلام دلالاتٍ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تصوّريّة، وهي انتقال المعنى من اللّفظ عند إبرازه، وهي لا تتوقّف على صدور اللّفظ عن اختيار وإرادة، وهي نفس الدلالة الوضعيّة عند بعض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تصديقيّة، وهي الحاصلة من ضمّ بعض أجزاء الكلام إلى بعض، وملاحظة القرائن المحفوف بها الكلام، فقد يكون دالّاً على غير المعنى الوضعيّ الأوّليّ، لوجود القرائن المغيّرة لظهوره الأوّليّ، ويسند المجموع إلى المتكلّم، ويُحكم بأنّه قصد تفهيم هذا المعنى المستفاد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تتوقّف على صدور الكلام عن إرادةٍ وقصد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ثالثة على كون المعنى المقصود تفهيمه هو المراد جدّاً وواقعاً، ويعبّر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التصديقيّة في الكشف عن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الحجّيّة إنّما هو القسم الثالث من الدلالات المذكورة؛ فإنّ الكشف النوعيّ للكلام عن المراد الجدّيّ هو الذي يكون موضوعاً للحجّيّة والاعتبار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 بين الأدلّة إنّما هي باعتبار الكشف النوعيّ لكلٍّ منها عن المراد الجدّيّ المنافي للآخر، بحيث لا يمكن الالتزام بكلٍّ منها، وإلّا، فمع الغضّ عنه لا تعارض بين الأدلّة بلحاظ المستعمل فيه في كلٍّ منها؛ إذ مع العلم بأنّه لا مراد جدّيّاً على طبق المستعمل فيه والمقصود بالتفهيم لا يكون هناك تزاحم وتعارض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 إلى الوجه في انقلاب النسبة في مثل هذه الموارد،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النسبة بين الأدلّة إنّما هي لأجل تشخيص كونها متعارضة أو غير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الأدلّة إنّما هو لأجل حكايتها وكشفها عمّا لا يمكن جعله وتشريعه لتضادّ مؤدّياتها، فالتعارض بين الأدلّة إنّما يكون بمقدار كشفها وحكايتها عن المراد النفس الأمريّ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العامّ يقتضي تضييق دائرة كشفه وحكايته؛ </w:t>
      </w:r>
    </w:p>
    <w:p>
      <w:pPr>
        <w:pStyle w:val="BookText"/>
        <w:rPr/>
      </w:pPr>
      <w:r>
        <w:rPr>
          <w:rFonts w:ascii="Amiri" w:hAnsi="Amiri" w:eastAsia="Amiri" w:cs="Amiri"/>
          <w:color w:val="111111"/>
          <w:sz w:val="28"/>
          <w:sz w:val="28"/>
          <w:szCs w:val="28"/>
          <w:rtl w:val="true"/>
          <w:lang w:bidi="ar-SA"/>
        </w:rPr>
        <w:t xml:space="preserve">فإنّ التخصيص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كون عنوان العامّ تمام المراد، بل المراد هو ماوراء الخاصّ؛ لأنّ دليل الخاصّ لو لم يكشف عن ذلك يلزم لغويّة التعبّد به وسقوطه عن الحجّيّة، فلازم حجّيّة دليل المخصّص هو سقوط دليل العامّ عن الحجّيّة في تمام المدلول وقَصْر دائرة حجّيّته بما عدا المخصّص،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لجعل العامّ بعمومه طرف النسبة؛ لأنّ النسبة إنّما تلاحظ بين الحجّتين، فالذي يكون طرف النسبة هو الباقي تحت العامّ الذي يكون العامّ حجّةً فيه، فلو خصّص أحد العامّين من وجه بمخصّص متّصل أو منفصل يسقط عن الحجّيّة في تمام المدلول، ويكون حجّةً فيما عدا عنوان الخاصّ، فتلاحظ النسبة بينه بمقدار حجّيّته وبين العامّ الآخر، ولا محالة تنقلب النسبة من العموم من وجه إلى العموم المطلق</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انقلاب النسبة هو أنّ العامّ قبل تخصيصه يكون حجّة دالّة على تمام المدلول، ولكن بعد ورود الخاصّ، ولو كان منفصلاً، لا يكون حجّة إلّا فيما عدا مدلول الخاصّ، فقهراً تتضيّق دائرة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آنفاً أنّ التعارض يقع بين حجّتين أو الحجج باعتبار كشفها عن المراد الواقعيّ، وعدم إمكان اجتماعهما، أو عدم اجتماعها، إذا كانا، أو كانت، مراداً واقعيّاً،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النسبة بينهما بتغيّر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تغيّر النسبة، وعدم انقلابها، بعد </w:t>
      </w:r>
    </w:p>
    <w:p>
      <w:pPr>
        <w:pStyle w:val="BookText"/>
        <w:rPr/>
      </w:pPr>
      <w:r>
        <w:rPr>
          <w:rFonts w:ascii="Amiri" w:hAnsi="Amiri" w:eastAsia="Amiri" w:cs="Amiri"/>
          <w:color w:val="111111"/>
          <w:sz w:val="28"/>
          <w:sz w:val="28"/>
          <w:szCs w:val="28"/>
          <w:rtl w:val="true"/>
          <w:lang w:bidi="ar-SA"/>
        </w:rPr>
        <w:t>وجود المخصّص المنفصل مساوق للقول بعدمتضييق دائرة حجّيّة العامّ بواسطته، وهو كما ترى، ولا يقول به من ينكر الانقلاب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نسبة أدلّة ضمان العارية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الاُصول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الواردة في ذلك الباب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ضمان العارية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الضمان مع عدم الاشتراط وإثباته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الضمان في غير عارية الدراهم وإثباته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الضمان في غير عارية الدنانير وإثباته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الضمان في غير عارية الذهب والفضّة وإثباته في عاريتهما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ما يدلّ على ثبوت الضمان مع الاشتراط مع سائر المخصّصات هي نسبة العموم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ربما يكون الاشتراط في غير عارية الدرهم والدينار، وربما يكون الاشتراط في عاريتهما، وربما تكون عارية الدرهم أو الدينار بلا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ما يدلّ على الضمان في عارية الذهب والفضّة، فإنّ النسبة بينه وبين ما يدلّ على الضمان مع الاشتراط أيضاً العموم منوجه، فمقتضى القاعدة هو تخصيص العامّ بجميع هذه المخصّصات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يدلّ على نفي الضمان في غير عارية الدرهم وإثباته فيها، وما يدلّ على نفي الضمان في غير عارية الدينار وإثباته فيها، فهما بمنزلة رواية واحدة دالّة على نفي الضمان في غير عارية الدرهم والدينار، وإثباته في عاريتهما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العقد الإيجابيّ من كلّ منهما يقيّد العقد السلبيّ من الآخر؛ لأنّه ينافيه وأخصّ منه، فيجمع بينهما كذلك، ويكونان بمنزلة دليل واحد، وتقع المعارضة بعد ذلك بينه وبين ما دلّ على نفي الضمان في غير عارية الذهب والفضّة وإثباته فيهما؛ لأنّ النسبة بين العقد السلبيّ لهذا الدليل وبين العقد الإيجابيّ لما دلّ على نفي ضمان غير عارية الذهب والفضّة هي العموم من وجه؛ لأنّ العقد السلبيّ لهذا الدليل مفاده نفي الضمان عن غير عارية الدرهم والدينار، سواء كان ذهباً أم فضّةً أم غيرهما، والعقد الإيجابيّ لذلك مفاده إثبات ضمان عارية الذهب والفضة، سواء كان درهماً أم ديناراً أم غيرهما من غير المسكوك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ويدور الأمر بين رفع اليد عن أحد الإطلاقين، ومقتضى القاعدة هو التساقط، إلّا أنّها غير تامّة ههنا؛ لأنّ رفع اليد عن إطلاق دليل ثبوت ضمان عارية الذهب والفضّة في مورد المعارضة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تخصيصه بالفرد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لأنّإعارة الدينار والدرهم نادرة؛ لعدم الانتفاع بها مع بقاء عينها غالباً، وهو مستهجن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هنا باستعراض تلك الطوائف من الروايات الواردة في باب العارية، مع الإشارة إلى كيفيّة الجمع فيما بينها،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يدلّ على عدم الضمان في العارية مطلقاً من حيث المستعير والمال، أو الشيء المستعار، كصحيحة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مستعيرٍ عارية ضمان، وصاحب العارية والوديعة مؤتمن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ضمان العارية مطلقاً من حيث المال المستعار، ولكن من حيث المستعير مشروط بكونه مأموناً، كرواية مسعدة بن زياد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لا غرم على مستعير عارية إذا هلكت أو سرقت أو ضاعت إذا كان المستعير مأموناً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عدم الضمان إلّا في عارية الدراهم، كرواية عبد الملك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صاحب العارية ضمان إلّا أن يشترط صاحبها، إلّا الدراهم، فإنّها مضمونة، اشترط صاحبها أو لم يشترط</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عدم الضمان إلّا في عارية الدنانير، كرواية عبد اﷲ </w:t>
      </w:r>
    </w:p>
    <w:p>
      <w:pPr>
        <w:pStyle w:val="BookText"/>
        <w:rPr/>
      </w:pPr>
      <w:r>
        <w:rPr>
          <w:rFonts w:ascii="IRNazanin" w:hAnsi="IRNazanin" w:eastAsia="IRNazanin"/>
          <w:color w:val="111111"/>
          <w:sz w:val="28"/>
          <w:sz w:val="28"/>
          <w:szCs w:val="28"/>
          <w:rtl w:val="true"/>
          <w:lang w:bidi="fa-IR"/>
        </w:rPr>
        <w:t>ابن سنان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العارية، إلّا أن يكون قد اشترط فيها ضمان، إلّا الدنانير فإنّها مضمونة وإن لم يشترط فيها ضماناً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عدم الضمان إلّا في عارية مطلق الذهب والفضة، كرواية اسحاق بن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ليس على مستعيرها ضمان إلّا ما كان من ذهب أو فضّة، فإنّهما مضمونان، اشترطا أو لم يشترطا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لاحظت هذه الطوائف من أخبار الباب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الاُولى والثانية مشتركان في نفي الضمان مطلقاً، من أيّ جنسٍ كان المال المستعار، من الدنانير أو الدراهم أو غيرهما، من الذهب أو الفضة أوغيرهما، وإنّما الاختلاف بين الطائفتين في أنّ الطائفة الثانية تشترط كون المستعير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الطائفة الاُولى على الثانية،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لا يكون هناك ضمان فيما إذا كان المستعير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 والرابعة فلكلٍّ منهما عقد سلبيّ وعقد إيجابيّ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العقد السلبيّ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عبد الملك عن أبي </w:t>
      </w:r>
    </w:p>
    <w:p>
      <w:pPr>
        <w:pStyle w:val="BookText"/>
        <w:rPr/>
      </w:pPr>
      <w:r>
        <w:rPr>
          <w:rFonts w:ascii="IRNazanin" w:hAnsi="IRNazanin" w:eastAsia="IRNazanin"/>
          <w:color w:val="111111"/>
          <w:sz w:val="28"/>
          <w:sz w:val="28"/>
          <w:szCs w:val="28"/>
          <w:rtl w:val="true"/>
          <w:lang w:bidi="fa-IR"/>
        </w:rPr>
        <w:t>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عدم الضمان في كلّ عارية إذا لم يشترط صاحبها الضمان، إلّا في عارية الدراهم، فكلّ عارية غير عارية الدراهم اذا لم يشترط فيها صاحبها الضمان من أيّ جنسٍ كان ليس فيها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الإيجابيّ هو أنّه في عارية الدراهم ضمان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العقد الإيجابيّ يخصّص العمومات أو يقيّد المطلقات التي كان مفادها عدم الضمان في كلّ عاريةٍ من أيّ جنسٍ كان؛ لأنّه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الطائفة الرابعة،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اﷲ بن سنان،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عقد سلبيّ وعقد إيجابيّ، فالعقد السلبيّ فيها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في كلّ عارية لم يشترط فيها الضمان من أيّ جنسٍ كان، إلّا أن تكون من جنس الدنانير، والعقد الإيجابيّ فيها عبارة عن ثبوت الضمان في عارية الدنانير مطلقاً، سواء اشترط صاحبها الضمان أم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العقد الإيجابيّ في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العمومات التي كان مفادها عدم الضمان مطلقاً من أيّ جنسٍ كان؛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سابقاً أنّه لو كان للعامّ مخصّصات متعدّدة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يُخصّص بالكلّ، ما لم يصل إلى حدّ التخصيص المستهجن</w:t>
      </w:r>
      <w:r>
        <w:rPr>
          <w:rFonts w:eastAsia="Amiri" w:cs="Amiri" w:ascii="Amiri" w:hAnsi="Amiri"/>
          <w:color w:val="111111"/>
          <w:sz w:val="28"/>
          <w:szCs w:val="28"/>
          <w:rtl w:val="true"/>
          <w:lang w:bidi="ar-SA"/>
        </w:rPr>
        <w:t xml:space="preserve">. </w:t>
      </w:r>
      <w:bookmarkStart w:id="285" w:name="pg15437_355072"/>
    </w:p>
    <w:p>
      <w:pPr>
        <w:pStyle w:val="Heading3"/>
        <w:numPr>
          <w:ilvl w:val="2"/>
          <w:numId w:val="1"/>
        </w:numPr>
        <w:rPr/>
      </w:pPr>
      <w:bookmarkStart w:id="286" w:name="__RefHeading___Toc6974593_2142443653"/>
      <w:bookmarkStart w:id="287" w:name="_Toc103"/>
      <w:bookmarkEnd w:id="285"/>
      <w:bookmarkEnd w:id="286"/>
      <w:r>
        <w:rPr>
          <w:rtl w:val="true"/>
        </w:rPr>
        <w:t xml:space="preserve">الأمر التاسع </w:t>
      </w:r>
      <w:r>
        <w:rPr>
          <w:rtl w:val="true"/>
        </w:rPr>
        <w:t>:</w:t>
      </w:r>
      <w:r>
        <w:rPr>
          <w:rtl w:val="true"/>
        </w:rPr>
        <w:t>في مقتضى القاعدة الأوّليّة عند عدم المرجّح</w:t>
      </w:r>
      <w:r>
        <w:rPr>
          <w:rtl w:val="true"/>
        </w:rPr>
        <w:t>:</w:t>
      </w:r>
      <w:bookmarkEnd w:id="287"/>
    </w:p>
    <w:p>
      <w:pPr>
        <w:pStyle w:val="Heading4"/>
        <w:numPr>
          <w:ilvl w:val="3"/>
          <w:numId w:val="1"/>
        </w:numPr>
        <w:rPr/>
      </w:pPr>
      <w:bookmarkStart w:id="288" w:name="__RefHeading___Toc6974595_2142443653"/>
      <w:bookmarkStart w:id="289" w:name="_Toc104"/>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لو لم تكن لأحد المتعارضين من ناحية الدلالة مزيّة وتعذّر الجمع العرفيّ، فهل مقتضى القاعدة الأوّليّة 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أخبار الترجيح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بل مقتضى القاعدة الأوّليّة عدم سقوطهما، بل لابدّ من الجمع بينهما ولو بنحوٍ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المسألة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974597_2142443653"/>
      <w:bookmarkStart w:id="291" w:name="_Toc105"/>
      <w:bookmarkEnd w:id="290"/>
      <w:r>
        <w:rPr>
          <w:rtl w:val="true"/>
        </w:rPr>
        <w:t>أمّا المقام الأوّل</w:t>
      </w:r>
      <w:r>
        <w:rPr>
          <w:rtl w:val="true"/>
        </w:rPr>
        <w:t>:</w:t>
      </w:r>
      <w:bookmarkEnd w:id="291"/>
    </w:p>
    <w:p>
      <w:pPr>
        <w:pStyle w:val="BookText"/>
        <w:rPr/>
      </w:pPr>
      <w:r>
        <w:rPr>
          <w:rFonts w:ascii="Amiri" w:hAnsi="Amiri" w:eastAsia="Amiri" w:cs="Amiri"/>
          <w:color w:val="111111"/>
          <w:sz w:val="28"/>
          <w:sz w:val="28"/>
          <w:szCs w:val="28"/>
          <w:rtl w:val="true"/>
          <w:lang w:bidi="ar-SA"/>
        </w:rPr>
        <w:t xml:space="preserve">فحيث إنّ مضمونها ومؤدّاهما لا يمكن أن يكون مجعولاً جمعاً؛ لكونه من اجتماع الضدّين أو النقيضين مطابقةً أو التزاماً، فلا يمكن أن يكون كلاهما طريقاً وكاشفاً عن الحكمالواقعيّ، فمع العلم بأنّهما ليسا بمجعولين جمعاً كيف يمكن أن يقول أحد بأنّ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الطريقيّة، فكلّ واحدٍ منهما ليس حجّة في خصوص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نفي الحكم الثالث، فإن كان التعارض بينهما من جهة تنافي مؤدّاهما وعدم إمكان اجتماعهما؛ لاستلزامه اجتماع الضدّين أو النقيضين، فهما يشتركان في نفي الثالث بالدلالة الالتزاميّة، فإذا ورد روايتان مفاد إحداهما وجوب صلاة الجمعة، ومفاد </w:t>
      </w:r>
    </w:p>
    <w:p>
      <w:pPr>
        <w:pStyle w:val="BookText"/>
        <w:rPr/>
      </w:pPr>
      <w:r>
        <w:rPr>
          <w:rFonts w:ascii="Amiri" w:hAnsi="Amiri" w:eastAsia="Amiri" w:cs="Amiri"/>
          <w:color w:val="111111"/>
          <w:sz w:val="28"/>
          <w:sz w:val="28"/>
          <w:szCs w:val="28"/>
          <w:rtl w:val="true"/>
          <w:lang w:bidi="ar-SA"/>
        </w:rPr>
        <w:t>الأُخرى استحبابها، فهما مشتركان في نفي الكراهة والحرمة والإباحة بالدلالة الالتزاميّة، فالمدلول المطابقيّ لإحداهما الوجوب، وللأُخرى الاستحباب، إذ لازم كونه واجباً، وكذلك مستحبّاً، أنّه ليس محكوماً بسائر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الجملة على المعنى الالتزاميّ فرع دلالتها على المعنى المطابقيّ، وفي المقام، ليس الخبران حجّة بالنسبة إلى مدلولهما المطابقيّ؛ لسقوطهما عن الحجّيّة بالنسبة إليه،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تبعيّة دلالة اللّفظ والكلام على مدلوله الالتزاميّ لدلالته عن مدلوله المطابقيّ في عالم الوجود، لا في عالم الحجّيّة، فيمكن التفكيك في عالم الحجّيّة بعد وجودهما معاً لوجود محذور في حجّيّة إحداهما دون الأُخرى، كما في المقام؛ لأنّه في المثل المذكور لكلّ واحدٍ منهما دلالة مطابقيّة، وهي دلالتهما في نفس مؤدّاهما من الوجوب في إحداهماوالاستحباب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التزاميّة، وهي دلالة كلٍّ منهما على نفي غير مؤدّاهما، فبالنسبة إلى نفي غير مؤدّى الاثنين كلاهما مشتركان فيها، بخلاف حجّيّة دلالتهما المطابقيّة؛ فإنّ فيها استلزام اجتماع الضدّين أو النقيضين، ولأجل ذلك يقع التفكيك في الحجّيّة بين الدلالتين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التعارض بينهما لأجل دليلٍ خارجيٍّ على أنّ كلا المؤدّيين غير مجعول من دون أن يكون بين نفس المؤدّيين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أو تناقض، كما في الروايتين الواردتين في صلاة يوم الجمعة، حيث </w:t>
      </w:r>
    </w:p>
    <w:p>
      <w:pPr>
        <w:pStyle w:val="BookText"/>
        <w:rPr/>
      </w:pPr>
      <w:r>
        <w:rPr>
          <w:rFonts w:ascii="Amiri" w:hAnsi="Amiri" w:eastAsia="Amiri" w:cs="Amiri"/>
          <w:color w:val="111111"/>
          <w:sz w:val="28"/>
          <w:sz w:val="28"/>
          <w:szCs w:val="28"/>
          <w:rtl w:val="true"/>
          <w:lang w:bidi="ar-SA"/>
        </w:rPr>
        <w:t>إنّ إحداهما تدلّ على وجوب صلاة الجمعة في يومها، والأُخرى على وجوب صلاة الظهر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بينهما تضادّ وتنافٍ في أنفسهما، ولكن من جهة وجود دليلٍ خارجيّ على عدم مجعوليّتهما جميعاً يقع بينهما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القسم لا يدلّان إلّا على إثبات مؤدّاهما من دون دلالتهما على نفي حكمٍ آخر، بل كلّ واحدٍ منهما يدلّ على مؤدّاه،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صلاة الجمعة، فلو سقطا بالتعارض واحتملنا وجوب صلاة أُخرى في ذلك اليوم لا مانع من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علمنا بوجوب صلاةٍ في ذلك اليوم، والتعارض وقع في تعيين ذلك الواجب، فأحد الدليلين كان مفاده أنّ الصلاة الواجبة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خصوص صلاة الجمعة، وكان مفاد الدليل الآخر أنّ الصلاة الواجبة المعلوم وجوبهافي يوم الجمعة هي إمّا صلاة الظهر وإمّا صلاة الجمعة، فلو تساقط الدليلان بالتعارض لا يمكن إجراء البراءة، بل لابدّ من الاحتياط بالجمع بين الصلاتين،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وصلاة الجمعة، من باب لزوم الاحتياط ووجوب الموافقة القطعيّة في أطراف العلم الإجماليّ، ومثال ورود الروايتين اللّتين تدلّ إحداهما على وجوب صلاة الجمعة في يوم الجمعة والأُخرى على وجوب صلاة الظهر من هذا القبيل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الطريقيّة</w:t>
      </w:r>
      <w:r>
        <w:rPr>
          <w:rFonts w:eastAsia="Amiri" w:cs="Amiri" w:ascii="Amiri" w:hAnsi="Amiri"/>
          <w:color w:val="111111"/>
          <w:sz w:val="28"/>
          <w:szCs w:val="28"/>
          <w:rtl w:val="true"/>
          <w:lang w:bidi="ar-SA"/>
        </w:rPr>
        <w:t xml:space="preserve">. </w:t>
      </w:r>
      <w:bookmarkStart w:id="292" w:name="pg15437_355075"/>
    </w:p>
    <w:p>
      <w:pPr>
        <w:pStyle w:val="Heading4"/>
        <w:numPr>
          <w:ilvl w:val="3"/>
          <w:numId w:val="1"/>
        </w:numPr>
        <w:rPr/>
      </w:pPr>
      <w:bookmarkStart w:id="293" w:name="__RefHeading___Toc6974599_2142443653"/>
      <w:bookmarkStart w:id="294" w:name="_Toc106"/>
      <w:bookmarkEnd w:id="292"/>
      <w:bookmarkEnd w:id="293"/>
      <w:r>
        <w:rPr>
          <w:rtl w:val="true"/>
        </w:rPr>
        <w:t>وأمّا المقام الثاني</w:t>
      </w:r>
      <w:r>
        <w:rPr>
          <w:rtl w:val="true"/>
        </w:rPr>
        <w:t>:</w:t>
      </w:r>
      <w:bookmarkEnd w:id="29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والموضوعيّة، فهل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تساقطهما، أو لا، بل مقتضى الأصل هو التخيير؟</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والموضوعية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الأحكام الواقعيّة تابعةً لآراء المجتهدين، وليس هناك في الواقع أحكام واقعيّة محفوظة بحيث قد يصيب المجتهد ويصل إليها بواسطة الأمارات والأدلّة، وقد يخطئ، ولذا سمّوا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بناءً على هذا المسلك الباطل لا يمكن وقوع الخطأ في اجتهاداتهم، وهذا هو التصويب الأشعريّ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تحدث في مؤدّى الأمارات والاُصول بواسطة قيامهما على الحكم الشرعيّ مصلحة أو مفسدة تكون غالبة على المصلحة أو مفسدة الواقع، فيكون الحكم مجعولاً على طبقهما دون الواقع، فيكون الحكم الواقعيّ الفعليّ هو مؤدّىالأمارات والاُصول، ويبقى الحكم الواقعيّ الأصليّ في مرتبة الشأن، وهذا هو التصويب المعتزليّ، وليس بمحال، ولكنّ الإجماع منعقد على خلافه، وإن كان يظهر كلام جماعةٍ قبول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بالمصلحة السلوكيّة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عن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متعلّقات وموضوعات الأحكام لها مصالح ومفاسد في الرتبة السابقة على الجهل بتلك الأحكام، </w:t>
      </w:r>
    </w:p>
    <w:p>
      <w:pPr>
        <w:pStyle w:val="BookText"/>
        <w:rPr/>
      </w:pPr>
      <w:r>
        <w:rPr>
          <w:rFonts w:ascii="Amiri" w:hAnsi="Amiri" w:eastAsia="Amiri" w:cs="Amiri"/>
          <w:color w:val="111111"/>
          <w:sz w:val="28"/>
          <w:sz w:val="28"/>
          <w:szCs w:val="28"/>
          <w:rtl w:val="true"/>
          <w:lang w:bidi="ar-SA"/>
        </w:rPr>
        <w:t>وهي مناطات الأحكام الواقعيّة، ولها مصالح ومفاسد في الرتبة المتأخّرة عن الجهل بها، وهي مناطات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القسم وبين القسم الثاني، وهو السببيّة المعتزليّة، أنّه في القسم الثاني تنكسر المصالح والمفاسد الواقعيّة، فلا تقتضي جعلاً على طبقها، فليس في البين إلّا تلك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هذا القسم، فلكلّ متعلّق وموضوع جُعل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وظاهريّ، ولا تناقض ولا تضادّ في البين؛ لاختلاف الرتبة بين الحكمين، فلا الحكم الواقعيّ ينزل إلى رتبة الحكم الظاهريّ، ولا الحكم الظاهريّ يصعد إلى رتبة الحكم الواقعيّ، بل كلّ منهما يقف على موضوعه، وقد تقدّم وجه البطلان في مسألة الجمع بين الحكم الظاهريّ والواقعيّ، وذكرنا هناك أنّ الحكم الظاهريّ ولو لم يصعد إلى رتبة الحكم الواقعيّ، إلّا أنّ الحكم الواقعيّ بإطلاقه يشمل حتىمرتبة الظاهر، وينزل حتى إلى تلك المرتبة، فيحصل منه اجتماع للضدّين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بناءً على السببيّة التصويبيّة بكلا قسميها،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الأشعريّة والمعتزليّة، بل حتى بناءً على السببيّة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قال بها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التخيير؛ لأنّه لو فرض أن الأخبار كانت على نحو السببيّة، وكان في كلّ واحدٍ منها ملاك ومصلحة، فالعقل يحكم بالامتثال بمقدار القدرة، وهو أن يمتثل أحدهما في ظرف عدم امتثال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كانت إحدى الأمارتين تثبت حكماً، والأُخرى تنفي ذلك الحكم، بحيث تكون الأمارتان مختلفتين في الإيجاب والسلب، ويكون الجمع بين مفاديهما من قبيل الجمع بين النقيضين، لا الضدّين، فلا يمكن القول بالتخيير، بعد أن كان مفاد إحدى الأمارتين هو رفع مؤدّى الأُخرى، بل من جهة أنّ أحد الملاكين، ملاك الحرمة أو ملاك الوجوب، غير موجود، فلا وجه للقول بالتخيير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السببيّة بمعنى أن تكون المصلحة في سلوك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لأنّ في سلوك كلٍّ من الطريقين المتعارضين مصلحة يجب استيفاؤها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لا يمكن سلوك كليهما؛ لأنّه مستلزم لاجتماع الضدّين أو النقيضين، فالعقل يحكم بلزوم استيفاء إحدى المصلحتين لأنّه ممكن، وهذا هو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المولى يجعل مصلحةً في الطريق لأجل ما فات العبد من مصلحة الواقع بسبب جعل هذه الأمارة حجّة وطريقاً، فإذا سقطت طريقيّته بواسطة التعارض، فليس هناك طريق حتى يكون لسلوكه مصلحة، فليس هناك مصلحة سلوكيّة في البين حتى تكون مستدعيةً لحكم العقل بالتخيير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عرفنا أنّ التزاحم الموجب للتخيير على تقدير عدم كونه مختصّاً بمورد الحكمين المتزاحمين، فهو لا يثبت إلّا </w:t>
      </w:r>
      <w:bookmarkStart w:id="295" w:name="pg15437_355078"/>
    </w:p>
    <w:p>
      <w:pPr>
        <w:pStyle w:val="BookText"/>
        <w:rPr/>
      </w:pPr>
      <w:bookmarkEnd w:id="295"/>
      <w:r>
        <w:rPr>
          <w:rFonts w:ascii="Amiri" w:hAnsi="Amiri" w:eastAsia="Amiri" w:cs="Amiri"/>
          <w:color w:val="111111"/>
          <w:sz w:val="28"/>
          <w:sz w:val="28"/>
          <w:szCs w:val="28"/>
          <w:rtl w:val="true"/>
          <w:lang w:bidi="ar-SA"/>
        </w:rPr>
        <w:t>بين المصلحتين المتزاحمتين، اللّتين لا يمكن استيفائهما معاً، ولكن يمكن استيفاء أحدهما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يأتي في محلّ الكلام، حيث إنّ المتعارضين سقطا عن الطريقيّة، فليس في سلوكهما مصلحة حتى يحكم العقل بالتخيير في استيفاء أيّهما شاء</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974601_2142443653"/>
      <w:bookmarkStart w:id="297" w:name="_Toc107"/>
      <w:bookmarkEnd w:id="296"/>
      <w:r>
        <w:rPr>
          <w:rtl w:val="true"/>
        </w:rPr>
        <w:t xml:space="preserve">الأمر العاشر </w:t>
      </w:r>
      <w:r>
        <w:rPr>
          <w:rtl w:val="true"/>
        </w:rPr>
        <w:t>:</w:t>
      </w:r>
      <w:r>
        <w:rPr>
          <w:rtl w:val="true"/>
        </w:rPr>
        <w:t>حكم الخبرين بعد أن كان مقتضى الأصل تساقطهما</w:t>
      </w:r>
      <w:r>
        <w:rPr>
          <w:rtl w:val="true"/>
        </w:rPr>
        <w:t>:</w:t>
      </w:r>
      <w:bookmarkEnd w:id="297"/>
    </w:p>
    <w:p>
      <w:pPr>
        <w:pStyle w:val="Heading4"/>
        <w:numPr>
          <w:ilvl w:val="3"/>
          <w:numId w:val="1"/>
        </w:numPr>
        <w:rPr/>
      </w:pPr>
      <w:bookmarkStart w:id="298" w:name="__RefHeading___Toc6974603_2142443653"/>
      <w:bookmarkStart w:id="299" w:name="_Toc108"/>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من سقوط الخبرين المتعارضين كان بمقتضى الأصل والقاعدة الأوّليّة، وإلّا، فبمقتضى الأخبار العلاجيّة المستفيضة، بل المتواترة، في هذا الباب، فلا إشكال في عدم التساقط إذا لم يكن لأحدهما مرجّح أو مزيّة، بل كانا متكافئين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اختلفت آراء الأصحاب بعد ذلك على أقوالٍ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بل ادّعي عليه الإجماع، وهو الحكم بالتخيير والأخذ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الفتوى والعمل بما يوافق الاحتياط، ولو كان الاحتياط مخالفاً لهما، كالجمع بين القصر والإتمام إذا تعارضت الأدلّة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التوقّف في الفتوى أن يتوقّف في الفتوى على طبق أحدهما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يطابق منهما الاحتياط، فإن لم يكن فيهما ما يطابق الاحتياط فلابدّ من التخيير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ومنشأ هذا الاختلاف في الآراء هو اختلاف الأخبار، فلابدّ من النظر فيها للوقوف على أصحّ الأقوال، بعدما عرفنا أنّ القاعدة الأوّليّة بحكم العقل هي التساقط، فكيف يمكن القول بعدم تساقطهما حينئذٍ، بل كيف يصحّ القول بالتخيير بينهما مع وجود منافاة ظاهرة بين الحكم بالتساقط وبين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قيام الإجماع أو ورود الأخبار بعدم تساقط المتعارضين، فإنّ هذا يكون كاشفاً عن جعل جديدٍ لحجّيّة أحد الخبرين بالفعل لا على التعيين، وذلك لا يتنافى مع ما قلناه سابقاً من تساقط المتعارضين بناءً على الطريقيّة؛ لأنّ حكمنا بالتساقط إنّما كان من جهة عدم قصور أدلّة حجّيّة الأمارة عن شمولها للمتعارضين أو لأحدهما لا على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يضرّ في ذلك أن يرِد دليل خاصّ يتضمّن بيان حجّيّة أحدهما غير المعيّن بجعلٍ جديد، لا بنفس الجعل الأوّل الذي تتضمّنه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يستلزم القول بكون الأمارة مجعولة على نحو السببيّة؛ لأنّه إنّما يلزم ذلك لو كان عدم التساقط باعتبار الجعل الأوّل الذي تتضمّنه الأدلّة العامّة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نحن وتلك الأدلّة العامّة الدالّة على حجّيّة الأمارة، فإنّه لا يبقى دليل لنا على حجّيّة أحد المتعارضين؛ لقصور </w:t>
      </w:r>
    </w:p>
    <w:p>
      <w:pPr>
        <w:pStyle w:val="BookText"/>
        <w:rPr/>
      </w:pPr>
      <w:r>
        <w:rPr>
          <w:rFonts w:ascii="Amiri" w:hAnsi="Amiri" w:eastAsia="Amiri" w:cs="Amiri"/>
          <w:color w:val="111111"/>
          <w:sz w:val="28"/>
          <w:sz w:val="28"/>
          <w:szCs w:val="28"/>
          <w:rtl w:val="true"/>
          <w:lang w:bidi="ar-SA"/>
        </w:rPr>
        <w:t>تلك الأدلّة عن شمولهما لهما، فلابدّ أن نحكم بعدم الحجّيّة لكليهما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فرض ورود دليل خاصّ في صورة التعارض بالخصوص على حجّيّة أحدهما، فلابدّ من الأخذ به، ويدلّ على أنّ أحدهما حجّة بجعل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ومع أنّ التعارض بناءً على القاعدة الأوّليّة موجب للتساقط، إلّا أنّ الذي يستفاد من هذا الدليل الخاصّ هو قاعدة ثانويّة مجعولة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فلا يمكن أيضاً استفادته من الأدلّة العامّة لأنّه لا نفهم منها لا المعذّريّة والمنجّزيّة، بل يجوز ترك العمل بهما معاً، وإن استلزم مخالفة الواقع؛ إذ لا منجز للواقع بالمتعارضين بمقتضى هذه الأدلّة العامّة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الدليل الخاصّ والجعل الجديد فإنّه يكشف عن أنّ كلّ واحدٍ من المتعارضين منجّز للواقع على تقدير إصابته له، ومعذّر للمكلّف على تقدير خطئه، فلا يجوزللمكلّف ترك العمل بكليهما معاً؛ لأنّه لو تركهما فلا منجّزيّة لأحدهما غير المعيّن ولا معذّريّة، فلا يكون له معذّر عندئذٍ في مخالفة الواقع، مع أنّه لو أخذ أحدهما وخالف الواقع كان معذوراً، فهو مخيّر في الأخذ بأحدهما، فإن صادف الواقع فقد تنجّز به، وإن خالف الواقع كان معذوراً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اتّضح ذلك،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أخبار الباب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 في صورة 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فيما يلي إلى بعض هذه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جهم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بحديثين مختلفين، ولا نعلم أيّهما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تعلم فموسّع عليك بأيّهما أخذت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التخيير بين المتعارضين مطلقاً، من دون تقييد ولا اشتراط بشيء، ولكنّ صدر هذه الرواية الذي لم نذكره دالّ على عرضهما على الكتاب والسنة أوّلاً، فهي دالّة على أنّ التخيير إنّما هو بعد فقدان المرجّح، ولو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فذيل الحديث يقيّد بالصدر؛ لأنّ ما ورد فيه أنّ التخيير إنّما يرد بعد فقدان المرجّح، حيث قيّده بالعرض على الكتاب والسنّة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الحارث بن المغيرة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أصحابك الحديث، وكلّهم ثقة، فموسّع عليك حتى ترى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التخيير مطلقاً في زمان عدم التمكّن من الوصول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زمان التمكّن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واردة في فرض التمكّن من لقاء الإمام والأخذ منه، فلا يمكن التمسّك به، لعدم العلم بشموله لزمان الغيبة؛ فإنّ الرخصة في التخيير في المدّة القصيرة لا تستلزم الرخصة في التخيير أبداً، ولا تدلّ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مقبولة عمر بن حنظلة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ذلك فأرجه حتى تلقى إمامك؛ فإنّ الوقوف عند الشبهات خير من الاقتحام في الهلكات</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هذه الرواية على التوقّف في زمان الحضور والتمكّن من الوصول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ظاهرة في أنّه بعد فقد المرجّحات يجب التوقّف عند التعادل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مكاتبة علي بن عيسى كتب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العلم المنقول إلينا عن آبائك وأجدادك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علينا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وما لم تعلموا فردّوه إلينا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دالّة على التوقّف مطلقاً، سواء كان في حال </w:t>
      </w:r>
    </w:p>
    <w:p>
      <w:pPr>
        <w:pStyle w:val="BookText"/>
        <w:rPr/>
      </w:pPr>
      <w:r>
        <w:rPr>
          <w:rFonts w:ascii="Amiri" w:hAnsi="Amiri" w:eastAsia="Amiri" w:cs="Amiri"/>
          <w:color w:val="111111"/>
          <w:sz w:val="28"/>
          <w:sz w:val="28"/>
          <w:szCs w:val="28"/>
          <w:rtl w:val="true"/>
          <w:lang w:bidi="ar-SA"/>
        </w:rPr>
        <w:t>الحضور أم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المكاتبة خارجة عن محلّ البحث؛ إذ هي ليست ظاهرةً في التوقّف، بل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الأخذ بالخبر المعلوم الصدور، وردّ المشكوك إليهم، ولا يجوز العمل به؛ لعدم حجّيّته، فمفادها أجنبيّ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يتلخّص أنّ أخبار الباب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والثانية منها فتدلّان على التخيير مطلقاً، أو مقيّداً بزمان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تدلّ على التوقّف في 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 الأُوليين تعارض؛ لما ذكرناه في محلّه من أنّ التقييد إمّا أن يكون في المتخالفين بالسلب والإيجاب، أو فيما إذا أُحرز في المثبتين وحدة المطلوب وأنّ المطلوب هو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المطلوب في المطلق هو الطبيعة المرسلة، فلا وجه للتقييد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ما دلّ على التوقّف فيحال الحضور، وما دلّ على التخيير في أيّ زمانٍ مطلقاً، فيتعارضان ويتساقطان، وتكون النتيجة هي الأخذ بالأخبار الدالّة على التخيير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زمان الحضور أم الغيبة، لا في خصوص زمان الغيبة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عبد اﷲ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أصحابنا في رواياتهم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ركعتي الفجر في السفر، فروى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صلّهما في المحمل، وروى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تصلّهما إلّا على الأرض، فأعلمني، كيف تصنع أنت لأقتدي بك في ذلك؟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مكاتبة الحميري إلى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الجواب عن ذلك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 من حالةٍ إلى أُخرى فعليه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رُوي أنّه إذا رفع رأسه من السجدة الثانية، وكبّر، ثمّ جلس، ثمّ قام، فليس عليه في القيام بعد القعود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التشهّد الأوّل يجري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وبأيّهما أخذت من باب التسليم كان صواباً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هذه الرواية مكاتبة، فلا بأس بالأخذ بها إذا كان بنحو التأييد، لا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جهة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تامّة، وإن استظهر البعض منها التخيير مطلقاً؛ إذ منالمحتمل قريباً أنّ المراد بيان التخيير في العمل بالتكبير، لبيان عدم وجوبه، وليس لبيان التخيير بين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المتعارضين لا يمكن أن يكون كلاهما صواباً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ومرفوعة زرارة المرويّة عن عوالي اللآلي، وقد جاء في آخرها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فتخيّر أحدهما، فتأخذ به وتدع الآخر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تامّة من ناحية الدلالة؛ لأنّها تدلّ على التخيير بعد فقد المرجّحات وفرض التعادل، لأنّ الفقرة المذكورة قد جاءت بعد ذكر المرجّحات وفرض التساوي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سندها؛ فإنّها ضعيفة بسبب الرفع، إلّا أن يحصل الاطمئنان بها بعد قبول الأصحاب لها، وإلّا، فهي من أهمّ الأخبار من جهة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اختلف عليه رجلان من أهل دينه في أمرٍ كلاهما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يأمر بأخذه، والآخر ينهاه عنه، كيف يصنع؟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يرجئه حتى يلقى من يخبره، فهو في سعةٍ حتى يلقاه</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مطلقاً،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تدلّ على التخيير المطلق، بل في فرض التمكّن من لقاء الإمام أو كلّ من يخبره عن رأي الإمام بحيث يحصل من إخباره اليقين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الاُولى في هذه الرواية أن يقال بدلالتها على </w:t>
      </w:r>
    </w:p>
    <w:p>
      <w:pPr>
        <w:pStyle w:val="BookText"/>
        <w:rPr/>
      </w:pPr>
      <w:r>
        <w:rPr>
          <w:rFonts w:ascii="Amiri" w:hAnsi="Amiri" w:eastAsia="Amiri" w:cs="Amiri"/>
          <w:color w:val="111111"/>
          <w:sz w:val="28"/>
          <w:sz w:val="28"/>
          <w:szCs w:val="28"/>
          <w:rtl w:val="true"/>
          <w:lang w:bidi="ar-SA"/>
        </w:rPr>
        <w:t xml:space="preserve">التوقّف، لا التخيير، حيث ورد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ظاهرة في التخيير بين الفعل والترك، باعتبار أنّ الأمر في مفروض السؤال يدور بين المحذورين، وهما الوجوب والحرمة، لا التخيير بين الروايتين؛ لأنّ العمل بأحدهما لابدّ منه، وهو لا يعدّ إرجاءً، بل الإرجاء هو ترك العمل بهما معاً، فلا دلالة لهذه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دالّة على التخيير بين المتعارضين على الإطلاق، ولو كانت مذكورة في ذيل تلك الرواية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رواية مستقلّة، والدليل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كانت جزءاً من تلك، كان لابدّ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 من باب التسليم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في خبر طويل، 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فذلك الذي يسع الأخذ بهما جميعاً، أو بأيّهما شئت، وسعك الاختيار من باب التسليم، والاتّباع، والردّ إلى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علينا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يأمرنا بالأخذ به، والآخر ينهانا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حتى تلقى صاحبك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فيه خلاف العامّة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صاحب عوالي اللآلي، فإنّه بعد روايته المرفوعة المتقدّمة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فأرجئه حتى تلقى إمامك فتسأله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دلالةً، ولكنّها غير تامّة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من إطلاقات التخيير يحمل على المقيّدات، وهو التخيير بعد فقد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هي التوقّف أو الرجوع إلى التخيير بعد فقد المرجّحات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الأوّليّة هو التساقط، وأخبار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وصحّة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قاعدة التساقط؛ لأنّ نتيجة الإرجاء والتوقّف لا تزيد على التساقط، بل هي منلوازمه، فتكون أخبار التوقّف على طبق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التخيير، فلا يمكنها أن تعارض أخبار التوقّف،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الخروج بها عن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التخيير مطلقة تشمل زمن الحضور وغيره، وأخبار التوقّف مقيّدة به، فالنسبة بينهما هي العموم والخصوص المطلق، فيحمل المطلق على المقيّد، لتكون النتيجة هي التخيير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التوقّف واردة بلسان الإرجاء إلى حين ملاقاة الإمام، ولا يستفاد منها تقييد الحكم بالتوقّف بزمان الحضور؛ لأنّ استفادة ذلك إنّما تكون بدلالة مفهوم الغاية، وقد مرّ في محلّه أنّ الغاية إذا كانت قيداً للموضوع أو المحمول فقط، فلا يكون لها 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يفهم منها المفهوم إذا كان التقييد بالغاية راجعاً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فيما نحن فيه غاية لنفس الإرجاء، لا لحكمه، وهو 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الإرجاء هو المغيّى، لا الوجوب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يفهم من أخبار التوقّف إلّا أنّه لا يجوز الأخذ بالأخبار المتعارضة المتكافئة، ولا العمل بواحدٍ منها، وإنّما يُحال الأمر في شأنها إلى الإمام، ويؤجّل البتّ فيها إلى ملاقاته لتحصيل الحجّة على الحكم بعد السؤال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هذا، فالأخبار المتعارضة لا تصلح لإثبات الحكم، ولا يجوز الفتوى والعمل بأحدها، ويكون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بملاقاة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عنه، فلو لمتحصل الملاقاة، لغيبة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الإقدام على العمل بأحد المتعارضين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بين هذه الأخبار وبين أخبار التخيير تباين، لا عموم </w:t>
      </w:r>
    </w:p>
    <w:p>
      <w:pPr>
        <w:pStyle w:val="BookText"/>
        <w:rPr/>
      </w:pPr>
      <w:r>
        <w:rPr>
          <w:rFonts w:ascii="Amiri" w:hAnsi="Amiri" w:eastAsia="Amiri" w:cs="Amiri"/>
          <w:color w:val="111111"/>
          <w:sz w:val="28"/>
          <w:sz w:val="28"/>
          <w:szCs w:val="28"/>
          <w:rtl w:val="true"/>
          <w:lang w:bidi="ar-SA"/>
        </w:rPr>
        <w:t>وخصوص، فتتعارض وتتساقط، وتكون أخبار التوقّف، كما أشرنا، مطابقةً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التعارض أن يكون كلّ منهما حائزاً على شرائط الحجّيّة، والتعارض بينهما إنّما يتصوّر بعد فقد المرجّحات، فحجّيّة كلّ واحدٍ منهما متوقّفة على عدم كون الآخر راجحاً؛ إذ لا تعارض بين الحجّة واللّاحجّة، والمرجوح ليس بحجّة فعليّة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الواجب في باب الاُصول العمليّة هو الفحص عن الدليل في مورد الشكّ في الحكم الشرعيّ، فإذا لم يظفر بالدليل تصل النوبة إلى الاُصول العمليّة؛ لأنّ اعتبار الأصل العمليّ وحجّيّته متوقّف على عدم الدليل على الحكم الشرعيّ، فيجب أن يفحص أوّلاً لإثبات ما هو موضوع الحجّة، فكذلك في مورد البحث، فإنّ الواجب هو الفحص أوّلاً لإثبات ما هو الحجّة، فيبحث عن المرجّحات، وما يرجّح الحجّة على الأُخرى، ولو أنّ كلّ واحدة منهما في حدّ نفسها هي حجّة، وذلك من جهة أنّ التخيير إنّما يتصوّر بمعنى الأخذ بأيّة واحدةٍ من الروايتين المتعارضتين بعد فقد المزايا، فالفحص عن وجود تلك المزايا إنّما يرجع في حقيقته إلى الفحص عن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تدلّ على التخيير لا تشمل اختلاف النسخ؛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عنكم الخبران المتعارضان أو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يجيئنا الرجلان وكلاهما ثقة بحديثين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يكون هناك روايتان وحديثان يرويان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واحدٍ منهما يناقض الآخر بالدلالة المطابقيّة أو الالتزاميّة، واختلاف النسخ ما هو إلّا عبارة عن أنّ هناك خبراً واحداً معيّناً، هو إمّا هذا أو ذاك،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الموجود في هذه النسخة أو ذاك الذي في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المراد من التخيير هو التخيير في العمل أو التخيير بالأخذ بإحدى الروايتين باعتبار أنّها حجّة؟</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التخيير المستفاد من الروايات هو التخيير في المسألة الاُصوليّة،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في الأخذ بإحدى الروايتين بعنوان أنّهاحجّة، لا التخيير في المسألة الفرعيّة،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مخيّراً في العمل على طبق أيّة واحدةٍ شاء؛ وذلك 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الأخذ بأيٍّ منهما هو الأخذ بما هو حجّة، لا مجرّد العمل على طبقه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يكون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في أنّ المراد من الأخذ هو الأخذ بأحدهما الذي يكون حجّة، لا صرف أنّك مخيّر في العمل على طبق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له ظهور في أنّ متعلّق التوسعة هو العمل، ولكنّه قابل للتأويل، بأن يكون المتعلّق هو الأخذ بإحداهما طريقاً إلى العمل</w:t>
      </w:r>
      <w:r>
        <w:rPr>
          <w:rFonts w:eastAsia="IRNazanin" w:cs="IRNazanin"/>
          <w:color w:val="111111"/>
          <w:sz w:val="28"/>
          <w:szCs w:val="28"/>
          <w:rtl w:val="true"/>
          <w:lang w:bidi="fa-IR"/>
        </w:rPr>
        <w:t xml:space="preserve">. </w:t>
      </w:r>
      <w:bookmarkStart w:id="300" w:name="pg15437_355091"/>
    </w:p>
    <w:p>
      <w:pPr>
        <w:pStyle w:val="BookText"/>
        <w:rPr/>
      </w:pPr>
      <w:bookmarkEnd w:id="300"/>
      <w:r>
        <w:rPr>
          <w:rFonts w:ascii="Amiri" w:hAnsi="Amiri" w:eastAsia="Amiri" w:cs="Amiri"/>
          <w:color w:val="111111"/>
          <w:sz w:val="28"/>
          <w:sz w:val="28"/>
          <w:szCs w:val="28"/>
          <w:rtl w:val="true"/>
          <w:lang w:bidi="ar-SA"/>
        </w:rPr>
        <w:t>وإذا عرفت ذلك، فهل هناك ثمرة في القول بكون التخيير بمعنى الأخذ بما هو حجّة، حتى تكون المسألة اُصوليّة، أو بمعنى التخيير في العمل، حتى تكون فرعيّة؟</w:t>
      </w:r>
    </w:p>
    <w:p>
      <w:pPr>
        <w:pStyle w:val="BookText"/>
        <w:rPr/>
      </w:pPr>
      <w:r>
        <w:rPr>
          <w:rFonts w:ascii="Amiri" w:hAnsi="Amiri" w:eastAsia="Amiri" w:cs="Amiri"/>
          <w:color w:val="111111"/>
          <w:sz w:val="28"/>
          <w:sz w:val="28"/>
          <w:szCs w:val="28"/>
          <w:rtl w:val="true"/>
          <w:lang w:bidi="ar-SA"/>
        </w:rPr>
        <w:t>قد ذكروا هنا فروقاً بينهما، نعرض عن تفصيلها حذراً من الإطناب والتطويل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حكم الشكّ في أن التخيير هل هو في المسألة الاُصوليّة أو المسألة الفرعيّة؟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الشكّ في المسألة الاُصوليّة إلى الشكّ في بقاء موضوع الاستصحاب؛ وذلك لأنّ موضوع الاستصحاب على تقدير كون التخيير في المسألة الاُصوليّة غير باقٍ قطعاً، وعلى تقدير كونه في المسألة الفرعيّة باقٍ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أنّ المسألة هي من أيٍّ من القسمين يكون الشكّ شكّاً في بقاء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موضوع الاستصحاب</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974605_2142443653"/>
      <w:bookmarkStart w:id="302" w:name="_Toc109"/>
      <w:bookmarkEnd w:id="301"/>
      <w:r>
        <w:rPr>
          <w:rtl w:val="true"/>
        </w:rPr>
        <w:t xml:space="preserve">فصل </w:t>
      </w:r>
      <w:r>
        <w:rPr>
          <w:rtl w:val="true"/>
        </w:rPr>
        <w:t>:</w:t>
      </w:r>
      <w:r>
        <w:rPr>
          <w:rtl w:val="true"/>
        </w:rPr>
        <w:t>في تقييد أدلّة التخيير بأدلّة الترجيح</w:t>
      </w:r>
      <w:r>
        <w:rPr>
          <w:rtl w:val="true"/>
        </w:rPr>
        <w:t>:</w:t>
      </w:r>
      <w:bookmarkEnd w:id="302"/>
    </w:p>
    <w:p>
      <w:pPr>
        <w:pStyle w:val="Heading5"/>
        <w:numPr>
          <w:ilvl w:val="4"/>
          <w:numId w:val="1"/>
        </w:numPr>
        <w:rPr/>
      </w:pPr>
      <w:bookmarkStart w:id="303" w:name="__RefHeading___Toc6974607_2142443653"/>
      <w:bookmarkStart w:id="304" w:name="_Toc110"/>
      <w:bookmarkEnd w:id="303"/>
      <w:r>
        <w:rPr>
          <w:rtl w:val="true"/>
        </w:rPr>
        <w:t>اشارة</w:t>
      </w:r>
      <w:bookmarkEnd w:id="30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التخيير بعد فقد المرجّحات، أو حتى مع وجودها، نسب إلى المشهور القول بالأوّل، وحُكِي عن بعضٍ القول بالثاني، وهو الحكم بالتخيير مطلقاً، تمسّكاً بإطلاق التخيير،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أخبار الترجيح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الإطلاقات تقيّد بأدلّة الترجيح، كما هي </w:t>
      </w:r>
    </w:p>
    <w:p>
      <w:pPr>
        <w:pStyle w:val="BookText"/>
        <w:rPr/>
      </w:pPr>
      <w:r>
        <w:rPr>
          <w:rFonts w:ascii="Amiri" w:hAnsi="Amiri" w:eastAsia="Amiri" w:cs="Amiri"/>
          <w:color w:val="111111"/>
          <w:sz w:val="28"/>
          <w:sz w:val="28"/>
          <w:szCs w:val="28"/>
          <w:rtl w:val="true"/>
          <w:lang w:bidi="ar-SA"/>
        </w:rPr>
        <w:t>القاعدة في باب الإطلاق والتقييد، ولا يمكن التمسّك بالإطلاقات مع وجود المقيّد، فلابدّ من الخروج عن إطلاق أدلّة التخيير بظهور أدلّة الترجيح في الوجوب؛ فإنّ المطلق مهما بلغ من الظهور لا يقاوم المقيّد لأظهريّته وحاكمية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قول المشهور روايات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كان كلّ واحدٍ اختار رجلاً من أصحابنا فرضيا أن يكونا الناظرين في حقّهما، واختلفا فيما حَكَما، وكلاهما اختلفا في حديثكم؟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رواياتهما عنّا في ذلك الذي حكما به، المجمع عليه عند أصحابك، فيؤخذ به من حكمنا، ويترك الشاذّ الذي ليس بمشهور عند أصحابك، فإنّ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كان الخبران عنكم مشهورين، قد رواهما الثقات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فما وافق حكمه حكم الكتاب والسنّة وخالف العامّة فيؤخذ به، ويترك ما خالف حكمه حكم الكتاب والسنّة ووافق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أرأيتَ إن كان الفقيهان عَرَفا حكمه من الكتابوالسنّة، ووجدنا أحد الخبرين موافقاً للعامّة، </w:t>
      </w:r>
    </w:p>
    <w:p>
      <w:pPr>
        <w:pStyle w:val="BookText"/>
        <w:rPr/>
      </w:pPr>
      <w:r>
        <w:rPr>
          <w:rFonts w:ascii="Amiri" w:hAnsi="Amiri" w:eastAsia="Amiri" w:cs="Amiri"/>
          <w:color w:val="111111"/>
          <w:sz w:val="28"/>
          <w:sz w:val="28"/>
          <w:szCs w:val="28"/>
          <w:rtl w:val="true"/>
          <w:lang w:bidi="ar-SA"/>
        </w:rPr>
        <w:t>والآخر مخالفاً لهم، بأيّ الخبرين يؤخذ؟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الحسن بن الجهم،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 على كتاب اﷲ عزّ وجل وأحاديثنا، فإن كان يشبههما فهو منّا، وإن لم يكن يشبههما فليس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بحديثين مختلفين، ولا نعلم أيّهما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تعلم فموسّع عليك بأيّهما أخذت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الحديثان المختلفان، فقسهما على كتاب اﷲ وأحاديثنا، فإن أشبهها فهو حقّ، وإن لم يشبهها فهو باطل</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القطب الراوندي سعيد بن هبة اﷲ، بسنده الصحيح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حديثانمختلفان فاعرضوهما على كتاب اﷲ، فما وافق كتاب اﷲ فخذوه، وما خالف الكتاب فردّوه، فإن لم </w:t>
      </w:r>
    </w:p>
    <w:p>
      <w:pPr>
        <w:pStyle w:val="BookText"/>
        <w:rPr/>
      </w:pPr>
      <w:r>
        <w:rPr>
          <w:rFonts w:ascii="Amiri" w:hAnsi="Amiri" w:eastAsia="Amiri" w:cs="Amiri"/>
          <w:color w:val="111111"/>
          <w:sz w:val="28"/>
          <w:sz w:val="28"/>
          <w:szCs w:val="28"/>
          <w:rtl w:val="true"/>
          <w:lang w:bidi="ar-SA"/>
        </w:rPr>
        <w:t>تجدوهما في كتاب اﷲ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على وجوب الترجيح بالمرجّحات المذكورة فيها واضحة لا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التخيير، فهي وإن كانت كثيرة وقويّة، وواردة في مقام البيان، إلّا أنّ إطلاقاتها لا تعارض ظهور هذه المرجّحات المذكورة، وأكثر روايات الترجيح جمعاً وإحاطةً بهذه المرجّحات هي المرفوعة، ويليها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الاستدلال بكلٍّ منهما لوجوب الترجيح بإشكالات عدّة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 يستشكل به على المقبولة،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المرجّحات المذكورة إنّما هو الحكمان في الروايتين اللّتين هما مستند حكمهما، وفي ذلك المورد لابدّ من الترجيح لقطع الخصومة؛ إذ مع التخيير لا ترفع الخصومة، ولا ينقطع النزاع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 التخيير هنا هو في المسألة الاُصوليّة،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أحدهما وجعله حجّة، فالترجيح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ذي المزيّة حجّة، فإذا كان ما هو الحجّة هو الذي فيه المزيّة، وغيره ليس بحجّة، فلا فرق بين أن يكون المجتهد في مقام الحكم أو مقام </w:t>
      </w:r>
      <w:bookmarkStart w:id="305" w:name="pg15437_355095"/>
    </w:p>
    <w:p>
      <w:pPr>
        <w:pStyle w:val="BookText"/>
        <w:rPr/>
      </w:pPr>
      <w:bookmarkEnd w:id="305"/>
      <w:r>
        <w:rPr>
          <w:rFonts w:ascii="Amiri" w:hAnsi="Amiri" w:eastAsia="Amiri" w:cs="Amiri"/>
          <w:color w:val="111111"/>
          <w:sz w:val="28"/>
          <w:sz w:val="28"/>
          <w:szCs w:val="28"/>
          <w:rtl w:val="true"/>
          <w:lang w:bidi="ar-SA"/>
        </w:rPr>
        <w:t>الفتوى، بل يجب فيكليهما العمل على طبق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أنّ الشارع قد جعل ما له المزيّة حجّةً في باب الحكم دون الفتوى فبعيد</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974609_2142443653"/>
      <w:bookmarkStart w:id="307" w:name="_Toc111"/>
      <w:bookmarkEnd w:id="306"/>
      <w:r>
        <w:rPr>
          <w:rtl w:val="true"/>
        </w:rPr>
        <w:t>المرجّحات المدّعى أنّها منصوص عليها</w:t>
      </w:r>
      <w:r>
        <w:rPr>
          <w:rtl w:val="true"/>
        </w:rPr>
        <w:t>:</w:t>
      </w:r>
      <w:bookmarkEnd w:id="307"/>
    </w:p>
    <w:p>
      <w:pPr>
        <w:pStyle w:val="Heading6"/>
        <w:numPr>
          <w:ilvl w:val="5"/>
          <w:numId w:val="1"/>
        </w:numPr>
        <w:rPr/>
      </w:pPr>
      <w:bookmarkStart w:id="308" w:name="__RefHeading___Toc6974611_2142443653"/>
      <w:bookmarkStart w:id="309" w:name="_Toc112"/>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ذكرنا آنفاً أنّ من شرائط تحقّق التعارض أن يكون كلّ من الدليلين حجّة وواجداً لشرائط الحجّيّة في حدّ نفسه؛ إذ لا تعارض بين الحجّة واللّاحجّة، فإذا بحثنا عن المرجّحات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نبحث عمّا يرجّح الحجّة على الأُخرى، بعد فرض كون كليهما حجّةً في أنفسهما، لا أنّ الكلام عن أصل حجّيّة الحجّة، أو عمّا يميّزها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فالمرجّحات المذكورة في الروايات والمدّعى ورود النصّ بها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 تاريخاً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التعرّض بالتفصيل لكلّ واحدة من هذه المرجّحات الخمسة</w:t>
      </w:r>
      <w:r>
        <w:rPr>
          <w:rFonts w:eastAsia="Amiri" w:cs="Amiri" w:ascii="Amiri" w:hAnsi="Amiri"/>
          <w:color w:val="111111"/>
          <w:sz w:val="28"/>
          <w:szCs w:val="28"/>
          <w:rtl w:val="true"/>
          <w:lang w:bidi="ar-SA"/>
        </w:rPr>
        <w:t xml:space="preserve">: </w:t>
      </w:r>
      <w:bookmarkStart w:id="310" w:name="pg15437_355096"/>
    </w:p>
    <w:p>
      <w:pPr>
        <w:pStyle w:val="Heading6"/>
        <w:numPr>
          <w:ilvl w:val="5"/>
          <w:numId w:val="1"/>
        </w:numPr>
        <w:rPr/>
      </w:pPr>
      <w:bookmarkStart w:id="311" w:name="__RefHeading___Toc6974613_2142443653"/>
      <w:bookmarkStart w:id="312" w:name="_Toc113"/>
      <w:bookmarkEnd w:id="310"/>
      <w:bookmarkEnd w:id="311"/>
      <w:r>
        <w:rPr/>
        <w:t>1</w:t>
      </w:r>
      <w:r>
        <w:rPr>
          <w:rtl w:val="true"/>
        </w:rPr>
        <w:t xml:space="preserve">) </w:t>
      </w:r>
      <w:r>
        <w:rPr>
          <w:rtl w:val="true"/>
        </w:rPr>
        <w:t>الترجيح بالأحدث</w:t>
      </w:r>
      <w:r>
        <w:rPr>
          <w:rtl w:val="true"/>
        </w:rPr>
        <w:t>:</w:t>
      </w:r>
      <w:bookmarkEnd w:id="312"/>
    </w:p>
    <w:p>
      <w:pPr>
        <w:pStyle w:val="BookText"/>
        <w:rPr/>
      </w:pPr>
      <w:r>
        <w:rPr>
          <w:rFonts w:ascii="IRNazanin" w:hAnsi="IRNazanin" w:eastAsia="IRNazanin"/>
          <w:color w:val="111111"/>
          <w:sz w:val="28"/>
          <w:sz w:val="28"/>
          <w:szCs w:val="28"/>
          <w:rtl w:val="true"/>
          <w:lang w:bidi="fa-IR"/>
        </w:rPr>
        <w:t>ورد بالنسبة إلى هذا الترجيح روايات عدّة، نكتفي منها بما 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إلى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أرأيتك لو حدّثْتك بحديث العامّ، ثمّ جئتني من قابلٍ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اﷲ</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يقال بدلالة هذا الخبر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بها على ما نحن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الترجيح بالأحدث من باب القاعدة العامّة،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مكلّف، وفي جميع العصور؛ لأنّه لا دلالة على محلّ البحث إلّا أن يُفهم منها أنّ الأحدث هو الحكم الواقعيّ، ولكنّها ليست ناظرةً إلى بيان ذلك، بل لعلّ حكمه هذا كان حكماً ظاهريّاً بالنسبة إليه من باب التقيّة، لا حكماً واقعيّاً ووظيفةً عامّةً بالنسبة إلى جميع المكلّفين، وفي جميع الأزمنة، حتى في زمن الغيبة،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مرجّحيّة الأحدثيّة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974615_2142443653"/>
      <w:bookmarkStart w:id="314" w:name="_Toc114"/>
      <w:bookmarkEnd w:id="313"/>
      <w:r>
        <w:rPr/>
        <w:t>2</w:t>
      </w:r>
      <w:r>
        <w:rPr>
          <w:rtl w:val="true"/>
        </w:rPr>
        <w:t xml:space="preserve">) </w:t>
      </w:r>
      <w:r>
        <w:rPr>
          <w:rtl w:val="true"/>
        </w:rPr>
        <w:t>الترجيح بالصفات</w:t>
      </w:r>
      <w:r>
        <w:rPr>
          <w:rtl w:val="true"/>
        </w:rPr>
        <w:t>:</w:t>
      </w:r>
      <w:bookmarkEnd w:id="31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الترجيح بالصفات في مرفوعة زرارة المتقدّمة الذكر، والتي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جُعِلْتُ فداك، يأتي عنكم الخبران أوالحديثان </w:t>
      </w:r>
    </w:p>
    <w:p>
      <w:pPr>
        <w:pStyle w:val="BookText"/>
        <w:rPr/>
      </w:pPr>
      <w:r>
        <w:rPr>
          <w:rFonts w:ascii="IRNazanin" w:hAnsi="IRNazanin" w:eastAsia="IRNazanin"/>
          <w:color w:val="111111"/>
          <w:sz w:val="28"/>
          <w:sz w:val="28"/>
          <w:szCs w:val="28"/>
          <w:rtl w:val="true"/>
          <w:lang w:bidi="fa-IR"/>
        </w:rPr>
        <w:t>المتعارضان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أعدلهما عندك وأوثقهما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مرفوعة، وهي قد وردت في كتاب عوالي اللآلي، وقد طعن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كما في مؤلّفه،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لم نقف عليها في غير كتاب عوالي اللآلي، مع ما هي عليه من الرفع والإرسال، وما عليه الكتاب المذكور من نسبة صاحبه إلى التساهل في نقل الأخبار، والإهمال، وخلط غثّها بسمينها، وصحيحها بسقيمها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الاعتماد عليها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هي مقبولة عمر بن حنظلة،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تلقّاها الأصحاب بالرضا والقبول؛ فإنّ راويها هو صفوان بن يحيى الذي هو من أصحاب الإجماع الذين أجمعت العصابة على تصحيح ما يصحّ عنهم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 الاستدلال بهذه الرواية بأنّها واردة في باب التعارض بين الحكمين، لا الروايتين، كما هو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والفتوى في الصدر الأوّل كانا يقعان بنصّ الأحاديث، لا بتعبير من الحاكم أو المفتي، كما هو الحال في العصور المتأخّرة استنباطاً من الأحاديث، ولذا تعرّضت هذه المقبولة للرواية والراوي؛ لمكان ارتباط الرواية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يظهر من الرواية أنها مختصّة بالحاكم؛ لأنّ اعتبار شيء في الراوي بما هو حاكم مغاير لاعتباره فيه بما هو راوٍ ومحدّث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الأعدل والأورع والأفقه إنّما هو بما هو حاكم، وفي مقام نفوذ حكمه، لا في مقام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أنّها جعلت من جملة المرجّحات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ربطٍ للأفقهيّة بترجيح الرواية من جهة كونها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ذكر وجوب الترجيح بها في مورد الحكمين لا يدلّ على الاختصاص بذلك المورد كما هو الحال في غالب الأخبار، فإنّ السؤال غالباً ما يكون عن الموارد الخاصّة،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بما هو يعمّ المورد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صدر الرواية وإن كان مختصّاً بالحكمين، ولكنّه بعد ذلك يكون بصدد بيان حكم الروايتين المتعارضتين على نحو الكلّيّة، وفي أيّ مقامٍ كان، لا في خصوص مورد الحكمين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المشتملة على مقاطع يمكن أن يكون كلّ </w:t>
      </w:r>
      <w:bookmarkStart w:id="315" w:name="pg15437_355099"/>
    </w:p>
    <w:p>
      <w:pPr>
        <w:pStyle w:val="BookText"/>
        <w:rPr/>
      </w:pPr>
      <w:bookmarkEnd w:id="315"/>
      <w:r>
        <w:rPr>
          <w:rFonts w:ascii="IRNazanin" w:hAnsi="IRNazanin" w:eastAsia="IRNazanin"/>
          <w:color w:val="111111"/>
          <w:sz w:val="28"/>
          <w:sz w:val="28"/>
          <w:szCs w:val="28"/>
          <w:rtl w:val="true"/>
          <w:lang w:bidi="fa-IR"/>
        </w:rPr>
        <w:t xml:space="preserve">مقطع منها دالّاً على مورد، بأن يكون مقطعما ناظراً إلى مورد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ناظراً إلى مورد الروايتين المتعارضتين، ولذا نرى أنّ الرواية انتقلت بعد ذلك إلى الترجيح بالرواية بما هي رواية، معلّلةً لوجوب أخذ المشهور دون الشاذّ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والحكم والفتوى مشتركان في هذا التعليل، ومن هنا، وتمسّكاً بعموم هذا التعليل، تعدّى بعضهم من المرجّحات المنصوصة إلى مطلق المرجّحات، كما سنشرحه إن شاء اﷲ</w:t>
      </w:r>
      <w:r>
        <w:rPr>
          <w:rFonts w:eastAsia="IRNazanin" w:cs="IRNazanin"/>
          <w:color w:val="111111"/>
          <w:sz w:val="28"/>
          <w:szCs w:val="28"/>
          <w:rtl w:val="true"/>
          <w:lang w:bidi="fa-IR"/>
        </w:rPr>
        <w:t>.</w:t>
      </w:r>
    </w:p>
    <w:p>
      <w:pPr>
        <w:pStyle w:val="Heading6"/>
        <w:numPr>
          <w:ilvl w:val="5"/>
          <w:numId w:val="1"/>
        </w:numPr>
        <w:rPr/>
      </w:pPr>
      <w:bookmarkStart w:id="316" w:name="__RefHeading___Toc6974617_2142443653"/>
      <w:bookmarkStart w:id="317" w:name="_Toc115"/>
      <w:bookmarkEnd w:id="316"/>
      <w:r>
        <w:rPr/>
        <w:t>3</w:t>
      </w:r>
      <w:r>
        <w:rPr>
          <w:rtl w:val="true"/>
        </w:rPr>
        <w:t xml:space="preserve">) </w:t>
      </w:r>
      <w:r>
        <w:rPr>
          <w:rtl w:val="true"/>
        </w:rPr>
        <w:t>الترجيح بالشهرة</w:t>
      </w:r>
      <w:r>
        <w:rPr>
          <w:rtl w:val="true"/>
        </w:rPr>
        <w:t>:</w:t>
      </w:r>
      <w:bookmarkEnd w:id="317"/>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المرجّحة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 والشهرة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الفتوائيّة يشترط في تقوية الرواية بالعمل بها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استناد الفتوى إلى الرواية، ولا يكفي مجرّد مطابقة فتوى المشهور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الشهرة قديمة،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عصر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العصور اللّاحقة التي تمّ فيها جمع الروايات وتحقيقها، وذلك لقرب ذلك الزمان من زمان الأئمّة، وكون الأصحاب فيه أقدر على معرفة أحوال الرواة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في العصور المتأخّرة فيشكل كونها مقوّيةً للعمل بالرواية، </w:t>
      </w:r>
    </w:p>
    <w:p>
      <w:pPr>
        <w:pStyle w:val="BookText"/>
        <w:rPr/>
      </w:pPr>
      <w:r>
        <w:rPr>
          <w:rFonts w:ascii="Amiri" w:hAnsi="Amiri" w:eastAsia="Amiri" w:cs="Amiri"/>
          <w:color w:val="111111"/>
          <w:sz w:val="28"/>
          <w:sz w:val="28"/>
          <w:szCs w:val="28"/>
          <w:rtl w:val="true"/>
          <w:lang w:bidi="ar-SA"/>
        </w:rPr>
        <w:t>إلّا أن تتّصل بشهرة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يقول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من جهة أنّ المتأخّرين حيث يفتون بالأدلّة العقليّة والاستحسانات، فلا يستكشف من كون فتواهم على طبق الرواية أنّهم استندوا في هذه الفتوى إلى تلك الرواية؛ إذ من الممكن أن يكون مدركهم شيئاً آخر غير هذه الرواية من الظنون والاستحسانات والأدلّة العقليّة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الشهرة لم يرد لها أثر في الأخبار بحيث تدلّ على الترجيح بها، إلّا أن يكون بمناط الترجيح بكلّ ما يوجب الأقربيّة إلى الواقع في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عمل المشهور على طبقها مستنداً إليها في مقام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في أنّها هل تجبر الخبر الضعيف مع قطع النظر عن وجود ما يعارضه أم لا؟</w:t>
      </w:r>
    </w:p>
    <w:p>
      <w:pPr>
        <w:pStyle w:val="BookText"/>
        <w:rPr/>
      </w:pPr>
      <w:r>
        <w:rPr>
          <w:rFonts w:ascii="Amiri" w:hAnsi="Amiri" w:eastAsia="Amiri" w:cs="Amiri"/>
          <w:color w:val="111111"/>
          <w:sz w:val="28"/>
          <w:sz w:val="28"/>
          <w:szCs w:val="28"/>
          <w:rtl w:val="true"/>
          <w:lang w:bidi="ar-SA"/>
        </w:rPr>
        <w:t>قد يقال بالجابريّة، خصوصاً إذا كانت قديمة؛ لأنّ العمل بالخبر عند المشهور من القدماء ممّا يوجب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والوثوق هو المناط في الحجّيّة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من ذلك، فإنّ إعراض الأصحاب عن روايةٍ يكون موجباً لوهنها، وإن كان راويها ثقةً، أو كانت تامّة السند، بل كلّما قوي سند </w:t>
      </w:r>
    </w:p>
    <w:p>
      <w:pPr>
        <w:pStyle w:val="BookText"/>
        <w:rPr/>
      </w:pPr>
      <w:r>
        <w:rPr>
          <w:rFonts w:ascii="Amiri" w:hAnsi="Amiri" w:eastAsia="Amiri" w:cs="Amiri"/>
          <w:color w:val="111111"/>
          <w:sz w:val="28"/>
          <w:sz w:val="28"/>
          <w:szCs w:val="28"/>
          <w:rtl w:val="true"/>
          <w:lang w:bidi="ar-SA"/>
        </w:rPr>
        <w:t>الرواية، وأعرض الأصحاب عنها، كان إعراضهم هذا أكثر دلالةً على وهنها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جابريّة هذه الشهرة ولا على كاسريّتها، خلافاً لما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صحّة الترجيح بهذه الشهرة، بل هي مدار حجّيّة الخبر الضعيف؛ إذ بها ينجبر الضعف ويدخل في موضوع الحجّيّة الذي هو عبارة عن الخبر الموثوق الصدور، فيكون من مرجّحات الصدور، كما عليه المشهور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الشهرة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تكون الرواية مشهورة بين الرواة والمحدّثين، مع كون رواتها متعدّدين، خصوصاً إذا كان تعدّد الرواة في كلّ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المعنى من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المتقدّمة،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المراد من المجمع عليه إنّما هو المشهور، بدليل تعقيب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الخبران عنكما مشهورين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تكون داخلة في محلّ البحث، بل تكون داخلة </w:t>
      </w:r>
      <w:bookmarkStart w:id="318" w:name="pg15437_355102"/>
    </w:p>
    <w:p>
      <w:pPr>
        <w:pStyle w:val="BookText"/>
        <w:rPr/>
      </w:pPr>
      <w:bookmarkEnd w:id="318"/>
      <w:r>
        <w:rPr>
          <w:rFonts w:ascii="IRNazanin" w:hAnsi="IRNazanin" w:eastAsia="IRNazanin"/>
          <w:color w:val="111111"/>
          <w:sz w:val="28"/>
          <w:sz w:val="28"/>
          <w:szCs w:val="28"/>
          <w:rtl w:val="true"/>
          <w:lang w:bidi="fa-IR"/>
        </w:rPr>
        <w:t>في باب الحجّة واللّاحجّة؛ فإنّ شهرة الرواية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كون الخبر مقطوع الصدور، وعلى الأقلّ، توجب الوثوق بصدوره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كذلك، فالشاذّ الذي هو معارض له، إمّا أن يكون مقطوع العدم، أو أن يكون موثوقاً بعدمه، فلا تشمله أدلّةحجّيّة الخبر، فتكون ناظرةً إلى تمييز الحجّة عن اللّاحجّة، وقد عرفت أنّه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الشاذّ المقطوع العدم خارج عن المسألة يقيناً، وأمّا الموثوق بعدمه من جهة حصول الثقة الفعليّة بالمعارضة، فلا يضرّ ذلك في كونه مشمولاً لأدلّة حجّيّة الخبر، ولو لم يكن منوطاً بالوثاقة الفعليّة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يكفي وثاقة الراوي في الأخذ بخبره، ولا يشترط حصول الظنّ الفعليّ به، ولا عدم الظنّ بخلافه، فيكون مشمولاً لأدلّة حجّيّة الخبر</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974619_2142443653"/>
      <w:bookmarkStart w:id="320" w:name="_Toc116"/>
      <w:bookmarkEnd w:id="319"/>
      <w:r>
        <w:rPr/>
        <w:t>4</w:t>
      </w:r>
      <w:r>
        <w:rPr>
          <w:rtl w:val="true"/>
        </w:rPr>
        <w:t xml:space="preserve">) </w:t>
      </w:r>
      <w:r>
        <w:rPr>
          <w:rtl w:val="true"/>
        </w:rPr>
        <w:t>الترجيح بموافقة الكتاب</w:t>
      </w:r>
      <w:r>
        <w:rPr>
          <w:rtl w:val="true"/>
        </w:rPr>
        <w:t>:</w:t>
      </w:r>
      <w:bookmarkEnd w:id="320"/>
    </w:p>
    <w:p>
      <w:pPr>
        <w:pStyle w:val="BookText"/>
        <w:rPr/>
      </w:pPr>
      <w:r>
        <w:rPr>
          <w:rFonts w:ascii="Amiri" w:hAnsi="Amiri" w:eastAsia="Amiri" w:cs="Amiri"/>
          <w:color w:val="111111"/>
          <w:sz w:val="28"/>
          <w:sz w:val="28"/>
          <w:szCs w:val="28"/>
          <w:rtl w:val="true"/>
          <w:lang w:bidi="ar-SA"/>
        </w:rPr>
        <w:t>في ذلك روايات عدّة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أبي الجهم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اﷲ عزّ وجل وأحاديثنا، فإن كان يشبههما فهو منّا، وإن لم يكن يشبههما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استشكل صاحب الكفاية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كون أخبار موافقة الكتاب أو مخالفة القوم من أخبار الباب نظراً،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أن يكون الخبر المخالف للكتاب في نفسه غير حجّة، بشهادة ما ورد في أنّه زخرف وباطل وليس بشيء، أو أنّه لم نقله، أو أمر بطرحه على الجدار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الباب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منها في مقام بيان أصل حجّيّة الخبر، لا في مقام المعارضة بغيره، والتعبيرات التي ذكرها في الكفاية مختصّة بهذا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ترجيح أحد المتعارضين، وهذه لم تشتمل على مثل تلك التعبيرات التي ذكرها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كلٍّ من المقبولة ورواية الحسن بن جهم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المخالفة لصريح الكتاب؛ لأنّه هو الذي يصحّ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زخرف وباطل ولم نقله، ونحو ذلك</w:t>
      </w:r>
      <w:r>
        <w:rPr>
          <w:rFonts w:eastAsia="Amiri" w:cs="Amiri" w:ascii="Amiri" w:hAnsi="Amiri"/>
          <w:color w:val="111111"/>
          <w:sz w:val="28"/>
          <w:szCs w:val="28"/>
          <w:rtl w:val="true"/>
          <w:lang w:bidi="ar-SA"/>
        </w:rPr>
        <w:t xml:space="preserve">. </w:t>
      </w:r>
      <w:bookmarkStart w:id="321" w:name="pg15437_355104"/>
    </w:p>
    <w:p>
      <w:pPr>
        <w:pStyle w:val="BookText"/>
        <w:rPr/>
      </w:pPr>
      <w:bookmarkEnd w:id="321"/>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المخالفة لظاهر الكتاب، لا لنصّه، وهذه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بعد أن يكون كلّ واحدٍ من الخبرين حجّة ومشهوراً، وقد روى كلاً منهما الثقات، ثمّ فَرَض السائل موافقتهما معاً للكتاب بعد ذلك،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الفقيهان عرفا حكمهمن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يتصوّر إلّا أن يكون كلّ واحدٍ موافقاً للظاهر، وإلّا، لزم وجود نصّين متباينين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ورد في خبر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يشبههما فهو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المقصود هو الموافقة والمخالفة للظاهر</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6974621_2142443653"/>
      <w:bookmarkStart w:id="323" w:name="_Toc117"/>
      <w:bookmarkEnd w:id="322"/>
      <w:r>
        <w:rPr/>
        <w:t>5</w:t>
      </w:r>
      <w:r>
        <w:rPr>
          <w:rtl w:val="true"/>
        </w:rPr>
        <w:t xml:space="preserve">) </w:t>
      </w:r>
      <w:r>
        <w:rPr>
          <w:rtl w:val="true"/>
        </w:rPr>
        <w:t>الترجيح بمخالفة العامّة</w:t>
      </w:r>
      <w:r>
        <w:rPr>
          <w:rtl w:val="true"/>
        </w:rPr>
        <w:t>:</w:t>
      </w:r>
      <w:bookmarkEnd w:id="323"/>
    </w:p>
    <w:p>
      <w:pPr>
        <w:pStyle w:val="BookText"/>
        <w:rPr/>
      </w:pPr>
      <w:r>
        <w:rPr>
          <w:rFonts w:ascii="Amiri" w:hAnsi="Amiri" w:eastAsia="Amiri" w:cs="Amiri"/>
          <w:color w:val="111111"/>
          <w:sz w:val="28"/>
          <w:sz w:val="28"/>
          <w:szCs w:val="28"/>
          <w:rtl w:val="true"/>
          <w:lang w:bidi="ar-SA"/>
        </w:rPr>
        <w:t xml:space="preserve">يستفاد هذا الترجيح من المقبولة المتقدّمة، حيث إنّها ظاهرة في أنّ الترجيح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حجّيّتهما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بموافقة الكتاب ومخالفة العامّة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6974623_2142443653"/>
      <w:bookmarkStart w:id="325" w:name="_Toc118"/>
      <w:bookmarkEnd w:id="324"/>
      <w:r>
        <w:rPr>
          <w:rtl w:val="true"/>
        </w:rPr>
        <w:t>التعدّي من المرجّحات والمزايا المنصوصة</w:t>
      </w:r>
      <w:r>
        <w:rPr>
          <w:rtl w:val="true"/>
        </w:rPr>
        <w:t>:</w:t>
      </w:r>
      <w:bookmarkEnd w:id="325"/>
    </w:p>
    <w:p>
      <w:pPr>
        <w:pStyle w:val="BookText"/>
        <w:rPr/>
      </w:pPr>
      <w:r>
        <w:rPr>
          <w:rFonts w:ascii="Amiri" w:hAnsi="Amiri" w:eastAsia="Amiri" w:cs="Amiri"/>
          <w:color w:val="111111"/>
          <w:sz w:val="28"/>
          <w:sz w:val="28"/>
          <w:szCs w:val="28"/>
          <w:rtl w:val="true"/>
          <w:lang w:bidi="ar-SA"/>
        </w:rPr>
        <w:t>ثمّ هل لابدّ من الاقتصار على المرجّحات المنصوصة أو يجوز التعدّي إلى غيرها؟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الاقتصار عليها؛ لأنّ إطلاقات باب التخيير لابدّ من الأخذ بها إلّا في مورد قام الدليل على تقييدها، وقيام الدليل على تقييدها إنّما ورد بالنسبة إلى المرجّحات المنصوصة فقط، فهي تقيّد تلك المطلقات؛ لأنّ أصالة الظهور في جانب المقيّدات تكون حاكمة على أصالة الظهور في طرف الإطلاقات، فتقدّم عليها، وتقيّد الإطلاقات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المرجّحات غير المنصوصة، فلم يقم عليها دليل حتى تقدّم على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بعض الاُمور في الأخذ بالمرجّحات 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بالأصدقيّة في المقبولة، والأوثقيّة في المرفوعة، فإنّ مناط الترجيح بهما إنّما هو من جهة الأقربيّة إلى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يتحقّق فيه هذا المناط يكون موجباً للترجيح، سواء كان من المرجّحات المنصوصة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سبيل لنا إلى العلم بهذه المناطات، فليس إلّا مجرّد الظنّ بالمناط،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الأقربيّة إلى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المناط، وهو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المناط مقطوعاً، فحجّيّته معلومة بالضرورة، فنأخذ به، ولعلّ الترجيح بهما يكون لخصوصيّة فيهما، لا لمجرّد كونهما أقرب إلى الصدور من الفاقد لهاتين الصفتين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الأخذ بما يخالف العامّة،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الرشد </w:t>
      </w:r>
    </w:p>
    <w:p>
      <w:pPr>
        <w:pStyle w:val="BookText"/>
        <w:rPr/>
      </w:pPr>
      <w:r>
        <w:rPr>
          <w:rFonts w:ascii="Amiri" w:hAnsi="Amiri" w:eastAsia="Amiri" w:cs="Amiri"/>
          <w:color w:val="111111"/>
          <w:sz w:val="28"/>
          <w:sz w:val="28"/>
          <w:szCs w:val="28"/>
          <w:rtl w:val="true"/>
          <w:lang w:bidi="ar-SA"/>
        </w:rPr>
        <w:t>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العامّة لأحد الخبرين المتعارضين مع موافقة الآخر لهم مثل كون أحدهما موافقاً للكتاب وكان الآخر مخالفاً له ممّا يوجب الاطمئنان بصدور الموافق وعدم صدور المخالف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الاطمئنان بصدور أحدهما المعيّن مع عدم الاطمئنان بعدم صدور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منأيّ سببٍ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مرجّحاً؛ لأنّ الاطمئنان أمر عقلائيّ لازم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حصل الظنّ غير الاطمئنانيّ بالصدور، فلا يكون حجّة إذا كان من غير المزايا المنصوصة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مقام الترجيح بالشهرة بالأخذ بالمشهور وترك الشاذّ النادر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الريب فيه يدلّ على مرجّحيّة كلّ شيء يكون موجباً للأقربيّة وعدم الريب إذا كان فيه مزيّة بالنسبة إلى مقابله، ويكون الترجيح دائراً مدار هذا التعليل، فكلّ مزيّة كانت سبباً لعدم الريب بالنسبة إلى ما ليس له مثل هذه المزيّة يكون مرجّحاً بحكم هذا التعليل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به نفي الريب بقولٍ مطلق حتى يكون مساوقاً للعلم بالصدور، ليكون خارجاً عن محلّ البحث؛ لأنّه لو كان كذلك يدور الأمر بين الحجّة واللّاحجّة، ومحلّ البحث إنّما هو فيما إذا كان كلاهما حجّة، بل المراد بنفي الريب نفي أقلّيّة الريب النسبيّ، كما إذا كان أحدهما </w:t>
      </w:r>
    </w:p>
    <w:p>
      <w:pPr>
        <w:pStyle w:val="BookText"/>
        <w:rPr/>
      </w:pPr>
      <w:r>
        <w:rPr>
          <w:rFonts w:ascii="Amiri" w:hAnsi="Amiri" w:eastAsia="Amiri" w:cs="Amiri"/>
          <w:color w:val="111111"/>
          <w:sz w:val="28"/>
          <w:sz w:val="28"/>
          <w:szCs w:val="28"/>
          <w:rtl w:val="true"/>
          <w:lang w:bidi="ar-SA"/>
        </w:rPr>
        <w:t>مشهوراً بين المحدّثين، فإذا كانت هذه هي العلّة يمكن التعدّي إلى المزايا والمرجّحات 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هو نفي الريب بقولٍ مطلق،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بجميع مراتبه، لا أنّه منفيّ بالنسبة، وهذا كناية عن حصول الاطمئنان بصدوره بواسطة الشهرة، ويكون هذا إشارة إلى أنّ المزايا الموجبة للاطمئنان بصدور ذي المزيّة مرجّحاً، ولو لم تكن من المزاياالمنصوصة، لا أنّه يكون سبباً للتعدّي إلى كلّ المزايا ولو لم تكن كذلك، حصل الاطمئنان بها أم لم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الأصل الأوّليّ وإن كان عبارة عن تقديم كلّ ذي مزيّة؛ للقطع بحجّيّته؛ لأنّه إمّا أن يكون حجّةً تخييراً أو تعييناً، بخلاف ما ليس فيه المزيّة، إلّا أنّه لمّا وردت أخبار التخيير منعت من وصول النوبة إلى هذا الأصل، فحينما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الجواب عن السؤال عن العمل بأيّ واحدٍ من المتعارضين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 من باب التسليم وسعك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غيرهما من الروايات، فلا يبقى مجال لهذا الأصل أصلاً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جاء الدليل، وكان مقيِّداً لهذه الإطلاقات، كما هو كذلك بالنسبة إلى المرجّحات المنصوصة، فتقيَّد تلك الإطلاقات؛ لأنّ أصالة الظهور في طرف القيد حاكمة على أصالة الظهور في طرف الإطلاق</w:t>
      </w:r>
      <w:r>
        <w:rPr>
          <w:rFonts w:eastAsia="Amiri" w:cs="Amiri" w:ascii="Amiri" w:hAnsi="Amiri"/>
          <w:color w:val="111111"/>
          <w:sz w:val="28"/>
          <w:szCs w:val="28"/>
          <w:rtl w:val="true"/>
          <w:lang w:bidi="ar-SA"/>
        </w:rPr>
        <w:t xml:space="preserve">. </w:t>
      </w:r>
      <w:bookmarkStart w:id="326" w:name="pg15437_355108"/>
    </w:p>
    <w:p>
      <w:pPr>
        <w:pStyle w:val="BookText"/>
        <w:rPr/>
      </w:pPr>
      <w:bookmarkEnd w:id="326"/>
      <w:r>
        <w:rPr>
          <w:rFonts w:ascii="Amiri" w:hAnsi="Amiri" w:eastAsia="Amiri" w:cs="Amiri"/>
          <w:color w:val="111111"/>
          <w:sz w:val="28"/>
          <w:sz w:val="28"/>
          <w:szCs w:val="28"/>
          <w:rtl w:val="true"/>
          <w:lang w:bidi="ar-SA"/>
        </w:rPr>
        <w:t>نعم، بالنسبة إلى المزايا غير المنصوصة، فليس هناك شيء في البين يكون سبباً لتقييد تلك المطلقات؛ لأنّه ليس هناك دليل على حجّيّة تلك المقيّدات، ولا يمكن التعدّي من المرجّحات المنصوصة إلى غيرها؛ لعدم العلم بالمناط</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6974625_2142443653"/>
      <w:bookmarkStart w:id="328" w:name="_Toc119"/>
      <w:bookmarkEnd w:id="327"/>
      <w:r>
        <w:rPr>
          <w:rtl w:val="true"/>
        </w:rPr>
        <w:t>أقسام المرجّحات المنصوصة</w:t>
      </w:r>
      <w:r>
        <w:rPr>
          <w:rtl w:val="true"/>
        </w:rPr>
        <w:t>:</w:t>
      </w:r>
      <w:bookmarkEnd w:id="328"/>
    </w:p>
    <w:p>
      <w:pPr>
        <w:pStyle w:val="BookText"/>
        <w:rPr/>
      </w:pPr>
      <w:r>
        <w:rPr>
          <w:rFonts w:ascii="Amiri" w:hAnsi="Amiri" w:eastAsia="Amiri" w:cs="Amiri"/>
          <w:color w:val="111111"/>
          <w:sz w:val="28"/>
          <w:sz w:val="28"/>
          <w:szCs w:val="28"/>
          <w:rtl w:val="true"/>
          <w:lang w:bidi="ar-SA"/>
        </w:rPr>
        <w:t>المرجّحات المنصوصة على أقسام؛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راجع إلى الصدور، ككون الرواية مشهورة بين الرواة والمحدّثين، أو كصفات الراوي، من الأوثقيّة والأعدليّة والأصدقيّة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وبعضها راجع إلى جهة الصدور؛ ككون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الحكم الواقعيّ، لا أنّه في مقام التقيّة وستر الحكم الواقعيّ خوفاً من الأعداء، وذلك كمخالفة أحد المتعارضين للعامّة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وبعضها راجع إلى جهة المضمون، ومفاده أنّه حكم اﷲ، كموافقة الكتاب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ذلك، فهل كلّ واحدٍ من هذه الأنواع مرجّح في عرض الآخر، بحيث لو كان أحدها لخبر، وآخر في خبر آخر، فلابدّ من دخول المسألة في باب التزاحم، ويلزم الرجوع إلى مرجّحاته، وتقديم أقواهما مناطاً؟ أم لا، بل هي مترتّبة في مقام الترجيح، فبعض الأنواع مقدّم على بعض آخر؟ </w:t>
      </w:r>
    </w:p>
    <w:p>
      <w:pPr>
        <w:pStyle w:val="BookText"/>
        <w:rPr/>
      </w:pPr>
      <w:r>
        <w:rPr>
          <w:rFonts w:ascii="Amiri" w:hAnsi="Amiri" w:eastAsia="Amiri" w:cs="Amiri"/>
          <w:color w:val="111111"/>
          <w:sz w:val="28"/>
          <w:sz w:val="28"/>
          <w:szCs w:val="28"/>
          <w:rtl w:val="true"/>
          <w:lang w:bidi="ar-SA"/>
        </w:rPr>
        <w:t>في ذلك خلاف بين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هنا خلافان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هي مترتّبة أو عرضيّة؟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أنّها ليست عرضيّة، بل مترتّبة، وقع الخلاف في أنّ المرجّح الجهتيّ مقدّم على السنديّ أو العكس؟</w:t>
      </w:r>
    </w:p>
    <w:p>
      <w:pPr>
        <w:pStyle w:val="BookText"/>
        <w:rPr/>
      </w:pPr>
      <w:r>
        <w:rPr>
          <w:rFonts w:ascii="Amiri" w:hAnsi="Amiri" w:eastAsia="Amiri" w:cs="Amiri"/>
          <w:color w:val="111111"/>
          <w:sz w:val="28"/>
          <w:sz w:val="28"/>
          <w:szCs w:val="28"/>
          <w:rtl w:val="true"/>
          <w:lang w:bidi="ar-SA"/>
        </w:rPr>
        <w:t>أمّا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عرضيّة، ولا ترتيب بينها بناءً على التعدّي من المرجّحاتالمنصوصة إلى غيرها؛ إذ بناءً على التعدّي يكون مناط الترجيح بشيءٍ هو أن يكون ذلك الشيء موجباً لأقربيّة ذي المزيّة إلى الواقع، فإذا كان لكلّ واحدٍ من المتعارضين مزيّة توجب أقربيّته إلى الواقع فيقع التزاحم بينهما، ويقدّم ما هو الأقوى مناطاً، ولو لم يكن أحدهما أقوى، فالمرجع إلى إطلاقات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نقل بالتعدّي، فلكونها مرتّبةً وجه، وترتيبها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الترتيب المذكور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 رحمة الله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وجه لمراعاة الترتيب بين المرجّحات لو قيل بالتعدّي وإناطة الترجيح بالظنّ أو بالأقربيّة إلى الواقع؛ ضرورة أنّ قضيّة ذلك تقديم الخبر الذي ظنّ صدقه أو كان أقرب إلى الواقع منهما، والتخيير بينهما إذا تساويا، فلا وجه لإتعاب النفس في بيان أنّ أيّهما يقدّم أو يؤخّر، إلّا تعيين أنّ أيّها يكون فيه المناط في صورة مزاحمة بعضها مع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قيل بالاقتصار على المزايا المنصوصة، فله وجه؛ لما يتراءى من ذكرها مرتّباً في المقبولة والمرفوعة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استنباط الحكم الواقعيّ من الرواية متوقّف على اُمور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الصدور، وأصالة جهة الصدور، وأصالة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والمتكفّل للأوّل هو أدلّة حجّيّة خبر الواحد، كآية النبأ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المتكفّل لإثبات أصالة جهة الصدور فهو بناء العقلاء على أنّ كلّ متكلّم هو بصدد بيان مراده الواقعيّ، لا أنّه يتكلّم خوفاً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فيتكفّل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وسيرتهم المنعقدة على أنّ الظاهر من الكلام هو ما يكون مراد المتكلّم في مقام الفهم والتفهيم وعامّة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الصدور أصل تعبّديّ، مدركه حجّيّة خبر الواحد، وإن كان المدرك له هو بناء العقلاء أيضاً وسيرتهم القائمة على قبول خبر الثقة، وقد أمضى الشارع المقدّس هذه الطريقة،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الاُصول العقلائيّة، ولكنّ اصطلاحهم عدّ هذا الأصل من جملة الاُصول التعبّديّة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فسواء كانت من الاُصول العقلائيّة أم من الاُصول التعبّديّة غير العقلائيّة، فإنّ رتبتها تكون متقدّمة على رتبة الأصلين الآخرين،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وأصالة جهة الصدور؛ وذلك لأنّ ظهور الجملة </w:t>
      </w:r>
    </w:p>
    <w:p>
      <w:pPr>
        <w:pStyle w:val="BookText"/>
        <w:rPr/>
      </w:pPr>
      <w:r>
        <w:rPr>
          <w:rFonts w:ascii="Amiri" w:hAnsi="Amiri" w:eastAsia="Amiri" w:cs="Amiri"/>
          <w:color w:val="111111"/>
          <w:sz w:val="28"/>
          <w:sz w:val="28"/>
          <w:szCs w:val="28"/>
          <w:rtl w:val="true"/>
          <w:lang w:bidi="ar-SA"/>
        </w:rPr>
        <w:t>في كونه مراداً للمتكلّم، ومثله كون المتكلّم بصدد بيان مراده الواقعيّ، لا في مقام الخوف من الأعداء والتقيّة، واقعان في الرتبة المتأخّرة عن صدور الكلام عن المتكلّم؛ لأنّ مجرى الأصلين الآخرين إنّما هو الكلام الصادر المسلّم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هناك ترتيب بين أصالة الصدور وأصالة الظهور أم لا؟الحقّ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ترتيب بينهما؛ لأنّ كلّ واحدةٍ منهما لغو بدون الأُخرى؛ إذ لا معنى للتعبّد بصدور ما لا ظهور له، أو ظهور ما لم يثبت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فيما هو منقول عن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المرجّح الجهتيّ على المرجّح السنديّ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إنكار الترتيب بين المرجّحات لو قلنا بالتعدّي من المزايا والمرجّحات المنصوصة إلى غيرها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الأصل المضموني متأخّر عن المرجّح الجهتيّ، بأن يتعبّد بأنّ مضمون الكلام هو تمام المراد، لا جزؤه متأخّر عن التعبّد بجهة الصدور؛ إذ لا معنى للتعبّد بكون مضمون الكلام هو تمام المراد ما لم يحرز أنّه </w:t>
      </w:r>
    </w:p>
    <w:p>
      <w:pPr>
        <w:pStyle w:val="BookText"/>
        <w:rPr/>
      </w:pPr>
      <w:r>
        <w:rPr>
          <w:rFonts w:ascii="Amiri" w:hAnsi="Amiri" w:eastAsia="Amiri" w:cs="Amiri"/>
          <w:color w:val="111111"/>
          <w:sz w:val="28"/>
          <w:sz w:val="28"/>
          <w:szCs w:val="28"/>
          <w:rtl w:val="true"/>
          <w:lang w:bidi="ar-SA"/>
        </w:rPr>
        <w:t>بصدد بيان مراده، لا في مقام الخوف من الأعداء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المرجّحات في عرضٍ واحد، فلو كان أحد الخبرين المتعارضين واجداً لبعضها، والخبر الآخر واجداً لبعضٍ آخر، وقع التزاحم بينالخبرين، فيقدّم الأقوى مناطاً، فإن لم يكن أحدهما أقوى مناطاً يتخيّر بينهما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المنسوب إلى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المرجّح الجهتيّ مقدّم على أصل الصدور، فالمخالف للعامّة اُولى بالتقديم على الموافق لهم، ولو كان هذا الموافق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وهو القول بأنّها مترتّبة، ولكن على العكس من ترتيب الوحيد البهبهاني،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المرجّح الصدوريّ على غيره، فيقدّم المشهور الموافق للعامّة على الشاذّ المخالف لهم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مترتّبة حسبما جاء في المقبولة،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w:t>
      </w:r>
    </w:p>
    <w:p>
      <w:pPr>
        <w:pStyle w:val="BookText"/>
        <w:rPr/>
      </w:pPr>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فإن تساويا في الشهرة قُدِّم الموافق للكتاب والسنّة، فإن تساويا في الموافقة لهما، قُدِّم المخالف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 الأخبار أنّه لا تفاضل في الترجيح بين هذه الاُمور المذكورة فيها،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جملةٍ من الأخبار جرى الاقتصار على مرجّحٍ واحد فقط، كما أنّ المقبولة والمرفوعة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تذكرا المرجّحات كلّها،مضافاً إلى أنّهما لم تتّفقا على الترتيب بينها، فالمقبولة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الشهرة أوّلاً، بخلاف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الاقتصار على المرجّحات المنصوصة، فلابدّ من الرجوع إلى الروايات، لنرى مدى دلالتها، وكيف يمكن الجمع العرفيّ فيما بينها؛ إذ استفادة الترتيب بين المرجّحات من الأخبار والروايات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مقتضى القاعدة هو تقديم المرجّح الصدوري على الجهتيّ، وبنى على ذلك كون الخبر صادراً لبيان الحكم الواقعيّ، لا لغرضٍ آخر متفرّعٍ على فرض صدوره حقيقةً أو تعبّداً؛ لأنّ جهة الصدور من شؤون الصادر، فما لا صدور له فلا معنى لأنّ يتكلّم عنه بأنّه صادر لبيان الحكم الواقعيّ أو لبيان غيره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الخبر الموافق للعامّة مشهوراً، وكان الخبر الشاذّ مخالفاً لهم، كان الترجيح للخبر المشهور، دون الشاذّ المخالف لهم؛ لأنّ مقتضى الحكم بحجّيّة المشهور هو أنّ الشاذّ غير حجّة، فلا معنى </w:t>
      </w:r>
    </w:p>
    <w:p>
      <w:pPr>
        <w:pStyle w:val="BookText"/>
        <w:rPr/>
      </w:pPr>
      <w:r>
        <w:rPr>
          <w:rFonts w:ascii="Amiri" w:hAnsi="Amiri" w:eastAsia="Amiri" w:cs="Amiri"/>
          <w:color w:val="111111"/>
          <w:sz w:val="28"/>
          <w:sz w:val="28"/>
          <w:szCs w:val="28"/>
          <w:rtl w:val="true"/>
          <w:lang w:bidi="ar-SA"/>
        </w:rPr>
        <w:t>لحمله على بيان الحكم الواقعيّ ليحمل المشهور على التقيّة؛ إذ لا تعبّد بصدور الشاذّ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في المقام بيان تقديم المرجّح الصدوريّ على المرجّح الجهتيّ؛ فإنّ القاعدة تقتضي ذلك، مضافاً إلى دلالة أدلّة الترجيح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جاء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كلام طويل، فراجعه</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جميع المرجّحات إلى المرجّح الصدوريّ، ولذلك قال بعدم الترتّب بينها إذا قلنا بالتعدّي، كما نقلنا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على ذلك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وأفاد في وجه ذلك ما لفظه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الأصل الجهتيّ والدلاليّ هو الكلام الصادر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بدّ في جريانهما من إحراز موضوعهما بالوجدان أو التعبّد، وبعد سقوط المتعارضين عن الحجّيّة الفعليّة وعدم شمول عموم السند لهما، وعدم مرجّحٍ سنديٍّ في البين حسب الفرض لذي المرجّح الجهتيّ أو المضمونيّ، لم يحرز كلام الإمام حتى ينتهي إلى ترجيح أصله العقلائيّ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عدم كفاية مجرّد اقتضاء الحجّيّة لمثل هذا الترجيح، فلا محيص من إرجاع هذين المرجّحين إلى المرجّح </w:t>
      </w:r>
    </w:p>
    <w:p>
      <w:pPr>
        <w:pStyle w:val="BookText"/>
        <w:rPr/>
      </w:pPr>
      <w:r>
        <w:rPr>
          <w:rFonts w:ascii="Amiri" w:hAnsi="Amiri" w:eastAsia="Amiri" w:cs="Amiri"/>
          <w:color w:val="111111"/>
          <w:sz w:val="28"/>
          <w:sz w:val="28"/>
          <w:szCs w:val="28"/>
          <w:rtl w:val="true"/>
          <w:lang w:bidi="ar-SA"/>
        </w:rPr>
        <w:t>الصدوريّ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للتعبّد بصدور كلامٍ ليس في مقام بيان مراده الواقعيّ، بل في مقام الخوف والتقيّة، أو التعبّد بصدور كلام ليس مضمونه تمام المراد، بل يحتاج إلى دليلٍ على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بأنّ مضمونه هو تمام المراد، فالذي لم يحرز أنّه في مقام بيان مراده، أو لم يحرز أنّ مضمونه تمام مراده، فالتعبّد بصدوره لغو، وليس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أنّ الخبر المخالف لهم أقرب إلى صدوره من الخبر الموافق لهم، فيكون مورد التعبّد بصدوره دون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المرجّح المضمونيّ، فإذا كان أحد المتعارضين موافقاً للكتاب، فبناءً على أن تكون موافقة الكتاب من المرجّحات المضمونيّة، يكون أقرب إلى الصدور من ذلك الخبر الآخر المخالف للكتاب، فأصالة الصدور تشمله دون ذاك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جميع أنواع المرجّحات إلى المرجّح الصدوريّ،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يختلف مرجّح الصدور،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صفات الراوي التي ترجع إلى كونه أصدق من الآخر،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اشتهار الرواية بين المحدّثين،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مخالفة أحدهما للعامّة، ورابعةً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موافقة أحدهما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إرجاع المرجّحات إلى مرجّحٍ واحد، وهو المرجّح الصدوريّ؛ فإنّ الشهرة بين الأصحاب مخصّصة لأدلّة حجّيّة خبر الواحد، وكذلك صفات الراوي الموجبة لأقربيّة صدور الرواية التي فيها هذه المزايا،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إحداهما مشهورةً، أو لم يكن راويها أصدق وأوثق، لكانت أدلّة حجّيّة الخبر الواحد تشمل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هذه التي لها المزايا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الشهرة وصفات الراوي خصّصت الحجّيّة بهذه التي لها المزايا، وأخرجت ذلك الآخر عن تحت أدلّة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المرجّحات الجهتيّة والمضمونيّة فهي مخصّصة للاُصول العقلائيّة؛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كون المتكلّم بصدد بيان مراده الواقعيّ، فإذا كان مخالفاً للعامّة، فالمخالفة في الخبر المخالف يمنع عن جريان أصالة كون المتكلّم بصدد بيان مراده الواقعيّ بالنسبة إلى الخبر، وكذلك الأمر في المرجّح المضمونيّ،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توجب تخصيص الأصل العقلائيّ بالخبر الموافق، وإخراج الخبر المخالف عن دائرة الأصل العقلائيّ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فرق بين المرجّحات الصدوريّة وبين المرجّحات الجهتيّة والمضمونيّة، فإنّ إحداهما موجبة للتصرّف في عموم أدلّة حجّيّة خبر الواحد أو إطلاقها، والأُخرى موجبة للتصرّف في الاُصول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يستشكل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مخالفة الخبر للكتاب وموافقته للعامّة توجب خروجه عن دائرة الحجّيّة؛ لما ورد في الأخبار الكثيرة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اطرحه على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المخالف للكتاب ليس بحجّة، وكذا الخبر الموافق للعامّة مقابل الخبر المخالف لهم ليس بحجّة؛ وذلك لعدم جريان الأصل العقلائيّ،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كون المتكلّم في مقام بيان مراده الواقعيّ بالنسبة إلى الخبر الموافق لهم مع وجود الخبر المخالف لهم، والذي هو بحسب المضمون ضدّ هذا الموافق أو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الخبر موافقاً للكتاب أو مخالفاً للعامّة من المرجّحات؟ إذ إنّ معنى المرجّح هو أنّه يكون سبباً لترجيح إحدى الحجّتين على الأُخرى بعد شمول دليل الحجّيّة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الخبرين الموافق للعامّة والمخالف للكتاب ليسا بحجّة، ولا مشمولين لدليل الحجّيّة أصلاً، فلا يكون من قبيل تعارض الحجّتين، بل من قبيل تعارض الحجّة واللّاحجّة، فشيء من المخالفة للعامّة والموافقة للكتاب لا يكون من المرجّحات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الكتاب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329" w:name="pg15437_355118"/>
    </w:p>
    <w:p>
      <w:pPr>
        <w:pStyle w:val="BookText"/>
        <w:rPr/>
      </w:pPr>
      <w:bookmarkEnd w:id="329"/>
      <w:r>
        <w:rPr>
          <w:rFonts w:ascii="Amiri" w:hAnsi="Amiri" w:eastAsia="Amiri" w:cs="Amiri"/>
          <w:color w:val="111111"/>
          <w:sz w:val="28"/>
          <w:sz w:val="28"/>
          <w:szCs w:val="28"/>
          <w:rtl w:val="true"/>
          <w:lang w:bidi="ar-SA"/>
        </w:rPr>
        <w:t>المخالفة بالتباين،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بالعموم والخصوص المطلق،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بالعموم والخصوص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التي توجب سقوط الخبر المخالف عن الحجّيّة إنّما هي المخالفة بالتباين، ولذا جُعل عدمها شرطاً لحجّيّة الخبر، والمخالفة للكتاب التي هي من المرجّحات هي المخالفة بالعموم المطلق أو من وجه؛ للعلمبوجود رواياتٍ كثيرة نعلم بصدورها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كونها مخالفةً لعموم الكتاب، إمّا من وجهٍ أو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المعلوم من صدور الأخبار المخالفة تخصّص بها عمومات تلك الأخبار التي مفادها عدم صدور الخبر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لسان تلك العمومات آبٍ عن التخصيص؛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اطرحه عرض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يأبى عن التخصيص،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وأن يكون مرادهم من المخالفة خصوص نوعٍ منها، وهو الذي لم يصدر منهم علیهم السلام، وهو المخالفة بالتباين، فإنّها لم تصدر منهم قطعاً</w:t>
      </w:r>
      <w:r>
        <w:rPr>
          <w:rFonts w:eastAsia="IRNazanin" w:cs="IRNazanin"/>
          <w:color w:val="111111"/>
          <w:sz w:val="28"/>
          <w:szCs w:val="28"/>
          <w:rtl w:val="true"/>
          <w:lang w:bidi="fa-IR"/>
        </w:rPr>
        <w:t>.</w:t>
      </w:r>
    </w:p>
    <w:p>
      <w:pPr>
        <w:pStyle w:val="Heading4"/>
        <w:numPr>
          <w:ilvl w:val="3"/>
          <w:numId w:val="1"/>
        </w:numPr>
        <w:rPr/>
      </w:pPr>
      <w:bookmarkStart w:id="330" w:name="__RefHeading___Toc6974627_2142443653"/>
      <w:bookmarkStart w:id="331" w:name="_Toc120"/>
      <w:bookmarkEnd w:id="330"/>
      <w:r>
        <w:rPr>
          <w:rtl w:val="true"/>
        </w:rPr>
        <w:t xml:space="preserve">فصل </w:t>
      </w:r>
      <w:r>
        <w:rPr>
          <w:rtl w:val="true"/>
        </w:rPr>
        <w:t>:</w:t>
      </w:r>
      <w:r>
        <w:rPr>
          <w:rtl w:val="true"/>
        </w:rPr>
        <w:t>في التعارض بين العامّين من وجه</w:t>
      </w:r>
      <w:r>
        <w:rPr>
          <w:rtl w:val="true"/>
        </w:rPr>
        <w:t>:</w:t>
      </w:r>
      <w:bookmarkEnd w:id="331"/>
    </w:p>
    <w:p>
      <w:pPr>
        <w:pStyle w:val="Heading5"/>
        <w:numPr>
          <w:ilvl w:val="4"/>
          <w:numId w:val="1"/>
        </w:numPr>
        <w:rPr/>
      </w:pPr>
      <w:bookmarkStart w:id="332" w:name="__RefHeading___Toc6974629_2142443653"/>
      <w:bookmarkStart w:id="333" w:name="_Toc121"/>
      <w:bookmarkEnd w:id="332"/>
      <w:r>
        <w:rPr>
          <w:rtl w:val="true"/>
        </w:rPr>
        <w:t>اشارة</w:t>
      </w:r>
      <w:bookmarkEnd w:id="3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التعارض بين روايتين بينهما عموم وخصوص من وجه، فهل يكون المرجّح هو الأخبار العلاجيّة، فعند وجود المرجّحات الترجيح، وعند فقدها التخيير، أم لا، بل يعمل في مادّة الافتراق بكلّ واحدٍ منهما، </w:t>
      </w:r>
    </w:p>
    <w:p>
      <w:pPr>
        <w:pStyle w:val="BookText"/>
        <w:rPr/>
      </w:pPr>
      <w:r>
        <w:rPr>
          <w:rFonts w:ascii="Amiri" w:hAnsi="Amiri" w:eastAsia="Amiri" w:cs="Amiri"/>
          <w:color w:val="111111"/>
          <w:sz w:val="28"/>
          <w:sz w:val="28"/>
          <w:szCs w:val="28"/>
          <w:rtl w:val="true"/>
          <w:lang w:bidi="ar-SA"/>
        </w:rPr>
        <w:t>وفي مادّة الاجتماع يحكم بالتساقط، ويكون المرجع هو الأصل الجاري في المسألة؟</w:t>
      </w:r>
    </w:p>
    <w:p>
      <w:pPr>
        <w:pStyle w:val="BookText"/>
        <w:rPr/>
      </w:pPr>
      <w:r>
        <w:rPr>
          <w:rFonts w:ascii="Amiri" w:hAnsi="Amiri" w:eastAsia="Amiri" w:cs="Amiri"/>
          <w:color w:val="111111"/>
          <w:sz w:val="28"/>
          <w:sz w:val="28"/>
          <w:szCs w:val="28"/>
          <w:rtl w:val="true"/>
          <w:lang w:bidi="ar-SA"/>
        </w:rPr>
        <w:t>وقد فرّق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المرجّحات الصدورية فقال بعدم جواز الرجوع إليها، بخلاف المرجّحات الجهتيّة والمضمونيّة، فيجوز الرجوع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الرجوع إلى المرجّحات الصدوريّة في تعارض العامّين من وجه، بل لا بدّ من الرجوع إلى المرجّحات الجهتيّة، ومع فقدها، فإلى المرجّحات المضمونيّة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خبير بأنّ مبنى هذا الكلام هو عدم إرجاع المرجّحات الجهتيّة والمضمونيّة إلى المرجّحات الصدوريّة، وإلّا، لم يبقَ مجال للفرق بينهما، كما هو ظاهر؛ لأنّه بناءً على مسلك إرجاع المرجّحات الجهتيّة والمضمونيّة جميعاً إلى الصدوريّة، لا يبقى موضوع للمرجّح غير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المسلك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هناك مجال للفرق،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الصدور لا يتبعّض، فالرجوع إلى المرجّحات الصدوريّة وترجيح أحدهما مستلزم لإسقاط مادّة الافتراق بلا وجه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المرجّحات الجهتيّة والمضمونيّة، ففي مادّة الاجتماع فيمكن </w:t>
      </w:r>
    </w:p>
    <w:p>
      <w:pPr>
        <w:pStyle w:val="BookText"/>
        <w:rPr/>
      </w:pPr>
      <w:r>
        <w:rPr>
          <w:rFonts w:ascii="Amiri" w:hAnsi="Amiri" w:eastAsia="Amiri" w:cs="Amiri"/>
          <w:color w:val="111111"/>
          <w:sz w:val="28"/>
          <w:sz w:val="28"/>
          <w:szCs w:val="28"/>
          <w:rtl w:val="true"/>
          <w:lang w:bidi="ar-SA"/>
        </w:rPr>
        <w:t>الأخذ بهما، كما يمكن العمل بكليهما في مادّة الافتراق، ولا يأتي في البين أيّ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مادّتي الافتراق يعمل بكليهما، فيقال بوجوب إكرام السيّد غير الفاسق وحرمة إكرام الفاسق غير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مادّة الاجتماع، فإذا كان وجوب إكرام السيّد الفاسق مخالفاً للعامّة،أو كان موافقاً للكتاب، يؤخذ بهذين المرجّحين اللّذين أحدهما مرجّحٌ جهتيّ، وهو مخالفة العامّة، والثاني مرجّح مضمونيّ، وهو موافقة الكتاب، ويقال بوجوب إكرام السيد الفاسق، ويطرح الدليل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الاجتماع، لا من جهة التعبّد بعدم صدوره من هذه الجهة،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مادّة الاجتماع، حتى يقال بأنّ السند لا يتبعّض، ولا معنى للتعبّد بصدوره بالنسبة إلى بعض المدلول، وعدم صدوره بالنسبة إلى البعض الآخر، بل يرجع إلى عدم حجّيّته وكاشفيّته عن مراده الواقعيّ بالنسبة إلى بعض مدلوله بعد الفراغ من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العمل حتى بالمرجّح الصدوريّ أيضاً؛ لأنّ الذي لا يمكن التعبّد به هو التبعّض الحقيقيّ في السند، وأمّا المجازيّ، فلا مانع منه؛ لما نراه كثيراً من التفكيك بين اللّوازم والملزومات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هو التساقط والرجوع إلى الاُصول العمليّة مطلقاً في مادّة الاجتماع</w:t>
      </w:r>
      <w:r>
        <w:rPr>
          <w:rFonts w:eastAsia="Amiri" w:cs="Amiri" w:ascii="Amiri" w:hAnsi="Amiri"/>
          <w:color w:val="111111"/>
          <w:sz w:val="28"/>
          <w:szCs w:val="28"/>
          <w:rtl w:val="true"/>
          <w:lang w:bidi="ar-SA"/>
        </w:rPr>
        <w:t xml:space="preserve">. </w:t>
      </w:r>
      <w:bookmarkStart w:id="334" w:name="pg15437_355121"/>
    </w:p>
    <w:p>
      <w:pPr>
        <w:pStyle w:val="BookText"/>
        <w:rPr/>
      </w:pPr>
      <w:bookmarkEnd w:id="334"/>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العمل بالمرجّحات في الأصل الصدوريّ، والعمل في مادّة الافتراق بكلٍّ من الجهتيّ والمضمونيّ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عدم مرجّح في البين، فالتخيير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توجيه فتوى المشهور بالتساقط بأنّ التساقط هو المطابق لمقتضى القاعدة، وأمّا الأخبار العلاجيّة فهي منصرفة عن مورد المتعارضين بالعموم الوجهيّ؛ لأنّ ظاهرقوله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عنكم الخبران المتعارضان فبأيّهما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الخبران المتعارضان بالتباين، دون التعارض بالعموم والخصوص مطلقاً أو من وجه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974631_2142443653"/>
      <w:bookmarkStart w:id="336" w:name="_Toc122"/>
      <w:bookmarkEnd w:id="335"/>
      <w:r>
        <w:rPr>
          <w:rtl w:val="true"/>
        </w:rPr>
        <w:t>في ترجيح أحد المتعارضين بالأصل</w:t>
      </w:r>
      <w:r>
        <w:rPr>
          <w:rtl w:val="true"/>
        </w:rPr>
        <w:t>:</w:t>
      </w:r>
      <w:bookmarkEnd w:id="336"/>
    </w:p>
    <w:p>
      <w:pPr>
        <w:pStyle w:val="BookText"/>
        <w:rPr/>
      </w:pPr>
      <w:r>
        <w:rPr>
          <w:rFonts w:ascii="Amiri" w:hAnsi="Amiri" w:eastAsia="Amiri" w:cs="Amiri"/>
          <w:color w:val="111111"/>
          <w:sz w:val="28"/>
          <w:sz w:val="28"/>
          <w:szCs w:val="28"/>
          <w:rtl w:val="true"/>
          <w:lang w:bidi="ar-SA"/>
        </w:rPr>
        <w:t xml:space="preserve">إذا كانت إحدى الروايتين المتعارضتين موافقة للأصل، فهل صرف الموافقة للأصل تصلح لأن تكون مرجّحاً، كما إذا كانت الرواية الدالّة على نجاسة الماء الكرّ الذي تغيّر من قبل نفسه، من دون حاجةٍ إلى وصول الماء المطهّر إليه، مطابقةً للأصل،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فترجّح على الرواية الأُخرى التي تدلّ على طهارته بواسطة موافقته للاستصحاب، أم لا، بل موافقة إحداهما للأصل غير كافيةٍ لترجيحها على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ذلك؛ لأنّ الاُصول العمليّة مطلقاً، شرعيّةً كانت أم عقليّة، تنزيليّة أم غير تنزيليّة، مجراها هو الشكّ في الحكم الواقعيّ بعد الفحص عن الدليل واليأس عن الظفر به، فموضوع هذا الأصل لا يتحقّق </w:t>
      </w:r>
      <w:bookmarkStart w:id="337" w:name="pg15437_355122"/>
    </w:p>
    <w:p>
      <w:pPr>
        <w:pStyle w:val="BookText"/>
        <w:rPr/>
      </w:pPr>
      <w:bookmarkEnd w:id="337"/>
      <w:r>
        <w:rPr>
          <w:rFonts w:ascii="Amiri" w:hAnsi="Amiri" w:eastAsia="Amiri" w:cs="Amiri"/>
          <w:color w:val="111111"/>
          <w:sz w:val="28"/>
          <w:sz w:val="28"/>
          <w:szCs w:val="28"/>
          <w:rtl w:val="true"/>
          <w:lang w:bidi="ar-SA"/>
        </w:rPr>
        <w:t>إلّا بعد فقد الدليل، فهو متأخّر عن وجود الدليل، ففي رتبة وجود الدليل لا موضوع للأصل، وفي رتبة عدمه، ولو بواسطة سقوطه بالمعارضة، وإن كانت النوبة تصل إلى الأصل، ولكن في هذه المرتبة يكون الأصل مرجعاً، لا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صنعه بعض الفقهاء من الحكم بكون موافقة الأصل مرجّحاً لأحد الخبرين المتعارضين في غيرمحلّه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نظرهم إلى أنّ حجّيّة الاُصول العمليّة هي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هو المعروف والمشهور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مثل الاستصحاب في الأحكام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974633_2142443653"/>
      <w:bookmarkStart w:id="339" w:name="_Toc123"/>
      <w:bookmarkEnd w:id="338"/>
      <w:r>
        <w:rPr>
          <w:rtl w:val="true"/>
        </w:rPr>
        <w:t>وأمّا الترجيح بالظنون غير المعتبرة</w:t>
      </w:r>
      <w:r>
        <w:rPr>
          <w:rtl w:val="true"/>
        </w:rPr>
        <w:t>:</w:t>
      </w:r>
      <w:bookmarkEnd w:id="339"/>
    </w:p>
    <w:p>
      <w:pPr>
        <w:pStyle w:val="BookText"/>
        <w:rPr/>
      </w:pPr>
      <w:r>
        <w:rPr>
          <w:rFonts w:ascii="Amiri" w:hAnsi="Amiri" w:eastAsia="Amiri" w:cs="Amiri"/>
          <w:color w:val="111111"/>
          <w:sz w:val="28"/>
          <w:sz w:val="28"/>
          <w:szCs w:val="28"/>
          <w:rtl w:val="true"/>
          <w:lang w:bidi="ar-SA"/>
        </w:rPr>
        <w:t>فإن لم نقل بالتعدّي من المرجّحات المنصوصة فحالها معلوم، كما في مثل الشهرة في الفتوى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بالتعدّي إلى كلّ مرجّح، فلا بأس بالترجيح بها، شريطة أن لا تكون من الظنون المنصوص على النهي عنها، كالقياس، وأمّا إذا كان من الظنون المنهيّ عنها، فإن كان دليل النهي عن العمل به يمنع من مطلق استعمالها، فلا يجوز الترجيح بها؛ لأنّه نوع من الاستعمال لها، وإن كان يمنع من خصوص العمل على طبقها بما أنّها حجّة، فيمكن أن يجعل مرجّحاً؛ لعدم شمول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الترجيح بها</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5437_355124"/>
      <w:bookmarkStart w:id="341" w:name="pg15437_355124"/>
      <w:bookmarkEnd w:id="341"/>
    </w:p>
    <w:p>
      <w:pPr>
        <w:pStyle w:val="Heading2"/>
        <w:numPr>
          <w:ilvl w:val="1"/>
          <w:numId w:val="1"/>
        </w:numPr>
        <w:rPr/>
      </w:pPr>
      <w:bookmarkStart w:id="342" w:name="pg15437_355124"/>
      <w:bookmarkStart w:id="343" w:name="__RefHeading___Toc6974635_2142443653"/>
      <w:bookmarkStart w:id="344" w:name="_Toc124"/>
      <w:bookmarkEnd w:id="342"/>
      <w:bookmarkEnd w:id="343"/>
      <w:r>
        <w:rPr>
          <w:rtl w:val="true"/>
        </w:rPr>
        <w:t>مبحث الاجتهاد والتقليدوفيه مقامان</w:t>
      </w:r>
      <w:r>
        <w:rPr>
          <w:rtl w:val="true"/>
        </w:rPr>
        <w:t>:</w:t>
      </w:r>
      <w:bookmarkEnd w:id="344"/>
    </w:p>
    <w:p>
      <w:pPr>
        <w:pStyle w:val="Heading3"/>
        <w:numPr>
          <w:ilvl w:val="2"/>
          <w:numId w:val="1"/>
        </w:numPr>
        <w:rPr/>
      </w:pPr>
      <w:bookmarkStart w:id="345" w:name="__RefHeading___Toc6974637_2142443653"/>
      <w:bookmarkStart w:id="346" w:name="_Toc125"/>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6974639_2142443653"/>
      <w:bookmarkStart w:id="348" w:name="_Toc126"/>
      <w:bookmarkEnd w:id="347"/>
      <w:r>
        <w:rPr>
          <w:rtl w:val="true"/>
        </w:rPr>
        <w:t>أمّا المقام الأوّل</w:t>
      </w:r>
      <w:r>
        <w:rPr>
          <w:rtl w:val="true"/>
        </w:rPr>
        <w:t>:</w:t>
      </w:r>
      <w:bookmarkEnd w:id="348"/>
    </w:p>
    <w:p>
      <w:pPr>
        <w:pStyle w:val="Heading4"/>
        <w:numPr>
          <w:ilvl w:val="3"/>
          <w:numId w:val="1"/>
        </w:numPr>
        <w:rPr/>
      </w:pPr>
      <w:bookmarkStart w:id="349" w:name="__RefHeading___Toc6974641_2142443653"/>
      <w:bookmarkStart w:id="350" w:name="_Toc127"/>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ففيه اُمور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974643_2142443653"/>
      <w:bookmarkStart w:id="352" w:name="_Toc128"/>
      <w:bookmarkEnd w:id="351"/>
      <w:r>
        <w:rPr>
          <w:rtl w:val="true"/>
        </w:rPr>
        <w:t xml:space="preserve">الأمر الأوّل </w:t>
      </w:r>
      <w:r>
        <w:rPr>
          <w:rtl w:val="true"/>
        </w:rPr>
        <w:t>:</w:t>
      </w:r>
      <w:r>
        <w:rPr>
          <w:rtl w:val="true"/>
        </w:rPr>
        <w:t>أنّه من المسائل الاُصوليّة أو الفقهيّة</w:t>
      </w:r>
      <w:r>
        <w:rPr>
          <w:rtl w:val="true"/>
        </w:rPr>
        <w:t>:</w:t>
      </w:r>
      <w:bookmarkEnd w:id="35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الاُصوليّة ما يكون واسطةً للإثبات بالنسبة الى المسائل الفقهيّة، ومباحث الاجتهاد بعضها عقليّة، كمسألة إمكان التجزّي وعدم إمكانه، وبعضها فقهيّة، وذلك كحجّية رأيه وفتواه للمقلّدين، بل ولعمل نفسه، وكالحكم بالإجزاء وعدمه بالنسبة الى </w:t>
      </w:r>
      <w:bookmarkStart w:id="353" w:name="pg15437_355125"/>
    </w:p>
    <w:p>
      <w:pPr>
        <w:pStyle w:val="BookText"/>
        <w:rPr/>
      </w:pPr>
      <w:bookmarkEnd w:id="353"/>
      <w:r>
        <w:rPr>
          <w:rFonts w:ascii="Amiri" w:hAnsi="Amiri" w:eastAsia="Amiri" w:cs="Amiri"/>
          <w:color w:val="111111"/>
          <w:sz w:val="28"/>
          <w:sz w:val="28"/>
          <w:szCs w:val="28"/>
          <w:rtl w:val="true"/>
          <w:lang w:bidi="ar-SA"/>
        </w:rPr>
        <w:t>الأعمال السابقة بعد تبدّل رأيه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فيكون ذكر هذه المسألة في علم الاُصول من باب المجاراة لديدن المحقّقين</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974645_2142443653"/>
      <w:bookmarkStart w:id="355" w:name="_Toc129"/>
      <w:bookmarkEnd w:id="354"/>
      <w:r>
        <w:rPr>
          <w:rtl w:val="true"/>
        </w:rPr>
        <w:t xml:space="preserve">الأمر الثاني </w:t>
      </w:r>
      <w:r>
        <w:rPr>
          <w:rtl w:val="true"/>
        </w:rPr>
        <w:t>:</w:t>
      </w:r>
      <w:r>
        <w:rPr>
          <w:rtl w:val="true"/>
        </w:rPr>
        <w:t>تعريف الاجتهاد لغةً واصطلاحاً</w:t>
      </w:r>
      <w:r>
        <w:rPr>
          <w:rtl w:val="true"/>
        </w:rPr>
        <w:t>:</w:t>
      </w:r>
      <w:bookmarkEnd w:id="355"/>
    </w:p>
    <w:p>
      <w:pPr>
        <w:pStyle w:val="Heading5"/>
        <w:numPr>
          <w:ilvl w:val="4"/>
          <w:numId w:val="1"/>
        </w:numPr>
        <w:rPr/>
      </w:pPr>
      <w:bookmarkStart w:id="356" w:name="__RefHeading___Toc6974647_2142443653"/>
      <w:bookmarkStart w:id="357" w:name="_Toc130"/>
      <w:bookmarkEnd w:id="356"/>
      <w:r>
        <w:rPr>
          <w:rtl w:val="true"/>
        </w:rPr>
        <w:t>أمّا لغةً</w:t>
      </w:r>
      <w:r>
        <w:rPr>
          <w:rtl w:val="true"/>
        </w:rPr>
        <w:t>:</w:t>
      </w:r>
      <w:bookmarkEnd w:id="357"/>
    </w:p>
    <w:p>
      <w:pPr>
        <w:pStyle w:val="BookText"/>
        <w:rPr/>
      </w:pPr>
      <w:r>
        <w:rPr>
          <w:rFonts w:ascii="Amiri" w:hAnsi="Amiri" w:eastAsia="Amiri" w:cs="Amiri"/>
          <w:color w:val="111111"/>
          <w:sz w:val="28"/>
          <w:sz w:val="28"/>
          <w:szCs w:val="28"/>
          <w:rtl w:val="true"/>
          <w:lang w:bidi="ar-SA"/>
        </w:rPr>
        <w:t>يظهر لمن تتبّع كلام اللّغويّين أنّ بين معنيي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وتغايراً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بالضمّ في الحجاز، وبالفتح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والطاقة،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الطاقة والمفتوح المشقّة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لسان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الجَهدْ،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المشقّة، والجُهْد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الوسع والطاقة، فأمّا في المشقّة والغاية فالفتح لا غير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6974649_2142443653"/>
      <w:bookmarkStart w:id="359" w:name="_Toc131"/>
      <w:bookmarkEnd w:id="358"/>
      <w:r>
        <w:rPr>
          <w:rtl w:val="true"/>
        </w:rPr>
        <w:t>وأمّا اصطلاحاً</w:t>
      </w:r>
      <w:r>
        <w:rPr>
          <w:rtl w:val="true"/>
        </w:rPr>
        <w:t>:</w:t>
      </w:r>
      <w:bookmarkEnd w:id="35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عرّفه الاُستاذ الأعظم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استفراغ الوسع في تحصيل الحجّة </w:t>
      </w:r>
    </w:p>
    <w:p>
      <w:pPr>
        <w:pStyle w:val="BookText"/>
        <w:rPr/>
      </w:pPr>
      <w:r>
        <w:rPr>
          <w:rFonts w:ascii="Amiri" w:hAnsi="Amiri" w:eastAsia="Amiri" w:cs="Amiri"/>
          <w:color w:val="111111"/>
          <w:sz w:val="28"/>
          <w:sz w:val="28"/>
          <w:szCs w:val="28"/>
          <w:rtl w:val="true"/>
          <w:lang w:bidi="ar-SA"/>
        </w:rPr>
        <w:t>على الأحكام الشرعيّة أو تعيين الوظيفة عند عدم الوصول إليها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عبارة عن ملكة بسيطة يقتدر بواسطتها على تشكيل القياس الذي يستنتج منه الحكم الكلّيّ الإلهيّ الفرعيّ بتحصيل الكبريات أوّلاً، وضمّ الصغريات إليها ثانياً بعد تشخيصها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فإنّ التوسعة في التلبّس بالمبدأ بنحو الملكة إنّما هي من مضامين الهيئة، لا المادّة،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من له ملكة الاجتهاد، وإن لم يكن متلبّساً بالمبدأ فعلاً، بأن كان نائماً أو غافلاً أو نحو ذلك من الاُمور التي تشغله عن التصدّي الفعليّ لاستنباط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يعرّف الاجتهاد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استفراغ الفقيه الوسع في تحصيل الظنّ بالحكم الشرعيّ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على هذا التعريف بوجوه من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الدور؛ لما أُخذ فيه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معرفة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متوقّفةً على معرفة الفقيه، ومعرفة الفقيه متوقّفة على معرفة </w:t>
      </w:r>
      <w:bookmarkStart w:id="360" w:name="pg15437_355127"/>
    </w:p>
    <w:p>
      <w:pPr>
        <w:pStyle w:val="BookText"/>
        <w:rPr/>
      </w:pPr>
      <w:bookmarkEnd w:id="360"/>
      <w:r>
        <w:rPr>
          <w:rFonts w:ascii="Amiri" w:hAnsi="Amiri" w:eastAsia="Amiri" w:cs="Amiri"/>
          <w:color w:val="111111"/>
          <w:sz w:val="28"/>
          <w:sz w:val="28"/>
          <w:szCs w:val="28"/>
          <w:rtl w:val="true"/>
          <w:lang w:bidi="ar-SA"/>
        </w:rPr>
        <w:t>الاجتهاد؛ إذ لا تتحقّق له الفقاهة إلّا أن يكون مجتهداً، وهو ليس إلّا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هذا الدور بأنّ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هذا التعريف هو من مارس الفقه، احترازاً عن العامّيّ البحت، فلا يلزم الدور حينئذٍ؛ لعدم توقّف معرفة الفقيه بهذا المعنى على معرفة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لا حقيقة؛ لأنّ من قرأ الكتب الفقهيّة وزاول رؤوس المسائل ولم تحصل له بعد قوّة على استنباط الأحكاموردّ الفروع إلى الاُصول، فلا يسمّى استفراغ وسعه هذا اجتهاداً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أُخذ فيه من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الظنّ ليس بحجّةٍ عندنا؛ لورود النهي عن العمل به كتاباً وسنّةً، بل وإجماعاً وعقلاً أيضاً، كما هو مقرّر في محلّه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974651_2142443653"/>
      <w:bookmarkStart w:id="362" w:name="_Toc132"/>
      <w:bookmarkEnd w:id="361"/>
      <w:r>
        <w:rPr>
          <w:rtl w:val="true"/>
        </w:rPr>
        <w:t xml:space="preserve">الأمر الثالث </w:t>
      </w:r>
      <w:r>
        <w:rPr>
          <w:rtl w:val="true"/>
        </w:rPr>
        <w:t>:</w:t>
      </w:r>
      <w:r>
        <w:rPr>
          <w:rtl w:val="true"/>
        </w:rPr>
        <w:t>في مبادئ الاجتهاد</w:t>
      </w:r>
      <w:r>
        <w:rPr>
          <w:rtl w:val="true"/>
        </w:rPr>
        <w:t>:</w:t>
      </w:r>
      <w:bookmarkEnd w:id="36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الاجتهاد متوقّف على جملة من العلوم، و عمدة تلك العلوم هو علم الاُصول؛ لأنّه المتكفّل بمعرفة الكبريات التي لو انضمّت إليها الصغريات لكانت واسطةً في إثبات محمولات المسائل الفقهيّة لموضوعاتها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جملة العلوم التي يحتاج إليها في </w:t>
      </w:r>
    </w:p>
    <w:p>
      <w:pPr>
        <w:pStyle w:val="BookText"/>
        <w:rPr/>
      </w:pPr>
      <w:r>
        <w:rPr>
          <w:rFonts w:ascii="Amiri" w:hAnsi="Amiri" w:eastAsia="Amiri" w:cs="Amiri"/>
          <w:color w:val="111111"/>
          <w:sz w:val="28"/>
          <w:sz w:val="28"/>
          <w:szCs w:val="28"/>
          <w:rtl w:val="true"/>
          <w:lang w:bidi="ar-SA"/>
        </w:rPr>
        <w:t>تحصيل الاجتهاد هو علم المنطق؛ لترتيب ذلك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العربيّة، من اللّغة والنحو والصرف وغيرها، وذلك من جهة فهم ألفاظ الآية والرواية وتشخيص الظاهر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احتياجه إلى علم الرجال والرواية فشديد إن قلنا بأنّ موضوع الحجّة في باب حجّيّة الخبر الواحد هو الخبر المزكّى بتزكية عدلين؛ لأنّ مدرك أغلب الأحكام هو الخبر الواحد، ولا طريق إلى تحصيل مثل هذا الخبر إلّا بالرجوع إلى الرجال ومعرفة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بأنّ موضوع الحجّيّة هو الخبر الموثوق الصدور فالاحتياج إليه قليل؛ لأنّ الموثوق كما أنّه يحصل من تزكية العدلين، كذلك يحصل من عمل الأصحاب، بل ربّما يكون عمل الأصحاب خلفاً عن سلف آكد في هذا المعنى، ولذلك ترى أنّ إعراضهم عن الخبر المزكّى يوجب خروجه عن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قالوا بعد إعراضهم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صحّةً ازداد وهناً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اللّغة فممّا لا شكّ في الاحتياج إليه بعد أن كانت أكثر الأحكام مستفادةً من الكتاب والسنّة، وهما عربيّان، فلابدّ فى استنباط الأحكام منهما إلى معرفة اللّغة، ولو بالمقدار الذي تتوقّف عليه معرفة مواضع الحاجة منهما، وذلك لا يكون في الأعمّ الأغلب إلّا بمراجعة أقوال أهل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ليس بحجّة بعد أن لم يدلّ على حجّيّته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لا يكون سبباً لإثبات المعنى الحقيقيّ، وإنّما يرجع إليه الفقيه لحصول الاطمئنان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يحتاج الفقيه إلى معرفة قواعد العربيّة؛ لأنّها ممّا يتوقّف عليه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الاحتياج في معرفة الأحكام إلى معرفة مثل الفاعل والمفعول وغيرهما ممّا يتوقّف على معرفته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معرفة بعض المسائل والقواعد العربيّة لا يتوقّف عليها الاستنباط، كمعرفةالفارق بين البدل وعطف البيان، ونحو ذلك، فهذه لا يتوقّف عليها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المنطق،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يتوقّف الاجتهاد عليه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المهمّ في المنطق إنّما هو بيان ما له دخالة في الاستنتاج من الأقيسة والأشكال، كاعتبار كلّيّة الكبرى وكون الصغرى موجبةً في الشكل، مع أنّ الشروط التي لها دخل في الاستنتاج ممّا يعرفه كلّ عاقل، حتى الصبيان؛ لأنّك إذا عرضت على أيّ عاقلٍ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حيوان، وبعض الحيوان مؤذٍ، لم يتردّد في أنّه لا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الحيوان مؤذٍ</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إنّما يحتوي على مجرّد اصطلاحات علميّة لا تمسّها حاجة المجتهد بوجه؛ إذ ليس العلم به ممّا له دخل في الاجتهاد </w:t>
      </w:r>
    </w:p>
    <w:p>
      <w:pPr>
        <w:pStyle w:val="BookText"/>
        <w:rPr/>
      </w:pPr>
      <w:r>
        <w:rPr>
          <w:rFonts w:ascii="Amiri" w:hAnsi="Amiri" w:eastAsia="Amiri" w:cs="Amiri"/>
          <w:color w:val="111111"/>
          <w:sz w:val="28"/>
          <w:sz w:val="28"/>
          <w:szCs w:val="28"/>
          <w:rtl w:val="true"/>
          <w:lang w:bidi="ar-SA"/>
        </w:rPr>
        <w:t>بعد معرفة الاُمور المعتبرة في الاستنتاج بالطبع</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ظهر فساد ما ذكره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لابدّ للمجتهد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الأشكال الأربعة، وشرائط إنتاجها، وتمييز عقيمها من منتجها، ويدخل في ذلك معرفة العكس المستوي، وعكس النقيض، ممّا يتوقّف عليه الاستنباط في بعض المقامات، وغيرها من المباحث الرائجة منه في غالب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الوقوف علىتفاصيل الشرطيّات والاقترانيّات وأشباههما ممّا لا وقوف لتحصيل الحكم الشرعيّ عليه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يوقفك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أحوال الرواة وأصحاب الأئمّة عليهم أفضل الصلاة؛ لأنّهم كانوا يستنبطون الأحكام الشرعيّة من الكتاب والسنّة من غير أن يتعلّموا علم المنطق ويطّلعوا على مصطلحاته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فيما يتوقّف عليه الاجتهاد بعد معرفة اللّغة العربيّة وقواعدها علمان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الاُصول، ومساس الحاجة إليه في الاجتهاد ممّا لا يكاد </w:t>
      </w:r>
    </w:p>
    <w:p>
      <w:pPr>
        <w:pStyle w:val="BookText"/>
        <w:rPr/>
      </w:pPr>
      <w:r>
        <w:rPr>
          <w:rFonts w:ascii="Amiri" w:hAnsi="Amiri" w:eastAsia="Amiri" w:cs="Amiri"/>
          <w:color w:val="111111"/>
          <w:sz w:val="28"/>
          <w:sz w:val="28"/>
          <w:szCs w:val="28"/>
          <w:rtl w:val="true"/>
          <w:lang w:bidi="ar-SA"/>
        </w:rPr>
        <w:t>يخفى؛ لأنّ الأحكام الشرعيّة ليست من الاُمور الضروريّة التي لا يحتاج إثباتها إلى دليل، وإنّما هي اُمور نظريّة يتوقّف على الدليل والبرهان، والمتكفّل لأدلّة الأحكام وبراهينها من الحجج و الأمارات وغيرهما ممّا يؤدّي إلى معرفة الأحكام الشرعيّة علم الاُصول، وما من حكم نظريّ إلّا ويستنبط من تلك الأدلّة، فعلى المستنبط أن يتقنها ويحصّلها بالنظر والاجتهاد؛ لأنّها لو كانت تقليديّة لأدّى إلى التقليد في الأحكام؛ لأنّ النتيجة تتبع أخسّ المقدّمتين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هو التفصيل، فإنّه لو كان موضوع الحجّيّة هو الخبر المزكّى، فبما أنّ مدرك الأحكام غالباً هو خبر الواحد، ولا طريق إلى إحراز هذا الخبر إلّا بالرجوع إلى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موضوع الحجّيّة هو الخبر الموثوق الصدور، فالاحتياج إليه قليل؛ لأنّ الوثوق كما يحصل بتزكية العدلين، فكذلك يحصل بعمل الأصحاب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كان المبنى في حجّيّة الخبر هو حصول الاطمئنان والوثوق </w:t>
      </w:r>
    </w:p>
    <w:p>
      <w:pPr>
        <w:pStyle w:val="BookText"/>
        <w:rPr/>
      </w:pPr>
      <w:r>
        <w:rPr>
          <w:rFonts w:ascii="Amiri" w:hAnsi="Amiri" w:eastAsia="Amiri" w:cs="Amiri"/>
          <w:color w:val="111111"/>
          <w:sz w:val="28"/>
          <w:sz w:val="28"/>
          <w:szCs w:val="28"/>
          <w:rtl w:val="true"/>
          <w:lang w:bidi="ar-SA"/>
        </w:rPr>
        <w:t>بالخبر، فنحن بحاجة إلى معرفة الرجال؛ إذ كما يحصل الاطمئنان بعمل الأصحاب، فكذلك يمكن أن يحصل الاطمئنان بالخبر الممدوح أو الموثّق رواته، وهذا لا يحصل إلّا بمعرفة الرجال الواردين في سلسلة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جملةً من الأحكام الشرعيّة، وإن كانت تستفاد من الكتاب، إلّا انّه أقلّ قليل، وغالبها يستفاد من الأخبار المأثورة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الأخبار المدوّنة في الكتب الأربعة مقطوعة الصدور، أو أنّها ممّا نطمئنّ بصدورها؛ لأنّ الأصحاب عملوا على طبقها ولم يناقشوا في إسنادها، وهذا يفيد الاطمئنان بالصدور، فقد استرحنا من علم الرجال؛ لعدم مساس الحاجة إلى معرفة أحوال الرواة، كما سلك ذلك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المدار عندنا في جواز العمل بالرواية على اتّصافها بالصحّة المطلوبة، وإلّا، فلا يكاد يوجد خبر يمكننا إثبات عدالة رواتها على سبيل التحقيق لولا البناء على المسامحة في طريقها، والعمل بظنون غير ثابتة الحجّيّة، بل المدار على وثاقة الراوي، أو الوثوق بصدور الرواية، وإن كان بواسطة القرائن الخارجيّة التي عمدتها كونها مدوّنة في الكتب الأربعة، أو مأخوذة من الاُصول المعتبرة مع اعتناء الأصحاب بها، وعدم إعراضهم عنها،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تقدّمت الإشارة إليه جرت سيرتي على ترك الفحص عن حالتهم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أنّ الرواية هل هي معمول بها عندهم لتكون حجّة، أو أنّها مُعرض عنها لتسقط عن الاعتبار،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الحاجة إلى علم الرجال إلّا في بعض الموارد، كما إذا لم يظهر لنا عمل الأصحاب على طبق الرواية أو إعراضهم عنها؟</w:t>
      </w:r>
    </w:p>
    <w:p>
      <w:pPr>
        <w:pStyle w:val="BookText"/>
        <w:rPr/>
      </w:pPr>
      <w:r>
        <w:rPr>
          <w:rFonts w:ascii="Amiri" w:hAnsi="Amiri" w:eastAsia="Amiri" w:cs="Amiri"/>
          <w:color w:val="111111"/>
          <w:sz w:val="28"/>
          <w:sz w:val="28"/>
          <w:szCs w:val="28"/>
          <w:rtl w:val="true"/>
          <w:lang w:bidi="ar-SA"/>
        </w:rPr>
        <w:t>وأمّا إذا بنينا على ما هو الصحيح عندنا من أنّ عمل الأصحاب والمشايخ قدّس اﷲ أسرارهم على طبق روايةٍ لا يكون جابراً لضعف دلالتها؛ إذ المتّبع حسب سيرة العقلاء هو الظهور، 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عملهم على طبق الرواية لا يجعلها ظاهرةً في المعنى المراد، كما لا ينجبر بعملهم ضعف سندها، فإنّ السيرة العقلائيّة التي هي العمدة في حجّيّة الخبر، وكذا الأخبار التي ادّعينا تواترها إجمالاً، وبعض الآيات المذكورة في محلّها، إنّما تدلّ علىاعتبار الخبر الموثوق أو الممدوح رواته، أو الرواية التي يُطمأنّ بصدورها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الضعيف فلم يدلّنا دليل على اعتباره إذا عمل المشهور على طبقه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الحاجة إلى علم الرجال، فإنّ به يعرف الثقة عن الضعيف، وبه يتميّز الغثّ عن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من الرجوع إليه للتفتيش عن أحوال الرواة الواقعين في سلسلة السند واحداً بعد واحد، ليظهر أنّه موثوق به، ليؤخذ بخبره، أو أنّه ضعيف لئلّا يعتمد على إخباره، حتى الرواة الواقعين في السند بعد ابن ابي عمير وزرارة وأضرابهما ممّن </w:t>
      </w:r>
    </w:p>
    <w:p>
      <w:pPr>
        <w:pStyle w:val="BookText"/>
        <w:rPr/>
      </w:pPr>
      <w:r>
        <w:rPr>
          <w:rFonts w:ascii="Amiri" w:hAnsi="Amiri" w:eastAsia="Amiri" w:cs="Amiri"/>
          <w:color w:val="111111"/>
          <w:sz w:val="28"/>
          <w:sz w:val="28"/>
          <w:szCs w:val="28"/>
          <w:rtl w:val="true"/>
          <w:lang w:bidi="ar-SA"/>
        </w:rPr>
        <w:t>ادّعوا الإجماع على تصحيح ما يصحّ عنهم في الرجال؛ وذلك لأنّ هذا الإجماع ليس بأزيد من الإجماعات المنقولة التي لا نعتمد عليها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الاجتهاد يحتاج إلى ملكه قدسيّة تحصل من الممارسة على فعل الواجبات وترك المحرّمات، بل المواظبة على أداء بعض المستحبّات المهمّة وترك المكروهات كذلك، وتحلّي النفس بالأخلاق الفاضلة وتخليتها عن الرذائل؛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بالتعلّم، إنّما هو نور يقع في قلب من يريد اﷲ تبارك وتعالى أن يهديه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الخبر</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تشخيص الصغريات وتطبيق الكبريات عليها، والذي هو المدار في جودة الاستنباط، فإن أجاد التطبيق والتشخيص فهو جيّد الاستنباط، وإلّا فلا، فهذا لا يتسنّى له أن يحصل إلّا لمن شملته العناية الإلهيّة، ورزق توفيقاً ربّانيّاً، بأن نوّر اﷲ تعالى قلبه بنور العلم والمعرفة،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له ملكة قدسيّة بعد التعب والجدّ وممارسة العلوم التي ذكرناها،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استنباط الأحكام عن مداركها، وإلّا فليس كلّ من يتعب نفسه ويشتغل اشتغالاً جدّيّاً في العلوم المذكورة يحصل له هذه الملكة القدسيّة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أنت خبير، بأنّه إن أُريد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العلميّة تُفاض على النفوس بعنايةٍ ربّانيّة، ومن قبل اﷲ جلّ وعلا، والتوفيق من اﷲ بتوجيه الأسباب وتهيئتها للمتعلّم، ولا بدّ في النفس من قابليّةٍ ولياقةٍ لهذه العطايا الربّانيّة، فهذا حقّ ومحض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اختصاص له بعلم الفقه وملكة الاجتهاد، بل هذا هو الحال في جميع العلوم، بل الحال في جميع العطايا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أمر زائد على هذا في خصوص ملكة الاجتهاد، وأنّه لا تحصل هذه الملكة إلّا للورع المتّقي، والذي هذّب نفسه عن الرذائل وتحلّى بالفضائل، فهذا معلوم بالوجدان؛ إذ هذه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ملكات العلوم تحصل للعادل والفاسق، بل المؤمن والكافر؛ فإنّ كلّ من له استعداد فطريّوجَدَّ واجتهد في طلبها من طرقها المتعارفة، سواء أكان عادلاً أم فاسقاً، يحصّلها، فإنّ اﷲ لا يضيع عمل عامل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الربّانيّة والملكة القدسيّة وتنويرها للقلب وقابليّة النفس لورود فيوضات العلم الربّانيّ، وإن كانت سبباً للزيادة بلا إشكال، ولكنّ عدمها لا يكون سبباً لانتفاء الاجتهاد، بل يمكن أن يحصل للمتّقي وللفاسق على حدٍّ سواء</w:t>
      </w:r>
      <w:r>
        <w:rPr>
          <w:rFonts w:eastAsia="Amiri" w:cs="Amiri" w:ascii="Amiri" w:hAnsi="Amiri"/>
          <w:color w:val="111111"/>
          <w:sz w:val="28"/>
          <w:szCs w:val="28"/>
          <w:rtl w:val="true"/>
          <w:lang w:bidi="ar-SA"/>
        </w:rPr>
        <w:t xml:space="preserve">. </w:t>
      </w:r>
      <w:bookmarkStart w:id="363" w:name="pg15437_355136"/>
    </w:p>
    <w:p>
      <w:pPr>
        <w:pStyle w:val="Heading4"/>
        <w:numPr>
          <w:ilvl w:val="3"/>
          <w:numId w:val="1"/>
        </w:numPr>
        <w:rPr/>
      </w:pPr>
      <w:bookmarkStart w:id="364" w:name="__RefHeading___Toc6974653_2142443653"/>
      <w:bookmarkStart w:id="365" w:name="_Toc133"/>
      <w:bookmarkEnd w:id="363"/>
      <w:bookmarkEnd w:id="364"/>
      <w:r>
        <w:rPr>
          <w:rtl w:val="true"/>
        </w:rPr>
        <w:t xml:space="preserve">الأمر الرابع </w:t>
      </w:r>
      <w:r>
        <w:rPr>
          <w:rtl w:val="true"/>
        </w:rPr>
        <w:t>:</w:t>
      </w:r>
      <w:r>
        <w:rPr>
          <w:rtl w:val="true"/>
        </w:rPr>
        <w:t>التجزّي في الاجتهاد</w:t>
      </w:r>
      <w:r>
        <w:rPr>
          <w:rtl w:val="true"/>
        </w:rPr>
        <w:t>:</w:t>
      </w:r>
      <w:bookmarkEnd w:id="365"/>
    </w:p>
    <w:p>
      <w:pPr>
        <w:pStyle w:val="BookText"/>
        <w:rPr/>
      </w:pPr>
      <w:r>
        <w:rPr>
          <w:rFonts w:ascii="Amiri" w:hAnsi="Amiri" w:eastAsia="Amiri" w:cs="Amiri"/>
          <w:color w:val="111111"/>
          <w:sz w:val="28"/>
          <w:sz w:val="28"/>
          <w:szCs w:val="28"/>
          <w:rtl w:val="true"/>
          <w:lang w:bidi="ar-SA"/>
        </w:rPr>
        <w:t>هل هو ممكن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ممكن؛ بعد أن كانت ملكة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 نظراً لكونها كيفاً نفسانيّاً، والكيف غير قابل للقسمة، وإنّما القابل للقسمة هو الكمّ، فتلك الملكة غير قابلة للتجزّي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بسيطة؛ ولكنّها ذات مراتب مختلفة من جهة الكمال والنقص، فربّما تحصل مرتبة ناقصة منها دون المرتبة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التجزّي الحصول على نصف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ثلثها،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ملكة الاجتهاد كيف، والكيف غير قابل للتجزّي، بل هي نظير ملكة الشجاعة أو الكرم، فكما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أشجع من فلان أو أكرم منه،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حصل على نصف ملكة الشجاعة أوالكرم، فكذلك يمكن تصوّر التجزّي في الاجتهاد بالمعنى الذي ذكرناه، وهو تفاوت المراتب،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اجتهد في بابٍ من أبواب الفقه حصل على ملكة الاجتهاد في ذلك الباب خاصّةً دون غيره، وبذلك يكون التجزّي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حصول مرتبة المطلق إلّا بعد حصول مرتبة التجزّي، وإلّا يلزم الطفرة، وهي محال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من الاجتهاد </w:t>
      </w:r>
    </w:p>
    <w:p>
      <w:pPr>
        <w:pStyle w:val="BookText"/>
        <w:rPr/>
      </w:pPr>
      <w:r>
        <w:rPr>
          <w:rFonts w:ascii="Amiri" w:hAnsi="Amiri" w:eastAsia="Amiri" w:cs="Amiri"/>
          <w:color w:val="111111"/>
          <w:sz w:val="28"/>
          <w:sz w:val="28"/>
          <w:szCs w:val="28"/>
          <w:rtl w:val="true"/>
          <w:lang w:bidi="ar-SA"/>
        </w:rPr>
        <w:t>مسبوق بالتجزّي دائماً، وإنّ أيّ مجتهد مطلق، كان متجزّياً في زمانٍ ثمّ قوي وترقّى شيئاً فشيئاً حتى تمكّن من استنباط أكثر الأحكام أو كلّها؛ وذلك لأنّ دعوى أنّ الرجل قد أصبح مجتهداً مطلقاً من ساعته أو ليلته، من غير أن يكون مسبوقاً بالتجزّي في زمانٍ ممّا لا شاهد له، بل هي أمر غير عاديّ، ولا نستعهد وقوعه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أشار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يستحيل حصول اجتهاد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مسبوق بالتجزّي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ذلك من المستحيلات العقليّة، نظير اجتماع الضدّين أو النقيضين؛ وذلك لأنّ المسائل الفقهيّة في عرضٍ واحد، ولا تقدّم لبعضها على بعض آخر زماناً أو رتبةً، بأن يكون التمكّن من استنباط بعضها مقدّمةً للقدرة على استنباط بعضها الآخر، حتى يتوهّم أنّ المتأخّر يستحيل أن يتحقّق قبل حصول المتقدّم، حيث إنّ تحقّق ذي المقدّمة من دون مقدّمته في المقام يستلزم الطفرة المحال، فأيّ مانع لدىالعقل من أن تحصل ملكة الاجتهاد المطلق دفعةً واحدة، ولو بالإعجاز والإفاضة من اﷲ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قلنا في المقام بأنّ حصول تلك الملكة تدريجيّ، فهذا حقّ بلا كلام، وأمّا إن قلنا بأنّه يمكن أن يوجد دفعةً،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الممارسة </w:t>
      </w:r>
    </w:p>
    <w:p>
      <w:pPr>
        <w:pStyle w:val="BookText"/>
        <w:rPr/>
      </w:pPr>
      <w:r>
        <w:rPr>
          <w:rFonts w:ascii="Amiri" w:hAnsi="Amiri" w:eastAsia="Amiri" w:cs="Amiri"/>
          <w:color w:val="111111"/>
          <w:sz w:val="28"/>
          <w:sz w:val="28"/>
          <w:szCs w:val="28"/>
          <w:rtl w:val="true"/>
          <w:lang w:bidi="ar-SA"/>
        </w:rPr>
        <w:t>وتحصيل العلوم التي لها دخل في حصولها توجد ملكة الاجتهاد المطلق دفعةً، فلا يبقى لهذا الكلام وجه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هناك مجتهد مطلق، بل هذه الملكة لا يمكن تحصيلها لكلّ أحد؛ لأنّ الفقيه مهما بلغ إلى أيّ مرتبةٍ من العلم والفقاهة، فهو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في حكم بعض المسائل، ولذلك فهو يأمر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لا يصبح متردّداً في أيّ حكم من الأحكام، بل إمّا أن يحصل له العلم والعلميّ على الحكم أم لا، فإن حصل الأوّل، فلا معنى لتردّده، وكذا العلميّ، فإن وردت أمارة على الحكم، وكان لها معارض، فإن كانت هناك مزيّة لأحدهما فيأخذ بذي المزيّة، وإلّا فيتخيّر، هذا إذا كان من سنخ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من غير الأخبار، فالحكم هو التساقط والرجوع إلى الاُصول العمليّة، ومجاري الاُصول معلومة واضحة لدى الفقيه، فليس هناك أيّ تردّد أصلاً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الموارد يصدر الاحتياط من بعض الفقهاء الذين لهم ورع شديد، وذلك ليس من جهة جهلهم بالحكم وعدم قدرتهم على استنباط الحكم وبيان الوظيفة، بل إنّما هو من شدّة ورعهم وتقواهم، </w:t>
      </w:r>
    </w:p>
    <w:p>
      <w:pPr>
        <w:pStyle w:val="BookText"/>
        <w:rPr/>
      </w:pPr>
      <w:r>
        <w:rPr>
          <w:rFonts w:ascii="Amiri" w:hAnsi="Amiri" w:eastAsia="Amiri" w:cs="Amiri"/>
          <w:color w:val="111111"/>
          <w:sz w:val="28"/>
          <w:sz w:val="28"/>
          <w:szCs w:val="28"/>
          <w:rtl w:val="true"/>
          <w:lang w:bidi="ar-SA"/>
        </w:rPr>
        <w:t>ومن باب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المطلق لابدّ أن يعمل بما استنبطه من الأحكام، ولا يجوز له التقليد والرجوع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العمل بما استنبطه، فلحصوله على الحجّة، أمارةً كانت أم أصلاً، تنزيليّاً أو غير تنزيليّ؛ لأنّ مفاد تلك الأدلّة بتوسّط أدلّة حجّيّتها يكون حكماً ظاهريّاً في حقّه، فيجب عليه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حرمة التقليد عليه فيما اجتهد فيه؛ فلأنّه يرى المخالف له في الفتوى جاهلاً، وأنّ ما يقوله ذلك الغير ليس هو الحكم الشرعيّ،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المتجزّي، لو قلنا بإمكان وقوعه، فهل يجوز له العمل بما استنبطه أم لا؟ وهل يحرم عليه التقليد أم 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بما استنبطه؛ لأنّه عالم به، فإنّه بعدما استنبطه من الأمارات أو الاُصول، فالواجب عليه العمل به بحكم أدلّة اعتبارها، تماماً كما مرّ في المجتهد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يحرم عليه الرجوع إلى الغير فيما استنبطه،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يرى أنّ الغير المخالف له في الفتوى جاهل فيما أفتى به، فلا يمكن له الرجوع إليه؛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العالم إلى 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رجوع الغير إليه وتقليده فيما استنبطه، فلا إشكال في جوازه مع توفّر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يستنبط جملةً معتدّاً بها من الأحكام حتى يصدق عليه أنّه فقيه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أعلم من غيره؛ إذ لو كان هناك مجتهد مطلق أعلم فيجب الرجوع إليه مع عدم أعلميّة المجتهد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 على قول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مجتهداً مطلقاً فلا يجوز تقليد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الاستدلال على وجوب التقليد بدليل الانسداد هو الصحيح؛ وذلك لأنّ بطلان غير التقليد من الطرق وانسدادها على العامّيّ المقلّد يقتضي وجوب رجوعه إلى عالمٍ ما؛ إذ النتيجة جزئيّة، والمقدار المتيقّن هو الرجوع إلى المجتهد المطلق دون المتجزّي، كما أفاده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الحال كذلك فيما لو استدللنا على وجوبه بالأدلّة اللّفظيّة من الكتاب والسنّة؛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دلّ على أنّ الحذر إنّما يجب عند إنذارالمنذر الفقيه، ولا دلالة لها بوجهٍ على وجوبه عند إنذار كلّ منذرٍ وإن لم يصدق أنّه 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الأخبار الآمرة بالرجوع إلى أشخاصٍ معيّنين دلّتنا على الرجوع إلى يونس بن عبد الرحمن وأمثاله من أكابر الفقهاء والرواة، ولم تدلّنا على جواز الرجوع إلى من عرف مسألةً أو مسألتين، ولم يكن من أضراب هؤلاء الأكابر من الرواة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ذكرنا أنّه يجوز تقليده إذا كان قد استنبط جملة معتدّاً بها من المسائل بحيث يصدق عليه عنوان الفقيه، لا عنوان من استنبط مسألةً أو مسألتين، أو نحو ذلك، فقط، ففي هذه الحالة، إذا كان هو الأعلم، فيجب الرجوع إليه، ولو مع وجود المجتهد المطلق؛ لقيام السيرة العقلائيّة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الإرجاع إلى بعض الأشخاص، فهو لا يدلّ على عدم جواز الرجوع إلى غيرهم، إلّا إذا كان في مقام الحصر، ولعلّ الإرجاع إليهم لأنّهم كانوا أعلم من غيرهم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مقتضى السيرة العقلائيّة عدم الفرق في رجوع الجاهل إلى العالم بين أن يكون مجتهداً مطلقاً أو متجزّئاً؛ لوضوح أنّ جاهلهم بشيء يرجع إلى العالم به، وإن لم يكن له معرفة بغيره من الاُمور، فتراهم يراجعون الطبيب الأخصّائيّ بالعيون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خبرة بغيرها من الجهات، وكذلك من له معرفةببعض المسائل دون بعض، وإن كان قليلاً، بل قد يقدّمون نظر المجتهد المتجزّي على </w:t>
      </w:r>
    </w:p>
    <w:p>
      <w:pPr>
        <w:pStyle w:val="BookText"/>
        <w:rPr/>
      </w:pPr>
      <w:r>
        <w:rPr>
          <w:rFonts w:ascii="Amiri" w:hAnsi="Amiri" w:eastAsia="Amiri" w:cs="Amiri"/>
          <w:color w:val="111111"/>
          <w:sz w:val="28"/>
          <w:sz w:val="28"/>
          <w:szCs w:val="28"/>
          <w:rtl w:val="true"/>
          <w:lang w:bidi="ar-SA"/>
        </w:rPr>
        <w:t>قول المجتهد المطلق عند المعارضة، كما إذا كان المتجزّي أعلم من المجتهد المطلق؛ لممارسته ودقّته في العلوم العقليّة، وكونه أقوى استنباطاً منه فيما يرجع إلى تلك المباحث من المسائل، كوجوب مقدّمة الواجب وبحثي الضدّ والترتّب وغيرها، وإن لم يكن له قوّة بتلك المثابة في المسائل الراجعة إلى مباحث الألفاظ كغيرها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السيرة رادع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293"/>
      </w:r>
      <w:r>
        <w:rPr>
          <w:rFonts w:ascii="Amiri" w:hAnsi="Amiri" w:eastAsia="Amiri" w:cs="Amiri"/>
          <w:color w:val="111111"/>
          <w:sz w:val="28"/>
          <w:sz w:val="28"/>
          <w:szCs w:val="28"/>
          <w:rtl w:val="true"/>
          <w:lang w:bidi="ar-SA"/>
        </w:rPr>
        <w:t>، والجاهل يجب عليه تعييناً السؤال عن أهل الذكر، لا أنّه واجب مخيّر بأن يكون غير ماُموراً بالسؤال من أهل الذكر أو غيرهم مخيّراً بينهما، ومن الواضح، أنّ من يعلم مسألة أو مسألتين فلا يصدق عليه أنّه من أهل الذكر، فالمتعيّن هو الرجوع إلى المجتهد المطلق، دون المتجزّي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لو كانت الآية دالّةً على وجوب التقليد، وأنّ السؤال مقدّمة للعمل، ولكنّ ظاهرها أنّ السؤال إنّما هو من باب المقدّمة لحصول العلم، ويمكن أن يكون المراد من أهل الذكر علماء اليهود، وقد أمر اﷲ تعالى الجاهلين بالسؤال عنهم لكونهم عالمين بالتوراة، فالآيةالكريمة واردة في باب تعلّم اُصول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لكم علم بالبراهين والحجج والكتب فاسألوا أهل الذكر فإنّهم يعلمون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فرض التنزّل والقول بكون الآية شاملةً لمورد التقليد، فلا يتمّ ما ذكر؛ لأنّنا لم نقل بجواز تقليد المتجزّي إلّا إذا كان يعلم جملةً من الأحكام المعتدّ بها بحيث يصدق عليه عنوان الفقيه والعالم، وحينئذٍ، فإذا صدق عليه هذا العنوان،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النفر، فهي وإن أمكن أن تكون ظاهرةً في وجوب التقليد،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مقام الحصر لتدلّ على أنّ وجوب الحذر يترتّب على إنذار الفقيه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المتجزّي ليس بفقيه، فلا تكون الآية صالحةً للرادعيّة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جواز الرجوع المتجزّي إنّما هو بعد استنباطه لجملة من الأحكام بحيث يصدق عليه عنوان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حافظاً لدينه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واردة في بيان أوصاف من يجوز تقليده، لا في مقام بيان أنّه لابدّ أن يكون فقيهاً، وأنّ الفقاهة معتبرة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ابن حنظلة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المقبولة واردة في باب القضاء، ولابدّ من دليل يثبت أنّ ما اعتبر في القاضي هو بعينه معتبر في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بحسنة أبي خديجة،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حيث دلّت على أنّ من تعلم شيئاً من قضاياهم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في أن يصبح قاضياً، وهذا متحقّق في المتجزّي كالمطلق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والسنّة لا يدلّان على عدم جواز الرجوع إلى المتجزّي مطلقاً، بل إذا لم يصدق عليه عنوان الفقيه، والمتجزّي إذا استنبط جملةً معتدّاً بها من الأحكام صدق هذا العنوان عليه، فيكون تقليده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يُدّعى من الإجماع على عدم الجواز، فقد عرفت حاله؛ فإنّ هذه الإجماعات مضافاً إلى كونها منقولة، فهي محتملة المدركيّة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فيما إذا كان المجتهد المطلق لم يستنبط ولو في موردٍ واحد فهل يجوز له أن يقلّد الغير أم لا؟ وهل يجوز للغير تقليده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حائزاً على ملكة الاستنباط، فلا تشمله أدلّة رجوع الجاهل إلى العالم، فلا يجوز له الرجوع إلى الغير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الملكة بمجرّدها لا تفيد، بل لابدّ وأن يكون فقيهاً بالفعل، </w:t>
      </w:r>
    </w:p>
    <w:p>
      <w:pPr>
        <w:pStyle w:val="BookText"/>
        <w:rPr/>
      </w:pPr>
      <w:r>
        <w:rPr>
          <w:rFonts w:ascii="Amiri" w:hAnsi="Amiri" w:eastAsia="Amiri" w:cs="Amiri"/>
          <w:color w:val="111111"/>
          <w:sz w:val="28"/>
          <w:sz w:val="28"/>
          <w:szCs w:val="28"/>
          <w:rtl w:val="true"/>
          <w:lang w:bidi="ar-SA"/>
        </w:rPr>
        <w:t>وما دام لم يستنبط فلا يصدق عليه عنوان العالم والفقيه، فيجوز له 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الملكة والمتمكّن من الاستنباط، وإن كان لم يستنبط فعلاً، إلّا أنّه لا يمكنه الرجوع إلى الغير بعد أن رأى عدم حجّيّة فتوى المخالف، وبعد عدم صدق الجاهل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رجوع الغير إليه، فلا يجوز؛ لأنّ الأدلّة الدالّة على جواز التقليد تستفاد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أو الكتاب أو السنّة أو السيرة العقلائيّة، وهي بأجمعها منصرفة عمّن لم يستنبط، ولو كانت لديه ملكة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الولاية للمتجزّي على أموال الغيّب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مسألة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حقّقناها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درجات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الولاية على الحسبيّات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نعلم بمحبوبيّتها عند الشارع وعدم رضائه بتركها، كحفظ أموال الغيّب والقصّر وسائر 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الاُمور النوعيّة التي هي عبارة عن الأعمال التي تُعمل لأجل مصالح المسلمين، وذلك كأعمال الولاة والسلاطين، فما كان من شؤونهم يكون داخلاً في هذا القسم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المطلقة حتى على الاُمور الشخصيّة، وذلك كطلاق زوجة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بيع داره، بل هبتها، 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والولاية بهذا المعنى الأخير على الظاهر عدمه للفقيه الجامع للشرائط في عصر الغيبة من المسلّمات، ولم يقل بها أحد في حقّ الفقيه إلّا من شذّ ولا يعتنى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القسم الأوّل من المسلّمات ثبوته له، حتى أنّه لو لم يكن هناك مجتهد يجب أن يقوم بها عدول المؤمنين، وعلى فرض عدمهم، فلازمٌ أن يقوم بها فسّاق المؤمنين، كلّ ذلك لأجل ما ذكرنا من محبوبيّتها للشارع وعدم رضائه بتركها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الثاني، ففيه كلام طويل، وهو محلّ الخلاف، ونحن رجّحنا ثبوته للفقيه الجامع للشرائط في محلّه؛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الاُمور بيد العلماء الاُمناء على حلاله وحرامه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شموله للمتجزّي في غاية الإشكال؛ لأنّ موضوع هذه الولاية هو عنوان العلماء والفقهاء، أو رواة الحديث، وكلّ هذه العناوين منصرفة عن المتجزّي، إلّا أن يكون المتجزّي بمرتبةٍ بحيث يعرف جملةً مهمّةً ومقداراً معتدّاً به من الأحكام الشرعيّة، بحيث يصدق وينطبق هذه العناوين أو أحدها عليه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66" w:name="pg15437_355147"/>
    </w:p>
    <w:p>
      <w:pPr>
        <w:pStyle w:val="Heading4"/>
        <w:numPr>
          <w:ilvl w:val="3"/>
          <w:numId w:val="1"/>
        </w:numPr>
        <w:rPr/>
      </w:pPr>
      <w:bookmarkStart w:id="367" w:name="__RefHeading___Toc6974655_2142443653"/>
      <w:bookmarkStart w:id="368" w:name="_Toc134"/>
      <w:bookmarkEnd w:id="366"/>
      <w:bookmarkEnd w:id="367"/>
      <w:r>
        <w:rPr>
          <w:rtl w:val="true"/>
        </w:rPr>
        <w:t xml:space="preserve">الأمر الخامس </w:t>
      </w:r>
      <w:r>
        <w:rPr>
          <w:rtl w:val="true"/>
        </w:rPr>
        <w:t>:</w:t>
      </w:r>
      <w:r>
        <w:rPr>
          <w:rtl w:val="true"/>
        </w:rPr>
        <w:t>التخطئة والتصويب</w:t>
      </w:r>
      <w:r>
        <w:rPr>
          <w:rtl w:val="true"/>
        </w:rPr>
        <w:t>:</w:t>
      </w:r>
      <w:bookmarkEnd w:id="368"/>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قد يخطئ وقد يصيب، وكما في الاُمور العقليّة لا يمكن تصويب كلا الرأيين المتنافيين؛ لأنّه يستلزم اجتماع الضدّين أو النقيضين، بل لابدّ أن يكون أحدهما صواباً والآخر خطأً، ولا يمكن أن تكون جميع آراء العقلاء صائبةً،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فإذا اختار أحد المجتهدين رأياً، كوجوب صلاة الظهر في يوم الجمعة، وقال المجتهد الآخر بوجوب صلاة الجمعة فيه، وقلنا بأنّ الحكم الثابت واقعاً في يوم الجمعة هو إمّا الظهر أو الجمعة، فأحد هذين الرأيين فقط يكون صواباً، وأمّا الآخر فهو خطأ لا محالة، ولا يمكن القول بأنّ كلا الرأيين صواب؛ لتأديته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المسألة خلاف كبير بين فقهاء المسلمين، فقسم منهم، وهم فقهاء العامّة، يقولون بالتصويب، وقسم آخر، وهم الخاصّة، يقولون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التصويب على قسمين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المحال، وهو المنسوب إلى الأشاعرة،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الواقع حكم ﷲ تعالى، وأنّ المجتهد مصيب دائماً؛ إذ قيام الأمارات والطرق لديه يكون سبباً لحدوث المصلحة في الشيء الذي انتهى إليه، وهذه المصلحة تستتبع جعل الحكم على طبقها، فليس هناك </w:t>
      </w:r>
    </w:p>
    <w:p>
      <w:pPr>
        <w:pStyle w:val="BookText"/>
        <w:rPr/>
      </w:pPr>
      <w:r>
        <w:rPr>
          <w:rFonts w:ascii="Amiri" w:hAnsi="Amiri" w:eastAsia="Amiri" w:cs="Amiri"/>
          <w:color w:val="111111"/>
          <w:sz w:val="28"/>
          <w:sz w:val="28"/>
          <w:szCs w:val="28"/>
          <w:rtl w:val="true"/>
          <w:lang w:bidi="ar-SA"/>
        </w:rPr>
        <w:t>من حكم واقعيّ وراء ما أدّى إليه قيام الأمارة أو الأصل عند المجتهد،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الحكم الواقعيّ لآراء المجتهدين، وأنّ جعل الحكم يكون متأخّراً عن قيام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التصويب باطل ومحال؛ وذلك لأنّه لو لم يكن هناك من حكم واقعيّ مجعول قبل الأمارة، فعن ماذا تكون الأمارة كاشفة وحاكية؟ ضرورة أنّه لا يعقل تحقّق الكشف من دون مكشوف، فلو توقّف ثبوته على قيام الأمارة عليه للزم الدور المحال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هذا المعنى من التصويب يستلزم اختصاص الأحكام الشرعيّة بخصوص من قامت عنده الأمارة، وهو مخالف لما دلّ على أنّه ما من واقعة إلّا وﷲ فيها حكم يشترك فيه الجاهل والعالم، من قامت عنده الأمارة، ومن لم تقم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الباطل، لا لمكان استحالته، بل لقيام الإجماع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ولو كان في الواقع أحكام مجعولة حسبما فيها من المصالح، والأمارات تكون حاكية عنها، ولكن إذا فرض قيام الأمارات عند المجتهد، فإنّ قيامها هذا يكون سبباً لحدوث مصلحة فيما أدّت إليه أقوى ممّا فيه من المصلحة الواقعيّة، فما أدّت إليه الأمارة هو الحكم الفعليّ بالنسبة إلى المجتهد، ولابدّ أن يعمل طبق مؤدّاها هي، دون الواقع، وبذلك تصبح الأحكام الواقعيّة غير فعليّة،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أحكامٍ صوريّة</w:t>
      </w:r>
      <w:r>
        <w:rPr>
          <w:rFonts w:eastAsia="Amiri" w:cs="Amiri" w:ascii="Amiri" w:hAnsi="Amiri"/>
          <w:color w:val="111111"/>
          <w:sz w:val="28"/>
          <w:szCs w:val="28"/>
          <w:rtl w:val="true"/>
          <w:lang w:bidi="ar-SA"/>
        </w:rPr>
        <w:t xml:space="preserve">. </w:t>
      </w:r>
      <w:bookmarkStart w:id="369" w:name="pg15437_355149"/>
    </w:p>
    <w:p>
      <w:pPr>
        <w:pStyle w:val="BookText"/>
        <w:rPr/>
      </w:pPr>
      <w:bookmarkEnd w:id="369"/>
      <w:r>
        <w:rPr>
          <w:rFonts w:ascii="Amiri" w:hAnsi="Amiri" w:eastAsia="Amiri" w:cs="Amiri"/>
          <w:color w:val="111111"/>
          <w:sz w:val="28"/>
          <w:sz w:val="28"/>
          <w:szCs w:val="28"/>
          <w:rtl w:val="true"/>
          <w:lang w:bidi="ar-SA"/>
        </w:rPr>
        <w:t>وهذا المعنى وإن كان معقولاً في حدّ نفسه، وليس فيه من استحالة عقليّة، إلّا أنّ الإجماع قام على بطلانه، وعلى أنّ الأمارة لا تكون مغيّرة للواقع، كما أنّ المستفاد من الأخبار هو اشتراك الجاهل والعالم في الحكم، ما يعني عدم صحّة القول بأنّ الأحكام الواقعيّة مختصّة بالعالمين بها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هو ما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أدلّة الأحكام في حدّ نفسها، فإنّ الدليل الذي دلّ على 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 هو عدم اختصاص هذه الحرمة بالعالمين بها فقط، بل أنّ الخمر يكون حراماً مطلقاً، علم المكلّف بحرمته أم لم يعلم، قامت أمارة على الخلاف أم لم 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أنّ تعميم الحكم الواقعيّ للجاهلين لازمه اجتماع حكمين متضادّين على موضوع واحد، وهو محال؛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حقّ الجاهل محكوماً بحكمين،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ففاسد؛ لما قرّرناه في محلّه في مبحث الجمع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بالتخطئة كما عليه أصحابنا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974657_2142443653"/>
      <w:bookmarkStart w:id="371" w:name="_Toc135"/>
      <w:bookmarkEnd w:id="370"/>
      <w:r>
        <w:rPr>
          <w:rtl w:val="true"/>
        </w:rPr>
        <w:t xml:space="preserve">الأمر السادس </w:t>
      </w:r>
      <w:r>
        <w:rPr>
          <w:rtl w:val="true"/>
        </w:rPr>
        <w:t>:</w:t>
      </w:r>
      <w:r>
        <w:rPr>
          <w:rtl w:val="true"/>
        </w:rPr>
        <w:t>في الإجزاء بعد تبدّل الرأي</w:t>
      </w:r>
      <w:r>
        <w:rPr>
          <w:rtl w:val="true"/>
        </w:rPr>
        <w:t>:</w:t>
      </w:r>
      <w:bookmarkEnd w:id="3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واقعيّاً أوّليّاً،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ثانويّاً،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ظاهريّاً، فلو أتى بالماُمور به على طبق أمره، فإنّه مجزٍ له </w:t>
      </w:r>
    </w:p>
    <w:p>
      <w:pPr>
        <w:pStyle w:val="BookText"/>
        <w:rPr/>
      </w:pPr>
      <w:r>
        <w:rPr>
          <w:rFonts w:ascii="Amiri" w:hAnsi="Amiri" w:eastAsia="Amiri" w:cs="Amiri"/>
          <w:color w:val="111111"/>
          <w:sz w:val="28"/>
          <w:sz w:val="28"/>
          <w:szCs w:val="28"/>
          <w:rtl w:val="true"/>
          <w:lang w:bidi="ar-SA"/>
        </w:rPr>
        <w:t>قطعاً؛ لحصول الغرض منه، فيكون الأمر ساقطاً قهراً؛ ضرورة أنّه لو لم يسقط لكان من قبيل طلب الحاصل، والامتثال عقيب الامتثال، وهو أمر غير معقول؛ إذ بعد سقوط الأمر لا يبقى معنى للامتثال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ممكن وواقع، كما في صلاة المنفرد إذا صلّاها، فيعيدها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قبيل الامتثال بعد الامتثال،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انبعاثه ثانياً عن أمر المولى؛ إذ بعد سقوط الأمر بالانبعاث الأوّل الذي أتى فيه بالماُمور به بجميع أجزائه وشرائطه مع إعدام موانعه، فلا يبقى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ينبعث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مسألة إعادة المنفرد صلاته جماعةً، أو الإمام مرّةً واحدةً أُخرى إماماً، فليس من قبيل تبديل الامتثال، بل من جهة أنّ الغرض الأقصى حيث لم يحصل بعد، فللعبد أن يأتي بفردٍ آخر من طبيعة الماُمور به، لا بعنوان الامتثال الثاني، أو بعنوان تبديل الامتثال؛ لأنّ الامتثال حصل بالإتيان الأوّل، وسقط الأمر، بل برجاء أن يكون أحبّ إليه من الفرد الأوّل، فيختاره لغرضه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متوقّف على أمرين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الغرض الأصليّ بمجرّد وجود الماُموربه أو اختياره لغرضه الأصليّ بمجرّد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ما يريد أن يأتي به ثانياً هو الذي يختاره المولى، وبعد وجود هذا الاحتمال، لا فرق بين أن يكون ما يريد أن يأتي به ثانياً في نظره أفضل من الذي أتى به أوّلاً أو مساوياً له، ولا يحتاج إلى وجود دليلٍ على هذا الأمر بعد هذا الاحتمال أيضاً إذا جاء به برجاء أنّه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استحبابه يحتاج إلى الدليل، كما أنّهم أفتوا في الموردين المتقدّمين لأجل ذلك</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محلّه في مبحث الإجزاء كلام مفصّل يرتبط بهذا البحث،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نحن فيه، في أنّ القاعدة في مورد تبدّل رأي المجتهد، أو العدول من مجتهدٍ إلى الآخر مع تخالفهما في الفتوى، هل تقتضي الإجزاء، إلّا أن يدلّ الدليل علىعدمه، أم أنّها تقتضي عدم الإجزاء ووجوب الإعادة في الوقت والقضاء خارجه؟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طرف قيام الأمارة أو الأصل توجد مصلحة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نقول بالإجزاء، أمّا بناءً على الطريقيّة فالإجزاء بحاجةٍ إلى الدليل، لأنّه الآن لا يرى ذلك طريقاً، بل يراه مخطئاً، فالصلاة التي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بفتوى المجتهد الأوّل بتسبيحة واحدة، مع فتوى المجتهد الثاني بعدم كفاية التسبيحة الواحدة، </w:t>
      </w:r>
    </w:p>
    <w:p>
      <w:pPr>
        <w:pStyle w:val="BookText"/>
        <w:rPr/>
      </w:pPr>
      <w:r>
        <w:rPr>
          <w:rFonts w:ascii="Amiri" w:hAnsi="Amiri" w:eastAsia="Amiri" w:cs="Amiri"/>
          <w:color w:val="111111"/>
          <w:sz w:val="28"/>
          <w:sz w:val="28"/>
          <w:szCs w:val="28"/>
          <w:rtl w:val="true"/>
          <w:lang w:bidi="ar-SA"/>
        </w:rPr>
        <w:t>فهو لا يراها الآن تامّةً؛ لأنّه لم يأتِ بالماُمور به التامّ، ولم يأتِ بما هو بدل عنه، فالإجزاء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هو القول ببطلان ما أتى به أوّلاً، ولابدّ من الإعادة في الوقت والقضاء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تامّ فيما لو كان هناك حجّة معتبرة على الخلاف، كما لو أحرز بالعلم الوجدانيّ أنّه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كلّ من الاجتهادين ممّا يحتمل مخالفته للواقع، فعمل المقلّد وإن كان يجب أن يكون مطابقاً للاجتهاد اللّاحق، ولكنّ الاجتهاد الأوّل قد كان حجّة في ظرفه، والثاني، وإن كان حجّة بالفعل، إلّا أنّه مع ذلك لا يكشف عن عدم حجّيّة الاجتهاد الأوّل في ظرفه، فلا وجه لبطلان الأعمال المتقدّمة التي أتى بها على طبق الاجتهاد الأوّل، حيث إنّه في ظرفه كان متّصفاً بالحجّيّة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 قيام الحجّة الثانية ولو لم يكن كاشفاً عن عدم حجّيّة الاجتهاد الأوّل في ظرفه، إلّا أنّ مقتضاها،أعني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الثانية، هو ثبوت مدلولها من أوّل الأمر، لا أنّها مختصّة بعصر دون عصر، فيكون العمل على طبق الحجّة الأُولى باطلاً بعد قيام الحجّة الثانية، فلابدّ من الإعادة والقضاء، فإنّ احتمال مخالفة الحجّتين للواقع، وإن كان موجوداً، لكنّ هذا الاحتمال يلغى بالنسبة إلى الحجّة الثانية؛ لأنّ حجّيّتها فعليّة بحسب الفرض، فلا يكون له في صورة مخالفتها مؤمّن من العقاب، والعقل يستقلّ بلزوم تحصيل المؤمّن، فإذا </w:t>
      </w:r>
    </w:p>
    <w:p>
      <w:pPr>
        <w:pStyle w:val="BookText"/>
        <w:rPr/>
      </w:pPr>
      <w:r>
        <w:rPr>
          <w:rFonts w:ascii="Amiri" w:hAnsi="Amiri" w:eastAsia="Amiri" w:cs="Amiri"/>
          <w:color w:val="111111"/>
          <w:sz w:val="28"/>
          <w:sz w:val="28"/>
          <w:szCs w:val="28"/>
          <w:rtl w:val="true"/>
          <w:lang w:bidi="ar-SA"/>
        </w:rPr>
        <w:t>كان عمله مطابقاً مطلقاً للحجّة الثانية، كان له المؤمّن، فاندفع عنه احتمال الضرر، وأمّا ما أتى به المكلّف أوّلاً، فهو حيث كان مخالفاً لمقتضى الحجّة الثانية، فلا يحصل للمكلّف العلم بمطابقته للواقع،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قإذا تبدّل رأي المجتهد في جميع أبواب الفقه، من العبادات أو المعاملات، بالمعنى الأخصّ أو الأعمّ، والأحكام التكليفيّة أو الوضعيّة، فمقتضى القاعدة أنّه لابدّ من الإعادة أو القضاء، وهذا مساوق للقول بعدم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نسب إلى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الأحكام ومتعلّقاتها والموضوعات، والقول بالإجزاء في الأحكام دون الموضوعات، والدليل الذي ذكره لعدم الإجزاء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الواقعة الواحدة لا تتحمّل اجتهادين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أشكل في فهم مراده من هذه العبارة، حتى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أحد عظماء تلامذته للسؤال عن صاحب الفصول عن معنى هذه العبارة، فما أتى صاحب الفصول بشيءٍ في مقام الجواب يمكن أن يركن النفس إليه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التفصيل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على الإجزاء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على القول بعدمه، وهما منفيّان في الشريعة المقدّسة، خصوصاً بالنسبة إلى العبادات، فلو أنّ شخصاً قلّد مجتهداً لمدّة طويلة، ثمّ تبدّل رأي هذا المجتهد، أو مات وقلّد مجتهداً آخر بعده، وكانت فتوى المجتهد الثاني مخالفةً لفتوى المجتهد الأوّل، فإنّ القضاء بالنسبة إلى المقلّد، والحال هذه، يكون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في مقتضى القواعد الأوّليّة، والإجزاء إنّما يثبت بالقواعد الثانويّة، وقاعدة العسر والحرج لا تنافي عدم الإجزاء ووجوب القضاء بالقاعدة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في محلّه أنّ الحرج والضرر المنفيّين في الشريعة هما الحرج والضرر الشخصيّان، لا النوعيّان، والضرر والحرج الشخصيّان يختلفان بحسب اختلاف الموارد والأشخاص،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هناكحرج في موردٍ بالنسبة إلى شخصٍ ما، فيرتفع الحكم بالنسبة إلى هذا الشخص دون غيره ممّن لا حرج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مراراً حال هذه الإجماعات،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لفظه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المدّعى لو كان محصّلاً لم نكن </w:t>
      </w:r>
    </w:p>
    <w:p>
      <w:pPr>
        <w:pStyle w:val="BookText"/>
        <w:rPr/>
      </w:pPr>
      <w:r>
        <w:rPr>
          <w:rFonts w:ascii="IRNazanin" w:hAnsi="IRNazanin" w:eastAsia="IRNazanin"/>
          <w:color w:val="111111"/>
          <w:sz w:val="28"/>
          <w:sz w:val="28"/>
          <w:szCs w:val="28"/>
          <w:rtl w:val="true"/>
          <w:lang w:bidi="fa-IR"/>
        </w:rPr>
        <w:t>نعتمد عليه، لما يأتي بيانه، فما ظنّك بما إذا كان إجماعاً منقولاً بالخبر الواحد، وسرّه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تحصيل الإجماع في المسألة دونه خرط القتاد؛ إذ كيف يمكن استكشاف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ولم يتعرّض أكثر الأصحاب للمسألة، ولم يعنونوها في كلماتهم؟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أنّا لو سلّمنا اتّفاقهم،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يمكننا الاعتماد عليه؛ لأنّا نعلم أو نظنّ، ولا أقلّ من أنّا نحتمل استنادهم في ذلك إلى بعض الوجوه المستدلّ بها في المقام،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الإجماع تعبّديّا كاشفاً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وقد ادّعوا بأنّ هذه السيرة جارية على عدم لزوم الإعادة أو القضاء، حيث لم نستعهد أحداً يعيد أو يقضي ما أتى به من العبادات مدّة حياته إذا عدل عن رأيه، أو تبدّلت فتوى مجتهده، وهذه السيرة لم يكن هناك رادع عنها في الشريعة المقدّسة، فلابدّ أن نقولبالإجزاء عدم وجوب الإعادة أو القضاء إذا عدل المجتهد عن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اتّصال هذه السيرة المستمرّة بزمان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دليل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أنّا لو سلّمنا استكشاف السيرة بوجه، </w:t>
      </w:r>
    </w:p>
    <w:p>
      <w:pPr>
        <w:pStyle w:val="BookText"/>
        <w:rPr/>
      </w:pPr>
      <w:r>
        <w:rPr>
          <w:rFonts w:ascii="IRNazanin" w:hAnsi="IRNazanin" w:eastAsia="IRNazanin"/>
          <w:color w:val="111111"/>
          <w:sz w:val="28"/>
          <w:sz w:val="28"/>
          <w:szCs w:val="28"/>
          <w:rtl w:val="true"/>
          <w:lang w:bidi="fa-IR"/>
        </w:rPr>
        <w:t>فمن أين يمكننا إحراز اتّصالها بزمان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علم لنا بأنّ شخصاً واحداً، فضلاً عن جماعةٍ، اتّفق له العدول في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وبنى على عدم إعادة الأعمال المتقدّمة، ولم يردع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نستكشف اتّصال السيرة بزمانهم، وكونها ممضاةً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الممكن أن تكون السيرة مستندةً إلى فتوى جماعةٍ من الفقهاء قدّس اﷲ أسرارهم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يوقفك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لو كانت عامّة البلوى في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لسئل عن حكمها، ولو في روايةٍ واحدة، وحيث لم ترد إشارة إلى المسألة في شيءٍ من النصوص، فنستكشف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كثرة الابتلاء بها إنّما حدثت في الأعصار المتأخّرة، ولم يكن منها في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محرزة الاتّصال بعصرهم، ولا سبيل معه إلى إحراز أنّها ممضاة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 ممضاة</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خلاف القاعدة، فلابدّ من الإعادة في الوقت، والقضاء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القاصر، ففي الصلاة، إذا كان الإخلال بغير الوقت والقبلة والركوع والسجود والطهور فهي مجزية</w:t>
      </w:r>
      <w:r>
        <w:rPr>
          <w:rFonts w:eastAsia="Amiri" w:cs="Amiri" w:ascii="Amiri" w:hAnsi="Amiri"/>
          <w:color w:val="111111"/>
          <w:sz w:val="28"/>
          <w:szCs w:val="28"/>
          <w:rtl w:val="true"/>
          <w:lang w:bidi="ar-SA"/>
        </w:rPr>
        <w:t xml:space="preserve">. </w:t>
      </w:r>
      <w:bookmarkStart w:id="372" w:name="pg15437_355157"/>
    </w:p>
    <w:p>
      <w:pPr>
        <w:pStyle w:val="Heading3"/>
        <w:numPr>
          <w:ilvl w:val="2"/>
          <w:numId w:val="1"/>
        </w:numPr>
        <w:rPr/>
      </w:pPr>
      <w:bookmarkStart w:id="373" w:name="__RefHeading___Toc6974659_2142443653"/>
      <w:bookmarkStart w:id="374" w:name="_Toc136"/>
      <w:bookmarkEnd w:id="372"/>
      <w:bookmarkEnd w:id="373"/>
      <w:r>
        <w:rPr>
          <w:rtl w:val="true"/>
        </w:rPr>
        <w:t>وأمّا المقام الثاني</w:t>
      </w:r>
      <w:r>
        <w:rPr>
          <w:rtl w:val="true"/>
        </w:rPr>
        <w:t>:</w:t>
      </w:r>
      <w:bookmarkEnd w:id="374"/>
    </w:p>
    <w:p>
      <w:pPr>
        <w:pStyle w:val="Heading4"/>
        <w:numPr>
          <w:ilvl w:val="3"/>
          <w:numId w:val="1"/>
        </w:numPr>
        <w:rPr/>
      </w:pPr>
      <w:bookmarkStart w:id="375" w:name="__RefHeading___Toc6974661_2142443653"/>
      <w:bookmarkStart w:id="376" w:name="_Toc137"/>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والكلام فيه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 بالعمل برأي الغير ولو لم يعمل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الغير إلى من ثبت حجّيّة قوله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العمل برأي الغير مستنداً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هو الثاني؛ لأنّ الذي يجب على العامل بالتكاليف الشرعيّة هو أن يكون له حجّة على أنّ عمله هذا مبرئ للذمّة، وتلك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علم أو علميّ، والعامّيّ غير المحتاط حيث إنّه عاجز عن استعمال الحجج التفصيليّة ليس شيء له أقرب إلى الواقع من أن يجعل عمله مستنداً إلى رأي من هو قادر على استعمال تلك الحجج واستعملها فعلاً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فالمقلّد لابدّ له من أن يستند ويتّكئ في عمله على قول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بذلك،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التقليد هو الأخذ والالتزام، ومنع عن تفسيره بالعمل استناداً إلى رأي الغير، نظراً إلى أنّ التقليد إذا كان نفس العمل على طبق فتوى الغير فأوّل عملٍ يصدر من المكلّف يصدر من غير تقليد؛ فإنّ ذلك العمل غير مسبوق بالتقليد الذي </w:t>
      </w:r>
    </w:p>
    <w:p>
      <w:pPr>
        <w:pStyle w:val="BookText"/>
        <w:rPr/>
      </w:pPr>
      <w:r>
        <w:rPr>
          <w:rFonts w:ascii="Amiri" w:hAnsi="Amiri" w:eastAsia="Amiri" w:cs="Amiri"/>
          <w:color w:val="111111"/>
          <w:sz w:val="28"/>
          <w:sz w:val="28"/>
          <w:szCs w:val="28"/>
          <w:rtl w:val="true"/>
          <w:lang w:bidi="ar-SA"/>
        </w:rPr>
        <w:t>هو العمل، مع أنّ العمل لابدّ أن يكون مسبوقاً بالتقليد؛ لأنّ المكلّف لابدّ أن يستند في أعماله إلى حجّة، فكما أنّ المجتهد يستند إلى اجتهاده، وهو أمر سابق على عمله، كذلك العامّيّ، لابدّ أن يستند إلى التقليد، ويلزم أن يكون التقليد سابقاً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أخذ قول الغير ورأيه للعمل به في الفرعيّات، أو للالتزام به في الاعتقاديّات تعبّداً، بلا مطالبة دليلٍ على رأيه،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لتفسيره بنفس العمل؛ ضرورة سبقه عليه، وإلّا كان بلا تقليد، فافهم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 هذا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وعنوان للعمل، فهو أمر مقارن معه، ولا يعتبر فيه السبق زماناً، فإذا عمل المكلّف عملاً مستنداً إلى فتوى الغير، كان ذلك العمل مقروناً بالتقليد لا محالة، وهو كافٍفي صحّته، ولا دليل على اعتبار سبق التقليد على العمل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ما يدلّ على أنّ معنى لابدّيّة أن يكون عمل العامّيّ عن تقليد هو لزوم سبق التقليد على العمل،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العامّيّ يجب أن يكون مستنداً إلى رأي المجتهد إن لم يحتط، </w:t>
      </w:r>
    </w:p>
    <w:p>
      <w:pPr>
        <w:pStyle w:val="BookText"/>
        <w:rPr/>
      </w:pPr>
      <w:r>
        <w:rPr>
          <w:rFonts w:ascii="Amiri" w:hAnsi="Amiri" w:eastAsia="Amiri" w:cs="Amiri"/>
          <w:color w:val="111111"/>
          <w:sz w:val="28"/>
          <w:sz w:val="28"/>
          <w:szCs w:val="28"/>
          <w:rtl w:val="true"/>
          <w:lang w:bidi="ar-SA"/>
        </w:rPr>
        <w:t>فنفس عمله بهذا العنوان هو مصداق لمفهوم التقليد أيضاً، ولا دليل على مسبوقيّة التقليد على العمل، فيكون المقام كإعطاء مال إلى شخص بقصد أن يكون ملكاً له بعوض ماليّ، فهذا يصدق عليه مفهوم البيع، فكذلك نفس عمل العامّيّ مستنداً إلى رأي الغير، يصدق عليه التقليد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ثمرة فقهيّة في كون التقليد هو الالتزام أو العمل، اللّهمّ إلّا في النذر، وفي مسألة البقاء على تقليد الميّت، فإن قلنا بأنّ التقليد هو الالتزام، ولو لم يعمل بعد، فلو مات مجتهده، فيجوز له أن يبقى على تقليده، وأمّا إذا قلنا بأنّه هو العمل، فلا يجوز له البقاء على تقليده ما لم يعمل بفتاواه في حياته، لأنّه يكون من تقليد الميّت ابتداءً، ولو كان في أثناء حياته ملتزماً بأن يعمل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بالتعرّض لمعنى الاحتياط، فنقول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الاحتياط هو أن يأتي بما يحتمل وجوبه، ويترك ما يحتمل حرمته، فبالاحتياط يحرز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حجّيّته وجوازه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به يكون أفضل منالعمل بالاجتهاد والتقليد؛ لأنّه لم يخالف الواقع أصلاً، لكن قد لا يمكن العمل بالاحتياط في بعض الموارد، كما إذا دار الأمر بين المحذورين، أو لكثرة أطراف الشبهة، بحيث لا يتمكّن المكلّف من الإتيان بجميع أطرافها، وكما إذا كان العمل عباديّاً، فالمكلّف لا يتمكّن من إتيانها بنحو الامتثال الإجماليّ، مع التمكّن من الإتيان بها على نحو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بالاحتياط لابدّ له من أن يعرف موارد الاحتياط، وإلّا، فلا يجوز له العمل بالاحتياط؛ إذ قد يكون الاحتياط في مخالفة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قد يكون في العبادات، وقد يكون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مانع منه، استلزم الاحتياط فيها تكرار العمل، أو لم يستلزم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لزوم قصد الوجه فيها،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مفقودان؛ أمّا العقل، فهو لا يرى توقّف الإطاعة على أزيد من لزوم الانبعاث عن بعث المولى خارجاً، ولا يرى دخل شيء آخر فيها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فلا أثر للإلزام بهذا القصد في الأخبار، مع ما نراه من كثرة ابتلاء الناس بالعبادات، وليس هناك من داعٍ للإخفاء في مثل هذه الاُمور عادةً، بل الداعي إلى الإظهار موجود، فهذا أدلّ دليل على عدم لزومه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التوصّليّات، فبما أنّ المفروض سقوط العمل فيها بمجرّد وجود الماُمور به في الخارج، فلا يعتبر فيها شيءآخر ،فإذا فرض تحقّقه في الخارج، ولو في ضمن اُمور متعدّدة، فيسقط الأمر لا محالة، بلا فرق بين العقود والإيقاعات وغيرهما، فمتى أوجد المكلّف ما هو سبب للملكيّة عند الشارع فيترتّب عليه الأثر لا محالة، بلا فرقٍ بين أن يكون متمكّناً من العلم التفصيليّ أم لا، وسواء كان مستلزماً للتكرار، كتردّد المايع بين </w:t>
      </w:r>
    </w:p>
    <w:p>
      <w:pPr>
        <w:pStyle w:val="BookText"/>
        <w:rPr/>
      </w:pPr>
      <w:r>
        <w:rPr>
          <w:rFonts w:ascii="Amiri" w:hAnsi="Amiri" w:eastAsia="Amiri" w:cs="Amiri"/>
          <w:color w:val="111111"/>
          <w:sz w:val="28"/>
          <w:sz w:val="28"/>
          <w:szCs w:val="28"/>
          <w:rtl w:val="true"/>
          <w:lang w:bidi="ar-SA"/>
        </w:rPr>
        <w:t xml:space="preserve">أن يكون مضافاً أو مطلقاً، أم لا؛ لأنّ المقصود من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حصول المتعلّق وتحقّقه بأيّ وجهٍ اتّفق، وكذا في المعاملات بالمعنى الأخصّ، فإنّ الاحتياط فيه حسن ومشروع، فلو فرض أنّ صيغة النكاح إمّا أن تحصل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أن يجمع بين الصيغتين، كما إذا شكّ في أنّ الطلاق له يتحقّق بالجملة الفعليّة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الاسميّة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أن يجمع بين الصيغتين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شككنا في أنّ الاحتياط والامتثال الإجماليّ هو في عرض الامتثال التفصيليّ أم في طوله،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الانبعاث لابدّ أن يكون مستنداً إلى الأمر جزماً، أو يكفي الانبعاث إذا استند إلى احتمال الأمر يكفي في الامتثال، فلا مناص من الرجوع إلى قاعدة الاشتغال؛ لأنّ الشكّ يرجع إلى الشكّ في كيفيّة الطاعة والامتثال،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بمنع الاحتياط، وأنّه لابدّ من الامتثال تفصيلاً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 الاحتياط يكون في عرض الامتثال التفصيليّ، فإنّ الإضافة إلى اﷲ عزّ وجلّكما تتحقّق بالإتيان على وجه التفصيل، فهي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على وجه الإجمال؛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إضافة إلى اﷲ سبحانه، فإنّه لو أتى بالعمل رجاءً يكون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والفقهاء متّفقون على أنّه لا فرق بين الإتيان التفصيليّ والإجماليّ، بل كلاهما يكون واقعاً على وجه الإطاعة والانقياد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يقول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أنّا لو شككنا في ذلك فالمرجع هو البراءة دون الاشتغال؛ إذ لا شكّ لنا في مفهوم العبادة، وإنّما الشكّ في واقعها وما يتّصف به العمل بالعبادة، فمرجع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الشارع هل اعتبر في متعلّق الأمر التحرّك عن تحريكه، والتحرّك عن احتمال الأمر والتحريك، فالجامع بين الاحتمالين، وهو لزوم الإتيان بالعمل بقصد الامتثال، معلوم، واعتبار كونه على وجه التفصيل،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التحرّك مستنداً إلى تحريك المولى مشكوك فيه،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البراءة عن اعتبار ما يشكّ فيه بناءً على ما هو الصحيح عندنا من جريان البراءة في مورد دوران الأمر بين التعيين والتخيير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الوجوب النفسيّ لا يتصوّر في الاحتياط؛ لأنّه عنوان لنفس العمل، لا أنّه طريق لمعرفة الأحكام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احتمال أن يكون الوجوب النفسيّ في تلك الطرق مستنداً إلى المصلحة الواقعيّة الباعثة على الإيجاب الواقعيّ،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فيما إذا أثبتنا وجوبها شرعاً؛ فإنّه في مقام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وجوبها منبعث عن نفس المصلحة الواقعيّة، إلّا أنّه أوّل الكلام؛ لعدم قيام </w:t>
      </w:r>
    </w:p>
    <w:p>
      <w:pPr>
        <w:pStyle w:val="BookText"/>
        <w:rPr/>
      </w:pPr>
      <w:r>
        <w:rPr>
          <w:rFonts w:ascii="Amiri" w:hAnsi="Amiri" w:eastAsia="Amiri" w:cs="Amiri"/>
          <w:color w:val="111111"/>
          <w:sz w:val="28"/>
          <w:sz w:val="28"/>
          <w:szCs w:val="28"/>
          <w:rtl w:val="true"/>
          <w:lang w:bidi="ar-SA"/>
        </w:rPr>
        <w:t>الدليل على وجوب الاجتهاد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في التقليد بناءً على دلالة الأدلّة على وجوبه الشرعيّ، كما بنى عليه بعض مشايخنا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يمكن استفادة الوجوب النفسيّ في التقليد، من مثل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31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الأحكام ليس بواجبٍ نفسيّ، بل هو طريق إلى العمل، كما ورد في بعض الروايات أنّه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قال اﷲ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فتلك الحجّة البالغة ﷲ تعالى</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أوّلاً إنّما كان عن العمل، لا عن التعلّم، فلا يجب العلّم وجوباً نفسيّاً، ولأنّه لو ترك التعلّم ولم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إلّا عقاب واحد، وهو العقاب من جهة تركه للعمل، لا عقابان</w:t>
      </w:r>
      <w:r>
        <w:rPr>
          <w:rFonts w:eastAsia="Amiri" w:cs="Amiri" w:ascii="Amiri" w:hAnsi="Amiri"/>
          <w:color w:val="111111"/>
          <w:sz w:val="28"/>
          <w:szCs w:val="28"/>
          <w:rtl w:val="true"/>
          <w:lang w:bidi="ar-SA"/>
        </w:rPr>
        <w:t xml:space="preserve">. </w:t>
      </w:r>
      <w:bookmarkStart w:id="377" w:name="pg15437_355164"/>
    </w:p>
    <w:p>
      <w:pPr>
        <w:pStyle w:val="Heading4"/>
        <w:numPr>
          <w:ilvl w:val="3"/>
          <w:numId w:val="1"/>
        </w:numPr>
        <w:rPr/>
      </w:pPr>
      <w:bookmarkStart w:id="378" w:name="__RefHeading___Toc6974663_2142443653"/>
      <w:bookmarkStart w:id="379" w:name="_Toc138"/>
      <w:bookmarkEnd w:id="377"/>
      <w:bookmarkEnd w:id="378"/>
      <w:r>
        <w:rPr>
          <w:rtl w:val="true"/>
        </w:rPr>
        <w:t>حجّيّة التقليد وجوازه</w:t>
      </w:r>
      <w:r>
        <w:rPr>
          <w:rtl w:val="true"/>
        </w:rPr>
        <w:t>:</w:t>
      </w:r>
      <w:bookmarkEnd w:id="379"/>
    </w:p>
    <w:p>
      <w:pPr>
        <w:pStyle w:val="BookText"/>
        <w:rPr/>
      </w:pPr>
      <w:r>
        <w:rPr>
          <w:rFonts w:ascii="Amiri" w:hAnsi="Amiri" w:eastAsia="Amiri" w:cs="Amiri"/>
          <w:color w:val="111111"/>
          <w:sz w:val="28"/>
          <w:sz w:val="28"/>
          <w:szCs w:val="28"/>
          <w:rtl w:val="true"/>
          <w:lang w:bidi="ar-SA"/>
        </w:rPr>
        <w:t>لا ينبغي الشكّ في جواز التقليد للعامّيّ في الأحكام الشرعيّة، وذلك لسيرة العقلاء وبنائهم العمليّ؛ فإنّه قائم على رجوع الجاهل إلى العالم في كلّ مسألة، ولولا هذا لاختلّ نظام العالم، ولم يعهد عن الشارع ردع عن هذه السيرة، بل على العكس، فهو قد أمضى عملهم هذا وأقرّهم عليه، ويستفاد الإمضاء من الآيات والروايات</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974665_2142443653"/>
      <w:bookmarkStart w:id="381" w:name="_Toc139"/>
      <w:bookmarkEnd w:id="380"/>
      <w:r>
        <w:rPr>
          <w:rtl w:val="true"/>
        </w:rPr>
        <w:t>أمّا الآيات</w:t>
      </w:r>
      <w:r>
        <w:rPr>
          <w:rtl w:val="true"/>
        </w:rPr>
        <w:t>:</w:t>
      </w:r>
      <w:bookmarkEnd w:id="38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أَهْلَ الذكْرِ إِن كُنتُمْ لاَ تَعْلَمُونَ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قول عبد العزيز بن المهتدي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أكاد أصل إليك أسألك عن كلّ ما أحتاج إليه من معالمديني، أفيونس بن عبد الرحمن ثقة آخذ عنه ما أحتاج إليه من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مطلق يشمل قبول قول الثقه في الرواية والفتوى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سأله ابن ابي يعفور عمّن يرجع إليه إذا احتاج أو سئل عن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يمنعك من محمّد بن مسلم الثقفيّ؛ فإنّه سمع من </w:t>
      </w:r>
    </w:p>
    <w:p>
      <w:pPr>
        <w:pStyle w:val="BookText"/>
        <w:rPr/>
      </w:pPr>
      <w:r>
        <w:rPr>
          <w:rFonts w:ascii="Amiri" w:hAnsi="Amiri" w:eastAsia="Amiri" w:cs="Amiri"/>
          <w:color w:val="111111"/>
          <w:sz w:val="28"/>
          <w:sz w:val="28"/>
          <w:szCs w:val="28"/>
          <w:rtl w:val="true"/>
          <w:lang w:bidi="ar-SA"/>
        </w:rPr>
        <w:t>أبي، وكان عنده وجيهاً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لشعيب العقرقوفي بعد سؤاله عمّن يرجع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بصير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اُحبّ أن يرى في شيعتي مثلك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اﷲ</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الروايات، وهي كثيرة يمكن دعوى حصول الاطمئنان بدلالتها على جواز التقليد، مع اختلاف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جواز التقليد بالإجماع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مراراً حال هذه الإجماعات، وأنّها ليست تعبّديّة كاشفة عن قول المعصوم، مضافاً إلى أنّها مظنونة المدركيّة، بل يمكن القطع بأنّ مدركه هو أمثال هذه الروايات التي نقلناها، مضافاً إلى عدم تحقّق الإجماع هنا مع اتّفاق الأخباريّين على عدم جواز التقليد</w:t>
      </w:r>
      <w:r>
        <w:rPr>
          <w:rFonts w:eastAsia="Amiri" w:cs="Amiri" w:ascii="Amiri" w:hAnsi="Amiri"/>
          <w:color w:val="111111"/>
          <w:sz w:val="28"/>
          <w:szCs w:val="28"/>
          <w:rtl w:val="true"/>
          <w:lang w:bidi="ar-SA"/>
        </w:rPr>
        <w:t xml:space="preserve">. </w:t>
      </w:r>
      <w:bookmarkStart w:id="382" w:name="pg15437_355166"/>
    </w:p>
    <w:p>
      <w:pPr>
        <w:pStyle w:val="Heading4"/>
        <w:numPr>
          <w:ilvl w:val="3"/>
          <w:numId w:val="1"/>
        </w:numPr>
        <w:rPr/>
      </w:pPr>
      <w:bookmarkStart w:id="383" w:name="__RefHeading___Toc6974667_2142443653"/>
      <w:bookmarkStart w:id="384" w:name="_Toc140"/>
      <w:bookmarkEnd w:id="382"/>
      <w:bookmarkEnd w:id="383"/>
      <w:r>
        <w:rPr>
          <w:rtl w:val="true"/>
        </w:rPr>
        <w:t xml:space="preserve">مسألة </w:t>
      </w:r>
      <w:r>
        <w:rPr>
          <w:rtl w:val="true"/>
        </w:rPr>
        <w:t>:</w:t>
      </w:r>
      <w:r>
        <w:rPr>
          <w:rtl w:val="true"/>
        </w:rPr>
        <w:t>هل يجوز تقليد الميّت ابتداءً؟</w:t>
      </w:r>
      <w:bookmarkEnd w:id="384"/>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تقليد الميّت مطلقاً، ابتداءً واستدامةً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منه ابتداءاً، والقول بجوازه استدامةً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أن يكون الظنّ الحاصل من قوله أقوى من الظنّ الذي يحصل من قول الحيّ، فيجوز، وإلّا،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أن يكون المجتهد الحيّ الجامع لشرائط الفتوى موجوداً، وبين أن لا يكون كذلك، ففي الأوّل لا يجوز، وفي الثاني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القول بالانسداد وأنّ النتيجة بناءً على الحكومة ليست مهملةً بالنسبة إلى مراتب الظنّ، وأنّ العقل يحكم بتقديم الظنّ الأقوى الحاصل من أحد الفتويين على الظنّ القويّ،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من الظنّين كان أقوى فيجب الأخذ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جهة الانسداد، بل الدليل عليه هو السيرة وبناء العقلاء، وما ورد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الأخير، فقال فيه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التفصيل الثاني المنقول عن العلّامة والأردبيليّ والشيخ سليمان </w:t>
      </w:r>
    </w:p>
    <w:p>
      <w:pPr>
        <w:pStyle w:val="BookText"/>
        <w:rPr/>
      </w:pPr>
      <w:r>
        <w:rPr>
          <w:rFonts w:ascii="Amiri" w:hAnsi="Amiri" w:eastAsia="Amiri" w:cs="Amiri"/>
          <w:color w:val="111111"/>
          <w:sz w:val="28"/>
          <w:sz w:val="28"/>
          <w:szCs w:val="28"/>
          <w:rtl w:val="true"/>
          <w:lang w:bidi="ar-SA"/>
        </w:rPr>
        <w:t xml:space="preserve">البحرانيّ والشيخ عليّ بن هلال،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في هذه المسألة؛ لأنّ الكلام في هذه المسألة في الجواز وعدم الجواز بعد الفراغ عن إمكان الرجوع إلى الحيّ، وأمّا في مورد عدم إمكان الرجوع إلى الحيّ؛ لبُعْد البلاد، وعدم الوسيلة، أو لانقراض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مناص من الرجوع إلى الميّت إن لم يمكن الاحتياط، أو لم نقل بوجوبه؛ لأدلّة نفي العسر أو للإجماع</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فتبقى الأقوال الثلاثة الأُخرى،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التقليد مطلقاً، وعدم جوازه مطلقاً، والمنع من تقليد الميت ابتداءً وجوازه استدامةً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بجواز التقليد ابتداءً، فهو قول العامّة برمّتهم بعد حصرهم المذاهب في الأربعة الذين ماتوا قبل أزيد من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ينسب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أصحابنا من الأخباريّين، ولكنّ هؤلاء في الحقيقة منكرون للاجتهاد، وبابه مسدود عندهم، وإنّما هم يقولون بأنّ وظيفة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كان العامّيّ عاجزاً عنه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يفسّر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ويبيّنه للعامّيّ، وهذا المعنى لا يفرّق فيه بين الحيّ والميّت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للقول بعدم الجواز بوجوه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بحجّيّته فلا تضرّ مخالفة الأخباريّين؛ لأنّ مخالفتهم ليست من جهة أنّهم يجوّزون تقليد الميّت ابتداءً، بل خلافهم مسلكيّ ومبنائيّ؛ لأنّهم ينكرون التقليد بالمعنى المصطلح؛ فإنّ المجتهد عندهم ليس إلّا الناقل للرواية، ولو بالمعنى، ولا يعتبرون الحياة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أصل مبناهم هذا باطل؛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يحكم بلزوم رجوع الجاهل إلى العالم، لكونه من أهل الخبرة، مع كون رأيه دخيلاً، لا لمجرّد أنّه راوٍ؛ لأنّ الفقيه والمفتي إنّما هو الناظر في الأخبار، القادر على تمييز الصحيح من السقيم، الخبير بكيفيّة الجمع بين المتعارضين، وحمل العامّ على الخاصّ، والمطلق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ننقض المقام بمثل نقل الرواية، فإنّه لا يمكن لأحد الإشكال في شمولها للميّت، وليس من فرقٍ بين المقامين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يفهمه العرف من دليل حجّيّة قول الراوي هو أنّ المرجع هو الرواية، لا الراوي، والرواية لا تسقط بموت الراوي، بل ليس دور الراوي إلّا أن يقوم بنقل الرواية، لا أنّه يفتي حقيقةً على حسب رأيه ونظره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الرواية وجواز العمل بها لا يتوقّفان على حياة الرواي بوجهٍ، بل يجوز العمل بها، سواء كان المحدّث بها حيّاً أم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المرجع في الفتوى فهو المجتهد نفسه، لا الفتوى، على أنّ مثل الحديث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حصر جواز الرجوع في </w:t>
      </w:r>
    </w:p>
    <w:p>
      <w:pPr>
        <w:pStyle w:val="BookText"/>
        <w:rPr/>
      </w:pPr>
      <w:r>
        <w:rPr>
          <w:rFonts w:ascii="Amiri" w:hAnsi="Amiri" w:eastAsia="Amiri" w:cs="Amiri"/>
          <w:color w:val="111111"/>
          <w:sz w:val="28"/>
          <w:sz w:val="28"/>
          <w:szCs w:val="28"/>
          <w:rtl w:val="true"/>
          <w:lang w:bidi="ar-SA"/>
        </w:rPr>
        <w:t xml:space="preserve">الرجوع إلى الفقيه، فمن لا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فلا يجوز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 إلى المحقّق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رأي المجتهد بعد موته، فليس هناك شيء حتى يكون موضوعاً للحجّيّة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الدليل هو عمدة أدلّتهم؛ لأنّ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مخالفة الأخباريّين وهم شطر كبير من علماء الشيعة، وجمع 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ممّا يكون للمجمعين مدارك عقليّة ونقليّة، ويسندون فتاواهم إلى تلك المدارك، ليس هو الإجماع الاصطلاحيّ الذي بنينا على حجّيّته في الاُصول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فيمكن بيان هذا الوجه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الشخص، فبعد موته تنكشف له الواقعيّات، فإذا كان قد استنبط شيئاً ما في حال حياته، وكان ما استنبطه خطأً في تلك الحالة، فذلك الاجتهاد لم يبقَ علىحاله، بل يتبدّل لا محالة،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موضوع لحجّيّة رأيه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عنها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محض؛ لأنّ النفس في كلّ صورة علميّةٍ حصلت لها من تصوّرٍ أو تصديقٍ أو ملكةٍ من الملكات </w:t>
      </w:r>
    </w:p>
    <w:p>
      <w:pPr>
        <w:pStyle w:val="BookText"/>
        <w:rPr/>
      </w:pPr>
      <w:r>
        <w:rPr>
          <w:rFonts w:ascii="Amiri" w:hAnsi="Amiri" w:eastAsia="Amiri" w:cs="Amiri"/>
          <w:color w:val="111111"/>
          <w:sz w:val="28"/>
          <w:sz w:val="28"/>
          <w:szCs w:val="28"/>
          <w:rtl w:val="true"/>
          <w:lang w:bidi="ar-SA"/>
        </w:rPr>
        <w:t xml:space="preserve">الفضيلة أو الرذيلة، تحشر مع تلك الملكات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كانت أو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ولا تنقص،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في بدء خلقتها ليس فيها شيء من العلوم والصور، حتى البديهيّات، بل صرف استعداد لتحصيل العلوم، ولذلك تسمّى في هذه المرتبة بالعقل الهيولائي، وبعدما وهبها اﷲ تعالى البديهيّات، فإذا شرع في التكسّب، يحصل من هذه التصوّرات البديهيّة والتصديقات البديهيّة التي وهبها اﷲ لها التصوّرات النظريّة والتصديقات النظريّة، فكلّ شيء اكتسبته وحصل لها من الصور العلميّة من التصوّرات والتصديقات يبقى له إذا كان في حال الحياة بلغ إلى مرتبة العقل بالفعل، وكلّ شيء لم يكتسبه ولم يحصله باقية على جهلها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 أَعْمَى</w:t>
      </w:r>
      <w:r>
        <w:rPr>
          <w:rStyle w:val="FootnoteAnchor"/>
          <w:rtl w:val="true"/>
        </w:rPr>
        <w:footnoteReference w:id="321"/>
      </w:r>
      <w:r>
        <w:rPr>
          <w:rFonts w:ascii="Amiri" w:hAnsi="Amiri" w:eastAsia="Amiri" w:cs="Amiri"/>
          <w:color w:val="111111"/>
          <w:sz w:val="28"/>
          <w:sz w:val="28"/>
          <w:szCs w:val="28"/>
          <w:rtl w:val="true"/>
          <w:lang w:bidi="ar-SA"/>
        </w:rPr>
        <w:t>،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الواقعيّات ينكشف له، لا أساس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ذكر، من المحتمل بقاء الرأي،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ظانّاً به، وبعد الموت يصير متيقّناً، واختلاف الظنّ واليقين لا يوجب تبدّل الرأي، فيستصحب بقاؤه، 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حجّيّته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العرض لا يوجد إلّا بوجود موضوعه، فإذا لم يبقَ الموضوع </w:t>
      </w:r>
    </w:p>
    <w:p>
      <w:pPr>
        <w:pStyle w:val="BookText"/>
        <w:rPr/>
      </w:pPr>
      <w:r>
        <w:rPr>
          <w:rFonts w:ascii="Amiri" w:hAnsi="Amiri" w:eastAsia="Amiri" w:cs="Amiri"/>
          <w:color w:val="111111"/>
          <w:sz w:val="28"/>
          <w:sz w:val="28"/>
          <w:szCs w:val="28"/>
          <w:rtl w:val="true"/>
          <w:lang w:bidi="ar-SA"/>
        </w:rPr>
        <w:t xml:space="preserve">والمعروض، لم يبقَ العرض أيضاً، والإنسان بعد الموت يكون جماداً، حيث لا إدراك له ولا شعور، كما هو محقّق ومشاهد بالوجدان،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له رأي؟ هذا من قبيل وجود العرض بلا معروض، والصفة بلا موصوف، وهو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 هذا الاُستاذ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هذا الكلام لا يستقيم إلّا على مذهب من يقول بأنّ من مات فات، وينكر الحشر والنشور، أو من ينكر تجرّد النفس وبقاءها بعد بوار البدن، ولا 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بأنّ المعاد خلق جديد، أو إعادة للمعدوم، وهذه اُمور يتنفّر عنها الطبع الصحيح، وينكرها العقل الصريح، ومخالف لما صدر، مستفيضاً، بل متواتراً،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القرآن الكريم في موارد متعدّدة وآيات كثيرة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فبعد وصول الأمر إلى الشكّ، وشككنا بأنّه هل يبقى الرأي للميت أم لا؟ فهل يمكن جريان الاستصحاب أم لا؟الصحيح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من شروط جريان الاستصحاب أن يكون الموضوع في القضيّة المتيقّنة والقضيّة المشكوكة واحداً، والعرف هنا لا يرى أنّ صاحب الرأي في القضيّة المتيقنة هو عينه صاحب الرأي في القضيّة المشكوكة، فلذلك لا يجري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لو وصلت النوبة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أنّها لا تصل إليه؛ لأنّ الملكة إذا حصلت للنفس فهي باقية له، ولا تزول ببوار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القول بجواز التقليد الميّت ابتداءً لو لم يكن هناك إجماع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المجوّزون بوجوهٍ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حاله، بل لو لم نقل بأنّه لا يدلّ على عدم الجواز، فلا يمكن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إثبات هذه السيرة في باب تقليد الميت ابتداء، وأنّها مستمرّة إلى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الإشكال، وأمّا بالنسبة إلى البقاء على تقليده، فيمكن ادّعاء السيرة، ولكن سيأتي الكلام فيه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 النفر والسؤال؛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غير مقيّدة بالحياة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يتمّ ذلك إلّا لو قلنا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السؤال هم الفقهاء، مع أنّ الظاهر من الآية أنّ الخطابموجّه إلى أهل الكتاب، أو المراد من أهل الذكر هو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خارجةً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إطلاق في الآيات يشمل الميت؛ لأنّ الميت لا يتأتّى منه الإنذار، ولا يصدق عليه عنوان أهل الذكر؛ لأنّ الظاهر من الآيتين </w:t>
      </w:r>
    </w:p>
    <w:p>
      <w:pPr>
        <w:pStyle w:val="BookText"/>
        <w:rPr/>
      </w:pPr>
      <w:r>
        <w:rPr>
          <w:rFonts w:ascii="Amiri" w:hAnsi="Amiri" w:eastAsia="Amiri" w:cs="Amiri"/>
          <w:color w:val="111111"/>
          <w:sz w:val="28"/>
          <w:sz w:val="28"/>
          <w:szCs w:val="28"/>
          <w:rtl w:val="true"/>
          <w:lang w:bidi="ar-SA"/>
        </w:rPr>
        <w:t>وغيرهما أنّ أمثال هذه العناوين مأخوذة على نحو الفعليّة، وذلك لا يكون إلّا في حال الحياة،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بعض المعاصرين بأنّه لو أنذر ونام، أو أغمى عليه، فعلم إنذاره من لم يكن حاضراً في مجلس الخطاب والإنذار، فهل يمكن أن يقال بعدم اعتبار الإنذار بالنسبة إليه؟</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الشخص يصدق عليه عنوان المنذِر بالفعل، دون من مات قبل مئات السنين، فذاك لا يصدق عليه المنذر،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يظهر منها إرجاع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أصحابه، كإرجاعه إلى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حديثاً فعليك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مشيراً إلى زرارة، وما تقدّم من إرجاع ابن أبي يعفور إلى محمّد بن مسلم، وإرجاع العقرقوفي إلى أبي بصير، وإرجاع عليّ بن مسيّب إلى زكريّا بن آدم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بزكريّا بن آدم المأمون على الدين والدنيا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وإرجاعه إلى يونس بن عبد الرحمن، وقوله لأبان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في مسجد الكوفة وأفتِ بين النّاس، فإنّي اُحبّ أن يرى في أصحابي مثلك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الروايات وإن كان بعضها وارداً في أخذ الحديث، إلّا أنّ بعضها الآخر وارد في أخذ الفتوى، ولكنّ هذا البعض الآخر لا إطلاق له ليشمل تقليد الميت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الأخبار العامّة الواردة في باب التقليد،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لا إطلاق لها لتشمل حالة كون الفقيه ميتاً، وعلى فرض التنزّل، وفرضنا أنّ لها إطلاقاً، إلّا أنّ هذا الإطلاق لا يشمل مورد التعارض، بل هو 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الوضعيّ،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الواقعيّ المحكيّ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المجتهد كانت حجّةً قبل موته، فإذا شككنا في بقائها على حجّيّتها أو عدمها، استصحبنا حجّيّتها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استصحاب الحكم الوضعيّ إنّما يجري لو كان الحكم الوضعيّ مجعولاً بجعل مستقل، وأمّا لو قلنا بأنّ الحجّيّة منتزعة من الحكم الظاهريّ الراجع إلى العمل بالواقع على تقدير المصادفة، وإلى الرخصة على تقدير المخالفة، فيجريالاستصحاب في منشأ الانتزاع، </w:t>
      </w:r>
    </w:p>
    <w:p>
      <w:pPr>
        <w:pStyle w:val="BookText"/>
        <w:rPr/>
      </w:pPr>
      <w:r>
        <w:rPr>
          <w:rFonts w:ascii="Amiri" w:hAnsi="Amiri" w:eastAsia="Amiri" w:cs="Amiri"/>
          <w:color w:val="111111"/>
          <w:sz w:val="28"/>
          <w:sz w:val="28"/>
          <w:szCs w:val="28"/>
          <w:rtl w:val="true"/>
          <w:lang w:bidi="ar-SA"/>
        </w:rPr>
        <w:t>لا فيها؛ لأنّه ليس لها أثر شرعاً، ولا هي موضوعة للأثر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الاستصحاب إنّما يجري لو كان موضوع الحجّيّة هو مجرّد حدوث الرأي، وأمّا لو قلنا بأنّ الموضوع هو الرأي حدوثاً وبقاءً، فلا؛ لعدم وجود الموضوع؛ لأنّ الرأي لم يبقَ، بل هو ينتفي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زوال الموضوع بالموت، فإنّ الموضوع هو النفس الناطقة، وهي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من وحدة الموضوع في الاستصحاب إنّما هو النظر العرفيّ، والعرف يرى زوال الموضوع بالموت، تماماً كما يرى زوال الموضوع بزوال الرأي والملكة بواسطة الجنون والهرم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فتوى المجتهد الميّت مجعولة على نحو القضايا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حجّة لكلّ مفروض الوجود في 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وجد فلابدّ من الرجوع إلى فتوى العالم، بلا فرق بين أن يكون معاصراً للعالم، أو وجد بعد موته،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شربه،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وجد في الخارج فهو حرام شربه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الحجّيّة مترتّبة على الرأي والنظر، ولا رأي بعد الموت، بل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جماداً بنظر العرف، وحاله في ذلك حال سائر الجمادات؛ لاشتراكه معها في أنّه لا إدراك له ولا شعور، كما هو المشاهد بالوجدان، فكيف يبقى له رأي؟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المساعدة على جريان الاستصحاب؛ لأنّ المراد بالحجّيّة إن كانت هي الحجّيّة الفعليّة، فهي مشكوكة الحدوث؛ لأنّ المتيقّن عدم الحجّيّة الفعليّة بالنسبة إلى العامّيّ غير موجود في عصر المجتهد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الحجّيّة الشأنيّة، فكذلك لا يجري الاستصحاب؛ للشكّ في سعة دائرة الحجّيّة المُنشأة وضيقها؛ لأنّا لا نعلم بأنّ هذا الرأي هل كان حجّةً بالنسبة إلى من أدرك المجتهد الحيّ بالخصوص، أو أنّه عامّ حتى بالنسبة إلى من لم يدركه؟</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الحكم الواقعيّ، فلا إشكال في عدم جريانه؛ لأنّه يتوقّف على اليقين بالحدوث، وليس لنا يقين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استصحاب الأحكام الظاهريّة فهو متوقّف على وجود الحكم الظاهريّ، وقد أثبتنا أنّ حجّيّة الأمارات ليست إلّا من باب المنجّزيّة والمعذّريّة، وليست من باب إنشاء أحكام ظاهريّة في مقابل الحكم الواقعيّ؛ لتأديته إلى التصويب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الشارع المقدّس كما أنّه جعل أحكاماً واقعيّة يشترك فيه الجاهل والعالم، فكذلك جعل أحكاماً ظاهريّة، وهي مختصّة بمن قامت الأمارة عنده، أمكن جريان الاستصحاب، ولكنّ هذا المبنى غير صحيح، كما مرّ في محلّه</w:t>
      </w:r>
      <w:r>
        <w:rPr>
          <w:rFonts w:eastAsia="Amiri" w:cs="Amiri" w:ascii="Amiri" w:hAnsi="Amiri"/>
          <w:color w:val="111111"/>
          <w:sz w:val="28"/>
          <w:szCs w:val="28"/>
          <w:rtl w:val="true"/>
          <w:lang w:bidi="ar-SA"/>
        </w:rPr>
        <w:t xml:space="preserve">. </w:t>
      </w:r>
      <w:bookmarkStart w:id="385" w:name="pg15437_355177"/>
    </w:p>
    <w:p>
      <w:pPr>
        <w:pStyle w:val="Heading4"/>
        <w:numPr>
          <w:ilvl w:val="3"/>
          <w:numId w:val="1"/>
        </w:numPr>
        <w:rPr/>
      </w:pPr>
      <w:bookmarkStart w:id="386" w:name="__RefHeading___Toc6974669_2142443653"/>
      <w:bookmarkStart w:id="387" w:name="_Toc141"/>
      <w:bookmarkEnd w:id="385"/>
      <w:bookmarkEnd w:id="386"/>
      <w:r>
        <w:rPr>
          <w:rtl w:val="true"/>
        </w:rPr>
        <w:t xml:space="preserve">مسألة </w:t>
      </w:r>
      <w:r>
        <w:rPr>
          <w:rtl w:val="true"/>
        </w:rPr>
        <w:t>:</w:t>
      </w:r>
      <w:r>
        <w:rPr>
          <w:rtl w:val="true"/>
        </w:rPr>
        <w:t>البقاء على تقليد الميت</w:t>
      </w:r>
      <w:r>
        <w:rPr>
          <w:rtl w:val="true"/>
        </w:rPr>
        <w:t>:</w:t>
      </w:r>
      <w:bookmarkEnd w:id="387"/>
    </w:p>
    <w:p>
      <w:pPr>
        <w:pStyle w:val="BookText"/>
        <w:rPr/>
      </w:pPr>
      <w:r>
        <w:rPr>
          <w:rFonts w:ascii="Amiri" w:hAnsi="Amiri" w:eastAsia="Amiri" w:cs="Amiri"/>
          <w:color w:val="111111"/>
          <w:sz w:val="28"/>
          <w:sz w:val="28"/>
          <w:szCs w:val="28"/>
          <w:rtl w:val="true"/>
          <w:lang w:bidi="ar-SA"/>
        </w:rPr>
        <w:t>والكلام تارةً في صورة موافقة رأيه لرأي الحيّ الذي يجب تقليده، وأُخرى في صورة المخالفة، وهذه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احتمال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الجواز؛ لأنّ وجوب التقليد طريقيّ، والمطلوب أن يكون العمل مطابقاً لما هو الحجّة بالفعل، فسواء فرضنا أنّ فتوى الميّت حجّة أو ليست بحجّة، فقد جاء عمله مطابقاً لما هو الحجّة بالفعل، وهي فتوى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أيّ ثمرة يبن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قول الميّت حجّة، والقول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تظهر الثمرة بناءً على القول بأنّ التقليد هو الالتزام بالعمل، فإن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صحيحاً إذا كان رأيه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رأي الميّت مخالفاً لرأي الحيّ، ففيه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على تقليد الميت خصوصاً إذا كان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البقاء على تقليده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ما لو كان قد التزم بتقليده فعلاً حال الحياة، وما إذا عمل بالفتوى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هذا التفصيل إلى ما مرّ من أنّ التقليد هل هو العمل أو الالتزام؟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له البقاء؛لعدم صدق عنوان </w:t>
      </w:r>
    </w:p>
    <w:p>
      <w:pPr>
        <w:pStyle w:val="BookText"/>
        <w:rPr/>
      </w:pPr>
      <w:r>
        <w:rPr>
          <w:rFonts w:ascii="Amiri" w:hAnsi="Amiri" w:eastAsia="Amiri" w:cs="Amiri"/>
          <w:color w:val="111111"/>
          <w:sz w:val="28"/>
          <w:sz w:val="28"/>
          <w:szCs w:val="28"/>
          <w:rtl w:val="true"/>
          <w:lang w:bidi="ar-SA"/>
        </w:rPr>
        <w:t xml:space="preserve">التقليد عليه، بخلاف الثاني؛ لأنّ مجرّد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تحقّق عنوان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لجواز البقاء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فإنّها قائمة على عدم رجوع الجاهل فيما كان أخذه من العالم في كلّ صنف، كما كان دأب الراجعين إلى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ما كانوا يعودون عمّا أخذوه منهم، بل كانوا يعملون به ولو بعد سماعهم بموت من أخذوا منه قبل العمل به، كما نرى فيمن راجع الطبيب فأعطاه وصفة لكي يعمل بها إلى حينٍ من الزمن، ثمّ مات الطبيب بعد إعطاء الوصفة، فإنّه لا يبقى متحيّراً في العمل بها بعد موته، ولا يرى داعياً للرجوع إلى طبيبٍ آخر قبل انتهاء المدّة التي كان قد عيّنها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شيء يكون رادعاً لهذه السيرة، وما قد يذكر من وجود الردع، فإنّما هو في مورد التقليد الابتدائيّ، حيث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مثل هذه السيرة لم يثبت، وأنّه لا أقلّ من الشكّ، وأمّا في المقام، فلا شكّ في ثبوتها فيه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أنّه لا يمكن التمسّك به بعد وجود دعوىً بالإجماع على الخلاف</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الآيات والأخبار، كآية النفر وآية الذكر؛ فإنّهما تشملان المورد وتقتضيان العمل على طبق الإنذار والسؤال مطلقاً، ولا دليل يدلّ على لزوم أن يكون المنذر والمسؤول منه حيّين حال العمل بفتواهما، </w:t>
      </w:r>
    </w:p>
    <w:p>
      <w:pPr>
        <w:pStyle w:val="BookText"/>
        <w:rPr/>
      </w:pPr>
      <w:r>
        <w:rPr>
          <w:rFonts w:ascii="Amiri" w:hAnsi="Amiri" w:eastAsia="Amiri" w:cs="Amiri"/>
          <w:color w:val="111111"/>
          <w:sz w:val="28"/>
          <w:sz w:val="28"/>
          <w:szCs w:val="28"/>
          <w:rtl w:val="true"/>
          <w:lang w:bidi="ar-SA"/>
        </w:rPr>
        <w:t>ومثله يقالبالنسبة إلى الفقيه، فإنّ فتواه حجّة سواء موجوداً حال العمل أم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بالنسبة إلى الروايات المتقدّمة التي ورد فيها الأمر بالرجوع إلى بعض أصحاب الإمام كزرارة ومحمّد بن مسلم وزكريّا بن آدم، أو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الدالّة على جواز التقليد،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والروايات إنّما دلّت على وجوب الأخذ ممّن هو أهل للأخذ والعمل بقوله، ولا دلالة فيها على تقييد جواز العمل بما إذا كان حيّاً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يكون حيّاً عند السؤال منه أو الرجوع إليه والأخذ منه، ولكن قد ذكرنا سابقاً أنّ الإطلاق لا يشمل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وهو على ثلاثة أقسام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بقاء الحجّيّة، فقد مرّ الكلام فيه في إثبات حجّيّة التقليد ابتداءً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الحكم الواقعيّ، فلا وجه له أصلاً؛ لأنّ الحكم الواقعيّ إمّا غير متيقّن الحدوث، أو أنّه ليس بمشكوك البقاء، وفي الاستصحاب لابدّ من اليقين بالحدوث والشكّ في البقاء؛ لأنّ الحكم الواقعيّ إذا حدث وتحقّق فلا معنى لارتفاعه إلّا بالنسخ، ولا معنى للشكّ به بعد موت المجتهد؛ لأنّ الحكم الواقعيّ إذا ثبت بالنسبة إلى </w:t>
      </w:r>
    </w:p>
    <w:p>
      <w:pPr>
        <w:pStyle w:val="BookText"/>
        <w:rPr/>
      </w:pPr>
      <w:r>
        <w:rPr>
          <w:rFonts w:ascii="Amiri" w:hAnsi="Amiri" w:eastAsia="Amiri" w:cs="Amiri"/>
          <w:color w:val="111111"/>
          <w:sz w:val="28"/>
          <w:sz w:val="28"/>
          <w:szCs w:val="28"/>
          <w:rtl w:val="true"/>
          <w:lang w:bidi="ar-SA"/>
        </w:rPr>
        <w:t>شخص قطعاً فلا يرفع بموت المجتهد الذي يقلّده، فإذا حصل له الشكّ فيه بعد الموت، فهو يرجع إلى الشكّ في أصل الحدوث، كما ذكرنا في استصحاب الحكم في التقليد الابتدائيّ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استصحاب الحكم الظاهريّ، 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أن يستصحب الأحكام الظاهريّة،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مؤدّى اجتهاد الميّت، أو مؤدّى حجّيّة قوله وفتواه سابقاً، فهذا الاستصحاب إنّما يجري بناءً على أن يكون المؤدّى مجعولاً في باب الطرق والأمارات،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آراء المجتهد أحكاماً ظاهريّة للمقلّدين ولنفسه في حال الحياة، فلو شكّ في بقائها بعد الموت،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الحقّ من أنّ المجعول في باب الطرق والأمارات هو الطريقيّة وتتميم الكشف والوسطيّة في الإثبات، وليس المؤدّى، فليس هناك حكم ظاهريّ، بل إنّما هو ظاهر الحكم، ويكون كسرابٍ بقيعةٍ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الشارع كما جعل أحكاماً واقعيّة يشترك فيه العالم والجاهل، فهو كذلك جعل أحكاماً ظاهريّة، وهي مختصّة بمن قامت عنده الأمارة أو الأصل على ذلك الحكم، كان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بأنّ الأحكام الظاهريّة لها وجود في مقابل الأحكام الواقعيّة، فلا معنى لعدم جريان الاستصحاب؛ لأنّ هذه </w:t>
      </w:r>
    </w:p>
    <w:p>
      <w:pPr>
        <w:pStyle w:val="BookText"/>
        <w:rPr/>
      </w:pPr>
      <w:r>
        <w:rPr>
          <w:rFonts w:ascii="Amiri" w:hAnsi="Amiri" w:eastAsia="Amiri" w:cs="Amiri"/>
          <w:color w:val="111111"/>
          <w:sz w:val="28"/>
          <w:sz w:val="28"/>
          <w:szCs w:val="28"/>
          <w:rtl w:val="true"/>
          <w:lang w:bidi="ar-SA"/>
        </w:rPr>
        <w:t>الأحكام كانت موجودة في حال الحياة يقيناً، ونشكّ في بقائها بعد موته، فنستصحب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حتى بناءً على ما اخترناه من أنّه ليس المجعول في باب الأمارات إلّا الطريقيّة، فإنّه مع ذلك يمكن جريان الاستصحاب؛ لأنّ معنى الاستصحاب هو إثبات الملازمة بين الثبوت والبقاء، فبعد موت المجتهد يستصحبالحكم الذي كان مؤدّى الفتوى على تقدير ثبوت هذا الحكم؛ إذ إنّ المستفاد من دليل الاستصحاب هو جريانه عند القطع بالحكم الواقعيّ أو بموضوعٍ ذي حكمٍ واقعيّ،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الحكم المتيقّن واقعاً أو الموضوع ذي الحكم الواقعيّ بواسطة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الأمارة أو الأصل على حكمٍ شرعيّ، فإنّ هذا القيام يكون بمنزلة حصول القطع بذلك الحكم، فيجري الاستصحاب في مؤدّاهما بهذا الاعتبار، فإذا علمنا بأنّ المجتهد حكم بشيءٍ من جهة قيام الأمارة أو الأصل عليه، فإنّ ذلك يكون بمنزلة ما إذا قطعنا بالحكم، فإذا حصل الشكّ بعد موته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بجواز تقليد الميّت، فتارةً يكون مساوياً للحيّ في الأعلميّة، وأُخرى يكون الميّت أعلم من الحيّ، وثالثة يكون الحيّ أعلم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التساوي وكونهما متّفقين في الفتوى، فقد ذكرنا أنّه لا معنى </w:t>
      </w:r>
    </w:p>
    <w:p>
      <w:pPr>
        <w:pStyle w:val="BookText"/>
        <w:rPr/>
      </w:pPr>
      <w:r>
        <w:rPr>
          <w:rFonts w:ascii="Amiri" w:hAnsi="Amiri" w:eastAsia="Amiri" w:cs="Amiri"/>
          <w:color w:val="111111"/>
          <w:sz w:val="28"/>
          <w:sz w:val="28"/>
          <w:szCs w:val="28"/>
          <w:rtl w:val="true"/>
          <w:lang w:bidi="ar-SA"/>
        </w:rPr>
        <w:t>للبحث عن أنّه لابدّ من تقليد الحيّ أو الميت، بعدما كان عمله مطابقاً لما هو الحجّة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متساويين في العلم، ولكن اختلفا في الفتوى، ولم يعلم أعلميّة أحدهما، ففي هذه الصورة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قلنا بجواز تقليد الميّت فلا يجوز الرجوع إلى الحيّ؛ لأنّه أن كان مقتضى الأدلّة هو حجّيّة فتوى المجتهد الميّت، فلا معنى لجواز الرجوع إلى الحيّ، وإلّا، يلزم أن يكون في الواقعةالواحدة حجّتان فعليّتان،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يكونان من اجتماع الضدّين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الجواز إنّما هو لمكان الإجماع، والقدر المتيقّن منه هو المجتهد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يدور بين التعيين والتخيير؛ فإنّ حجّيّة فتوى الميّت معلومة من جهة جريان الاستصحاب، إمّا تعييناً أو تخييراً، وإذا دار الأمر بين التعيين والتخيير، يؤخذ بالتعيين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الحيّ أيضاً محتملة التعيينيّة، فبما أنّ لنا علماً إجماليّاً بحجّيّة أحدهما بخصوصه، فلابدّ من الاحتياط بالأخذ بأحوط القولين، بعد تساقطهما وعدم شمول الأدلّة والإطلاقات للمتعارضين، وليس هناك دليل على إمكان الأخذ بأحدهما بخصوصه، وبعد أن علمنا بأنّ هناك أحكاماً واقعيّة منجّزة في حقّ المكلّف، ولا يمكن الخروج عن عهدتها إلّا بذلك، إلّا أن يدلّ دليل على عدم وجوب الاحتياط على العامّيّ، أو لم يتمكّن من الاحتياط،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الرجوع إلى أحدهما المعيّن </w:t>
      </w:r>
      <w:bookmarkStart w:id="388" w:name="pg15437_355183"/>
    </w:p>
    <w:p>
      <w:pPr>
        <w:pStyle w:val="BookText"/>
        <w:rPr/>
      </w:pPr>
      <w:bookmarkEnd w:id="388"/>
      <w:r>
        <w:rPr>
          <w:rFonts w:ascii="Amiri" w:hAnsi="Amiri" w:eastAsia="Amiri" w:cs="Amiri"/>
          <w:color w:val="111111"/>
          <w:sz w:val="28"/>
          <w:sz w:val="28"/>
          <w:szCs w:val="28"/>
          <w:rtl w:val="true"/>
          <w:lang w:bidi="ar-SA"/>
        </w:rPr>
        <w:t>أم أنّه لابدّ من التخيير؟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لأنّه بعد سقوطهما لا معنى للرجوع، فلابدّ من التخيير؛ لأنّه بعد عدم التمكّن من الامتثال الجزميّ تصل النوبة إلى 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أعلميّة أحدهما، فلابدّ من الرجوع إلى الأعلم، سواء كان هو الحيّ أم الميّت؛ لأنّ أدلّة جواز البقاء على تقليد الميت تجعل الميت كالحيّ، فكما إذا كان هناك مجتهدان كلاهما على قيد الحياة لابدّ من تقليد الأعلم منبينهما، حتى إذا قلّدت المجتهد الحيّ غير الأعلم لابدّ من الرجوع إلى الأعلم، فكذلك هنا؛ للسيرة العقلائيّة، فإذا كان الحيّ هو الأعلم فيجب الرجوع إليه، وإذا كان الميت هو الأعلم فيجب البقاء على تقليده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974671_2142443653"/>
      <w:bookmarkStart w:id="390" w:name="_Toc142"/>
      <w:bookmarkEnd w:id="389"/>
      <w:r>
        <w:rPr>
          <w:rtl w:val="true"/>
        </w:rPr>
        <w:t>مسألة</w:t>
      </w:r>
      <w:r>
        <w:rPr>
          <w:rtl w:val="true"/>
        </w:rPr>
        <w:t>:</w:t>
      </w:r>
      <w:bookmarkEnd w:id="390"/>
    </w:p>
    <w:p>
      <w:pPr>
        <w:pStyle w:val="BookText"/>
        <w:rPr/>
      </w:pPr>
      <w:r>
        <w:rPr>
          <w:rFonts w:ascii="Amiri" w:hAnsi="Amiri" w:eastAsia="Amiri" w:cs="Amiri"/>
          <w:color w:val="111111"/>
          <w:sz w:val="28"/>
          <w:sz w:val="28"/>
          <w:szCs w:val="28"/>
          <w:rtl w:val="true"/>
          <w:lang w:bidi="ar-SA"/>
        </w:rPr>
        <w:t>الأقوى جواز البقاء على تقليد الميت وإن كان لم يعمل بفتاواه بعد؛ لأنّه بناءً على جريان استصحاب بقاء الحكم، أو جريان استصحاب الحجّيّة فلا يشترط العمل في جواز البقاء؛ لأنّ هذا الشرط لم يكن لازماً في جواز جريان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بأنّ المستند هو السيرة العقلائيّة أو الإطلاقات التي تقتضي جواز الرجوع، فإنّ هذا الشرط لم يكن مشترطاً في شيءٍ من هذه الأدلّة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جواز البقاء على تقليد الميت لم تكن دائرةً مدار العمل، ولا مبنيّةً على دخول العمل في معنى التقليد، حتى يقال</w:t>
      </w:r>
      <w:r>
        <w:rPr>
          <w:rFonts w:eastAsia="Amiri" w:cs="Amiri" w:ascii="Amiri" w:hAnsi="Amiri"/>
          <w:color w:val="111111"/>
          <w:sz w:val="28"/>
          <w:szCs w:val="28"/>
          <w:rtl w:val="true"/>
          <w:lang w:bidi="ar-SA"/>
        </w:rPr>
        <w:t xml:space="preserve">: </w:t>
      </w:r>
      <w:bookmarkStart w:id="391" w:name="pg15437_355184"/>
    </w:p>
    <w:p>
      <w:pPr>
        <w:pStyle w:val="BookText"/>
        <w:rPr/>
      </w:pPr>
      <w:bookmarkEnd w:id="391"/>
      <w:r>
        <w:rPr>
          <w:rFonts w:ascii="Amiri" w:hAnsi="Amiri" w:eastAsia="Amiri" w:cs="Amiri"/>
          <w:color w:val="111111"/>
          <w:sz w:val="28"/>
          <w:sz w:val="28"/>
          <w:szCs w:val="28"/>
          <w:rtl w:val="true"/>
          <w:lang w:bidi="ar-SA"/>
        </w:rPr>
        <w:t>بأنّ معنى التقليد إن كان هو العمل برأي الغير فلا يتحقّق عنوان البقاء على تقليده إلّا في المسائل التي كان قد عمل بها برأي الميت، وإن كان هو الالتزام، فلا وجه لاشتراط العمل في الحكم بجواز البقاء، بل يكفي مجرّد الأخذ والالتزام بالعمل قبل موت المجتهد</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974673_2142443653"/>
      <w:bookmarkStart w:id="393" w:name="_Toc143"/>
      <w:bookmarkEnd w:id="392"/>
      <w:r>
        <w:rPr>
          <w:rtl w:val="true"/>
        </w:rPr>
        <w:t>العدول من الحيّ إلى الحيّ</w:t>
      </w:r>
      <w:r>
        <w:rPr>
          <w:rtl w:val="true"/>
        </w:rPr>
        <w:t>:</w:t>
      </w:r>
      <w:bookmarkEnd w:id="393"/>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الثاني أعلم،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الأوّل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بالمخالفة بينهما في الفتوى،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المجتهد الذي يريد أن يعدل إليه أعلم، وكان عالماً بالمخالفة بينهما، كان العدول إليه واجباً، ولا يجوز له بعد ذلك الرجوع إلى المقلّد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 الأوّل أعلم، مع العلم بالمخالفة بينهما في الفتوى، لم يجز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الثاني أعلم، ولم يعلم بالمخالفة بينهما، جاز له أن يبقى على تقليد الأوّل، أو الرجوع إلى الثاني الذي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يتخيّر في صورة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عدم العلم بالمخالفة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العدول والحالة هذه؛ لأنّ التخيير ابتدائيّ، لا استمراريّ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هنا عقليّ، وليس كالتخيير في باب الخبرين المتعارضين؛ لأنّ التخيير هناك شرعيّ، وبعد الأخذ بأحد الخبرين يرتفع موضوع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التخيير عقليّاً، جاز ابتداءً واستمراراً؛ لأنّ انطباق الكلّيّ على الفرد والمصداق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العلم بالمخالفة بين المتساويين، يتساقطان، فلا يجوز له البقاء على الأوّل، ولا الرجوع إلى الثاني،وحينئذٍ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إلى التخيير، ومع عدم التمكّن من الامتثال الجزميّ تصل النوبة إلى الامتثال غير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العدول تمسّكاً باستصحاب بقاء الحكم في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بقاء التخيير قبل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استصحاب عدم التخيير لا يجري؛ لأنّ القضيّة المتيقّنة غير متّحدة مع المشكوكة؛ لأنّ من له الخيار من الأوّل كان هو المتحيّر، وبعد الأخذ بأحدهما زالت حيرته، أو أنّ من له الخيار هو الذي لم تقم لديه الحجّة الفعليّة، وبعد الأخذ بإحدى الفتويين صارت بأخذه لها حجّة فعليّة، فلا موضوع لاستصحاب التخيير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الاستصحاب الأوّل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 الشكّ بالبقاء لابدّ وأن يكون متيقّناً بالحدوث؛ وهو قبل العدول كان له علم بحجّيّة الفتوى في حقّه، وبعد العدول لا علم بالحجّيّة، فلا يبقى يقين في البين</w:t>
      </w:r>
      <w:r>
        <w:rPr>
          <w:rFonts w:eastAsia="Amiri" w:cs="Amiri" w:ascii="Amiri" w:hAnsi="Amiri"/>
          <w:color w:val="111111"/>
          <w:sz w:val="28"/>
          <w:szCs w:val="28"/>
          <w:rtl w:val="true"/>
          <w:lang w:bidi="ar-SA"/>
        </w:rPr>
        <w:t xml:space="preserve">. </w:t>
      </w:r>
      <w:bookmarkStart w:id="394" w:name="pg15437_355186"/>
    </w:p>
    <w:p>
      <w:pPr>
        <w:pStyle w:val="Heading4"/>
        <w:numPr>
          <w:ilvl w:val="3"/>
          <w:numId w:val="1"/>
        </w:numPr>
        <w:rPr/>
      </w:pPr>
      <w:bookmarkStart w:id="395" w:name="__RefHeading___Toc6974675_2142443653"/>
      <w:bookmarkStart w:id="396" w:name="_Toc144"/>
      <w:bookmarkEnd w:id="394"/>
      <w:bookmarkEnd w:id="395"/>
      <w:r>
        <w:rPr>
          <w:rtl w:val="true"/>
        </w:rPr>
        <w:t xml:space="preserve">فصل </w:t>
      </w:r>
      <w:r>
        <w:rPr>
          <w:rtl w:val="true"/>
        </w:rPr>
        <w:t>:</w:t>
      </w:r>
      <w:r>
        <w:rPr>
          <w:rtl w:val="true"/>
        </w:rPr>
        <w:t>في لزوم تقليد الأعلم</w:t>
      </w:r>
      <w:bookmarkEnd w:id="396"/>
    </w:p>
    <w:p>
      <w:pPr>
        <w:pStyle w:val="BookText"/>
        <w:rPr/>
      </w:pPr>
      <w:r>
        <w:rPr>
          <w:rFonts w:ascii="Amiri" w:hAnsi="Amiri" w:eastAsia="Amiri" w:cs="Amiri"/>
          <w:color w:val="111111"/>
          <w:sz w:val="28"/>
          <w:sz w:val="28"/>
          <w:szCs w:val="28"/>
          <w:rtl w:val="true"/>
          <w:lang w:bidi="ar-SA"/>
        </w:rPr>
        <w:t>هل يجب على العامّيّ تقليد الأعلم أم يجوز له تقليد غير الأعلم مع وجود الأعلم؟</w:t>
      </w:r>
    </w:p>
    <w:p>
      <w:pPr>
        <w:pStyle w:val="BookText"/>
        <w:rPr/>
      </w:pPr>
      <w:r>
        <w:rPr>
          <w:rFonts w:ascii="Amiri" w:hAnsi="Amiri" w:eastAsia="Amiri" w:cs="Amiri"/>
          <w:color w:val="111111"/>
          <w:sz w:val="28"/>
          <w:sz w:val="28"/>
          <w:szCs w:val="28"/>
          <w:rtl w:val="true"/>
          <w:lang w:bidi="ar-SA"/>
        </w:rPr>
        <w:t>المشهور والمعروف بين الأصحاب هو الأوّل، وادّعى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325"/>
      </w:r>
      <w:r>
        <w:rPr>
          <w:rFonts w:ascii="Amiri" w:hAnsi="Amiri" w:eastAsia="Amiri" w:cs="Amiri"/>
          <w:color w:val="111111"/>
          <w:sz w:val="28"/>
          <w:sz w:val="28"/>
          <w:szCs w:val="28"/>
          <w:rtl w:val="true"/>
          <w:lang w:bidi="ar-SA"/>
        </w:rPr>
        <w:t>، والذي يظهر من كلامالسيّد علم الهدى في الذريعة</w:t>
      </w:r>
      <w:r>
        <w:rPr>
          <w:rStyle w:val="FootnoteAnchor"/>
          <w:rtl w:val="true"/>
        </w:rPr>
        <w:footnoteReference w:id="326"/>
      </w:r>
      <w:r>
        <w:rPr>
          <w:rFonts w:ascii="Amiri" w:hAnsi="Amiri" w:eastAsia="Amiri" w:cs="Amiri"/>
          <w:color w:val="111111"/>
          <w:sz w:val="28"/>
          <w:sz w:val="28"/>
          <w:szCs w:val="28"/>
          <w:rtl w:val="true"/>
          <w:lang w:bidi="ar-SA"/>
        </w:rPr>
        <w:t>أنّه من المسلّمات عند الشيعة، وذهب بعضهم إلى التخيير بين الأعلم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الفصل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للعامّيّ الرجوع إلى غير الأعلم مع وجود الأعلم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للمجتهد أن يفتي بجواز الرجوع إلى غير الأعلم أم لا، بل لابدّ أن يحكم بوجوب تقليد الأعلم؟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المسلّم أنّ العقل يستقلّ بلزوم الرجوع إلى الأعلم، كما هو مقتضى بناء العقلاء، وإنّ المتيقّن من الخروج عن أصالة حرمة العمل بالظنّ إنّما هو الظنّ الحاصل من قول الأعلم، وأمّا الحاصل من قول غيره فمشكوك فيه في صورة وجود الأعلم، فيبقى تحت أصالة </w:t>
      </w:r>
    </w:p>
    <w:p>
      <w:pPr>
        <w:pStyle w:val="BookText"/>
        <w:rPr/>
      </w:pPr>
      <w:r>
        <w:rPr>
          <w:rFonts w:ascii="Amiri" w:hAnsi="Amiri" w:eastAsia="Amiri" w:cs="Amiri"/>
          <w:color w:val="111111"/>
          <w:sz w:val="28"/>
          <w:sz w:val="28"/>
          <w:szCs w:val="28"/>
          <w:rtl w:val="true"/>
          <w:lang w:bidi="ar-SA"/>
        </w:rPr>
        <w:t>عموم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المسألة من صغريات دوران الأمر بين التعيين والتخيير؛ للعلم بجواز تقليد الأعلم على كلّ حال؛ لأنّ فتوى الأعلم إمّا أن تكون في عرض فتوى غير الأعلم، فيجوز للعامّيّ الرجوع إلى هذا وذاك، أو أنّها متقدّمة على غيرها، وحيث إنّ فتوى الأعلم متيقّنة الحجّيّة، وفتوى غير الأعلم مشكوكة الحجّيّة، فيستقلّ عقل العامّيّ بلزوم الرجوع إلى الأعلم؛ لأنّ قول غير الأعلم والأخذ به مع وجود الأعلم مقترن باحتمال العقاب، بعد أن كانت حجّيّته في طول قول الأعلم، لا في عرضه، ومعلوم أنّ دفع الضرر المحتمل واجب بمقتضى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فتوى غير الأعلم مطابقةً لفتوى الأعلم، وأُخرى نعلم بمخالفتهما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نشكّ في المخالفة أو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للبحث عن وجوب الرجوع إلى الأعلم أو عدمه؛ لأنّ الوظيفة إنّما هي العمل بما هو الحجّة، وبعد التطابق بين فتوى الأعلم وفتوى غيره، وعمل المكلّف بها، فقد فرّغ ذمّته، ولا نحتاج إلى ما هو أزيد من ذلك في إحراز صدق استناد عمله إلى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العلم بالمخالفة، ولو إجمالاً، فقد يقال بعدم وجوب الرجوع إلى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لذلك بوجوه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من الآيات والروايات، كآيتي النفر </w:t>
      </w:r>
    </w:p>
    <w:p>
      <w:pPr>
        <w:pStyle w:val="BookText"/>
        <w:rPr/>
      </w:pPr>
      <w:r>
        <w:rPr>
          <w:rFonts w:ascii="Amiri" w:hAnsi="Amiri" w:eastAsia="Amiri" w:cs="Amiri"/>
          <w:color w:val="111111"/>
          <w:sz w:val="28"/>
          <w:sz w:val="28"/>
          <w:szCs w:val="28"/>
          <w:rtl w:val="true"/>
          <w:lang w:bidi="ar-SA"/>
        </w:rPr>
        <w:t>والإنذار، وجملة من الأخبار المتقدّمة؛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التحذّر عقيب إنذار المنذر مطلق، سواء كان المنذر هو أعلم من غيره أم لم يكن، ما يدلّ على عدم تعيّن الأعلم عند الدوران بينه وبين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صورة تساوي المنذرين حمل على الفرد النادر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عن هذا اُستاذنا المحقّق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سلمنا نحن دلالة آية النفر على لزوم التقليد على العامّيّ بالدلالة الالتزاميّة، ولكن لا نسلّم دلالتهاعلى أنّها في مقام البيان، حتى من جهة اختلاف المنذرين في العلم والفضيلة مع اختلافهم في الفتوى</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أدلّة الحجّيّة لا يشمل المتعارضين؛ لأنّه يستلزم الجمع بين الضدّين تارةً، والنقيضين أُخرى، وشمول الأدلّة لأحدهما معيّناً ترجيح بلا مرجّح، ومخيّراً لا دليل عليه، فمقتضى القاعدة هو التساقط في كلّ دليلين متعارضين إلّا إذا دلّ دليل من الخارج على ترجيح أحدهما أو على التخيير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البيان يجري بالنسبة إلى الأخبار الواردة في الرجوع إلى العلماء وأصحاب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إطلاق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يظهر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مقام البيان من هذه الجهة، بل الظاهر أنّه في مقام البيان من ناحية أصل الإرجاع إليهم، وهو لا يشمل صورة العلم </w:t>
      </w:r>
    </w:p>
    <w:p>
      <w:pPr>
        <w:pStyle w:val="BookText"/>
        <w:rPr/>
      </w:pP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احتمال الخلاف، كما في مورد هذه الروايات، لا بأس بالعمل بقول المجتهد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من المتشرّعة على الأخذ بفتوى من كان له صلاحيّة الفتوى، من غير الفحص عن الأعلم، مع اختلافهم من جهة العلم والفضيلة، ولم ينكر أحد منهم ذلك، ولو كان الرجوع إلى الأعلم واجباً، لكان الواجب عليهم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قيام السيرة على الرجوع إلى غير الأعلم مع مخالفته للأعلم محلّ إشكالٍ، بل منع، بل السيرة قائمة على الرجوع إلى الأعلم مع العلم بمخالفة غير الأعلم له، كما نرى في مراجعة المريض للطبيب الأخصّائي، وما يتراءى من رجوع المتشرّعة إلى غير الأعلم مع وجود الأعلم والمخالفة بينهما، هو إمّا لأجل اعتقادهم بأنّ من أخذوا منه هو الأعلم، وإمّا لعدم علمهم بالمخالفة بينهما في الفتوى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تقليد الأعلم يلزم منه العسر والحرج، وهما منتفيان في الشريعة المقدّسة؛ لأنّ تشخيص الأعلم عن غيره في غاية الصعوبة، ولذا نسب إلى بعض المحقّقين المعاصرين القول بأنّ الكبرى مسلّمة ولا نقاش فيها، وإنّما النقاش في الصغرى،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تمييز الأعلم عن غيره، فإنّه في غاية الصعوبة لسكّان المدن، فضلاً عن أهل القرى والبوادي، ولا سيّما العجائز؛ إذ كيف يتمكّن هؤلاء من التمييز بين من هو أحسن سليقةً وأجود استنباطاً؟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بتشخيص مفهوم الأعلم، فسيأتي أنّ المراد منه من كان أقوى استنباطاً للأحكام وأحسن سليقةً في تطبيق الكبريات على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يتعلّق بتشخيص مصاديقه وتمييزها، فهو ليس بأصعب من تشخيص أصل الاجتهاد، فكما أنّ نفس الاجتهاد يثبت بالعلم الوجدانيّ وبالشياع المفيد للعلم، وبالبيّنة، وبالعدل الواحد، فكذلك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يقول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مع قطع النظر عن الأدلّة الواردة في هذا الباب، وأنّه هل لها إطلاق أو ليس لها ذلك؟ مقتضى الأصل الأوّليّ هو تعيّن الأعلم،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أنّه إذا احتمل أن يكون للأعلميّة دخل في الحجّيّة، فيحكم عقله حكماً بتّيّاً بلزوم متابعة الأعلم؛ للشكّ في أنّ متابعة الآخر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مبرئ لذمّته أم لا؟ فحكمه بلزوم تقليد الأعلم يكون من باب الاحتياط العقليّ وملاك الأمن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تساوى في نظره الأعلم وغيره فيما هو مناط التقليد، ولم يحتمل أن يكون لتلك الخصوصيّة دخل أصلاً، فقهراً عقله يحكم بالتخيير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يتوهّم أنّه كما أنّ أصل وجوب التقليد ليس بتقليديّ؛ لاستلزامه الدور، فكذلك مسألة وجوب الأعلم؛ لاستلزامه الخلف لو </w:t>
      </w:r>
    </w:p>
    <w:p>
      <w:pPr>
        <w:pStyle w:val="BookText"/>
        <w:rPr/>
      </w:pPr>
      <w:r>
        <w:rPr>
          <w:rFonts w:ascii="Amiri" w:hAnsi="Amiri" w:eastAsia="Amiri" w:cs="Amiri"/>
          <w:color w:val="111111"/>
          <w:sz w:val="28"/>
          <w:sz w:val="28"/>
          <w:szCs w:val="28"/>
          <w:rtl w:val="true"/>
          <w:lang w:bidi="ar-SA"/>
        </w:rPr>
        <w:t>أفتى الأعلم بجواز تقليد غير الأعلم؛ لأنّه يلزم من حكم العقل بتعيّن الرجوع إلى الأعلم عدم تعيّنه، وهذا هو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بلزوم تقليد الأعلم حكم احتياطيّ، مثل حكمه بلزوم الاجتناب عن أطراف الشبهة المحصورة التحريميّة، فإذا قام دليل على جواز تقليد غير الأعلم، وهو فتوى الأعلم، فلا يبقى موضوع للحكم العقليّ 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حكمه حكماً استقلاليّاً نفسيّاً لكان يلزم هذا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المجتهد، فمن جهة دوران الأمر بين التعيين والتخيير في الحجّة، ولا شكّ في أنّ معلوم الحجّيّة منهما، تعييناً أوتخييراً، حجّة، وهو فتوى الأعلم، والمشكوك، وهو فتوى المفضول، تجري فيه أصالة العدم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أدلّة المثبتين، فوجوه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لزوم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مراراً أنّ هذه الإجماعات التي مدركها الأدلّة النقليّة والعقليّة لا تكون من قبيل الإجماعات التعبّديّة المصطلح عليها،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وأنّهم عند الاختلاف يأخذون بقول الأعلم، كما </w:t>
      </w:r>
    </w:p>
    <w:p>
      <w:pPr>
        <w:pStyle w:val="BookText"/>
        <w:rPr/>
      </w:pPr>
      <w:r>
        <w:rPr>
          <w:rFonts w:ascii="Amiri" w:hAnsi="Amiri" w:eastAsia="Amiri" w:cs="Amiri"/>
          <w:color w:val="111111"/>
          <w:sz w:val="28"/>
          <w:sz w:val="28"/>
          <w:szCs w:val="28"/>
          <w:rtl w:val="true"/>
          <w:lang w:bidi="ar-SA"/>
        </w:rPr>
        <w:t>هو المشاهد في غير الأحكام من الحرف والصنايع، ولا يلتفتون إلى قول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فتوى غير الأعلم موافقةً للاحتياط، ولو كان الأعلم مخالفاً له في الفتوى،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فتواه، لا لأنّ فتواه هي الحجّة، بل لأجل العمل بالاحتياط ودرك الواقع،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إسناد فتوى غير الأعلم إلى اﷲ تعالى، ولا الإتيان بما أفتى به بقصد الأمر بعد أن لم تثبت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المتقدّمة،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وإن استشكلوا فيها سنداً، إلّا أنّها مقبولة، وقد تلقّاها الأصحاب بالقبول، وقد ورد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أُخرى كثيرة، وفيها قرائن يطمئنّ معها بصحّتها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أجنبيّة عن المقام؛ لأنّها وردت في مقام الحكومة ودفع الخصومة، وفي ذلك المقام لابدّ من تعيين أحدهما للأخذ بحكمه، ولا معنى للحكم بالتخيير؛ لاستلزامه بقاء الترافع على حاله؛ لأنّ كلّ واحد منهما ربّما يختار غير ما اختاره الآخر، فتبقى الخصومة على حالها، فإذا ثبت أنّ التعيين لازم، فالأعلم يكون هو المقدّم، </w:t>
      </w:r>
    </w:p>
    <w:p>
      <w:pPr>
        <w:pStyle w:val="BookText"/>
        <w:rPr/>
      </w:pPr>
      <w:r>
        <w:rPr>
          <w:rFonts w:ascii="Amiri" w:hAnsi="Amiri" w:eastAsia="Amiri" w:cs="Amiri"/>
          <w:color w:val="111111"/>
          <w:sz w:val="28"/>
          <w:sz w:val="28"/>
          <w:szCs w:val="28"/>
          <w:rtl w:val="true"/>
          <w:lang w:bidi="ar-SA"/>
        </w:rPr>
        <w:t>فلا ملازمة بين تقديم الأفضل في باب الخصومة بعد صدور الحكم عن الاثنين، وبين تقديمه في باب الفتوى، فهذه الرواية كما لا يمكن التعدّي من موردها إلى الروايتين المتعارضتين، فكذلك لا يمكن التعدّي منها إلى الفتويين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والإجماع المركّب؛ لأنّ كلّ من يقول بتقليد الأعلم في مقام الحكم يقول بتقديمه في مقام الفتوى، والتفصيل بينهما خرق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من يقول بعدم التقديم في كليهما، وأمّا القائل بالتفصيل فليس في البين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في الجواب عنها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الأفضل وإن كان وارداً في باب الخصومة، ولكنّ هذا التقديم والترجيح وقع من جهة مدرك الحكم، وهو ليس إلّا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للحكم بين الناس أفضل رعيّتك</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على هذه الرواية أنّها وردت في باب القضاء؛ لما ذكرناه من أنّ التقديم في أمثال هذه الروايات هو باعتبار مدرك الحكم، وليس هو إلّا الفتوى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لم ترد في لزوم تعيين الأفضليّة </w:t>
      </w:r>
    </w:p>
    <w:p>
      <w:pPr>
        <w:pStyle w:val="BookText"/>
        <w:rPr/>
      </w:pPr>
      <w:r>
        <w:rPr>
          <w:rFonts w:ascii="Amiri" w:hAnsi="Amiri" w:eastAsia="Amiri" w:cs="Amiri"/>
          <w:color w:val="111111"/>
          <w:sz w:val="28"/>
          <w:sz w:val="28"/>
          <w:szCs w:val="28"/>
          <w:rtl w:val="true"/>
          <w:lang w:bidi="ar-SA"/>
        </w:rPr>
        <w:t>المطلقة، بل إنّما وردت في الأفضليّة الإضافيّة،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الوالي الذي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هذه الروايات وأمثالها إرشاد إلى حكم العقل، وإنّما قيّد فيها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إمكان الرجوع إلى الأعلم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داود بن حصين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اختلاف الحكمين،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أفقههما وأعلمهما بأحاديثنا فينفذ حكمه، ولا يلتفت إلى الآخر</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وإن وردت في باب القضاء، ولكن لا نرى فيها خصوصيّة لشرط الأعلميّة في هذا الباب دون غيره من الأبواب، وما ذكر من الإشكال والجواب في الروايتين السابقتين يأتي بعينه 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قول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إنّه عظيم عند اﷲ أن تقف غداً بين يديه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تفتي عبادي بما لم تعلم، وفي الاُمّة من هو أعلم منك؟</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وإن كانت تدلّ على اعتبار الأعلميّة المطلقة في المفتي، إلّا أنّها ضعيفة سنداً؛ لإرسالها، إذن لا يمكن الاستدلال بها بوجه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يستشكل في دلالة هذه الجملة على الأعلميّة المطلقة بأنّها أجنبيّة عن محلّ الكلام، فإنّ موردها هو من أفتى بما لم يعلم، والبحث إنّما هو في لزوم الرجوع إلى 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فالذي يظهر من هذه الروايات هو وجوب الرجوع إلى الأعلم؛ للاطمئنان بصدورها على نحو الإجمال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الإصرار على الخدشة فيها تكفينا السيرة العقلائيّة الجارية في مجالات الأحكام وغيرها من الحرف والصنائع والعلوم، ولم يردع عنها الشارع، بل أمضاها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الاُستاذ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لا قصور في دلالتها على لزوم الرجوع إلى الأفضل عند العلم بالاختلاف في فتواهما، وإذا ظهر ذلك لك، فعلى فرض أن يكون هناك إطلاقات للآيات والروايات تدلّ على جواز تقليد المفضول، مع وجود الأفضل، مع مخالفة فتواه لفتوى المفضول، لا بدّ أن يقيّد بهذه الأخبار، مع أنّه تقدّم أنّه لا إطلاق في البين أصلاً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الرجوع إلى الأعلم، وكذا الفحص عنه لغرض الرجوع إليه، إنّما هو فيما إذا علم بالمخالفة مع غير الأعلم في الفتوى، ولم يمكن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كانا متّفقين في الفتوى، أو </w:t>
      </w:r>
    </w:p>
    <w:p>
      <w:pPr>
        <w:pStyle w:val="BookText"/>
        <w:rPr/>
      </w:pPr>
      <w:r>
        <w:rPr>
          <w:rFonts w:ascii="Amiri" w:hAnsi="Amiri" w:eastAsia="Amiri" w:cs="Amiri"/>
          <w:color w:val="111111"/>
          <w:sz w:val="28"/>
          <w:sz w:val="28"/>
          <w:szCs w:val="28"/>
          <w:rtl w:val="true"/>
          <w:lang w:bidi="ar-SA"/>
        </w:rPr>
        <w:t>أراد الاحتياط بالجمع بين الفتويين مع إمكان ذلك، بأن لم يكن بينهما تضادّ أو تناقض، أو كانت فتوى غير الأعلم موافقةً للاحتياط، فلا يجب الفحص حينئذٍ، كما أنّه إذا لم يمكن الاحتياط في صورة المخالفة في الفتوى يجب عليه الفحص؛ لأنّ الإطلاقات لا تشمل المتعارضين، فيجب الرجوع إلى الأعلم؛ لأنّ قول غير الأعلم ليس بحجّة، فيكون المورد من باب اشتباه الحجّة باللّاحجّة، فلابدّ من الفحص، فإذا عمل بفتوى أحدهما من دون أن يفحص عن الأعلم لم يقطع بفراغ ذمّته؛ لاحتمال أن يكون الأعلم غيره، ولاحتمال أنّ ما عمل به لم يكن معذّراًله، واحتمال وقوعه في المخالفة والعقاب المحتمل، ودفع ضرر المحتمل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فحص وعجز عن معرفة الأفضل فلابدّ له من العمل بالاحتياط بعد أن كانت الأحكام الواقعيّة، ومن بينها أحكام إلزاميّة، منجّزة في حقّه بالعلم الإجماليّ، كما بيّنّاه في محلّه، وليس هناك طريق إلى العمل على طبق فتوى الأعلم، ومع الفحص والعجز عن معرفة الأعلم فلابدّ له من الاحتياط حتى يحصل له العلم بالموافقة دفعاً للضرر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الأخذ بأحدهما، كما لو كان مظنون الأعلميّة أو محتملها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الإطلاقات لا تشمل المتعارضين، فيتساقطان، </w:t>
      </w:r>
    </w:p>
    <w:p>
      <w:pPr>
        <w:pStyle w:val="BookText"/>
        <w:rPr/>
      </w:pPr>
      <w:r>
        <w:rPr>
          <w:rFonts w:ascii="Amiri" w:hAnsi="Amiri" w:eastAsia="Amiri" w:cs="Amiri"/>
          <w:color w:val="111111"/>
          <w:sz w:val="28"/>
          <w:sz w:val="28"/>
          <w:szCs w:val="28"/>
          <w:rtl w:val="true"/>
          <w:lang w:bidi="ar-SA"/>
        </w:rPr>
        <w:t>فلا يكون أيّ واحد من الفتويين حجّة ليكون المظنون منهما أو محتملهما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يأتي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بالاختلاف بينهما وجهل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هنا إثبات التخيير باستصحاب عدم أعلميّة أحدهما على الآخر، نظراً إلى القطع بعدمها قبل أن يصل إلى مرتبة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لا يثبت به التساوي إلّا بنحو التمسّك بالأصل المثبت؛ فإنّ موضوع التخيير هو التساوي، وهو غير محرز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الرجوع إلى التخيير عدم الأعلميّة، ولا نحتاج إلى إثبات التساوي بإطلاقات الأدلّة، بل يكفي عدم إحراز الأعلميّة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العامّيّ باختلافهما في الفضيلة على نحو الإجمال، ولم يعلم اختلافهما في الفتوى، أو لم يعلم باختلافهما، لا في الفتوى، ولا في الفضيلة، فلا يجب الفحص عن الأعلم بينهما؛ لأنّ أدلّة لزوم الرجوع إلى الأعلم ناظرة إلى صورة العلم بالمخالفة، وأمّا مع عدم العلم بذلك، فهو مخيّر له الرجوع إلى أيٍّ منهما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بالإطلاق في المقام؛ لأنّه من باب التمسّك بالعامّ في الشبهات المصداقيّة؛ فإن صورة العلم بالمخالفة قد خرجت </w:t>
      </w:r>
      <w:bookmarkStart w:id="397" w:name="pg15437_355198"/>
    </w:p>
    <w:p>
      <w:pPr>
        <w:pStyle w:val="BookText"/>
        <w:rPr/>
      </w:pPr>
      <w:bookmarkEnd w:id="397"/>
      <w:r>
        <w:rPr>
          <w:rFonts w:ascii="Amiri" w:hAnsi="Amiri" w:eastAsia="Amiri" w:cs="Amiri"/>
          <w:color w:val="111111"/>
          <w:sz w:val="28"/>
          <w:sz w:val="28"/>
          <w:szCs w:val="28"/>
          <w:rtl w:val="true"/>
          <w:lang w:bidi="ar-SA"/>
        </w:rPr>
        <w:t>يقيناً، فمع الشكّ في المخالفة يكون التمسّك بالإطلاق تمسّكاً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إدخال الفرد المشكوك في العموم بالأصل؛ فإنّ فرديّة الفرد للعموم قد تكون بالوجدان وقد تكون بالأصل أيضاً، والمخالفة بين المجتهدين أمر حادث، فمع الشكّ في تحقّقها يبنى على عدمها بمقتضى الاستصحاب،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المجتهدين كانا في زمانٍ ولم يكونا متخالفين في الفتوى، ولو من جهة عدم بلوغهما مرتبة الاجتهاد، فمقتضى الأصل أنّهما الآن كما كانا عليه سابقاً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974677_2142443653"/>
      <w:bookmarkStart w:id="399" w:name="_Toc145"/>
      <w:bookmarkEnd w:id="398"/>
      <w:r>
        <w:rPr>
          <w:rtl w:val="true"/>
        </w:rPr>
        <w:t>التخيير عند تساوي المجتهدين</w:t>
      </w:r>
      <w:r>
        <w:rPr>
          <w:rtl w:val="true"/>
        </w:rPr>
        <w:t>:</w:t>
      </w:r>
      <w:bookmarkEnd w:id="399"/>
    </w:p>
    <w:p>
      <w:pPr>
        <w:pStyle w:val="BookText"/>
        <w:rPr/>
      </w:pPr>
      <w:r>
        <w:rPr>
          <w:rFonts w:ascii="Amiri" w:hAnsi="Amiri" w:eastAsia="Amiri" w:cs="Amiri"/>
          <w:color w:val="111111"/>
          <w:sz w:val="28"/>
          <w:sz w:val="28"/>
          <w:szCs w:val="28"/>
          <w:rtl w:val="true"/>
          <w:lang w:bidi="ar-SA"/>
        </w:rPr>
        <w:t>إذا كان هناك مجتهدان متساويان في الفضيلة،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بالمخالفة بينهما فيما هو محلّ الابتلاء، وأُخرى يعلم بالمخالفة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العلم بالتساوي وعدم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المقلّد في الرجوع إلى أيّهما شاء، فإنّ الإطلاقات تشمل فتوى كلاّ من المجتهدين المتساويين، وقد ذكرنا أنّه يجوز الرجوع إلى غير الأعلم في صورة عدم العلم بمخالفته للأعلم، ففي صور التساوي وعدم العلم بالمخالفة، يجوز ذلك بطريقٍ اُولى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العلم بالمخالفة بينهما فالمعروف بينهم هو القول بالتخيير، وفيه إشكال؛ فإنّ الحجّيّة التخييريّة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كانت بمعنى جعل الحجّيّة على هذا وذاك يستلزم الجمع بين الضدّين أو النقيضين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الحجّة هي الجامع بين الفتويين،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لعدم إمكان جعل الحجّيّة للجامع بين النفي والإثبات، ولو تنزّلنا وقلنا بإمكانه، فلا تشمله الإطلاقات،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المتعارضين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الحجّيّة على كلّ واحدٍ منهما حجّة مشروطاً بعدم الأخذ بالآخر، فهو وإن كان ممكناً، ولا يأتي في مورده محذور الجمع بين الضدّين والنقيضين، ولكن حيث كان يترتّب عليه أن يتّصف كلّ منهما بالحجّيّة الفعليّة، إذا ترك المكلّف الأخذ بهما معاً، ولا معنى لجعل الحجّيّة لكلاالمتعارضين، ولا لفعليّتهما معاً؛ ولا تشملهما الإطلاقات، لأنّها لا تشمل المتعارضين،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الحجّيّة التخييريّة بمعنى جعل الحجّيّة على كلّ من الفتويين مشروطةً بالأخذ بها، لا بعدم الأخذ بالآخر، فهي مقبولة ولا يترتّب عليها أيّ إشكال ثبوتاً، ولكن لا دليل عليها في مرحلة الإثبات؛ لأنّ ما دلّ على حجّيّة فتوى الفقيه مطلق غير مقيّدة بالأخذ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للقول بالتخيير بالإجماع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صغرىً وكبرى؛ أمّا كبرىً، فلأنّه منقول، والمنقول من الإجماع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صغرىً، فلأنّه أمثال هذه الموارد من المسائل </w:t>
      </w:r>
    </w:p>
    <w:p>
      <w:pPr>
        <w:pStyle w:val="BookText"/>
        <w:rPr/>
      </w:pPr>
      <w:r>
        <w:rPr>
          <w:rFonts w:ascii="Amiri" w:hAnsi="Amiri" w:eastAsia="Amiri" w:cs="Amiri"/>
          <w:color w:val="111111"/>
          <w:sz w:val="28"/>
          <w:sz w:val="28"/>
          <w:szCs w:val="28"/>
          <w:rtl w:val="true"/>
          <w:lang w:bidi="ar-SA"/>
        </w:rPr>
        <w:t>المستحدثة، ولم يتعرّض السابقون لها، فلا مجال لدعوى إجماعهم على القول بالتخيير فيها، وعلى فرض ثبوته، فإنّه إجماع مدركيّ، أو محتمل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مراراً أنّها لا تشمل مثل الفتويين المتعارضين؛ لتأديته إلى الجمع بين الضدّين أو النقيضين، ولا يمكن الأخذ بإحدى الفتويين دون الأُخرى؛ لأنه من الترجيح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التمسّك بالسيرة العقلائيّة، فمندفع، بعدم تسليم انعقادها بحيث تشمل صورة التعارض في الفتوى بين المتساويين، كما نرى ذلك منهم خارجاً؛ فإنّهم لا يعتمدون على أقوال الأطبّاء إذا اختلفوا في تشخيص العلاج كيفما كان، بل يحتاطون ما أمكنهم الاحتياط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سيرة المتشرعة، فكذلك لا يمكن التمسّك بها؛ إذ لم يحرز اتّصالها بزمان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العلم بالمخالفة بينهما فلابدّ من الاحتياط، ومع عدم الإمكان يتخيّر بحكم العقل؛ لأنّ التكاليف منجّزة في حقّه، ولا طريق له إلى الخروج عن عهدتها سوى هذا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للأعلم فتوى في مسألة ما فهل للعامّيّ الرجوع إلى غير الأعلم أم لا؟ </w:t>
      </w:r>
    </w:p>
    <w:p>
      <w:pPr>
        <w:pStyle w:val="BookText"/>
        <w:rPr/>
      </w:pPr>
      <w:r>
        <w:rPr>
          <w:rFonts w:ascii="Amiri" w:hAnsi="Amiri" w:eastAsia="Amiri" w:cs="Amiri"/>
          <w:color w:val="111111"/>
          <w:sz w:val="28"/>
          <w:sz w:val="28"/>
          <w:szCs w:val="28"/>
          <w:rtl w:val="true"/>
          <w:lang w:bidi="ar-SA"/>
        </w:rPr>
        <w:t>في المسألة صور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للأعلم فتوى في المسألة، وتكون مخالفة لفتوى غير الأعلم، وفي هذه الصورة لابدّ من الأخذ بفتوى الأعلم، ولا يجوز له الرجوع إلى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فتوى، ولكن تكون موافقةً لفتوى غير الأعلم، ففي هذه الصورة له أن يعمل بفتوى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فتوى، ولكنّه أفتى بوجوب الاحتياط على مقلّديه، وعيّن لهم الوظيفة من جهة فتواه بالحكم الظاهريّ، فلا يجوز للمقلّد في هذه الصورة الرجوع إلى غير الأعلم مع وجود فتوى الأعلم، ولو كانت فتوىً بالاحتياط؛ لأنّ إفتاءه، ولو بحكم ظاهريّ، يكون مانعاً عن حجّيّة فتوى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يفتي بالاحتياط، ولكن من جهة عدم علمه وعدم جزمه بالحكم الواقعيّ في المسألة، وفي هذه الصورة، فللعامّيّ أن يختار الرجوع إلى غيره، الأعلم فالأعلم،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رجوع الجاهل إلى العالم، ولا مانع من أن تشمله إطلاقات الأدلّة بعد أن لم يكن للأعلم فتوى مخالفةً ومعارضةً له، ولكن لا يجوز له الرجوع إلى مطلق غير الأعلم، بل إنّما يجوز مع رعاية الأعلم فالأعلم، وذلك لعين ما ذكرناه آنفاً من وجوب الرجوع إلى الأعلم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أفتى بالاحتياط مع العلم بأنّ قوله معارض لقول غير الأعلم، </w:t>
      </w:r>
      <w:bookmarkStart w:id="400" w:name="pg15437_355202"/>
    </w:p>
    <w:p>
      <w:pPr>
        <w:pStyle w:val="BookText"/>
        <w:rPr/>
      </w:pPr>
      <w:bookmarkEnd w:id="400"/>
      <w:r>
        <w:rPr>
          <w:rFonts w:ascii="Amiri" w:hAnsi="Amiri" w:eastAsia="Amiri" w:cs="Amiri"/>
          <w:color w:val="111111"/>
          <w:sz w:val="28"/>
          <w:sz w:val="28"/>
          <w:szCs w:val="28"/>
          <w:rtl w:val="true"/>
          <w:lang w:bidi="ar-SA"/>
        </w:rPr>
        <w:t xml:space="preserve">وكان هذا الحكم بالاحتياط منه تخطئةً لفتوى غير الأعلم، لم يجز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الأعلم بل لابدّ من العمل بالاحتياط الذي أفتى به الأعلم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974679_2142443653"/>
      <w:bookmarkStart w:id="402" w:name="_Toc146"/>
      <w:bookmarkEnd w:id="401"/>
      <w:r>
        <w:rPr>
          <w:rtl w:val="true"/>
        </w:rPr>
        <w:t>حكم عمل الجاهل المقصّر والقاصر</w:t>
      </w:r>
      <w:r>
        <w:rPr>
          <w:rtl w:val="true"/>
        </w:rPr>
        <w:t>:</w:t>
      </w:r>
      <w:bookmarkEnd w:id="402"/>
    </w:p>
    <w:p>
      <w:pPr>
        <w:pStyle w:val="BookText"/>
        <w:rPr/>
      </w:pPr>
      <w:r>
        <w:rPr>
          <w:rFonts w:ascii="Amiri" w:hAnsi="Amiri" w:eastAsia="Amiri" w:cs="Amiri"/>
          <w:color w:val="111111"/>
          <w:sz w:val="28"/>
          <w:sz w:val="28"/>
          <w:szCs w:val="28"/>
          <w:rtl w:val="true"/>
          <w:lang w:bidi="ar-SA"/>
        </w:rPr>
        <w:t>اعلم أنّ الجاهل على أقسام؛ لأنّه إمّا قاصر، أو مقصّر، والثاني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وغير 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الجاهل هل يستحقّ العقاب على أعماله مطلقاً أم لا؟</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أعمال الجاهل هل هي محكومة بالصحّة أم لا؟</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القاصر غير مستحقّ للعقاب على عمله، ولو كان غير مطابق للواقع؛ لأنّه غافل عن كونه مخالفاً للواقع، كما إذا استند إلى أمارة شرعيّة، أو إلى فتوىمن يجوز تقليده، وكانتا مخالفتين للواقع؛ فإنّ الجاهل القاصر غافل، والغافل حال غفلته لا يكون قابلاً لتوجّه التكليف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الجاهل المقصّر فلا شكّ في أنّه يستحقّ العقاب إذا كان عمله على خلاف الواقع، وإنّما الكلام في أنّ عقابه هذا هل كان بسبب مخالفة عمله للواقع أم لأنّه كان تاركاً للفحص والتعلّم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استحقاق العقاب لا يكون على تركه التعلّم، بل على </w:t>
      </w:r>
    </w:p>
    <w:p>
      <w:pPr>
        <w:pStyle w:val="BookText"/>
        <w:rPr/>
      </w:pPr>
      <w:r>
        <w:rPr>
          <w:rFonts w:ascii="Amiri" w:hAnsi="Amiri" w:eastAsia="Amiri" w:cs="Amiri"/>
          <w:color w:val="111111"/>
          <w:sz w:val="28"/>
          <w:sz w:val="28"/>
          <w:szCs w:val="28"/>
          <w:rtl w:val="true"/>
          <w:lang w:bidi="ar-SA"/>
        </w:rPr>
        <w:t>مخالفته للواقع عند ترك التعلّم والفحص، لما قرّرناه في محلّه من أنّ وجوب التعلّم ليس بنفسيّ، بل هو وجوب طريقيّ وإرشاديّ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نقول بعدم استحقاق العقاب إذا كان عمله مطابقاً لفتوى من يجب تقليده في ذلك الوقت، ولو كان مخالفاً لفتوى المجتهد الفعليّ، ولا يحتاج في التقليد إلى الاستناد إلى الحجّة، إلّا أن نقول بأنّ الحجّة بوجودها الواقعيّ غير كافية في 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مطابقته لفتوى المجتهد حين العمل؛ لأنّه حصل منه التقليد قهراً، وكان عمله صحيحاً، ولا يحتاج إلى مطابقة عمله لفتوى المجتهد حين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الالتزام باستحقاق المقصّر للعقاب حتى إذا كان عمله مطابقاً للواقع، إلّا أنّه يختصّ بما إذا كان ملتفتاً حال العمل؛ وذلك لأنّه مع الالتفات واحتمال صحّة العمل وفساده، إذا أتى به غير مبالٍ بمخالفته للواقع، لكان ذلك مصداقاً بارزاً للتجرّي القبيح،وبذلك يستحق العقاب على عمله، وإن كان مطابقاً للواقع</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التجرّي لا يكون سبباً لاستحقاقه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الالتفات، إذا حصل الإتيان به بعنوان الرجاء، وتحقّق منه قصد </w:t>
      </w:r>
      <w:bookmarkStart w:id="403" w:name="pg15437_355204"/>
    </w:p>
    <w:p>
      <w:pPr>
        <w:pStyle w:val="BookText"/>
        <w:rPr/>
      </w:pPr>
      <w:bookmarkEnd w:id="403"/>
      <w:r>
        <w:rPr>
          <w:rFonts w:ascii="Amiri" w:hAnsi="Amiri" w:eastAsia="Amiri" w:cs="Amiri"/>
          <w:color w:val="111111"/>
          <w:sz w:val="28"/>
          <w:sz w:val="28"/>
          <w:szCs w:val="28"/>
          <w:rtl w:val="true"/>
          <w:lang w:bidi="ar-SA"/>
        </w:rPr>
        <w:t>القربة، فعمله صحيح، ولا يستحقّ عليه العقاب بعد أن كان مطابقاً للواقع، ولا سيّما لما ذكرناه من أنّ وجوب التعلّم إرشاديّ محض، وأمّا إذا لم يتمشّ منه قصد القربة، فعمله باطل، ولو كان بعد الإتيان به مطابقاً للواقع؛ لأنّه إذا لم يعلم بصحّة العمل فكيف يأتي به بقصد الأمر؟</w:t>
      </w:r>
    </w:p>
    <w:p>
      <w:pPr>
        <w:pStyle w:val="Heading4"/>
        <w:numPr>
          <w:ilvl w:val="3"/>
          <w:numId w:val="1"/>
        </w:numPr>
        <w:rPr/>
      </w:pPr>
      <w:bookmarkStart w:id="404" w:name="__RefHeading___Toc6974681_2142443653"/>
      <w:bookmarkStart w:id="405" w:name="_Toc147"/>
      <w:bookmarkEnd w:id="404"/>
      <w:r>
        <w:rPr>
          <w:rtl w:val="true"/>
        </w:rPr>
        <w:t>وأمّا المقام الثاني</w:t>
      </w:r>
      <w:r>
        <w:rPr>
          <w:rtl w:val="true"/>
        </w:rPr>
        <w:t>:</w:t>
      </w:r>
      <w:bookmarkEnd w:id="405"/>
    </w:p>
    <w:p>
      <w:pPr>
        <w:pStyle w:val="BookText"/>
        <w:rPr/>
      </w:pPr>
      <w:r>
        <w:rPr>
          <w:rFonts w:ascii="Amiri" w:hAnsi="Amiri" w:eastAsia="Amiri" w:cs="Amiri"/>
          <w:color w:val="111111"/>
          <w:sz w:val="28"/>
          <w:sz w:val="28"/>
          <w:szCs w:val="28"/>
          <w:rtl w:val="true"/>
          <w:lang w:bidi="ar-SA"/>
        </w:rPr>
        <w:t>وهو الكلام في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الجاهل المقصّر، كالقاصر، محكوم بالصحّة، ولو كان ملتفتاً حال العمل، شريطة أن يكون عمله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 يمكن الإتيان بها مطلقاً ولو من غير اختيار، أو كان نائماً، أو غافلاً، وأتى بالعمل وكان مطابقاً فيكفي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العمل عباديّاً فيكفي الإتيان به برجاء أنّه ممّا أمر اﷲ سبحانه به، وهذا المقدار من الإضافة إليه تعالى كافٍ، ويمكن صدوره من الجاهل المقصّر، فإذا غفل وأتى به بهذا النحو، ووقع مطابقاً للواقع، فقد وقع صحيحاً، وكفى، ولا يحتاج إلى الجزم بأنّ ما يأتي به هو الماُمور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العمل الجزم والعلم التفصيليّ به، والجاهل المقصّر لا يتمشّى منه قصد القربة؛ لعدم علمه برجحان العمل وممدوحيّته، مضافاً إلى أنّ التحرّك نحو العمل لابدّ وأن يكون بداعي أمر المولى، ومن قصد الاقتصار على أحد الفعلين فهو ليس قاصداً لامتثال </w:t>
      </w:r>
      <w:bookmarkStart w:id="406" w:name="pg15437_355205"/>
    </w:p>
    <w:p>
      <w:pPr>
        <w:pStyle w:val="BookText"/>
        <w:rPr/>
      </w:pPr>
      <w:bookmarkEnd w:id="406"/>
      <w:r>
        <w:rPr>
          <w:rFonts w:ascii="Amiri" w:hAnsi="Amiri" w:eastAsia="Amiri" w:cs="Amiri"/>
          <w:color w:val="111111"/>
          <w:sz w:val="28"/>
          <w:sz w:val="28"/>
          <w:szCs w:val="28"/>
          <w:rtl w:val="true"/>
          <w:lang w:bidi="ar-SA"/>
        </w:rPr>
        <w:t>الأمر الواقع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قاصد لامتثاله على تقدير مصادفة هذا المحتمل للواقع، لا مطلقاً، وهذا غير كافٍ في العبادات المعلوم وقوع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يحتاج عند الإتيان بالعمل إلى الجزم بالنيّة، ولا إلى العلم بأنّ ما يأتي به الماُمور به، بل يكفي الإتيان به برجاء أنّه الماُمور به، فيكون قصد القربة موجوداً؛ لأنّه لم يأتِ بالعمل إلّا ﷲ تعالى، ويحصل ذلك بمجرّد احتمال الأمر، ويكفي أن يكون الداعي هو احتمال الأمر، من دون أن يحتاج إلى العلم في صحّة العمل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974683_2142443653"/>
      <w:bookmarkStart w:id="408" w:name="_Toc148"/>
      <w:bookmarkEnd w:id="407"/>
      <w:r>
        <w:rPr>
          <w:rtl w:val="true"/>
        </w:rPr>
        <w:t>ما هو المراد من الأعلم</w:t>
      </w:r>
      <w:r>
        <w:rPr>
          <w:rtl w:val="true"/>
        </w:rPr>
        <w:t>:</w:t>
      </w:r>
      <w:bookmarkEnd w:id="408"/>
    </w:p>
    <w:p>
      <w:pPr>
        <w:pStyle w:val="Heading5"/>
        <w:numPr>
          <w:ilvl w:val="4"/>
          <w:numId w:val="1"/>
        </w:numPr>
        <w:rPr/>
      </w:pPr>
      <w:bookmarkStart w:id="409" w:name="__RefHeading___Toc6974685_2142443653"/>
      <w:bookmarkStart w:id="410" w:name="_Toc149"/>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والكلام في هذا البحث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الأعلميّة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الأعلميّة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6974687_2142443653"/>
      <w:bookmarkStart w:id="412" w:name="_Toc150"/>
      <w:bookmarkEnd w:id="411"/>
      <w:r>
        <w:rPr>
          <w:rtl w:val="true"/>
        </w:rPr>
        <w:t>أمّا الجهة الأُولى</w:t>
      </w:r>
      <w:r>
        <w:rPr>
          <w:rtl w:val="true"/>
        </w:rPr>
        <w:t>:</w:t>
      </w:r>
      <w:bookmarkEnd w:id="41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للأعلميّة لما بيّناه في محلّه من أنّ الاجتهاد يحصل باكتساب الملكة والقوّة القدسيّة، وحقيقة تلك القوّة القدسيّة هو النور الذي يقذفه اﷲ في قلب من يشاء،وهي كسائر الملكات بسيطة لا تركيب فيها؛ لأنّها من الكيفيّات النفسانيّة، فلا تقبل القسمة، فالمناط من الاجتهاد هو الحصول على هذه القوّة التي يقتدر بها على استنباط </w:t>
      </w:r>
      <w:bookmarkStart w:id="413" w:name="pg15437_355206"/>
    </w:p>
    <w:p>
      <w:pPr>
        <w:pStyle w:val="BookText"/>
        <w:rPr/>
      </w:pPr>
      <w:bookmarkEnd w:id="413"/>
      <w:r>
        <w:rPr>
          <w:rFonts w:ascii="Amiri" w:hAnsi="Amiri" w:eastAsia="Amiri" w:cs="Amiri"/>
          <w:color w:val="111111"/>
          <w:sz w:val="28"/>
          <w:sz w:val="28"/>
          <w:szCs w:val="28"/>
          <w:rtl w:val="true"/>
          <w:lang w:bidi="ar-SA"/>
        </w:rPr>
        <w:t>الأحكام وردّ كلّ فعل إلى أصله، وأمرها دائر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ذكرنا سابقاً في بحث التجزّي أنّ هذه الملكة وإن كانت بسيطة، ولكنّها ذات مراتب متفاوته من جهة الكمال والنقص، فربّما يحصل على المرتبة الناقصة دون الكاملة، ولا تلازم بينهما في الوجود، فهي من الملكات المشكّكة، كسائر الملكات من العدالة والشجاعة والسخاوة ونحوها، وهي وإن كانت من الاُمور غير المحسوسة، إلّا أنّ هناك طرقاً محسوسة يستكشف بها تلك الملكات ومراتبها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الأعلميّة محكومةً بالإمكان لا محالة، ومن هنا يصل الكلام إلى الجهة الثانية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6974689_2142443653"/>
      <w:bookmarkStart w:id="415" w:name="_Toc151"/>
      <w:bookmarkEnd w:id="414"/>
      <w:r>
        <w:rPr>
          <w:rtl w:val="true"/>
        </w:rPr>
        <w:t>وأمّا الجهة الثانية</w:t>
      </w:r>
      <w:r>
        <w:rPr>
          <w:rtl w:val="true"/>
        </w:rPr>
        <w:t>:</w:t>
      </w:r>
      <w:bookmarkEnd w:id="415"/>
    </w:p>
    <w:p>
      <w:pPr>
        <w:pStyle w:val="BookText"/>
        <w:rPr/>
      </w:pPr>
      <w:r>
        <w:rPr>
          <w:rFonts w:ascii="Amiri" w:hAnsi="Amiri" w:eastAsia="Amiri" w:cs="Amiri"/>
          <w:color w:val="111111"/>
          <w:sz w:val="28"/>
          <w:sz w:val="28"/>
          <w:szCs w:val="28"/>
          <w:rtl w:val="true"/>
          <w:lang w:bidi="ar-SA"/>
        </w:rPr>
        <w:t>فنقول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الأعلميّة التي عرفنا إمكانها هي بمعنى الحصول على أعلى مراتب الكمال من تلك القوّة والملكة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الأعلميّة وإن كانت تصدق على كثرة الاطّلاع على خصوصيّات المسائل، والإحاطة بالفروع والأقوال والكلمات، وإحكام المباني والكبريات، لكونها أقرب إلى معنى التفضيل المدلول عليه بهيئة أفعل من هذه المادّة، ولكن ليست هذه المعاني هي المرادة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المراد بالأعلم من يكون أجود فهماً وأشدّ مهارةً من غيره في تطبيق الكبريات على الصغريات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فالأعلميّة متوقّفة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بالقواعد والكبريات،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المهارة وجودة الفهم وحسن </w:t>
      </w:r>
      <w:bookmarkStart w:id="416" w:name="pg15437_355207"/>
    </w:p>
    <w:p>
      <w:pPr>
        <w:pStyle w:val="BookText"/>
        <w:rPr/>
      </w:pPr>
      <w:bookmarkEnd w:id="416"/>
      <w:r>
        <w:rPr>
          <w:rFonts w:ascii="Amiri" w:hAnsi="Amiri" w:eastAsia="Amiri" w:cs="Amiri"/>
          <w:color w:val="111111"/>
          <w:sz w:val="28"/>
          <w:sz w:val="28"/>
          <w:szCs w:val="28"/>
          <w:rtl w:val="true"/>
          <w:lang w:bidi="ar-SA"/>
        </w:rPr>
        <w:t xml:space="preserve">السليقة في التطبيق، كما يظهر من بقيّة الحرف والصنائع، وإنّما قلنا بأنّ المراد من الأعلم هو هذا المعنى الثاني؛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شيء من الأدلّة حتى يرجع في فهمه إلى العرف واللّغة، بل ثبوت وجوب الرجوع إلى الأعلم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التمسّك ببناء العقلاء، وهم لا يريدون به إلّا هذا 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أقوى استنباطاً، لا بمعنى من كان كثير الاطّلاع على المباني والفروع</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974691_2142443653"/>
      <w:bookmarkStart w:id="418" w:name="_Toc152"/>
      <w:bookmarkEnd w:id="417"/>
      <w:r>
        <w:rPr>
          <w:rtl w:val="true"/>
        </w:rPr>
        <w:t>طرق معرفة الاجتهاد والأعلميّة</w:t>
      </w:r>
      <w:r>
        <w:rPr>
          <w:rtl w:val="true"/>
        </w:rPr>
        <w:t>:</w:t>
      </w:r>
      <w:bookmarkEnd w:id="418"/>
    </w:p>
    <w:p>
      <w:pPr>
        <w:pStyle w:val="Heading5"/>
        <w:numPr>
          <w:ilvl w:val="4"/>
          <w:numId w:val="1"/>
        </w:numPr>
        <w:rPr/>
      </w:pPr>
      <w:bookmarkStart w:id="419" w:name="__RefHeading___Toc6974693_2142443653"/>
      <w:bookmarkStart w:id="420" w:name="_Toc153"/>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يُعرف اجتهاد المجتهد وأعلميّته باُمور</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974695_2142443653"/>
      <w:bookmarkStart w:id="422" w:name="_Toc154"/>
      <w:bookmarkEnd w:id="421"/>
      <w:r>
        <w:rPr>
          <w:rtl w:val="true"/>
        </w:rPr>
        <w:t>الأوّل</w:t>
      </w:r>
      <w:r>
        <w:rPr>
          <w:rtl w:val="true"/>
        </w:rPr>
        <w:t xml:space="preserve">: </w:t>
      </w:r>
      <w:r>
        <w:rPr>
          <w:rtl w:val="true"/>
        </w:rPr>
        <w:t>العلم الوجدانيّ</w:t>
      </w:r>
      <w:r>
        <w:rPr>
          <w:rtl w:val="true"/>
        </w:rPr>
        <w:t>:</w:t>
      </w:r>
      <w:bookmarkEnd w:id="422"/>
    </w:p>
    <w:p>
      <w:pPr>
        <w:pStyle w:val="BookText"/>
        <w:rPr/>
      </w:pPr>
      <w:r>
        <w:rPr>
          <w:rFonts w:ascii="Amiri" w:hAnsi="Amiri" w:eastAsia="Amiri" w:cs="Amiri"/>
          <w:color w:val="111111"/>
          <w:sz w:val="28"/>
          <w:sz w:val="28"/>
          <w:szCs w:val="28"/>
          <w:rtl w:val="true"/>
          <w:lang w:bidi="ar-SA"/>
        </w:rPr>
        <w:t>فإنّ حجّيّته ذاتيّة، لا بجعل الجاعل، لا نفياً ولا إثباتاً، بل العلم بالشيء ليس إلّا إثباته وإحرازه، لا أنّه مجرّد طريق إلى الإثبات</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6974697_2142443653"/>
      <w:bookmarkStart w:id="424" w:name="_Toc155"/>
      <w:bookmarkEnd w:id="423"/>
      <w:r>
        <w:rPr>
          <w:rtl w:val="true"/>
        </w:rPr>
        <w:t>الثاني</w:t>
      </w:r>
      <w:r>
        <w:rPr>
          <w:rtl w:val="true"/>
        </w:rPr>
        <w:t xml:space="preserve">: </w:t>
      </w:r>
      <w:r>
        <w:rPr>
          <w:rtl w:val="true"/>
        </w:rPr>
        <w:t>البيّنة</w:t>
      </w:r>
      <w:r>
        <w:rPr>
          <w:rtl w:val="true"/>
        </w:rPr>
        <w:t>.</w:t>
      </w:r>
      <w:bookmarkEnd w:id="424"/>
    </w:p>
    <w:p>
      <w:pPr>
        <w:pStyle w:val="BookText"/>
        <w:rPr/>
      </w:pPr>
      <w:r>
        <w:rPr>
          <w:rFonts w:ascii="Amiri" w:hAnsi="Amiri" w:eastAsia="Amiri" w:cs="Amiri"/>
          <w:color w:val="111111"/>
          <w:sz w:val="28"/>
          <w:sz w:val="28"/>
          <w:szCs w:val="28"/>
          <w:rtl w:val="true"/>
          <w:lang w:bidi="ar-SA"/>
        </w:rPr>
        <w:t>وقد استدلّ على حجّيّة البيّنة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مراراً من حال أمثال هذه الإجماعات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كموثّقة مسعدة بن صدقة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هو لك حلال حتّى تعلم أنّه حرام بعينه فتدعه من قبل نفسك، وذلك مثل الثوب يكون عليك قد اشتريته، وهو سرقة، </w:t>
      </w:r>
    </w:p>
    <w:p>
      <w:pPr>
        <w:pStyle w:val="BookText"/>
        <w:rPr/>
      </w:pPr>
      <w:r>
        <w:rPr>
          <w:rFonts w:ascii="Amiri" w:hAnsi="Amiri" w:eastAsia="Amiri" w:cs="Amiri"/>
          <w:color w:val="111111"/>
          <w:sz w:val="28"/>
          <w:sz w:val="28"/>
          <w:szCs w:val="28"/>
          <w:rtl w:val="true"/>
          <w:lang w:bidi="ar-SA"/>
        </w:rPr>
        <w:t>أو 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على الاستدلال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السند، وأنّها ضعيفة، وليست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يحصل لنا الاطمئنان بصدورها بعدما كان لمضامينها وجود في سائر الموثّقات، وبعد عمل المشهور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حجّيّة البيّنة في الحرمة والحكم التكليفيّ، ولا تدلّ على حجّيّتها في باب الموضوعات الخارجيّة، فضلاً عن دلالتها على العموم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كونها بصدد بيان ضابطة عامّة؛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متنها جمع معرّف باللّام، وهي مع ذلك مؤكّدة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بصدد بيان قاعدة كلّيّة مفادها أنّ البيّنة، وإن كانت لغةً بمعنى الاستبانة، إلّا أنّها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الشاهدين العادلين، ويكفينا في حجّيّتها بناء العقلاء على العمل بها، مع عدم ردع الشارع عنها إلّا في بعض الموارد،كالزنا دلّ الدليل الخاصّ على أنّه لابدّ فيه من شهادة أربعة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فالبيّنة واقعة في مقابل العلم الوجدانيّ؛ لأنّها وردت في الرواية في قبال الاستبانة التي هي العلم الوجدانيّ، فيكون معنى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البيّنة كالعلم الوجدانيّ جعلت غايةً للحلّ،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الأشياء كلّها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الحلّيّة، حتى يستبين أمرها أو تقوم عليه البيّنة، فالرواية غير مختصّة بالحرمة المترتّبة على الموارد المذكورة فيها، بل هي تدلّ على حجّيّة البيّنة في الموضوعات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يمكن لنا أن نستدلّ بالرواية لإثبات الضابطة في خصوص مورد دوران الأمر بين الحلّيّة والحرمة، كما في الرواية، لا في إثباتها مطلقاً كقاعدةٍ كلّيّة تشمل كافّة الموارد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التعدّي من هذا المورد إلى غيره من الشبهات الموضوعيّة بدلالة الفحوى؛ لأنّ الشارع حكم بالتوسعة في باب الحلّيّة والطهارة مع عدم العلم بهما واحتمال ما يقابلهما، فاعتبر البيّنة، التي هي في قوّة العلم، سبباً لإثبات ما يقابلهما،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والنجاسة، فتثبت البيّنة غير الحلّيّة والطهارة، ممّا هو أضيق منهما دائرةً، بطريق اُولى، بل يمكن أن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كلّيّة عامّة لكلّ مورد، فالأشياء على حالتها الأوليّة التي يقتضيها الأصل، والذي هو في كلّ شيء بحسبه، من الحلّيّة والحرمة والوجوب والموضوعات الخارجيّة حتى يستبين أوتقوم به البيّنة، فيكون ذكر الحليّة في الرواية من باب أنّه مورد السؤال، وإلّا، فلا خصوصيّة فيه، ومعلوم أنّ المورد لا يكون </w:t>
      </w:r>
    </w:p>
    <w:p>
      <w:pPr>
        <w:pStyle w:val="BookText"/>
        <w:rPr/>
      </w:pPr>
      <w:r>
        <w:rPr>
          <w:rFonts w:ascii="Amiri" w:hAnsi="Amiri" w:eastAsia="Amiri" w:cs="Amiri"/>
          <w:color w:val="111111"/>
          <w:sz w:val="28"/>
          <w:sz w:val="28"/>
          <w:szCs w:val="28"/>
          <w:rtl w:val="true"/>
          <w:lang w:bidi="ar-SA"/>
        </w:rPr>
        <w:t>مخصّصاً لعموم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البيّنة جعلها الشارع في قوّة العلم، وحيث إنّ حجّيّة العلم ذاتيّة، والبيّنة ليست كذلك، فتحتاج حجّيّتها إلى دليل، ولمّا حكم الشارع بأنّها في مقام إثبات الموضوعات كالعلم، فكما أنّه إذا علم بشيء يترتّب عليه حكمه، وكذلك كما أنّه إذا قامت الأمارة على حرمة الشيء أو نجاسته أو طهارته أو حلّيّته أو ملكيّته أو اجتهاده أو أعلميّته، فيترتّب عليها أحكامها، فكذلك لو قامت البيّنة على عدالة شخص تجوز الصلاة خلفه إذا لم تكن معارضة بشهادة آخرين من أهل الخبرة ينفيان عنه الاجتهاد، لما ذكرنا مراراً من أنّ الأدلّة لا تشمل المتعارضين؛ لأنّ شمولها لكليهما مستلزم للجمع بين الضدّين أو النقيضين، ولأحدهما المعيّن ترجيح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يستشكل في دلالة هذه الرواية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يستبين أو تقوم به البيّنة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إلى العلم والعلميّ، وأمّا إثبات حجّيّة البيّنة،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العدلين فلا، وأنّها دليل على إثبات الموضوعات مطلقاً وفي جميع الموارد، فيحتاج إلى دليل غير هذه الرواية؛ لأنّ البيّنة لغةً هي الشيء الواضح، وكون المراد منها في الرواية البيّنة بمعناها المصطلح،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العدلين، يحتاج إلى دليل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المنقولات الشرعيّة،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يعتمد على إخبار العدلين عند الترافع، ولو كان المراد منالبيّنة في الرواية هو </w:t>
      </w:r>
      <w:bookmarkStart w:id="425" w:name="pg15437_355211"/>
    </w:p>
    <w:p>
      <w:pPr>
        <w:pStyle w:val="BookText"/>
        <w:rPr/>
      </w:pPr>
      <w:bookmarkEnd w:id="425"/>
      <w:r>
        <w:rPr>
          <w:rFonts w:ascii="Amiri" w:hAnsi="Amiri" w:eastAsia="Amiri" w:cs="Amiri"/>
          <w:color w:val="111111"/>
          <w:sz w:val="28"/>
          <w:sz w:val="28"/>
          <w:szCs w:val="28"/>
          <w:rtl w:val="true"/>
          <w:lang w:bidi="ar-SA"/>
        </w:rPr>
        <w:t>مطلق الحجّة الواضحة، لكان يلزم أن يكون قسم الشيء قسيماً له؛ لأنّ الاستبانة، وهي العلم، قسم من الحجّة الواضحة؛ فلابدّ أن يكون المراد من البيّنة في الرواية هو معناها التي نُقلت إليه شرعاً، وهو شهادة العدلين</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6974699_2142443653"/>
      <w:bookmarkStart w:id="427" w:name="_Toc156"/>
      <w:bookmarkEnd w:id="426"/>
      <w:r>
        <w:rPr>
          <w:rtl w:val="true"/>
        </w:rPr>
        <w:t>والثالث</w:t>
      </w:r>
      <w:r>
        <w:rPr>
          <w:rtl w:val="true"/>
        </w:rPr>
        <w:t xml:space="preserve">: </w:t>
      </w:r>
      <w:r>
        <w:rPr>
          <w:rtl w:val="true"/>
        </w:rPr>
        <w:t>الشياع المفيد للعلم</w:t>
      </w:r>
      <w:r>
        <w:rPr>
          <w:rtl w:val="true"/>
        </w:rPr>
        <w:t>:</w:t>
      </w:r>
      <w:bookmarkEnd w:id="427"/>
    </w:p>
    <w:p>
      <w:pPr>
        <w:pStyle w:val="Heading6"/>
        <w:numPr>
          <w:ilvl w:val="5"/>
          <w:numId w:val="1"/>
        </w:numPr>
        <w:rPr/>
      </w:pPr>
      <w:bookmarkStart w:id="428" w:name="__RefHeading___Toc6974701_2142443653"/>
      <w:bookmarkStart w:id="429" w:name="_Toc157"/>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وهل هو من قسم العلم أم أنّه قسيمه؟ وعلى الثاني، فما هو الدليل على حجّيّته؟</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المراد منه العلْم الشخصيّ، فهو ليس قسيماً للعلم، بل قسم منه،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أسباب حصول العلم، والعلم حجّة من أيّ سبب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منه العلْم النوعيّ، كان قسيماً للعلم، ولا دليل على حجّيّته؛ لأنّا نرى كثيراً من الشائعات تستند إلى اُمورٍ لا واقع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الشياع إن كان سبباً للعلم فهو داخل فيه، نظير الخبر المتواتر، ولكن كما لم يذكر الخبر المتواتر في عرض العلم في طرق الاجتهاد، 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مفيد للعلم، فلا دليل على حجّيّته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مجتهد ميّت يحرّم البقاء على تقليد الميّت، فمات ورجع إلى الحيّ الذي يقول بجواز البقاء أو وجوبه، فهل يجوز له البقاء على تقليد من يقول بحرمة البقاء أم لا؟ </w:t>
      </w:r>
      <w:bookmarkStart w:id="430" w:name="pg15437_355212"/>
    </w:p>
    <w:p>
      <w:pPr>
        <w:pStyle w:val="BookText"/>
        <w:rPr/>
      </w:pPr>
      <w:bookmarkEnd w:id="430"/>
      <w:r>
        <w:rPr>
          <w:rFonts w:ascii="Amiri" w:hAnsi="Amiri" w:eastAsia="Amiri" w:cs="Amiri"/>
          <w:color w:val="111111"/>
          <w:sz w:val="28"/>
          <w:sz w:val="28"/>
          <w:szCs w:val="28"/>
          <w:rtl w:val="true"/>
          <w:lang w:bidi="ar-SA"/>
        </w:rPr>
        <w:t>لا يجوز البقاء على تقليد الميت بفتوى الميت نفسه بجواز البقاء، بل يجب على المكلّف الرجوع في ذلك إلى الحيّ الأعلم، فلو قلّد الحيّ، وكان يقول بجواز البقاء، أو بوجوبه، وكان الميت يقول بحرمة البقاء، فللمقلّد أن يبقى في جميع المسائل على فتوى الميت ما عدا مسألة البقاء على تقليد الميت؛ لأنّه يلزم منه التناقض؛ فإنّ الحكمين متنافيين ولا يمكن الجمع بينهما، وذلك أنّ فتوى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شاملةً لجميع المسائل، حتى مسألة حرمة البقاء، أو شاملةً لجميع المسائل ما عدا مسألة حرمة البقاء، أو شاملةً لمسألة حرمة البقاء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عدم إمكان الاحتمالين الأوّل والثالث، فيبقى الاحتمال الثاني فقط، فإنّ فتوى الحيّ لا يمكن أن تكون شاملةً لمسألة حرمة البقاء؛ للقطع بعدم حجّيّة فتوى الميت بحرمة البقاء وبكونها مخالفةً للواقع الفعليّ، وهو قول المجتهد الذي يجب الرجوع إليه بالفعل</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6974703_2142443653"/>
      <w:bookmarkStart w:id="432" w:name="_Toc158"/>
      <w:bookmarkEnd w:id="431"/>
      <w:r>
        <w:rPr>
          <w:rtl w:val="true"/>
        </w:rPr>
        <w:t>وجوب التعلّم</w:t>
      </w:r>
      <w:bookmarkEnd w:id="43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المكلّف بالنسبة إلى العبادات العلم بأجزائها وشرائطها وموانعها ومقدّماتها؛ وذلك لأنّه بعد أن علم بأنّ عليه تكاليف منجّزة في حقّه، يستقلّ عقله بلزوم امتثالها وتفريغ الذمّة تجاهها، وهو ما لا يمكن حصوله إلّا بالتعلّم ومعرفة الأجزاء والشرائط والموانع والمقدّمات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هذا الوجوب مقدّميّ أم نفسيّ تهيّئيّ أم نفسيّ محض أم عقليّ؟لا شكّ ولا شبهة في عدم كونه وجوبه غيريّاً؛ لأنّ الوجوب الغيريّ يكون ناتجاً من وجوب ذي المقدّمة، مع أنّه بعد دخول الوقت لا يجب الإتيان بذي المقدّمة، لعجزه عنها بعد فوت المقدّمة، وقبل الوقت لم يكن واجباً حتى يترشّح منه الوجوب إلى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بواجب نفسيّ بحيث تكون المصلحة قائمةً في نفس التعلّم، بل إنّما هو وجوب طريقيّ، بحيث تكون المصلحة قائمةً في نفس الواجب وذي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فالتعلّم مقدّمة للعمل، وليس تركه هو الذي يوجب العقاب، بل إنّما يكون العقاب على ترك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وجوباً نفسيّاً تهيّئيّاً، بأن يكون الوجوب الأصليّ ثابتاً بدليلٍ مستقلّ مراعاةً لمصلحة ذي المقدّمة،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فائدته التهيّؤ والاستعداد لواجب آخر، وهو يندرج في الوجوب النفسيّ من حيث عدم كونه متولّداً من وجوب ذي المقدّمة، وإن كان يشبه الوجوب الغيريّ المقدّميّ من حيث كونه ثابتاً لمصلحة في غيره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الوجوب من قبيل الوجوب العقليّ، وهو لا يستفاد من إطلاق الأدلّة الدالّة على لزوم الإتيان بالواجب؛ فهو لورود الوجوب عليه يكشف عن وجود ملاك فيه، مع أنّه لا ملاك فيه، بل هو في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ترك الواجب مستنداً إلى ترك التعلّم، ولو قبل الوقت، كان التعلّم واجباً عليه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ذلك، فالأقوال في مسألة استحقاق العقاب على ترك التعلّم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تركه مطلقاً، إذا أدّت مخالفته إلى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صحيح؛ لما عرفنا من كون وجوبه طريقيّاً، ولذا، لو استند ترك الواجب إلى شيءٍ آخر غير التعلّم، فلا يعاقب المكلّف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يكون على ترك التعلّم إذا أدّى إلى مخالفة العمل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لأنّ وجوبه ليس وجوباً نفسيّاً محضاً، ولا ملاك هناك إلّا ملاك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يكون على ترك الواقع عند ترك التعلّم، وهذا هو القول الصحيح</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وجوب التعلّم لو قلنا بوجوب معرفة الوجه والتميّز، أو قلنا بعدم جواز العمل بالاحتياط والامتثال الإجماليّ مع التمكّن من العلم التفصيليّ، وإلّا، فلو علم إجمالاً بأنّ عمله كان واجداً لجميع الأجزاء والشرائط، وفاقداً لجميع الموانع،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الإتيان بالعمل رجاءً، وكان مطابقاً لما هو الواقع بالفعل، لا ما هو الواقع حال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المجتهد، فهل يجوز المقلّد أن يبقى على رأيه الأوّل 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شمول دليل جواز التقليد لمثل هذا البقاء، وعدم حجّيّة الفتوى الأُولى بعد العدول عنها وعدم إحراز مطابقتها للواقع، ولأنّ وجوب رجوع الجاهل إلى العالم، المستفاد من مثل السيرة العقلائيّة، إنّما يكون فيما لو لم يعترف المجتهد بخطأ فتواه السابقة، وأنّها كانت مصاديق الجهل بواقع الحكم، فالرأي الأوّل غير باقٍ على حجّيّته، ولمّا كانت الفتوى الثانية مطلقةً، فتكون كاشفة عن عدم حجّيّة الفتوى الأُولى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المجتهد عن الفتوى إلى التوقّف والتردّد، فهل للمقلّد أن يبقى على رأيه الأوّل أم لا؟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عدوله عن الفتوى إلى التوقّف والتردّد واعترافه بخطأ المستند الفتوى الأُولى، لم يعد رأيه الأوّل حجّة ولا طريقاً إلى الواقع، بل في حقيقة الأمر، لا يكون له فتوى بالفعل، فيكون من مصاديق الجاهل في هذه المسألة، فيتعيّن على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يعمل بالاحتياط، وإمّا أن يرجع إلى غيره، الأعلم فالأعلم، حتى يحصل له اليقين بفراغ ذمّته؛ لأنّه، والحال هذه، هو العالم بالفعل، والرجوع إليه من باب رجوع الجاهل إلى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مجتهدان متساويان في العلم، فهل يجوز للمقلّد تقليد أيّهما شاء، أم يجوز له التبعيض في المسائل بينهما، أم عليه الأخذ بقول من هو أعدل أو أورع منهما؟</w:t>
      </w:r>
    </w:p>
    <w:p>
      <w:pPr>
        <w:pStyle w:val="BookText"/>
        <w:rPr/>
      </w:pPr>
      <w:r>
        <w:rPr>
          <w:rFonts w:ascii="Amiri" w:hAnsi="Amiri" w:eastAsia="Amiri" w:cs="Amiri"/>
          <w:color w:val="111111"/>
          <w:sz w:val="28"/>
          <w:sz w:val="28"/>
          <w:szCs w:val="28"/>
          <w:rtl w:val="true"/>
          <w:lang w:bidi="ar-SA"/>
        </w:rPr>
        <w:t>قد مرّ فيما سبق ما يوضح الحال في هذه المسألة، وذكرنا أنّه إن كانا متوافقين في الفتوى فله أن يقلّد أيّاً شاء منهما؛ لأنّ الأدلّة تشمل كلتا الفتويين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العلم بالمخالفة بينهما، فلابدّ له من الاحتياط؛ وذلك لعدم شمول الأدلّة والإطلاقات للمتعارضين، وهكذا يقال بالنسبة إلى السيرة، وأمّا ما قد يُدّعى من الإجماعات، فكلّها مخدوشة،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التوافق، هل يجوز له التبعيض بينهما في المسائل؟</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لما عرفت من أنّه مع عدم العلم بالمخالفة بينهما فالحجّيّة ثابتة لكلتا الفتويين، ففي صورة الموافقة تثبت 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بينهما في العدالة أو الأورعيّة فأجنبيّ عن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أرسل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الترجيح بذلك إرسال المسلّمات، حيث 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مع تساويهما في العلم يُقَدَّم الأعدل؛ لكونه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الحاصل حينئذٍ ترجيح أعلم الورعين،وأورع العالمين؛ لقاعدة </w:t>
      </w:r>
    </w:p>
    <w:p>
      <w:pPr>
        <w:pStyle w:val="BookText"/>
        <w:rPr/>
      </w:pPr>
      <w:r>
        <w:rPr>
          <w:rFonts w:ascii="Amiri" w:hAnsi="Amiri" w:eastAsia="Amiri" w:cs="Amiri"/>
          <w:color w:val="111111"/>
          <w:sz w:val="28"/>
          <w:sz w:val="28"/>
          <w:szCs w:val="28"/>
          <w:rtl w:val="true"/>
          <w:lang w:bidi="ar-SA"/>
        </w:rPr>
        <w:t>قبح ترجيح المرجوح على الراجح</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مجتهداً يقول بحرمة العدول حتى إلى الأعلم، ووجد من هو أعلم منه، فهل يجب عليه البقاء على تقليده ولا يجوز له العدول مطلقاً 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له من العدول إلى ذلك المجتهد الأعلم؛ لأنّ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لا يُفَرَّق فيه بين الابتداء والاستدامة، مع العلم بالمخالفة، وعدم كون فتوى غير الأعلم موافقةً للاحتياط، ولا يمكن الاستناد في البقاء على تقليد غير الأعلم إلى فتوى نفسه؛ لما يلزم منه من الدور، ففي هذه الحالة لابدّ له من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عدم العلم بالمخالفة، فيجوز له البقاء على تقليد غير الأعلم، كما يجوز له العدول إلى الأعلم، وإن كان الأوّل يفتي بعدم جواز العدول؛ فإنّ فتواه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ولا 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شخصاً بتخيّل أنّه زيد، فتبيّن أنّه عمرو، فهل وقع تقليده هذا صحيحاً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بالصحّة في المقام مشروط بشرطين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تقليده على وجه التقييد، بحيث لو علم بأنّ من قلّده كان زيداً لم يكن ليقلّده بوجه؛ لأنّه إنّما أرادأن يقلّد عمراً بخصوصه، وأمّا لو كان تقليده لأحدهما على سبيل الداعي، كما لو كان بحيث لو علم أنّ من قلّده زيد كان ليقلّده أيضاً، فيصحّ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الأوّل غير صحيح؛ لما مرّ من أنّه مع عدم العلم بالمخالفة يجب الحكم بصحّة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التساوي، مع العلم بالمخالفة، يجب عليه الاحتياط، كما أنّه في صورة وجود الأعلم يجب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الثاني، فإن قلنا بأنّ التقليد عبارة عن الالتزام بقول مجتهد معيّن، أو العمل كذلك، فالشرط صحيح؛ لأنّه لم يتحقّق منه التقليد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الموجودات الشخصيّة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الخارجيّة ليست مورداً للتقييد؛ فإنّ الموجود الشخصيّ والأمر الخارجيّ لا إطلاق له ليكون قابلاً لتقييده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لأنّ النسبة بينهما من قبيل الملكة والعدم، وكلّ ما لا يمكن فيه الإطلاق فلا يمكن فيه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لإمكان التمسّك فيها بالإطلاق الأحواليّ بلا مانع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لهذا التقييد بعدما كان قول كلا المجتهدين حجّة </w:t>
      </w:r>
      <w:bookmarkStart w:id="433" w:name="pg15437_355219"/>
    </w:p>
    <w:p>
      <w:pPr>
        <w:pStyle w:val="BookText"/>
        <w:rPr/>
      </w:pPr>
      <w:bookmarkEnd w:id="433"/>
      <w:r>
        <w:rPr>
          <w:rFonts w:ascii="Amiri" w:hAnsi="Amiri" w:eastAsia="Amiri" w:cs="Amiri"/>
          <w:color w:val="111111"/>
          <w:sz w:val="28"/>
          <w:sz w:val="28"/>
          <w:szCs w:val="28"/>
          <w:rtl w:val="true"/>
          <w:lang w:bidi="ar-SA"/>
        </w:rPr>
        <w:t>وجامعاً للشرائط، فمقامنا نظير غسل الثوب الخارجي بعنوان أنّه من زيد، فبان أنّه من عمرو، فإنّه لا يؤثّر على تحقّق الطهارة، فإنّها تحصل كيفما اتّفق؛لوضوح أنّ التوصّليّات لا تحتاج إلى القصد، بل تحصل ولو بدون قصد واختيار، ومثله التقليد، فإنّه قد حصل من المكلّف بعد أن كان عمله مستنداً إلى الحجّة، فيكون صحيحاً، وإن تخلّف الداعي</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6974705_2142443653"/>
      <w:bookmarkStart w:id="435" w:name="_Toc159"/>
      <w:bookmarkEnd w:id="434"/>
      <w:r>
        <w:rPr>
          <w:rtl w:val="true"/>
        </w:rPr>
        <w:t>طرق تعلّم الفتوى</w:t>
      </w:r>
      <w:r>
        <w:rPr>
          <w:rtl w:val="true"/>
        </w:rPr>
        <w:t>:</w:t>
      </w:r>
      <w:bookmarkEnd w:id="435"/>
    </w:p>
    <w:p>
      <w:pPr>
        <w:pStyle w:val="BookText"/>
        <w:rPr/>
      </w:pPr>
      <w:r>
        <w:rPr>
          <w:rFonts w:ascii="IRNazanin" w:hAnsi="IRNazanin" w:eastAsia="IRNazanin"/>
          <w:color w:val="111111"/>
          <w:sz w:val="28"/>
          <w:sz w:val="28"/>
          <w:szCs w:val="28"/>
          <w:rtl w:val="true"/>
          <w:lang w:bidi="fa-IR"/>
        </w:rPr>
        <w:t>تُعلم فتوى المجتهد باُمور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ثبت في محلّه من حجّيّة ظواهر الكلام مطلقاً، ولو لم يكن مفيداً للظنّ، بل ولو مع الظنّ غير المعتبر على الخلاف، بل يمكن الاستفادة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 فِي الدِّينِ وَلِيُنذِرُواْ قَوْمَهُمْ إِذَا رَجَعُواْ إِلَيْهِمْ لَعَلَّهُمْ يَحْذَرُونَ</w:t>
      </w:r>
      <w:r>
        <w:rPr>
          <w:rStyle w:val="FootnoteAnchor"/>
          <w:rtl w:val="true"/>
        </w:rPr>
        <w:footnoteReference w:id="339"/>
      </w:r>
      <w:r>
        <w:rPr>
          <w:rFonts w:ascii="IRNazanin" w:hAnsi="IRNazanin" w:eastAsia="IRNazanin"/>
          <w:color w:val="111111"/>
          <w:sz w:val="28"/>
          <w:sz w:val="28"/>
          <w:szCs w:val="28"/>
          <w:rtl w:val="true"/>
          <w:lang w:bidi="fa-IR"/>
        </w:rPr>
        <w:t>، الدالّ على حجّيّة إنذار المنذر، وهو ليس إلّا الإخبار عن الحلال والحرام، وكذا يمكن الاستفادة ممّا تقدّم من الروايات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على الإرجاع إلى آحاد الرواة ومن يأخذون معالم دينهم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يستفاد في المقام ممّا تقتضيه السيرة العقلائيّة القائمة على الرجوع إلى أهل الخبرة؛ فإنّ قول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حجّةً لأنّ ما أخبر به </w:t>
      </w:r>
    </w:p>
    <w:p>
      <w:pPr>
        <w:pStyle w:val="BookText"/>
        <w:rPr/>
      </w:pPr>
      <w:r>
        <w:rPr>
          <w:rFonts w:ascii="Amiri" w:hAnsi="Amiri" w:eastAsia="Amiri" w:cs="Amiri"/>
          <w:color w:val="111111"/>
          <w:sz w:val="28"/>
          <w:sz w:val="28"/>
          <w:szCs w:val="28"/>
          <w:rtl w:val="true"/>
          <w:lang w:bidi="ar-SA"/>
        </w:rPr>
        <w:t>مطابق لتشخيصه، فكذلك يكون قول المجتهد وإخباره عن آرائه وفتاواه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حجّيّة البيّنة إلّا في موارد قام الدليل على عدم اعتبارها فيها، كما مثّلا سابقاً من الشهادة بالزنا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 واحد، بل يكفي إخبار شخص موثّق بها، ولكن بشرط أن يحصل الاطمئنان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الموضوعات بخبر العدل الواحد؛ لأنّه لا دليل على حجّيّته فيها؛ لأنّ ما ورد في الخبر المتقدّم أنّ الأشياء كلّها على ذلك حتى يستبين لك غير ذلك أو تقوم به البيّنة، وإخبار العدل الواحد لا يندرج تحت القسم الأوّل ولا تحت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حجّة في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حجّة في محلّ الكلام؛ لأنّه إخبار عن فتوى المجتهد بالدلالة المطابقيّة، وبدون واسطة، والإخبار عن الفتوى إخبار عن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قلنا بحجّيّة خبر العدل والثقة إمّا مطلقاً أو في محلّ البحث، فلا نحتاج إلى الاطمئنان الشخصيّ، بل يكفي فيه الاطمئنان النوعيّ،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القول بكفاية إخبار الشخص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يكن عادلاً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العمليّة، وهي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المجتهد بنفسه وبخطّه أو جمعها غيره وهو أمضاها،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عنه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في باب إخبار المجتهد عمّا أدّى إليه نظره ورأيه؛ لأنّ الكتابة نوع منالإخبار عن الفتوى، فتشملها الأدلّة التي تدلّ على حجّيّة إخبار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الكاتب موثّقاً، ويندرج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إخبار الثقة، فتشملها أدلّة حجّيّة إخباراته شريطة أن يكون مأموناً من الخطأ، ولو بضميمة أصالة عدم الخطأ، وأمّا مع رؤية أغلاط كثيرة فيها فلا يجري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من ليس أهلاً للفتوى مدّةً من الزمن كما إذا علم أنّه لم يكن عادلاً أو مجتهداً، ثمّ التفت، وجب عليه العدول، لأنّ تقليده باطل، والحال هذه،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عدوله إلى تقليد من هو أهل للفتوى لا يكون تقليداً على الحقيقة، وإنّما هو عدول بحسب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أعماله السابقة، فإذا كانت مطابقةً لفتوى من يجب تقليده بالفعل، صحّت، وإلّا، كانت باطلةً، وإن كانت مطابقةً لفتوى المجتهد الذي يجب تقليده في ذلك العصر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قلّد غير الأعلم، والتفت لاحقاً، وجب عليه العدول إلى الأعلم إذا كان مخالفاً له في الفتوى، وتقليده لغير الأعلم محكوم بالبطلان، إذا كان تقليده له من دون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قد قلّده بعد الفحص، وقلنا بلزوم الرجوع إلى الأعلم من باب الاحتياط، فالأحوط العدول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قلنا بحرمة العدول حتى إلى الأعلم، كما هو قول بعضٍ، فلابدّ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أحوط القولين، وليس له العدول؛ لأنّه على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بأعلميّة أحد شخصين، ولم يمكن التعيين بينهما، فتارةً يكونا متوافقين في الرأي، فيكون كلا الرأيين حجّةً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يختلفان، وفي هذه الصورة لابدّ من الاحتياط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دفعاً للضرر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الأخذ بفتوى مظنون الأعلميّة،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لعدم القطع بخروجه عن عهدة التكليف إذا عمل بقول مظنون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من الاحتياط، كما لو أفتى أحدهما بوجوب صلاة الجمعة في يومها، وأفتى الآخر بوجوب صلاة الظهر، وكان هناك مرجّح في البين لجهة الظنّ بأعلميّة أحدهما، وقلنا بأنّ بناء العقلاء قائم على الأخذ بفتوى مظنون الأعلميّة أو محتملها،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بفتوى مظنونها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أحدهما مظنون الأعلميّة ولا محتملها، فعندئذٍ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اللّجوء إلى القرعة في محلّ البحث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التمسّك بالقرعة في المقام بعد إعراض </w:t>
      </w:r>
    </w:p>
    <w:p>
      <w:pPr>
        <w:pStyle w:val="BookText"/>
        <w:rPr/>
      </w:pPr>
      <w:r>
        <w:rPr>
          <w:rFonts w:ascii="Amiri" w:hAnsi="Amiri" w:eastAsia="Amiri" w:cs="Amiri"/>
          <w:color w:val="111111"/>
          <w:sz w:val="28"/>
          <w:sz w:val="28"/>
          <w:szCs w:val="28"/>
          <w:rtl w:val="true"/>
          <w:lang w:bidi="ar-SA"/>
        </w:rPr>
        <w:t>المشهور وعدم عملهم بها في المورد، حتى لوقيل بورود رواياتٍ كثيرة تدلّ عليها، وبأنّ بعضها شامل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عروض ما يوجب عدم جواز تقليد المجتهد، كالموت أو الجنون أو النسيان، أو عدم جواز البقاء على الرأي الأوّل، كتبدّل الموضوع، فهل يجوز له البقاء على رأيه أم لا؟</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البقاء، تمسّكاً بالاستصحاب إلى حين العلم بالحال، ولا يجب عليه الفحص؛ لعدم وجوبه في الشبهات الموضوعيّة،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مدّة من الزمن أنّه كان يعمل بلا تقليد، ولم يعلم مقدار هذه المدّة، فماذا يصنع؟</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انكشفت موافقة الفتوى التي عمل بها لفتوى المجتهد الذي يكون قوله حجّة بالفعل بالنسبة إليه، وتأتّى منه قصد القربة بالنسبة إلى العمل الذي أتى به في وقته، فيكون عمله هذا صحيحاً، ولا يحتاج لا إلى الإعادة ولا القضاء؛ فإنّ المدار في الصحّة وعدمها إنّما هو على مطابقة عمله لما هو الحجّة والواقع، وهو قول المجتهد الفعليّ الذي يجب عليه أن يعمل برأيه فعلاً، دون المجتهد الذي كان يجب عليه أن يعمل برأيه في زمان العمل؛ لسقوط فتاواه عن الحجّيّة بالموت أو غيره من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لم ينكشف له الحال، ولم يعلم أنّ أعماله هل كانت مطابقةً للواقع </w:t>
      </w:r>
    </w:p>
    <w:p>
      <w:pPr>
        <w:pStyle w:val="BookText"/>
        <w:rPr/>
      </w:pPr>
      <w:r>
        <w:rPr>
          <w:rFonts w:ascii="IRNazanin" w:hAnsi="IRNazanin" w:eastAsia="IRNazanin"/>
          <w:color w:val="111111"/>
          <w:sz w:val="28"/>
          <w:sz w:val="28"/>
          <w:szCs w:val="28"/>
          <w:rtl w:val="true"/>
          <w:lang w:bidi="fa-IR"/>
        </w:rPr>
        <w:t>أم مخالفة له؟ فلابدّ له من الإعادة؛ لإطلاق 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مضى من صلاتك وطهورك فذكرته تذكّراً فأمضه، ولا إعادة عليك فيه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وكذلك موثّقة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شككت فيه ممّا قد مضى فأمضه كما هو</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فإنّهما وإن كان ظاهرهما هو عدم وجوب القضاء، ولكنّهما منصرفتان إلى صورة التذكّر خاصّةً، ولو بقرينة روايتين أُخريين وردتا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 الرجل بعدما صلّى فلم يدرِ أثلاثاً صلّى أم أربعاً؟ وكان يقينه حين انصرف أنّه كان قد أتمّ، لم يُعد الصلاة، وكان حين انصرف أقرب إلى الحقّ منه بعد ذلك</w:t>
      </w:r>
      <w:r>
        <w:rPr>
          <w:rFonts w:eastAsia="IRNazanin" w:cs="IRNazanin"/>
          <w:color w:val="111111"/>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قد عرفنا أنّ هذه الروايات ناظرة إلى ما يقضيه الطبع في الأعمّ الأغلب، وهي إرشاد إلى ذلك فلا يمكن التمسّك بقاعدة الفراغ فيما نحن فيه، لأنّه بحسب الفرض كان حين العمل غافلاً، وإن فرضنا أنّ </w:t>
      </w:r>
    </w:p>
    <w:p>
      <w:pPr>
        <w:pStyle w:val="BookText"/>
        <w:rPr/>
      </w:pPr>
      <w:r>
        <w:rPr>
          <w:rFonts w:ascii="Amiri" w:hAnsi="Amiri" w:eastAsia="Amiri" w:cs="Amiri"/>
          <w:color w:val="111111"/>
          <w:sz w:val="28"/>
          <w:sz w:val="28"/>
          <w:szCs w:val="28"/>
          <w:rtl w:val="true"/>
          <w:lang w:bidi="ar-SA"/>
        </w:rPr>
        <w:t>عمله كان صحيحاً، فمن باب المصادفة والاتّفاق، لا من جهة مطابقته للطبع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انكشف له أنّ ما أتى به كان على خلاف الواقع، فلابدّ من الحكم بالبطلان؛ لما أشرنا إليه من أنّ المدار في الحكم في صحّة العمل وفساده إنّما هو كونه مطابقاً للواقع أو مخالفاً له، ولا سبيل إلى التعرّف على ذلك إلّا الرجوع إلى فتوى المجتهد الذي يجب عليه تقليده عند الالتفات، لا ذاك الذي سقطت فتواه عن الحجّيّة لسببٍ من الأسباب، كالموت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مدّةً من الزمن بناءً على تقليد شخص، ولكن لم يعلم أنّ تقليده له كان صحيحاً، فهل يبني على الصحّة مطلقاً أم لا؟</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التقليد الصحيح هو أن يكون على طبق الموازين والقواعد الشرعيّة وليس عن هوى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صورة ما إذا كان المجتهد جامعاً للشرائط، وكان العمل مطابقاً لرأيه، فلا إشكال في الحكم بالصحّة؛ لجريان أصالة الصحّة، من دون أن يؤثّر عليه الشكّ في أنّ الاستناد إلى فتواه هل كان على طبق الموازين أم لم يكن، ولا دليلعلى أنّ الاستناد إلى ذلك المجتهد يجب أن يكون مطابقاً للموازين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التقليد يكفي فيها أن يكون عمله مطابقاً لفتوى من هو جامع للشرائط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شكّه في الصحّة ناجماً عن الشكّ في أنّ هذا المجتهد هل كان جامعاً للشرائط أم لا؟ فإن كان جامعاً للشرائط، كما إذا كان قد حصل له القطع بذلك، أو شهد لديه بذلك شاهدان، ثمّ شكّ بعد ذلك في أنّ قطعه السابق كان جهلاً مركّباً، أو ظهر له فسق الشاهدين، وصار سبباً لشكّه هذا، فلابدّ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الفحص عن استجماع مقلَّده للشرائط، ولا يجوز له البقاء على تقليده، بلا فرقٍ بين أن يكون الشكّ من قبيل الشكّ الساري أم من غيره، بل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قد شكّ ابتداءً في أنّه جامع للشرائط، فكما لا يجوز له أن يقلّده، فكذلك لو شكّ في ذلك بقاءً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صحّة تقليده وعدمها بالإضافة إلى أعماله التي أتى بها على طبقه، فإذا علم بمطابقتها للواقع، كما إذا عمل بالاحتياط فأتى بالسورة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بالتسبيحات ثلاثاً، فلا إشكال في صحّة عمله حينئذٍ، ولا يجب عليه الإعادة فيما يرجع إلى الأركان، لورودها في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الأركان من الأجزاء، كما لو أخلّ بالسورة، وجبت عليه الإعادة، إلّا إذا قلنا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الجاهل بالحكم، ولكنّه لا يشملها؛ لكونها معارضاً ومضادّاً للأدلّة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شكّ في أنّه جامع للشرائط أم 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الفحص، ولا يجوز له أن يعمل بأقواله بعد الشكّ، </w:t>
      </w:r>
    </w:p>
    <w:p>
      <w:pPr>
        <w:pStyle w:val="BookText"/>
        <w:rPr/>
      </w:pPr>
      <w:r>
        <w:rPr>
          <w:rFonts w:ascii="Amiri" w:hAnsi="Amiri" w:eastAsia="Amiri" w:cs="Amiri"/>
          <w:color w:val="111111"/>
          <w:sz w:val="28"/>
          <w:sz w:val="28"/>
          <w:szCs w:val="28"/>
          <w:rtl w:val="true"/>
          <w:lang w:bidi="ar-SA"/>
        </w:rPr>
        <w:t>ولا فرق بين الشكّ الطارئ والشكّ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هو جامع للشرائط المعتبرة في المرجعيّة من جهة قطعه بذلك أو قيام البيّنة عليه، ولكن شكّ بعد ذلك في استجماعه للشرائط؛ لاحتمال زوالها عنه، فإنّه أحرز استجماعه للشرائط حدوثاً، ولكنّه شكّ في ارتفاعها بقاءً، ولا ينبغي الإشكال في جواز البقاء على تقليده تمسّكاً باستصحاب بقائه على الشرائط المعتبرة، فيبقى على تقليده إلى أن يعلم بارتفاعها، كما أنّ أعماله السابقة التي أتى بها وفقاً لفتواه كانت صحيحة؛ لأنّ المفروض أنّه عندما قلّد، فقد قلّد شخصاً جامعاً للشرائط، ثمّ طرأ له الشكّ بعد ذلك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شكّه من قبيل الشكّ الساري، فيرجع الشكّ إلى أنّه هل كان من أوّل الأمر جامعاً للشرائط أم لا؟ كما لو كان يعلم سابقاً بأنّه كان جامعاً للشرائط، ولكن بعد ذلك شكّ في أنّه كان من أوّل الأمر جامعاً لها؛ لاحتمال خطئه في عمله، أو للشكّ في عدالة الشهود،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إلى اليقين السابق، فيزيله، فيجب عليه الفحص، وليس له أن يبقى على تقليده له، فإنّ فتواه وإن كانت حجّةً حدوثاً، إلّا أنّها سقطت عن الحجّيّة بقاءً؛ لزوال العلم؛ أو سقوط البيّنة عن الاعتبار؛ فكما يجب الفحص عن التقليد الابتدائيّ، لعدم حجّيّة مشكوك الحجّيّة، يجب كذلك الفحص عن صحّة التقليد استدامةً؛ لعدم وجود المؤمّن من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اليقين تجري في الشكّ الساري، كما يجري الاستصحاب في الشكّ الطارئ، فكما أنّ الشكّ في البقاء يكون مجرى للاستصحاب، فكذلك الشكّ في الحدوث يكون مجرىً لقاعدة اليقين، ففي الحالتين يجوز للمكلّف البقاء على تقليد من قلّده سابقاً، لأنّ حجّيّة فتاواه مسبوقة باليقين، والشكّ بعد ذلك يكون ملغىً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الشامل لكلتا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في محلّه أنّ عدم جواز نقض اليقين بالشكّ إمّا أن يشمل مورد الشكّ الطارئ، وهو المعبّر عنه بالاستصحاب، أو الشكّ الساري، المعبّر عنه بقاعدة اليقين، ولا يمكن أن يكون الخبر شاملاً لكليهما معاً؛ إذ ليس هناك من جامع بين القاعدتين، فإنّ اليقين باقٍ بناءً على الاستصحاب، وزائل بناءً على قاعدة اليقين، ومتعلّقا اليقين والشكّ متّحدان زماناً في قاعدة اليقين، ومختلفان زماناً في باب الاستصحاب، فلمّا لم يمكن أن يكون الخبر شاملاً للقاعدتين، كان لابدّ من إرادة إحداهما فقط، وليست هي قاعدة اليقين؛ لأنّ موردها منطبق على الاستصحاب والشكّ الطارئ، ما يعيّن إرادته من الخبر، وإلّا، يلزم عدم شمول الخبر لمورده،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أهلاً للفتوى هل يجوز له الإفتاء أم لا؟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هذه المسألة يقع في اُمور</w:t>
      </w:r>
      <w:r>
        <w:rPr>
          <w:rFonts w:eastAsia="Amiri" w:cs="Amiri" w:ascii="Amiri" w:hAnsi="Amiri"/>
          <w:color w:val="111111"/>
          <w:sz w:val="28"/>
          <w:szCs w:val="28"/>
          <w:rtl w:val="true"/>
          <w:lang w:bidi="ar-SA"/>
        </w:rPr>
        <w:t xml:space="preserve">: </w:t>
      </w:r>
      <w:bookmarkStart w:id="436" w:name="pg15437_355229"/>
    </w:p>
    <w:p>
      <w:pPr>
        <w:pStyle w:val="BookText"/>
        <w:rPr/>
      </w:pPr>
      <w:bookmarkEnd w:id="436"/>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إفتائه إذا لم يكن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تصدّيه للقضاء</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6974707_2142443653"/>
      <w:bookmarkStart w:id="438" w:name="_Toc160"/>
      <w:bookmarkEnd w:id="437"/>
      <w:r>
        <w:rPr>
          <w:rtl w:val="true"/>
        </w:rPr>
        <w:t>أمّا الأمر الأوّل</w:t>
      </w:r>
      <w:r>
        <w:rPr>
          <w:rtl w:val="true"/>
        </w:rPr>
        <w:t>:</w:t>
      </w:r>
      <w:bookmarkEnd w:id="438"/>
    </w:p>
    <w:p>
      <w:pPr>
        <w:pStyle w:val="BookText"/>
        <w:rPr/>
      </w:pPr>
      <w:r>
        <w:rPr>
          <w:rFonts w:ascii="Amiri" w:hAnsi="Amiri" w:eastAsia="Amiri" w:cs="Amiri"/>
          <w:color w:val="111111"/>
          <w:sz w:val="28"/>
          <w:sz w:val="28"/>
          <w:szCs w:val="28"/>
          <w:rtl w:val="true"/>
          <w:lang w:bidi="ar-SA"/>
        </w:rPr>
        <w:t>فقد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المنصب هو من المناصب الإلهيّة، فيكون مختصّاً بالنبيّ أو الإمام أو نائبه، الخاصّ أو العامّ، وأمّا من لا أهليّة له، فلم يثبت له الإذن، فتصدّيه في حدّ نفسه حرام، وإفتاؤه حرام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الأدلّة كونه من المناصب المختصّة لكي يحتاج إلى الإذن، وأمّا الأدلّة التي ورد فيها ذكر للشرائط التي ينبغي توفّرها، فهي إنّما تدلّ على شرائط حجّيّة الفتوى، لا على الحكم التكليفيّ الذي هو جواز الإفتاء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إغراء للجاهل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إغراءً للجاهل مطلقاً؛ لأنّ فتواه قد تكون موافقةً لفتوى المجتهد الجامع للشرائط، أو مطابقةً للاحتياط،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إفتائه من هذه الناحية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ليس أهلاً للفتوى لعدم حيازته على ملكة الاجتهاد، فإذا أفتى الناس، فقد أفتاهم بغير علم، فلا إشكال في حرمة إفتائه هذا؛ لأنّه إسناد الحكم إلى اﷲ تعالى من دون حجّة، وقد قال تعالى</w:t>
      </w:r>
      <w:r>
        <w:rPr>
          <w:rFonts w:eastAsia="Amiri" w:cs="Amiri" w:ascii="Amiri" w:hAnsi="Amiri"/>
          <w:color w:val="111111"/>
          <w:sz w:val="28"/>
          <w:szCs w:val="28"/>
          <w:rtl w:val="true"/>
          <w:lang w:bidi="ar-SA"/>
        </w:rPr>
        <w:t xml:space="preserve">: </w:t>
      </w:r>
      <w:bookmarkStart w:id="439" w:name="pg15437_355230"/>
    </w:p>
    <w:p>
      <w:pPr>
        <w:pStyle w:val="BookText"/>
        <w:rPr/>
      </w:pPr>
      <w:bookmarkEnd w:id="439"/>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قضى بالحقّ وهو لا يعلم فهو في النّار</w:t>
      </w:r>
      <w:r>
        <w:rPr>
          <w:rFonts w:eastAsia="IRNazanin" w:cs="IRNazanin"/>
          <w:color w:val="111111"/>
          <w:sz w:val="28"/>
          <w:szCs w:val="28"/>
          <w:rtl w:val="true"/>
          <w:lang w:bidi="fa-IR"/>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له ملكه الاجتهاد، ولكن لم يكن له أهليّة للفتوى من سائر الجهات، فلا دليل على تحريم إخباره عن نظره وفتواه؛ فإنّه ليس بكذب، فيصدق على إفتائه هذا أنّه ممّا أذن اﷲ به، فإن كان ما أفتى به حسب اجتهاده هو حكم اﷲ تعالى، فقد قضى بالحقّ وهو يعلم، فليس هناك افتراء على اﷲ في فتواه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أنّه هل يصدق عليه أنّه إغراء للجاهل، ولكن قد عرفنا أنّه في هذه الحالة لا إغراء، وبخاصّةٍ إذا كان يرى نفسه أعلم</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6974709_2142443653"/>
      <w:bookmarkStart w:id="441" w:name="_Toc161"/>
      <w:bookmarkEnd w:id="440"/>
      <w:r>
        <w:rPr>
          <w:rtl w:val="true"/>
        </w:rPr>
        <w:t>وأمّا الأمر الثاني</w:t>
      </w:r>
      <w:r>
        <w:rPr>
          <w:rtl w:val="true"/>
        </w:rPr>
        <w:t>:</w:t>
      </w:r>
      <w:bookmarkEnd w:id="441"/>
    </w:p>
    <w:p>
      <w:pPr>
        <w:pStyle w:val="BookText"/>
        <w:rPr/>
      </w:pPr>
      <w:r>
        <w:rPr>
          <w:rFonts w:ascii="IRNazanin" w:hAnsi="IRNazanin" w:eastAsia="IRNazanin"/>
          <w:color w:val="111111"/>
          <w:sz w:val="28"/>
          <w:sz w:val="28"/>
          <w:szCs w:val="28"/>
          <w:rtl w:val="true"/>
          <w:lang w:bidi="fa-IR"/>
        </w:rPr>
        <w:t>وهو حرمة تصدّيه للقضاء، فالظاهر أنّه من الأحكام المتّفق عليها عند الأصحاب، وقد استدلّوا له برواياتٍ عدّة، استفادوا منها أنّه من المناصب المختصّة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لأحد التصدّي له إلّا بإذنه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عمّار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جلسْتَ مجلساً لا يجلسه إلّا نبيٌّ أو وصيّ نبيٍّ أو شقيّ</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 لنبيٍّ أو وصيّ نبيّ</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لم يظهر من هاتين الروايتين أنّه لا يجوز القضاء، إلّا مع الإذن وإنّما ظهر منهما أنّه لا يجوز لأحدٍ أن يحكم مع وجود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فولاية القضاء لم تثبت لغيره في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في صحيحة أبي خديجة سالم بن مكرم الجمّال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فهي تدلّ على أنّ أصل جواز القضاء يحتاج إلى جعلٍ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للقاضي أن تكون له الأهليّة للقضاء؛ إذ كيف ينصّب الإمام من ليس أهلاً له؟</w:t>
      </w:r>
    </w:p>
    <w:p>
      <w:pPr>
        <w:pStyle w:val="BookText"/>
        <w:rPr/>
      </w:pPr>
      <w:r>
        <w:rPr>
          <w:rFonts w:ascii="Amiri" w:hAnsi="Amiri" w:eastAsia="Amiri" w:cs="Amiri"/>
          <w:color w:val="111111"/>
          <w:sz w:val="28"/>
          <w:sz w:val="28"/>
          <w:szCs w:val="28"/>
          <w:rtl w:val="true"/>
          <w:lang w:bidi="ar-SA"/>
        </w:rPr>
        <w:t>وهل يشترط فيمن يتصدّى للقضاء أن يكون مجتهداً أم لا؟</w:t>
      </w:r>
    </w:p>
    <w:p>
      <w:pPr>
        <w:pStyle w:val="BookText"/>
        <w:rPr/>
      </w:pPr>
      <w:r>
        <w:rPr>
          <w:rFonts w:ascii="Amiri" w:hAnsi="Amiri" w:eastAsia="Amiri" w:cs="Amiri"/>
          <w:color w:val="111111"/>
          <w:sz w:val="28"/>
          <w:sz w:val="28"/>
          <w:szCs w:val="28"/>
          <w:rtl w:val="true"/>
          <w:lang w:bidi="ar-SA"/>
        </w:rPr>
        <w:t>المشهور على الأوّل، بل قد يُدّعى عليه الإجماع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إلى الثاني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مستفيداً من إطلاق جملة من الآيات والروايات التي تقتضي عدم الفرق بين المجتهد وغيره</w:t>
      </w:r>
      <w:r>
        <w:rPr>
          <w:rFonts w:eastAsia="Amiri" w:cs="Amiri" w:ascii="Amiri" w:hAnsi="Amiri"/>
          <w:color w:val="111111"/>
          <w:sz w:val="28"/>
          <w:szCs w:val="28"/>
          <w:rtl w:val="true"/>
          <w:lang w:bidi="ar-SA"/>
        </w:rPr>
        <w:t xml:space="preserve">. </w:t>
      </w:r>
      <w:bookmarkStart w:id="442" w:name="pg15437_355232"/>
    </w:p>
    <w:p>
      <w:pPr>
        <w:pStyle w:val="Heading6"/>
        <w:numPr>
          <w:ilvl w:val="5"/>
          <w:numId w:val="1"/>
        </w:numPr>
        <w:rPr/>
      </w:pPr>
      <w:bookmarkStart w:id="443" w:name="__RefHeading___Toc6974711_2142443653"/>
      <w:bookmarkStart w:id="444" w:name="_Toc162"/>
      <w:bookmarkEnd w:id="442"/>
      <w:bookmarkEnd w:id="443"/>
      <w:r>
        <w:rPr>
          <w:rtl w:val="true"/>
        </w:rPr>
        <w:t>أمّا الآيات</w:t>
      </w:r>
      <w:r>
        <w:rPr>
          <w:rtl w:val="true"/>
        </w:rPr>
        <w:t>:</w:t>
      </w:r>
      <w:bookmarkEnd w:id="444"/>
    </w:p>
    <w:p>
      <w:pPr>
        <w:pStyle w:val="BookText"/>
        <w:rPr/>
      </w:pPr>
      <w:r>
        <w:rPr>
          <w:rFonts w:ascii="Amiri" w:hAnsi="Amiri" w:eastAsia="Amiri" w:cs="Amiri"/>
          <w:color w:val="111111"/>
          <w:sz w:val="28"/>
          <w:sz w:val="28"/>
          <w:szCs w:val="28"/>
          <w:rtl w:val="true"/>
          <w:lang w:bidi="ar-SA"/>
        </w:rPr>
        <w:t>فكقوله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كُونُواْ قَوَّامِينَ لِلّهِ شُهَدَاء بِالْقِسْطِ وَلاَ يَجْرِمَنَّكُمْ شَنَآنُ قَوْمٍ عَلَى أَلاَّ تَعْدِلُواْ اعْدِلُواْ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الْفَاسِقُونَ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هذه الآيات دالّ على أنّه لا فرق في الحاكم بين أن يكون مجتهداً وبين أن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جميع الجهات، والتي منها كفاية مطلق العالم، بل نراها خاليةً عن ذكر العلم أصلاً، فضلاً عن بيان كيفيّته، بل إنّما هي في مقام البيان من جهة الحكم بالعدل والحقّ وغيرهما</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6974713_2142443653"/>
      <w:bookmarkStart w:id="446" w:name="_Toc163"/>
      <w:bookmarkEnd w:id="445"/>
      <w:r>
        <w:rPr>
          <w:rtl w:val="true"/>
        </w:rPr>
        <w:t>وأمّا الروايات</w:t>
      </w:r>
      <w:r>
        <w:rPr>
          <w:rtl w:val="true"/>
        </w:rPr>
        <w:t>:</w:t>
      </w:r>
      <w:bookmarkEnd w:id="44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النار وواحد في الجنّة، رجل قضى بجور وهو يعلم، فهو في النّار، ورجل قضى بجور وهو لا يعلم، فهو في النّار، ورجل قضى بالحقّ وهو لا يعلم، فهو في </w:t>
      </w:r>
    </w:p>
    <w:p>
      <w:pPr>
        <w:pStyle w:val="BookText"/>
        <w:rPr/>
      </w:pPr>
      <w:r>
        <w:rPr>
          <w:rFonts w:ascii="Amiri" w:hAnsi="Amiri" w:eastAsia="Amiri" w:cs="Amiri"/>
          <w:color w:val="111111"/>
          <w:sz w:val="28"/>
          <w:sz w:val="28"/>
          <w:szCs w:val="28"/>
          <w:rtl w:val="true"/>
          <w:lang w:bidi="ar-SA"/>
        </w:rPr>
        <w:t>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مطلقة؛ لأنّ المراد من العلم فيها هو العلم الذي يحصل له عن اجتهاد أو عن تقليد، وليس في مقام البيان من ناحية أنّ علمه الذي يستند إليه في الحكم يجب أن يكون عن اجتهاد ولا يجوز أن يكون عن 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صحيحة أبي خديجة 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لها؛ لأنّها ليست بصدد بيان أنّ العلم الحاصل له لابدّ أن يكون عن اجتهادٍ أو عن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الواردة في الباب</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على فرض تسليم ثبوت الإطلاق لها، يقيّد بمقبولة عمر بن حنظلة المتقدّمة مراراً، والصريحة في أنّ القاضي لابدّ أن يكون ناظراً في الحلال والحرام عارفاً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أحكامنا، فليرضوا به حكماً، فإنّي قد جعلته عليكم حاكماً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التوقيع الشريف بخطّ مولانا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اﷲ</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في زمان الفحص عن المجتهد، أو عن الأعلم، أن يحتاط في أعماله في زمان الفحص، بأن يأخذ بأحوط الأقوال حتى يثبت له الاجتهاد أو الأعلميّة لدى من يجب عليه تقليده، لكي يحصل له بذلك الأمن من العقاب؛ إذ بدونه لا يكاد يحصل له ذلك، ولاسيّما بعد أن علم بوجود أحكامٍ إلزاميّة في الشريعة المقدّسة، فلابدّ له من الخروج عن عهدتها، ولا يمكن ذلك إلّا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بإيجاب الاحتياط في زمان الفحص عن المجتهد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زمان الفحص عن الأعلم، فالحكم بإيجابه مشكل، وذلك لما عرفنا من أنّ مسألة جواز الاحتياط، بما أنّها خلافيّة، فلابدّ له من تقليد محتمل الأعلميّة، ومع عدم وجود محتمل الأعلميّة يسقط الحكم بوجوب تقليد الأعلم،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الأخذ بأحوط الأقوال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والوكيل عن المجتهد في التصرّف في الأوقاف، أو </w:t>
      </w:r>
    </w:p>
    <w:p>
      <w:pPr>
        <w:pStyle w:val="BookText"/>
        <w:rPr/>
      </w:pPr>
      <w:r>
        <w:rPr>
          <w:rFonts w:ascii="Amiri" w:hAnsi="Amiri" w:eastAsia="Amiri" w:cs="Amiri"/>
          <w:color w:val="111111"/>
          <w:sz w:val="28"/>
          <w:sz w:val="28"/>
          <w:szCs w:val="28"/>
          <w:rtl w:val="true"/>
          <w:lang w:bidi="ar-SA"/>
        </w:rPr>
        <w:t>في أموال القصّر، ينعزل إذا مات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ذلك بالإغماء، فضلاً عن الجنون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الوكيل هو الوجود التنزيليّ للموكّل، ومن هنا، تُنسب تصرّفاته إلى موكّله، وإذا كان كذلك، فإذا زال الأصل،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زواله سبباً لزوال الفرع،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إنّمن مقوّمات الوكيل وجود الموكّل الذي ينزّله منزلة نفسه في التصرّفات التي يجيزها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جعله منصوباً من قبله، كما إذا نصّبه متولّياً للوقف، أو قيّماً على القُصّر، فإنّه لا تبطل توليته وقيموميّته بموته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إحراز أنّ الفقيه تثبت له الولاية مطلقاً في زمان الغيبة لكي يتمكّن من نصب المتولّي والقيّم ونحوهما، وبعد إحراز أنّه يتمكّن من ذلك، تصل النوبة إلى الحديث عن أنّ توليته وقيموميّته هل تبطلان بالموت أم لا؟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الجعل من الوظائف الراجعة إلى القضاة، كما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المرتكز في أذهان المتشرّعة أنّ منصب القضاء منصب نيابيّ، فالأفعال الصادرة منه هي الصادرة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منصوب من قبله، فمنصوبه منصوب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للتفصيل بين ما إذا قصد تنصيبه عن نفسه، فينعزل بموت الفقيه أو الحاكم، وبين ما لو قصد تنصيبه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ينعزل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الجعل لو كان من قبل المجتهد، فإنّه ينعزل بموته، وأمّا لو كان من قبل اﷲ تعالى فعزله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جعل شخصاً قيّماً أو متولّياً، ثمّ مات الجاعل، يبقى القيّم والمتولّي على حاله، ما لم يقم الحاكم الجديد بعزلهما، وهذا ما عليه ديدن العرف والعقلاء، وحتى ولاة الجور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لو شككنا في كيفيّة الجعل وأنّه هل كان بنحو النصب حتى يُحكم ببقائه، أم بنحو الإذن والوكالة حتى يحكم بزواله، فهل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سلطنته أم لا؟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القسم الثاني من استصحاب الكلّي، كما لو كان المستصحب موجوداً في ضمن أحد الفردين الطويل والقصير، فإنّ الأصل ولو لم يكن جارياً في فرد الكلّيّ ومصداقه، إلّا أنّه يمكن جريانه في الكلّيّ نفسه، شريطة أن يكون هو موضوعاً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ففيما نحن فيه، لا يجري الاستصحاب في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وجود أمر متعلّق بالجامع لكي يتأتّى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هذا الأصل إنّما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الشكّ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بعدم جريانه هناك، فمن الواضح، أنّه لا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المقام يكون من قبيل الشكّ في الرافع؛ لأنّ السلطنة بطبعها وذاتها قابلة للبقاء، إلّا أن يزيلها الزائل والرافع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غير محلّه؛ لإمكان أن يكون القصور في المقتضي بالنسبة إلى مجعوليّة السلطنة، فإنّ مورد الشكّ هو عدم ترتّب الأثر فيما أوقفه الحاكم أو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على تقليد الميت من دون إجازة الحيّ، فهو كمن عمل بلا تقليد؛ لأنّ عمله هذا لم يكن مستنداً إلى حجّةمعتبرة، ولا يفيده حجّيّة ما كان يستند إليه سابقاً؛ لسقوطها، ولو كان رأي الحيّ هو البقاء؛ لأنّه لم يقّلده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جاهلاً بالجهل البسيط أو المركّب، ولم يكن ملتفتاً حين العمل، ولكن جاء عمله مطابقاً للواقع، صحّ، وأمّا إذا لم يوافق عمله الواقع، أو رأى من رأيه حجّة بالفعل، فهو يكون باطلاً، كما اتّضح ممّا قد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الإتيان بعملٍ عن الغير، كما إذا صار وكيلاً عنه في إجراء عقد، أو نائباً عنه للحجّ، فهل يجب عليه العمل بمقتضى تقليد الموكلّ أو تقليد نفسه؟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تفريغ ذمّة الغير عمّا اشتغلت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قبل المتبرّع،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المفرّغ لذمّة الغير هل يتعيّن عليه أن يأتي بالعمل على حسب ما هو الصحيح عنده، اجتهاداً أو تقليداً، أو على حسب ما هو الصحيح عند من يريد إفراغ ذمّته؟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يعمل على ما هو الصحيح عند الموصي والموكلّ والمستأجر؛ فإنّ كلاً من الوصيّ والوكيل والأجير يكون نائباً عن الغير، ووجوداً تنزيليّاً له،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الغير، فيجب على كلّ واحد من هؤلاء السعي إلى تحقيق العمل الصحيح عند الموصي والموكلّ وأمثالهما، لكي يبرّئ ذمّته ممّا قد انشغلت به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العمل عباديّاً، وكان الإتيان به على كيفيّةٍ ما باطلاً في نظر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تصحّ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تمشّي قصد القربة منه، وعدم قدرته على الإتيان بالعمل العباديّ على هذه الكيفيّة متقرّباً به إلى المولى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هو رعاية تقليد الوكيل نفسه؛ إذ إنّ إطلاق الوكالة يقتضي جواز عمل الوكيل بنظره، وتطبيق عمل الموكّل عليه، ومجرّد التفات الموكّل إلى الاختلاف غير كافٍ في تقييد إطلاق التوكيل، ففي مقام الإثبات، لا مانع من الأخذ بالإطلاق إذا تمّت مقدّمات الحكمة، ولم يكن هناك قرينة مانعة من الأخذ بالإطلاق، وهكذا الحال بالنسبة إلى الوصيّ والأجير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لم تكن هناك قرينة على تقييد العمل بالوصيّة بشخص معيّن، أو على تقييد العمل بالإجارة على طبق نظر مجتهد معيّن، فإنّ مقتضى هذا الإطلاق جواز العمل على حسب تقليد الوصيّ والأجير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الجمع بين التقليدين؛ لعدم ترجيح أحد الطرفين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المتصدّي للتفريغ هو المتبرّع أو الوليّ، كالولد الأكبر، فإذا أراد تفريغ ذمّة والده الميت عن الصلاة والصيام، فلا مناص من أن يفرّغا ذمّة الميت بما هو الصحيح عندهما حتى يسوغ لهما الاجتزاء به في تفريغ ذمّته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كانالمتصدّي للتفريغ هو الوكيل أو الوصيّ، فلا مناص من أن يراعيا الصحيح عند الموصي أو الموكّل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أو الوصيّ بما أنّهما يقومان مقام الموكّل والموصي، وليس العمل عملهما، فلابدّ أن يأتيا بالعمل على حسب نظر الموكّل والموصي، إذ هما من يتوجّه التكليف إليهما، وهذا بخلاف الوليّ والمتبرّع؛ فإن التكليف متوجّه إليهما ابتداءً، نعم، لو كان العمل عباديّاً، وكان باطلاً في نظر الأجير، لم تصحّ الإجارة له، ولم يستحقّ الاُجرة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البائع مقلّداً لمن يقول بصحّة العقد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المشتري مقلّداً لمن يقول ببطلانه، فلو أجرى العقد بالفارسيّة وقع باطلاً، فالعقد إمّا أن يقع على النحو الصحيح عند المتعاقدين معاً، وإلّا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بالنسبة إلى كلٍّ من المتعاملين؛ لأنّ المعاملة هي المعاقدة بين الالتزامين،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بالطرفين، فلابدّ من صحّتها عند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لأنّها لمّا كانت قائمةً بالطرفين، فإذا كانت صحيحةً بالإضافة إلى أحد الطرفين، دلّ ذلك بالدلالة الالتزاميّة على صحّتها بالنسبة إلى الطرف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وإن كانا متلازمين بحسب الواقع، ولكنّ ذلك لا يوجب تلازمهما بحسب الظاهر، فالتفكيك بينهماممكن بناءً على أن الطريقيّة في باب الأمارات، دون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الحجّة على الصحّة عند أحدهما، فيكون العقد المزبور صحيحاً بالنسبة إليه، وفاسداً بالنسبة إلى الآخر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بالسببيّة، فلابدّ من الالتزام بالبطلان بالنسبة إلى كلا الطرفين؛ لانقلاب الواقع إلى مؤدّى الأمارة بناءً على هذا القول، فلو دلّت الأمارة عند أحدهما على الصحّة، وكان الحكم في الواقع فساداً، تبدّل الفساد إلى الصحّة، ولم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الحكم بالصحّة </w:t>
      </w:r>
    </w:p>
    <w:p>
      <w:pPr>
        <w:pStyle w:val="BookText"/>
        <w:rPr/>
      </w:pPr>
      <w:r>
        <w:rPr>
          <w:rFonts w:ascii="Amiri" w:hAnsi="Amiri" w:eastAsia="Amiri" w:cs="Amiri"/>
          <w:color w:val="111111"/>
          <w:sz w:val="28"/>
          <w:sz w:val="28"/>
          <w:szCs w:val="28"/>
          <w:rtl w:val="true"/>
          <w:lang w:bidi="ar-SA"/>
        </w:rPr>
        <w:t xml:space="preserve">في أحد الطرفين مع الحكم بالفساد في الطرف الآخر؛ إذ ليس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ظاهريّ ليمكن التفكيك بين المتعاملين بحسب الصحّة والفساد، والحكم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الطرفين واقعاً لا يجتمع مع الحكم بالفساد واقعاً في الطرف الآخر،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المرافعات، هل يكون اختيار تعيين الحاكم بيد المدّعي أو المدّعى عليه، أم أنّه لابدّ من الرجوع في ذلك إلى الأعلم؟</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المدّعي؛ لأنّه هو الذي يطالب بالحقّ، فلو رفع أمره إلى الحاكم، وجبت على المنكر الإجابة، وأمّا لو رفع المنكر أوّلاً أمره إلى الحاكم، فلا يجب على المدّعي الإجابة؛ إذ المدّعي هو المطالب بالحقّ، ولا حقّ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غير تامّ؛ لأنّ الحقّ المزعوم أنّه ثابت للمدّعي، إن كان المراد به الحقّ المدّعى به، فهو أوّل الكلام، وإن كان المراد به حقّ الدعوى، فهو لا يوجب تقديم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فالصور في المسألة أربع؛ لأنّ الحاكمين إمّا أن يتساويا في العلم، أو أن يكون أحدهما أعلم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أحد الخصمين مدّعياً والآخر منكراً، وإمّا أن</w:t>
      </w:r>
    </w:p>
    <w:p>
      <w:pPr>
        <w:pStyle w:val="BookText"/>
        <w:rPr/>
      </w:pPr>
      <w:r>
        <w:rPr>
          <w:rFonts w:ascii="Amiri" w:hAnsi="Amiri" w:eastAsia="Amiri" w:cs="Amiri"/>
          <w:color w:val="111111"/>
          <w:sz w:val="28"/>
          <w:sz w:val="28"/>
          <w:szCs w:val="28"/>
          <w:rtl w:val="true"/>
          <w:lang w:bidi="ar-SA"/>
        </w:rPr>
        <w:t>يكون كلاهما متداعيين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الحاكمان متساويين في العلم، وكان أحد الخصمين مدّعياً </w:t>
      </w:r>
    </w:p>
    <w:p>
      <w:pPr>
        <w:pStyle w:val="BookText"/>
        <w:rPr/>
      </w:pPr>
      <w:r>
        <w:rPr>
          <w:rFonts w:ascii="Amiri" w:hAnsi="Amiri" w:eastAsia="Amiri" w:cs="Amiri"/>
          <w:color w:val="111111"/>
          <w:sz w:val="28"/>
          <w:sz w:val="28"/>
          <w:szCs w:val="28"/>
          <w:rtl w:val="true"/>
          <w:lang w:bidi="ar-SA"/>
        </w:rPr>
        <w:t>والآخر منكراً،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التعيين يكون بيد المدّعي؛ لما ذكرناه من أنّه هو المطالب بالحقّ، وإذا سكت لم يكن هناك نزاع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الحاكمان متساويين في الفضيلة، وكان كلّ واحدٍ من الخصمين مدّعياً، لم يكن وجه لتقديم ما اختاره أحدهما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أحد الحاكمين أعلم من الآخر، فالمشهور لزوم اختيار الأعلم والرجوع إليه مطلقاً، سواء كانا متداعيين أو كان أحدهما مدّعياً والآخر منكراً، لما ورد في مقبولة عمر بن حنظلة 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كلّ رجل اختار رجلاً من أصحابنا، فرضيا أن يكونا الناظرين في حقّهما، واختلفا فيما حكما وكلاهما اختلفا في حديثكم،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وأورعهما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ولكنّ موردها صورة اختلاف الحكمين، والتعدّي إلى مورد البحث يحتاج إلى دليل، ولكنّ مقتضى صدر الرواية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كانت الشبهة حكميّةً، وقد تعيّن تقليد الأعلم للمتخاصمين، وجب الترافع عنده بناءً على وجوب تقليد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الجامع للشرائط هل يكون نافذاً حتى بالنسبة إلى مجتهدٍ آخر أم لا؟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بعد أن كان القضاء بمعنى فصل الخصومة، وبعد أن كان ردّه موجباً للغويّة القضاء، مع العلم بأنّ أصل الثبوت وعدم جواز </w:t>
      </w:r>
    </w:p>
    <w:p>
      <w:pPr>
        <w:pStyle w:val="BookText"/>
        <w:rPr/>
      </w:pPr>
      <w:r>
        <w:rPr>
          <w:rFonts w:ascii="Amiri" w:hAnsi="Amiri" w:eastAsia="Amiri" w:cs="Amiri"/>
          <w:color w:val="111111"/>
          <w:sz w:val="28"/>
          <w:sz w:val="28"/>
          <w:szCs w:val="28"/>
          <w:rtl w:val="true"/>
          <w:lang w:bidi="ar-SA"/>
        </w:rPr>
        <w:t>الردّ هو من المرتكزات عند العقلاء، فلا نحتاج في عدم جواز الردّ وعدم جواز نقض الحكم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ورد من الروايات من أمثال مقبولة ابن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 منه فإنّما استخفّ بحكم اﷲ، وعلينا ردّ، والرادّ علينا الرادّ على اﷲ، وهو على حدّ الشرك باﷲ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هذه المقبولة وغيرها من الروايات، هو عدم جواز الردّ مطلقاً حتى مع العلم بالخلاف، ولكن سيأتي أنّه في بعض الصور،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بالخلاف، يجوز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هو الفرق بين الفتوى والحكم حتى يجوز نقض الأوّل دون الثاني؟أمّا الفتوى فيراد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الإخبار عن اﷲ تعالى بحكم شرعيٍّ متعلّقٍ بكلّيّ، كالقول بنجاسة ملاقي البول أوالخمر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إنشاء إنفاذٍ من الحاكم، لا منه تعالى، لحكم شرعيٍّ أو وضعيّ أو موضوعهما في شيء مخصوص</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من الروايات أنّ اعتبار حكم الحاكم إذا كان صادراً عن الميزان الصحيح، ليس من باب أنّه أمارة على الواقع كالفتوى، بل إنّما هو لأجل أنّ له موضوعيّة في فصل الخصومات وحلّ المرافعات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هذا، فهل يجوز نقض حكم الحاكم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معلوم المطابقة للواقع،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متابعته وحرمة نقض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معلوم المخالفة له، وقد أشرنا إلى خروج هذه الصورة عن الإطلاق، وأنّه يجوز ردّ حكمه والحالة هذه؛ لأنّ هذا الحكم، وإن كان له موضوعيّة في المرافعات، إلّا أنّه لا يغيّر الواقع عمّا هو، بل الواقع باقٍ على حاله، فقد يكون هذا الحكم مطابقاً له، وقد يكون مخالفاً له، كما دلّ على ذلك صحيحة هشام بن الحكم عن أبي عبد 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أقضي بينكم بالبيّنات والأيمان، وبعضكمألحن بحجّته من بعض، فأيّما رجلٍ قطعت له من مال أخيه شيئاً، فإنّما قطعت له به قطعة من النّار</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بقاء الحكم الواقعيّ على حاله، وعدم كون حكم الحاكم مغيّراً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بالمخالفة والموافقة،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الإطلاق هو عدم جواز نقض حكمه،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فصل الخصومات، فلو جاز ردّه؛ لاختلّ النظام وبقيت الخصومة والنزاع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بطلان الاجتهاد الأوّل لقصور وتساهل، كما إذا علم </w:t>
      </w:r>
    </w:p>
    <w:p>
      <w:pPr>
        <w:pStyle w:val="BookText"/>
        <w:rPr/>
      </w:pPr>
      <w:r>
        <w:rPr>
          <w:rFonts w:ascii="Amiri" w:hAnsi="Amiri" w:eastAsia="Amiri" w:cs="Amiri"/>
          <w:color w:val="111111"/>
          <w:sz w:val="28"/>
          <w:sz w:val="28"/>
          <w:szCs w:val="28"/>
          <w:rtl w:val="true"/>
          <w:lang w:bidi="ar-SA"/>
        </w:rPr>
        <w:t>بأنّه عمل بالعامّ قبل أن يفحص عن المخصّص تساهلاً، فمقتضى الأصل هو عدم حرمة الردّ ونقض الحكم؛ لأنّه في الواقع ليس بحكم إلهيّ، ولا يصدق الحكم على إنشاء مثل هذا الشخص بعد أن لم يكن قد عمل بما هو وظيفته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نقض الحكم، إذا كان الحاكم قد اعتمد على بيّنةٍ غير عادلة مع اعتقاد عدالتها، ثمّ انكشف العدم، فإنّ هذا التهاون يؤدّي إلى بطلان الحكم الصادر منه في هذا المورد، وكذا لو كان قد اعتمد على روايةٍ يعتقد ظهورها في الحكم، وهي غير ظاهرةٍ فيه عند الحاكم الآخر، فهذا الحكم وإن كان صادراً عن الحاكم الجامع للشرائط، وعن مبادئ مشروعة، واجتهاد صحيح، وكان طريقاً إلى الواقع، إلّا أنّه يسقط عنالطريقيّة عند العلم بوقوع خطأ في طريقه ومبادئه، تماماً كما يسقط عن الطريقيّة عند العلم بمخالفته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حكم بحكمنا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يُراد منه أنّ الحكم هو ما يكون بنظر المجتهد والقاضي حكم اﷲ، وليس هو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الإطلاق شاملاً حتى لمورد العلم بالخطأ في مبادئه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للمكلّف مسألة لا يعلم حكمها، ولم يكن من هو أهل للفتوى حاضراً، فلابدّ من تأخير الواقعة وعدم العمل بها حتى يسأل، إلّا إذا تمكّن من الاحتياط، فإنّه لا يجب عليه التأخير حينئذٍ، بل يعمل </w:t>
      </w:r>
    </w:p>
    <w:p>
      <w:pPr>
        <w:pStyle w:val="BookText"/>
        <w:rPr/>
      </w:pPr>
      <w:r>
        <w:rPr>
          <w:rFonts w:ascii="Amiri" w:hAnsi="Amiri" w:eastAsia="Amiri" w:cs="Amiri"/>
          <w:color w:val="111111"/>
          <w:sz w:val="28"/>
          <w:sz w:val="28"/>
          <w:szCs w:val="28"/>
          <w:rtl w:val="true"/>
          <w:lang w:bidi="ar-SA"/>
        </w:rPr>
        <w:t>بالاحتياط الذي هو في عرض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وجود غير الأعلم، وعدم العلم بالمخالفة، والتمكّن من الرجوع إليه، يعمل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بالمخالفة الإجماليّة في المسائل المبتلى بها يلزمه الرجوع إلى الأعلم أو الاحتياط، وان لم يمكن ذلك رجع إلى مجتهدٍ آخر، الأعلم فالأعلم؛ تمسّكاً بالسيرة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حتى من الرجوع إلى غير الأعلم، ولا إلى رسالته، كان عليه العمل بقول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والمدرك في ذلك إنّما هو دليل الانسداد الصغير، والفرق بينه وبين الانسداد الكبير أنّه إنّما يجري في مورد الأحكام الكلّيّة، وأمّا الانسداد الصغير فهو يجري في الموارد الخاصّة، وأمّا مقدّماته الأربع، فهي تجري في كلاالانسدادين،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 أن يعمل بالظنّ عند تعذّر الاحتياط، وأوّل مراتب الظنّ هو قول المشهور فإنّه أقرب إلى الواقع من القول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العامّيّ إذا عمل بقول المشهور، ثمّ انكشف بعد ذلك له مخالفته لرأي المجتهد الفعليّ الذي كان عليه أن يقلّده، فلابدّ له من الإعادة والقضاء، بلا فرق بين فقد جزء أو شرط أو ركن من الأركان؛ لأنّه يصدق على ما أتى به أنّه غير مطابق للواقع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وجوب الإعادة إنّما يثبت إذا قلنا بأنّ نتيجة الانسداد هي حجّيّة </w:t>
      </w:r>
    </w:p>
    <w:p>
      <w:pPr>
        <w:pStyle w:val="BookText"/>
        <w:rPr/>
      </w:pPr>
      <w:r>
        <w:rPr>
          <w:rFonts w:ascii="Amiri" w:hAnsi="Amiri" w:eastAsia="Amiri" w:cs="Amiri"/>
          <w:color w:val="111111"/>
          <w:sz w:val="28"/>
          <w:sz w:val="28"/>
          <w:szCs w:val="28"/>
          <w:rtl w:val="true"/>
          <w:lang w:bidi="ar-SA"/>
        </w:rPr>
        <w:t xml:space="preserve">الظنّ من باب الحكومة،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الإجزاء، وكذا إذا قلنا بالكشف، وقلنا بأنّ الأحكام الظاهريّة غير مجزية، وأمّا بناءً على أنّ الأحكام الظاهريّة توجب الإجزاء فلا موجب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مات فرجع إلى تقليد غيره، ثمّ مات، فقلّد من يقول بوجوب البقاء على تقليد الميت، فهل يبقى على تقليد المجتهد الأوّل أو الثاني؟</w:t>
      </w:r>
    </w:p>
    <w:p>
      <w:pPr>
        <w:pStyle w:val="BookText"/>
        <w:rPr/>
      </w:pPr>
      <w:r>
        <w:rPr>
          <w:rFonts w:ascii="Amiri" w:hAnsi="Amiri" w:eastAsia="Amiri" w:cs="Amiri"/>
          <w:color w:val="111111"/>
          <w:sz w:val="28"/>
          <w:sz w:val="28"/>
          <w:szCs w:val="28"/>
          <w:rtl w:val="true"/>
          <w:lang w:bidi="ar-SA"/>
        </w:rPr>
        <w:t>الظاهر هو الثاني؛ وذلك لانقطاع تقليده الأوّل بعد الرجوع إلى الثاني، مع عدم كون الرجوع إليه بمنزلة البقاء على تقليد الميت، بل هو بمنزلة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صور، فإنّه تارةً يكون المجتهد الأوّل أعلم، وأُخرى يكون الأعلم هو المجتهد الثاني، وثالثةً يكون الحيّ هو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في صورة العلم بالمخالفة، وأُخرىفي صورة عدم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 من الثلاثة تارةً يقول بوجوب البقاء، وأُخرى بالجواز، وثالثةً بالحرمة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أفتى المجتهد الحيّ بوجوب البقاء، كان عليه البقاء على تقليد المجتهد الأوّل إذا علم بالمخالفة في الفتوى بين المجتهد الأوّل والثاني، وكان المجتهد الأوّل أعلم؛ لأنّ فتوى الحيّ كما تكون حجّة بالنسبة إلى الوقائع اللّاحقة، فهي كذلك حجّة بالنسبة إلى الوقائع السابقة، وإنّما </w:t>
      </w:r>
    </w:p>
    <w:p>
      <w:pPr>
        <w:pStyle w:val="BookText"/>
        <w:rPr/>
      </w:pPr>
      <w:r>
        <w:rPr>
          <w:rFonts w:ascii="Amiri" w:hAnsi="Amiri" w:eastAsia="Amiri" w:cs="Amiri"/>
          <w:color w:val="111111"/>
          <w:sz w:val="28"/>
          <w:sz w:val="28"/>
          <w:szCs w:val="28"/>
          <w:rtl w:val="true"/>
          <w:lang w:bidi="ar-SA"/>
        </w:rPr>
        <w:t>عدل إلى المجتهد الثاني لعدم كونه يرى جواز البقاء، فكان معذوراً في عدوله، ولكن حيث لم تكن هذه الفتوى حجّةً في نظر المجتهد الحيّ حدوثاً، فكيف يعقل أن تكون حجّةً بقاءً،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العلم بالمخالفة بينهما، فيجوز له أن يبقى على تقليد أيّ واحدٍ منهما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بالنسبة إلى المجتهد الحيّ مع العلم بالمخالفة، فلا إشكال في وجوب البقاء إذا كان المجتهد الأوّل هو الأعلم، وأمّا إذا كان المجتهد الثاني أعلم، وعلم بالمخالفة بينه وبين المجتهد الأوّل، وجب البقاء على تقليد المجتهد الثاني، خصوصاً إذا كان أعلم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العلم بالمخالفة يجوز له البقاء على تقليد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الأعلم هو الحي، فيجب الرجوع إليه مع العلم بالمخالفة، وإلّا، يجوز له البقاء أو العدول إلى الحيّ، كما إذا كان المجتهد الأوّل أو الثانيمتساويين في الفضيلة وغير متخالفين في الفتوى، وحكم الحيّ بوجوب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كانا متخالفين في الفتوى فيجب عليه الاحتياط؛ لأنّ الأدلّة لاتشمل المتعارضين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كان المجتهد الحيّ مساوياً في الفضيلة للمجتهد الأوّل، وكان الأوّل أعلم من الثاني،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احتياطات الأعلم إذا لم يكن له فتوىً، فللمقلّد أن يعمل بها، كما له أن يرجع إلى غيره،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الرجوع إلى غيره، فلأنّ الأعلم جاهل بالحكم في مورد الاحتياط، فيكون الرجوع إلى غيره من باب الرجوع إلى الأعلم، لا من باب الرجوع إلى غير الأعلم مع وجود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العمل بالاحتياط، فبناءً على أنّ الامتثال الإجماليّ جائز حتى مع التمكّن من الامتثال التفصيليّ، وإلّا، كان لابدّ له إمّا أن يعمل باحتياطاته، وإمّا أن يرجع إلى الأعلم من بعده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الرجوع بعده إلى الأعلم فالأعلم، فهو إنّما يثبت في صورة العلم بالمخالفة بين الأعلم فالأعلم، كما مرّ سابقاً، وأمّا إذا كان المجتهد الأعلم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بالاحتياط، فلابدّ من الرجوع إلى الأعلم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المذكور في الرسالة العمليّة تارةً يكون استحبابيّاً، كما إذا كان مسبوقاً بالفتوى،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كفاية التسبيحة الواحدة وإن كان الأحوط الإتيان بالثلاث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مسبوقاً بالاحتياط،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قراءة السورة وإن كان الأقوى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وجوبيّاً، وهو ما لم يكن معه فتوى،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يتخيّر المقلّد بين أن يعمل به وبين أن يرجع إلى مجتهد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صورة سبق الفتوى، أو سبق الاحتياط، فلا يجب العمل بالاحتياط؛ لأنّه استحبابيّ، ولا يجوز الرجوع إلى الغير، لأنّه مع وجود فتوىً للأعلم، وهي حجّة متعيّنة، لا يجوز له الرجوع إلى غير الأعلم، ولو كان موافقاً للاحتياط؛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فيكون من باب الاستناد إلى ما ليس بحجّة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فتواه إذا كانت موافقةً للاحتياط، فيكون عمله في الواقع عملاً بالاحتياط، ولذا يمكن القول بأنّه بناءً على جواز الامتثال الإجماليّ مع التمكّن من الامتثال التفصيليّ فيكون مخيّراً بين العمل بفتوى المجتهد وبين الاحتياط،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موارد الاحتياط عسر؛ لأنّ الاحتياط إنّما يكون حسناً في نفسه في حقّ من كان عارفاً بموارده، متمكّناً من تشخيصها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موارد الاحتياط نقول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الاحتياط قد يكون بالإتيان بالفعل، وقد يكون بالترك، وقد يكون بالجمع بين الفعل والترك، كما إذا تردّد الدم بين الحيض والاستحاضة، فتجمع الحائض بين تروك الحيض وأفعال الاستحاضة، وقد يكون بالجمع بين الأمرين أو الاُمور، كدوران الأمر بين الظهر والجمعة، أو تردّد القبلة إلى جهتين أو أكثر، وقد يكون بترك الأمرين، كما في مورد </w:t>
      </w:r>
    </w:p>
    <w:p>
      <w:pPr>
        <w:pStyle w:val="BookText"/>
        <w:rPr/>
      </w:pPr>
      <w:r>
        <w:rPr>
          <w:rFonts w:ascii="Amiri" w:hAnsi="Amiri" w:eastAsia="Amiri" w:cs="Amiri"/>
          <w:color w:val="111111"/>
          <w:sz w:val="28"/>
          <w:sz w:val="28"/>
          <w:szCs w:val="28"/>
          <w:rtl w:val="true"/>
          <w:lang w:bidi="ar-SA"/>
        </w:rPr>
        <w:t>الخنثى؛ فإنّ الأحوط له ترك اللّباس المختصّ بالرجال أو المختصّ بالنساء، بل قد يكون الاحتياط في ترك الاحتياط،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الوضوء بالماء المستعمل في رفع الحدث الأكبر من جهة اختلافهم في كونه رافعاً للحدث أم 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الاحتياط في ترك الوضوء بهذا الماء، فلو فرض أنّ الماء كان منحصراً به فالأحوط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يتعارض الاحتياطان، وفي هذه الحالة، لابدّ من إحراز الأهمّ منهما، والعمل به وترك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التقليد في اُصول الدين، بأن يأخذ بقول الغير في الاُصول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ذلك في فروع الدين، أم لا؟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فروع الدين، فالتقليد لازم على العوامّ باتّفاق العلماء؛ لأنّ استنباط الأحكام الشرعيّة يحتاج إلى مقدّمات كثيرة، وهو عسر على عامّة الناس،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كما بيّنّا؛ لعدم القدرة على معرفة موارده غالباً، بل حتى لو كان ممكناً،وقلنا بوجوبه لكلّ أحد، يلزم اختلال النظام، ولذلك يحكم العقل على كلّ من له صنعة يستقلّ بها كسب اُمور معاشه، بأنّ عليه أن يرجع إلى المجتهد الجامع للشرائط ليعمل حسب رأيه، كما أشار إلى ذلك سبحانه وتعالى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 فِي الدِّينِ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 قَوْمَهُمْ إِذَا رَجَعُواْ إِلَيْهِمْ لَعَلَّهُمْ يَحْذَرُونَ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التقليد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 بل قد يُدّعى عليه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قد ذكرنا مراراً أنّه ليس بحجّة، وعلى تقدير حجّيّته في المسائل الفرعيّة إذا كان كاشفاً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دليل على حجّيّة مثل هذا الإجماع في الاُمور العقليّة والاُصول الاعتقاديّة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المسألة خلافيّة، وفيها أقوال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اﷲ تبارك وتعالى قد ذمّ التقليد في اُصول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وَإِنَّا عَلَى آثَارِهِم مُّقْتَدُونَ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اﷲ تعالى إنّما ذمّ في القرآن الكريم قبول قول الغير تعبّداً من دون حصول يقين، والكفّار لم يكن يحصل لهم اليقين، ولا كانوا يعتمدون على الأدلّة والبراهين،بل كانوا يكتفون بالمظنّة والخيالات، كما تشير إليه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بِذَلِكَ مِنْ عِلْمٍ إِنْ هُمْ إِلَّا يَظُنُّونَ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فلو حصل للعوامّ الذين يتعلّمون اُصول دينهم من كلام العلماء والمتديّنين الذين لهم كمال الوثوق بقولهم، ولا يحتملون منهم الكذب في اُمور دينهم، لو حصل لهم يقين بقولهم، كان كافياً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اليقين بالمعارف لا يمكن أن يحصل بالتقليد، </w:t>
      </w:r>
    </w:p>
    <w:p>
      <w:pPr>
        <w:pStyle w:val="BookText"/>
        <w:rPr/>
      </w:pPr>
      <w:r>
        <w:rPr>
          <w:rFonts w:ascii="Amiri" w:hAnsi="Amiri" w:eastAsia="Amiri" w:cs="Amiri"/>
          <w:color w:val="111111"/>
          <w:sz w:val="28"/>
          <w:sz w:val="28"/>
          <w:szCs w:val="28"/>
          <w:rtl w:val="true"/>
          <w:lang w:bidi="ar-SA"/>
        </w:rPr>
        <w:t>فمحلّ تأمّل؛ فإنّ حصول المعارف الحقّة كما قد يأتي من النظر والاستدلال، فكذلك قد يأتي من ناحية التقليد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الحاصلة من التقليد تزول بالشكّ، وأمّا المعرفة الحاصلة من النظر والاستدلال، فلا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مسلّماً على إطلاقه، بل المعرفة بالنظر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تزول بالتشكيك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فما دام اليقين باقياً، فهو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 اليقين بسبب شبهة أُلقيت من قبل المعاندين وأعداء الدين، كان لابدّ له من الرجوع إلى أهل الخبرة حتى يحصل له اليقين عن طريق البرهان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يجري التقليد في مسائل اُصول الفقه؛ لخروجها عن محلّ الابتلاء بالنسبة إلى العامّيّ، وعلى فرض كونها محلّ الابتلاء فلا ثمرة لها، وما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تظهرثمرة لذلك بالنذر، فمندفع بأنّ متعلّق النذر لابدّ وأن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حكمتم بأنّه لا يجوز التقليد في المسائل الاُصوليّة، مع قولهم بجوازه بالنسبة إلى مسألة أصل التقليد، أو مسألة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من المسائل الفرعيّة، لا الاُصوليّة؛ لعدم وقوعها في طريق استنباط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وقوعها حدّ أوسط لإثبات الحكم الكلّيّ الإلهيّ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يجوز التقليد في مبادئ الاستنباط، كعلوم العربيّة والمنطق </w:t>
      </w:r>
    </w:p>
    <w:p>
      <w:pPr>
        <w:pStyle w:val="BookText"/>
        <w:rPr/>
      </w:pPr>
      <w:r>
        <w:rPr>
          <w:rFonts w:ascii="Amiri" w:hAnsi="Amiri" w:eastAsia="Amiri" w:cs="Amiri"/>
          <w:color w:val="111111"/>
          <w:sz w:val="28"/>
          <w:sz w:val="28"/>
          <w:szCs w:val="28"/>
          <w:rtl w:val="true"/>
          <w:lang w:bidi="ar-SA"/>
        </w:rPr>
        <w:t>وغيرها أم لا؟ بل لا يكفي أن يقلّد في علم النحو نحويّاً خاصّاً، وفي علم المنطق منطقيّاً كذلك، وهكذا، بل لابدّ له من تحصيل العلم بذلك، ولو بمراجعة كتبهم؛ وذلك لأنّ أدلّة التقليد قاصرة عن شمولها لأمثال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التقليد إنّما يكون في كلّيّاتها التي تقع في طريق استنباط الحكم الكلّيّ؛ لخروجها عن محلّ ابتلاء العامّيّ، وأمّا ما يقع في مقام تشخيص الماُمور به وتمييزه عن غيره، كالمسائل التي لها علاقة بتصحيح الأذان والأقامة وصيغ العقود والإيقاعات وأمثال 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الإدغام والمدّ والوقف وغيرها، وكان غير متمكّن من تحصيلها بنفسه، فيجوز له فيها أن يكون مقلّداً لمن أهل الخبرة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التقليد في الموضوعات المستنبطة العرفيّة أو اللّغويّة أم لا؟</w:t>
      </w:r>
    </w:p>
    <w:p>
      <w:pPr>
        <w:pStyle w:val="BookText"/>
        <w:rPr/>
      </w:pPr>
      <w:r>
        <w:rPr>
          <w:rFonts w:ascii="Amiri" w:hAnsi="Amiri" w:eastAsia="Amiri" w:cs="Amiri"/>
          <w:color w:val="111111"/>
          <w:sz w:val="28"/>
          <w:sz w:val="28"/>
          <w:szCs w:val="28"/>
          <w:rtl w:val="true"/>
          <w:lang w:bidi="ar-SA"/>
        </w:rPr>
        <w:t>تنقسم الموضوعات الشرعيّة إلى قسمين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يُسمّى بالموضوعات المستنبطة، وهي ما يكون مفهومها غير واضح بذاتها وحدودها، بل تحتاج إلى إعمال فكر ونظر، بلا فرقٍ بين أن تكون عرفيّة، كالغناء والآنية، أو لغويّةً كالصعيد، أو من المخترعات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يمكن فيه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وقسم يُسَمّى بالموضوعات الصرفة، وهي ما يكون مفهومها واضحاً، وحيث إنّها لا تحتاج إلى الاجتهاد وإعمال النظر، فلا تكون بحاجة إلى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الحكم بجواز التقليد في القسم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المستنبطة لها جهتان وحيثيّتان، فإنّها من حيث استتباعها للأحكام الشرعيّة يكون مرجعها إلى الشارع، ومن حيث أنفسها يكون بيانها موكولاً إلى العرف إن كانت عرفيّة، أو اللّغة إن كانت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فلما بيّنّاه من كونه واضحاً حتى عند العامّيّ، فيستغني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للمقلّد إجراء أصالة البراءة أو الطهارة أو الاستصحاب في الشبهات الحكميّة أم لا؟ وهل يجوز ذلك في الشبهات الموضوعيّة أم لا؟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الشبهة الحكميّة، وكذا ما يكون ملحقاً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بالشبهة المصداقية، كما لو كان عندك إناء فيه ماء، فصببتفيه التراب تدريجاً، إلى أن شككت في أنّ ما فيه هل هو ماء أم وحل، فإنّها ليست بحكميّة، لعدم وجود ملاك الحكميّة فيها، وهو فقدان النصّ أو إجماله أو تعارض النصّين، وليست موضوعيّةً أيضاً؛ لعدم توفّر ما هو معيار الشبهة الموضوعيّة فيها، وهو التردّد في الموضوعات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مع ذلك فحكمها حكم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للعامّيّ إجراء الاُصول فيها؛ وذلك لأنّ جريانها مشروط بإعمال الفحص، والعامّيّ عاجز عنه، والمشروط ينتفي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الموضوعيّة، فحيث إنّ إجراء الاُصول فيها ليس مشروطاً بالفحص، فيجوز له إجراء الأصل إذا كان قد قلّد من يجيز إجراءها، ثمّ على فرض أنّها بحاجةٍ إلى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متمكّن من ذلك؛ لأنّ منشأ الشكّ في الشبهة الموضوعيّة كما عرفنا هو التردّد في الاُمور الخارجيّة،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حساب ما يملكه عند الشكّ في حصول الاستطاعة 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غير العادل، أو مجهول الحال، لا دليل على حجّيّة رأيه، وإن كان موثوقاً به في فتواه، فلا يجوز تقليده بناءً على أنّ العدالة شرط على نحو الموضوعيّة، وأمّا إذا قلنا بأنّها معتبرة على نحو الطريقيّة، كانت فتواه حجّة حينئذٍ؛ لأنّ الفرض هو حصول الوثوق بما يخبره، فجاز الأخذ بقوله وإن لم يكن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العمل بفتوى المجتهد من العلم بصحّته، ولا يفيد الظنّ بها، إلّا ما خرج منه بالدليل، كالظنّ الحاصل من البيّنة أو من ظواهر الألفاظ التي هي حجّة بدليل بناء العقلاء، سواء كان من المجتهد نفسه أم من الناقل، وأمّا المكتوب في رسالته العمليّة، فيكون حجّة بناءً على </w:t>
      </w:r>
    </w:p>
    <w:p>
      <w:pPr>
        <w:pStyle w:val="BookText"/>
        <w:rPr/>
      </w:pPr>
      <w:r>
        <w:rPr>
          <w:rFonts w:ascii="Amiri" w:hAnsi="Amiri" w:eastAsia="Amiri" w:cs="Amiri"/>
          <w:color w:val="111111"/>
          <w:sz w:val="28"/>
          <w:sz w:val="28"/>
          <w:szCs w:val="28"/>
          <w:rtl w:val="true"/>
          <w:lang w:bidi="ar-SA"/>
        </w:rPr>
        <w:t>خروجها عن حرمة العمل بالظنّ،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 نفس اللّفظ بنظر العقلاء، وهم لا يفرّقون بينهما، وإلّا، فالعمل بها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ﷲ أوّلاً وآخراً وظاهراً وباطناً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ونحمده على ما وفّقنا به من إتمام هذه الدورة الاُصوليّة، ونسأله أن يجعل هذا الجهد خالصاً لوجهه الكريم، والصلاة على محمّد وآله الطيّبين الطاهرين</w:t>
      </w:r>
      <w:r>
        <w:rPr>
          <w:rFonts w:eastAsia="Amiri" w:cs="Amiri" w:ascii="Amiri" w:hAnsi="Amiri"/>
          <w:color w:val="111111"/>
          <w:sz w:val="28"/>
          <w:szCs w:val="28"/>
          <w:rtl w:val="true"/>
          <w:lang w:bidi="ar-SA"/>
        </w:rPr>
        <w:t xml:space="preserve">. </w:t>
      </w:r>
      <w:bookmarkStart w:id="447" w:name="pg15437_35525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8" w:name="__RefHeading___Toc6974715_2142443653"/>
      <w:bookmarkStart w:id="449" w:name="_Toc164"/>
      <w:bookmarkEnd w:id="447"/>
      <w:bookmarkEnd w:id="448"/>
      <w:r>
        <w:rPr>
          <w:rtl w:val="true"/>
        </w:rPr>
        <w:t>الفهرس</w:t>
      </w:r>
      <w:bookmarkEnd w:id="44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مفردات هذه 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القاعدة الأحكام العدميّة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الضرر المنفيّ في القاعدة هو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عدم شمول الحديث لمورد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تقديم هذه القاعدة على أدلّة الأحكام الأوّليّة 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القاعدة للحكم الضرريّ، تكليفيّاً كان أم وضعيّاً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الضررين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القاعدة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الأقوال التي وردت في جريانه وحجّيّته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المعنى الاصطلاحيّ للاستصحاب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الاستصحاب من المسائل الاُصوليّة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يتقوّم الاستصحاب باليقين والشكّ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الفعليّة في الشكّ واليقين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انقسامات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التفصيل بين الأحكام الكلّيّة والأحكام الجزئيّة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التفصيل بين ما كان دليله العقل وما دليله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حجّيّة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الشبهة العبائيّة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الاُمور التدريجيّة غير القارّة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والتنجيزيّ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أحكام الشرائع السابقة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الاُصول المثبتة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التقدّم والتأخّر مع العلم بحصوله في زمان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استصحاب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الاُمور العقائديّة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عموم العامّ أو 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بعض قيود المركّب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الشكّ في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وحدة القضيّة المتيقّنة والمشكوكة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أخبار الاستصحاب قاعدة اليقين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الأمارات على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الأصل السببيّ على المسبّبيّ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التجاوز والفراغ وأصالة الصحّة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قاعدة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الكلام في 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الصحّة بحسب مواردها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الكلام في تعارض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مبحث التعادل والتراجيح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التعادل والتراجيح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المسائل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حصول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التعارض والتزاحم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بابي التعارض والتزاحم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التعارض بين أكثر 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أدلّة ضمان العارية بعضها إلى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القاعدة الأوّليّة عند عدم المرجّح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الخبرين بعد أن كان مقتضى الأصل تساقطهما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أدلّة التخيير بأدلّة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المرجّحات المدّعى أنّها منصوص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التعدّي من المرجّحات والمزايا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بين العامّين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ترجيح أحد المتعارضين بالأصل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الترجيح بالظنون غير المعتبرة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مبحث الاجتهاد والتقليد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المسائل الاُصوليّة أو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الاجتهاد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مبادئ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التجزّي في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والتصويب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بعد تبدّل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حجّيّة التقليد وجوازه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الميّت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تقليد الميت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العدول من الحيّ إلى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حكم عمل الجاهل المقصّر والقاصر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ما هو المراد من 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طرق معرفة الاجتهاد والأعلميّة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وجوب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طرق تعلّم الفتوى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غصنٍ له شعب، والعذق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عند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هنا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ميراث أهل الملل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أنّ الظاهر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لنفي الحقيقة، كما هو الأصل في هذا التركيب، حقيقةً أو ادّعاءً كنايةً عن نفي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موضع الحاجة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تراث الشيخ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جميع ما نقلناه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يكفي في حجّيّته بها عدم ثبوت الردع عنها؛ لعدم نهوض ما يصلح لردعها، كما يكفي في تخصيصها لها ذلك، كما لا يخفى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ونصّ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أنّه غير ظاهر في اليقين بالوضوء؛ لقوّة احتمال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بالظرف، لا ﺑ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من طرف وضوئه على يقين، 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الأوسط إلّا اليقين، لا اليقين بالوضوء، كما لا يخفى على المتأمّل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كتاب الصوم،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عند الصائم ووقت الإمساك،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إسماعيل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ينقل عنه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زار النجف الأشرف أيّام الشيخ المحقّق الآخوند، فأثار في أوساطها العلميّة مسألةً تناقلوها، وصارت عندهم موضعاً للأخذ والردّ، وعرفت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 العبائيّة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المحقّق العراقي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الشبهة ممّا أورده السيّد المحقّق السيّد إسماعيل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مجالسه في النجف الأشرف، وقد اشتهرت بالشبهة العبائيّة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بتصرّف وتلخيص يسيرين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والسرّ فيه أنّ عدم المذبوحيّة لازم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والموت حتف أنفه، والموجب للنجاسة ليس هذا اللّازم من حيث هو هو، بل ملزومه الثاني،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فعدم المذبوحيّة لازم أعمّ لموجب النجاسة، فعدم المذبوحيّة العارض للحياة مغاير لعدم المذبوحيّة العارض للموت حتف أنفه، والمعلوم ثبوته في الزمان الأوّل هو الأوّل، لا الثاني، وظاهرٌ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غير باقٍ في الوقت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مثل هذه الصورة من الاستصحاب؛ إذ شرطه بقاء الموضوع، وعدمه هنا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مَثَل المتمسّك بهذا الاستصحاب إلّا مَثَل من تمسّك على وجود عمروٍ في الدار في الوقت الثاني باستصحاب بقاء الضاحك المتحقّق بوجود زيد في الدار في الوقت الأوّل، وفساده غنيّ عن البيان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يُعلم وجه صحيح لتقرير هذا الأصل، نعم، هو حسن في خصوص عقد المسابقة وشبهه ممّا لا يتضمّن تمليكاً أو تسليطاً، ليكون الأصل بقاء ذلك الأثر وعدم زواله بدون رضا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الاستصحاب المذكور إنّما ينفع في إثبات صفة اللّزوم، وأمّا تعيين العقد اللّازم حتى يترتّب عليه سائر آثار العقد اللّازم، كما إذا أُريد تعيين البيع عند الشكّ فيه وفي الهبة، فلا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التجارة،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وجود هناك لهذه الزيادة التي في آخره،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الخدش بالأظفار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ذكر مجلس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الأديان وأصحاب المقالات في التوحيد، عند المأمون،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طويل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نبوّة عيسى وكتابه، هل تنكر منهما شيئاً؟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مقرّ بنبوّة عيسى وكتابه وما بشّر به اُمّته وأقرّت به الحواريّون، وكافر بنبوّة كلّ عيسى لم يقرّ بنبوّة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وبكتابه ولم يبشّر به 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الخبر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الوجود تارةً يكون وجوداً في نفسه لنفسه بنفسه، كوجود الباري جلّ وعلا، وأُخرى يكون وجوداً في نفسه لنفسه بغيره، كالجواهر الجسمانيّة، وثالثة يكون وجوداً في نفسه لغيره بغيره، وهو وجودات الأعراض، ورابعةً يكون وجوداً في غيره، وهو وجودات النسب والارتباطات المصطلح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الحرفيّ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وهاك نصّ كلامه،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الاُمور الاعتقاديّة التي كان المهمّ فيها شرعاً هو الانقياد والتسليم والاعتقاد،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القلب عليها من الأعمال القلبيّة الاختياريّة، فكذا لا إشكال في الاستصحاب فيها حكماً، وكذا موضوعاً، فيما كان هناك يقين سابق وشكّ لاحق؛ لصحّة التنزيل وعموم الدليل، وكونه أصلاً عمليّاً إنّما هو بمعنى أنّه وظيفة الشاكّ تعبّداً، قبالاً للأمارات الحاكية عن الواقعيّات، فيعمّ العمل بالجوانح كالجوارح، وأمّا التي كان المهمّ فيها شرعاً وعقلاً هو القطع بها ومعرفتها، فلا مجال له موضوعاً، ويجري حكماً، فلو كان متيقّناً بوجوب تحصيل القطع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كتفاصيل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وشكّ في بقاء وجوبه، يستصحب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يُرجع في معرفة الموضوع للأحكام إلى الأدلّة، ويُفَرَّق 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نجس، وبين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ينجس إذا تغيّر، فيجعل الموضوع في الأوّل الماء المتلبّس بالتغيّر، فيزول الحكم بزواله، وفي الثاني، نفس الماء، فيستصحب النجاسة لو شكّ في مدخليّته التغيّر في بقائها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بتلخيص منّا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المذكورة في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نفسها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وانظر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الجواب،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إنّما هو لأجل أنّه لا محذور في الأخذ بدليلها، بخلاف الأخذ بدليله؛ فإنّه يستلزم تخصيص دليلها بلا مخصّص إلّا على وجه دائر؛ إذ التخصيص به يتوقّف على اعتباره معها، واعتباره كذلك يتوقّف على التخصيص به؛ إذ لولاه لا مورد له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أمر مشكل فيه القرعة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الاستصحاب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آنفاً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اُخوّة المؤمنين بعضهم لبعض،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الاهتمام باُمور المسلمين والنصيحة لهم ونفعهم،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باب التهمة وسوء الظنّ،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تكون أصالة الصحّة في العقود بنفسها معقد الإجماع بالخصوص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بتصرّف يسير في عبارته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إليهما الشيخ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المخالف في المسألة ممّن عثرنا عليه هو الفاضل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الخونساري في ظاهر بعض كلماته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لأنّ العلم الإجماليّ هنا بانتقاض أحد اليقينين يوجب خروجهما عن 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 ولكن تنقضه بيقين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حرمة النقض بالشكّ، ووجوب النقض باليقين، فإذا فرض اليقين بارتفاع الحالة السابقة في أحد المستصحبين، فلا يجوز إبقاء كلٍّ منهما تحت عموم حرمة النقض بالشكّ؛ لأنّه مستلزم لطرح الحكم بنقض اليقين بمثله، ولا إبقاء أحدهما المعيّن؛ لاشتراك الآخر معه في مناط الدخول من غير مرجّح، وأمّا أحدهما المخيّر فليس من أفراد العامّ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لو كان المقتضي للحجّيّة في كلّ واحدٍ من المتعارضين لكان التعارض بينهما من تزاحم الواجبين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الخاصّ إن كان قطعيّاً تعيّن طرح عموم العامّ، وإن كان ظنّيّاً دار الأمر بين طرحه وطرح العموم، ويصلح كلّ منهما لرفع اليد بمضمونه على تقدير مطابقته للواقع عن الآخر، فلا بدّ من 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الحكم بالتخصيص فيتوقّف على ترجيح ظهور الخاصّ، وإلّا، أمكن رفع اليد عن ظهوره وإخراجه عن الخصوص بقرينة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والحديث عن رسول اﷲ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حلالي حلال إلى يوم القيامة، وحرامي حرام إلى يوم القيامة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جميع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ما جاء في الحديثين المختلفين،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جملة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والميرزا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لا وجه لمراعاة الترتيب بين المرجّحات لو قيل بالتعدّي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بتقديم المرجّح السنديّ على المرجّح الجهتيّ والمرجّح المضمونيّ، فيُقَدَّم الخبر المشهور على الخبر المخالف للعامّة أو الموافق للكتاب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الأقوى، فإنّ التعبّد بجهة الصدور متأخّر في الرتبة عن التعبّد بأصل الصدور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فما بعدها، كتاب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الفصول عن الحاجبيّ،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تخريجها آنفاً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نقلاً عن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في فصل رجوع المجتهد عن الفتوى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تخريج معظمها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فما بعدها،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تخريجها آنفاً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93279</Words>
  <Characters>424676</Characters>
  <CharactersWithSpaces>515581</CharactersWithSpaces>
  <Paragraphs>2902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2026-08-25T00:31:13Z</dcterms:created>
  <dc:creator>ghaemiyeh.com</dc:creator>
  <dc:description/>
  <dc:language>en-US</dc:language>
  <cp:lastModifiedBy/>
  <dcterms:modified xsi:type="dcterms:W3CDTF">2026-08-25T04:01:26Z</dcterms:modified>
  <cp:revision>1</cp:revision>
  <dc:subject/>
  <dc:title>شمس الأصول جلد 5</dc:title>
</cp:coreProperties>
</file>

<file path=docProps/custom.xml><?xml version="1.0" encoding="utf-8"?>
<Properties xmlns="http://schemas.openxmlformats.org/officeDocument/2006/custom-properties" xmlns:vt="http://schemas.openxmlformats.org/officeDocument/2006/docPropsVTypes"/>
</file>