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1</w:t>
      </w:r>
      <w:r>
        <w:rPr>
          <w:rtl w:val="true"/>
        </w:rPr>
        <w:t xml:space="preserve"> </w:t>
      </w:r>
      <w:r>
        <w:rPr>
          <w:rtl w:val="true"/>
        </w:rPr>
        <w:t xml:space="preserve">و </w:t>
      </w:r>
      <w:r>
        <w:rPr/>
        <w:t>2</w:t>
      </w:r>
      <w:r>
        <w:rPr>
          <w:rtl w:val="true"/>
        </w:rPr>
        <w:t xml:space="preserve"> </w:t>
      </w:r>
      <w:r>
        <w:rPr>
          <w:rtl w:val="true"/>
        </w:rPr>
        <w:t xml:space="preserve">منهاج الوصول الی علم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63071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4563073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563075_2142443653">
            <w:r>
              <w:rPr>
                <w:webHidden/>
                <w:rStyle w:val="IndexLink"/>
                <w:rtl w:val="true"/>
              </w:rPr>
              <w:t xml:space="preserve">مقدّمة موسوعة الإمام الخميني </w:t>
            </w:r>
            <w:r>
              <w:rPr>
                <w:rStyle w:val="IndexLink"/>
                <w:rtl w:val="true"/>
              </w:rPr>
              <w:t>(</w:t>
            </w:r>
            <w:r>
              <w:rPr>
                <w:rStyle w:val="IndexLink"/>
                <w:rtl w:val="true"/>
              </w:rPr>
              <w:t>س</w:t>
            </w:r>
            <w:r>
              <w:rPr>
                <w:rStyle w:val="IndexLink"/>
                <w:rtl w:val="true"/>
              </w:rPr>
              <w:t>)</w:t>
              <w:tab/>
            </w:r>
            <w:r>
              <w:rPr>
                <w:rStyle w:val="IndexLink"/>
              </w:rPr>
              <w:t>12</w:t>
            </w:r>
          </w:hyperlink>
        </w:p>
        <w:p>
          <w:pPr>
            <w:pStyle w:val="Contents2"/>
            <w:tabs>
              <w:tab w:val="clear" w:pos="8743"/>
              <w:tab w:val="right" w:pos="9026" w:leader="dot"/>
            </w:tabs>
            <w:rPr/>
          </w:pPr>
          <w:hyperlink w:anchor="__RefHeading___Toc4563077_2142443653">
            <w:r>
              <w:rPr>
                <w:webHidden/>
                <w:rStyle w:val="IndexLink"/>
                <w:rtl w:val="true"/>
              </w:rPr>
              <w:t>مقدّمة التحقيق</w:t>
            </w:r>
            <w:r>
              <w:rPr>
                <w:rStyle w:val="IndexLink"/>
                <w:rtl w:val="true"/>
              </w:rPr>
              <w:tab/>
            </w:r>
            <w:r>
              <w:rPr>
                <w:rStyle w:val="IndexLink"/>
              </w:rPr>
              <w:t>16</w:t>
            </w:r>
          </w:hyperlink>
        </w:p>
        <w:p>
          <w:pPr>
            <w:pStyle w:val="Contents2"/>
            <w:tabs>
              <w:tab w:val="clear" w:pos="8743"/>
              <w:tab w:val="right" w:pos="9026" w:leader="dot"/>
            </w:tabs>
            <w:rPr/>
          </w:pPr>
          <w:hyperlink w:anchor="__RefHeading___Toc4563079_2142443653">
            <w:r>
              <w:rPr>
                <w:webHidden/>
                <w:rStyle w:val="IndexLink"/>
                <w:rtl w:val="true"/>
              </w:rPr>
              <w:t xml:space="preserve">رسالة </w:t>
            </w:r>
            <w:r>
              <w:rPr>
                <w:rStyle w:val="IndexLink"/>
                <w:rtl w:val="true"/>
              </w:rPr>
              <w:t>«</w:t>
            </w:r>
            <w:r>
              <w:rPr>
                <w:rStyle w:val="IndexLink"/>
                <w:rtl w:val="true"/>
              </w:rPr>
              <w:t>الطلب والإرادة</w:t>
            </w:r>
            <w:r>
              <w:rPr>
                <w:rStyle w:val="IndexLink"/>
                <w:rtl w:val="true"/>
              </w:rPr>
              <w:t>»</w:t>
              <w:tab/>
            </w:r>
            <w:r>
              <w:rPr>
                <w:rStyle w:val="IndexLink"/>
              </w:rPr>
              <w:t>18</w:t>
            </w:r>
          </w:hyperlink>
        </w:p>
        <w:p>
          <w:pPr>
            <w:pStyle w:val="Contents2"/>
            <w:tabs>
              <w:tab w:val="clear" w:pos="8743"/>
              <w:tab w:val="right" w:pos="9026" w:leader="dot"/>
            </w:tabs>
            <w:rPr/>
          </w:pPr>
          <w:hyperlink w:anchor="__RefHeading___Toc4563081_2142443653">
            <w:r>
              <w:rPr>
                <w:webHidden/>
                <w:rStyle w:val="IndexLink"/>
                <w:rtl w:val="true"/>
              </w:rPr>
              <w:t>منهجنا في التحقيق</w:t>
            </w:r>
            <w:r>
              <w:rPr>
                <w:rStyle w:val="IndexLink"/>
                <w:rtl w:val="true"/>
              </w:rPr>
              <w:tab/>
            </w:r>
            <w:r>
              <w:rPr>
                <w:rStyle w:val="IndexLink"/>
              </w:rPr>
              <w:t>18</w:t>
            </w:r>
          </w:hyperlink>
        </w:p>
        <w:p>
          <w:pPr>
            <w:pStyle w:val="Contents2"/>
            <w:tabs>
              <w:tab w:val="clear" w:pos="8743"/>
              <w:tab w:val="right" w:pos="9026" w:leader="dot"/>
            </w:tabs>
            <w:rPr/>
          </w:pPr>
          <w:hyperlink w:anchor="__RefHeading___Toc4563083_2142443653">
            <w:r>
              <w:rPr>
                <w:webHidden/>
                <w:rStyle w:val="IndexLink"/>
                <w:rtl w:val="true"/>
              </w:rPr>
              <w:t>مقدّمة</w:t>
            </w:r>
            <w:r>
              <w:rPr>
                <w:rStyle w:val="IndexLink"/>
                <w:rtl w:val="true"/>
              </w:rPr>
              <w:tab/>
            </w:r>
            <w:r>
              <w:rPr>
                <w:rStyle w:val="IndexLink"/>
              </w:rPr>
              <w:t>21</w:t>
            </w:r>
          </w:hyperlink>
        </w:p>
        <w:p>
          <w:pPr>
            <w:pStyle w:val="Contents2"/>
            <w:tabs>
              <w:tab w:val="clear" w:pos="8743"/>
              <w:tab w:val="right" w:pos="9026" w:leader="dot"/>
            </w:tabs>
            <w:rPr/>
          </w:pPr>
          <w:hyperlink w:anchor="__RefHeading___Toc4563085_2142443653">
            <w:r>
              <w:rPr>
                <w:webHidden/>
                <w:rStyle w:val="IndexLink"/>
                <w:rtl w:val="true"/>
              </w:rPr>
              <w:t>أوّل من صنّف في علم الاُصول</w:t>
            </w:r>
            <w:r>
              <w:rPr>
                <w:rStyle w:val="IndexLink"/>
                <w:rtl w:val="true"/>
              </w:rPr>
              <w:tab/>
            </w:r>
            <w:r>
              <w:rPr>
                <w:rStyle w:val="IndexLink"/>
              </w:rPr>
              <w:t>24</w:t>
            </w:r>
          </w:hyperlink>
        </w:p>
        <w:p>
          <w:pPr>
            <w:pStyle w:val="Contents2"/>
            <w:tabs>
              <w:tab w:val="clear" w:pos="8743"/>
              <w:tab w:val="right" w:pos="9026" w:leader="dot"/>
            </w:tabs>
            <w:rPr/>
          </w:pPr>
          <w:hyperlink w:anchor="__RefHeading___Toc4563087_2142443653">
            <w:r>
              <w:rPr>
                <w:webHidden/>
                <w:rStyle w:val="IndexLink"/>
                <w:rtl w:val="true"/>
              </w:rPr>
              <w:t>سير علم الاُصول عند الشيعة وقوسه النزولي والصعودي</w:t>
            </w:r>
            <w:r>
              <w:rPr>
                <w:rStyle w:val="IndexLink"/>
                <w:rtl w:val="true"/>
              </w:rPr>
              <w:tab/>
            </w:r>
            <w:r>
              <w:rPr>
                <w:rStyle w:val="IndexLink"/>
              </w:rPr>
              <w:t>25</w:t>
            </w:r>
          </w:hyperlink>
        </w:p>
        <w:p>
          <w:pPr>
            <w:pStyle w:val="Contents2"/>
            <w:tabs>
              <w:tab w:val="clear" w:pos="8743"/>
              <w:tab w:val="right" w:pos="9026" w:leader="dot"/>
            </w:tabs>
            <w:rPr/>
          </w:pPr>
          <w:hyperlink w:anchor="__RefHeading___Toc4563089_2142443653">
            <w:r>
              <w:rPr>
                <w:webHidden/>
                <w:rStyle w:val="IndexLink"/>
                <w:rtl w:val="true"/>
              </w:rPr>
              <w:t>منهج الإمام قدّس سرّه وأنظاره في علم الاُصول</w:t>
            </w:r>
            <w:r>
              <w:rPr>
                <w:rStyle w:val="IndexLink"/>
                <w:rtl w:val="true"/>
              </w:rPr>
              <w:tab/>
            </w:r>
            <w:r>
              <w:rPr>
                <w:rStyle w:val="IndexLink"/>
              </w:rPr>
              <w:t>27</w:t>
            </w:r>
          </w:hyperlink>
        </w:p>
        <w:p>
          <w:pPr>
            <w:pStyle w:val="Contents2"/>
            <w:tabs>
              <w:tab w:val="clear" w:pos="8743"/>
              <w:tab w:val="right" w:pos="9026" w:leader="dot"/>
            </w:tabs>
            <w:rPr/>
          </w:pPr>
          <w:hyperlink w:anchor="__RefHeading___Toc4563091_2142443653">
            <w:r>
              <w:rPr>
                <w:webHidden/>
                <w:rStyle w:val="IndexLink"/>
                <w:rtl w:val="true"/>
              </w:rPr>
              <w:t>الكتاب الذي بين يديك</w:t>
            </w:r>
            <w:r>
              <w:rPr>
                <w:rStyle w:val="IndexLink"/>
                <w:rtl w:val="true"/>
              </w:rPr>
              <w:tab/>
            </w:r>
            <w:r>
              <w:rPr>
                <w:rStyle w:val="IndexLink"/>
              </w:rPr>
              <w:t>32</w:t>
            </w:r>
          </w:hyperlink>
        </w:p>
        <w:p>
          <w:pPr>
            <w:pStyle w:val="Contents2"/>
            <w:tabs>
              <w:tab w:val="clear" w:pos="8743"/>
              <w:tab w:val="right" w:pos="9026" w:leader="dot"/>
            </w:tabs>
            <w:rPr/>
          </w:pPr>
          <w:hyperlink w:anchor="__RefHeading___Toc4563093_2142443653">
            <w:r>
              <w:rPr>
                <w:webHidden/>
                <w:rStyle w:val="IndexLink"/>
                <w:rtl w:val="true"/>
              </w:rPr>
              <w:t xml:space="preserve">الأمر الأوّل </w:t>
            </w:r>
            <w:r>
              <w:rPr>
                <w:rStyle w:val="IndexLink"/>
                <w:rtl w:val="true"/>
              </w:rPr>
              <w:t xml:space="preserve">: </w:t>
            </w:r>
            <w:r>
              <w:rPr>
                <w:rStyle w:val="IndexLink"/>
                <w:rtl w:val="true"/>
              </w:rPr>
              <w:t>في موضوع علم الاُصول وتعريفه</w:t>
            </w:r>
            <w:r>
              <w:rPr>
                <w:rStyle w:val="IndexLink"/>
                <w:rtl w:val="true"/>
              </w:rPr>
              <w:tab/>
            </w:r>
            <w:r>
              <w:rPr>
                <w:rStyle w:val="IndexLink"/>
              </w:rPr>
              <w:t>36</w:t>
            </w:r>
          </w:hyperlink>
        </w:p>
        <w:p>
          <w:pPr>
            <w:pStyle w:val="Contents3"/>
            <w:tabs>
              <w:tab w:val="clear" w:pos="8459"/>
              <w:tab w:val="right" w:pos="9026" w:leader="dot"/>
            </w:tabs>
            <w:rPr/>
          </w:pPr>
          <w:hyperlink w:anchor="__RefHeading___Toc4563095_2142443653">
            <w:r>
              <w:rPr>
                <w:webHidden/>
                <w:rStyle w:val="IndexLink"/>
                <w:rtl w:val="true"/>
              </w:rPr>
              <w:t>اعتبارية وحدة العلم</w:t>
            </w:r>
            <w:r>
              <w:rPr>
                <w:rStyle w:val="IndexLink"/>
                <w:rtl w:val="true"/>
              </w:rPr>
              <w:tab/>
            </w:r>
            <w:r>
              <w:rPr>
                <w:rStyle w:val="IndexLink"/>
              </w:rPr>
              <w:t>36</w:t>
            </w:r>
          </w:hyperlink>
        </w:p>
        <w:p>
          <w:pPr>
            <w:pStyle w:val="Contents3"/>
            <w:tabs>
              <w:tab w:val="clear" w:pos="8459"/>
              <w:tab w:val="right" w:pos="9026" w:leader="dot"/>
            </w:tabs>
            <w:rPr/>
          </w:pPr>
          <w:hyperlink w:anchor="__RefHeading___Toc4563097_2142443653">
            <w:r>
              <w:rPr>
                <w:webHidden/>
                <w:rStyle w:val="IndexLink"/>
                <w:rtl w:val="true"/>
              </w:rPr>
              <w:t>تدريجية تكامل العلوم</w:t>
            </w:r>
            <w:r>
              <w:rPr>
                <w:rStyle w:val="IndexLink"/>
                <w:rtl w:val="true"/>
              </w:rPr>
              <w:tab/>
            </w:r>
            <w:r>
              <w:rPr>
                <w:rStyle w:val="IndexLink"/>
              </w:rPr>
              <w:t>36</w:t>
            </w:r>
          </w:hyperlink>
        </w:p>
        <w:p>
          <w:pPr>
            <w:pStyle w:val="Contents3"/>
            <w:tabs>
              <w:tab w:val="clear" w:pos="8459"/>
              <w:tab w:val="right" w:pos="9026" w:leader="dot"/>
            </w:tabs>
            <w:rPr/>
          </w:pPr>
          <w:hyperlink w:anchor="__RefHeading___Toc4563099_2142443653">
            <w:r>
              <w:rPr>
                <w:webHidden/>
                <w:rStyle w:val="IndexLink"/>
                <w:rtl w:val="true"/>
              </w:rPr>
              <w:t>عدم لزوم موضوع واحد لكلّ علم</w:t>
            </w:r>
            <w:r>
              <w:rPr>
                <w:rStyle w:val="IndexLink"/>
                <w:rtl w:val="true"/>
              </w:rPr>
              <w:tab/>
            </w:r>
            <w:r>
              <w:rPr>
                <w:rStyle w:val="IndexLink"/>
              </w:rPr>
              <w:t>37</w:t>
            </w:r>
          </w:hyperlink>
        </w:p>
        <w:p>
          <w:pPr>
            <w:pStyle w:val="Contents3"/>
            <w:tabs>
              <w:tab w:val="clear" w:pos="8459"/>
              <w:tab w:val="right" w:pos="9026" w:leader="dot"/>
            </w:tabs>
            <w:rPr/>
          </w:pPr>
          <w:hyperlink w:anchor="__RefHeading___Toc4563101_2142443653">
            <w:r>
              <w:rPr>
                <w:webHidden/>
                <w:rStyle w:val="IndexLink"/>
                <w:rtl w:val="true"/>
              </w:rPr>
              <w:t>تنبيه</w:t>
            </w:r>
            <w:r>
              <w:rPr>
                <w:rStyle w:val="IndexLink"/>
                <w:rtl w:val="true"/>
              </w:rPr>
              <w:t xml:space="preserve">: </w:t>
            </w:r>
            <w:r>
              <w:rPr>
                <w:rStyle w:val="IndexLink"/>
                <w:rtl w:val="true"/>
              </w:rPr>
              <w:t>فيما به امتياز العلوم</w:t>
            </w:r>
            <w:r>
              <w:rPr>
                <w:rStyle w:val="IndexLink"/>
                <w:rtl w:val="true"/>
              </w:rPr>
              <w:tab/>
            </w:r>
            <w:r>
              <w:rPr>
                <w:rStyle w:val="IndexLink"/>
              </w:rPr>
              <w:t>41</w:t>
            </w:r>
          </w:hyperlink>
        </w:p>
        <w:p>
          <w:pPr>
            <w:pStyle w:val="Contents3"/>
            <w:tabs>
              <w:tab w:val="clear" w:pos="8459"/>
              <w:tab w:val="right" w:pos="9026" w:leader="dot"/>
            </w:tabs>
            <w:rPr/>
          </w:pPr>
          <w:hyperlink w:anchor="__RefHeading___Toc4563103_2142443653">
            <w:r>
              <w:rPr>
                <w:webHidden/>
                <w:rStyle w:val="IndexLink"/>
                <w:rtl w:val="true"/>
              </w:rPr>
              <w:t>بحث وتحقيق</w:t>
            </w:r>
            <w:r>
              <w:rPr>
                <w:rStyle w:val="IndexLink"/>
                <w:rtl w:val="true"/>
              </w:rPr>
              <w:t xml:space="preserve">: </w:t>
            </w:r>
            <w:r>
              <w:rPr>
                <w:rStyle w:val="IndexLink"/>
                <w:rtl w:val="true"/>
              </w:rPr>
              <w:t>في تعريف الاُصول</w:t>
            </w:r>
            <w:r>
              <w:rPr>
                <w:rStyle w:val="IndexLink"/>
                <w:rtl w:val="true"/>
              </w:rPr>
              <w:tab/>
            </w:r>
            <w:r>
              <w:rPr>
                <w:rStyle w:val="IndexLink"/>
              </w:rPr>
              <w:t>42</w:t>
            </w:r>
          </w:hyperlink>
        </w:p>
        <w:p>
          <w:pPr>
            <w:pStyle w:val="Contents3"/>
            <w:tabs>
              <w:tab w:val="clear" w:pos="8459"/>
              <w:tab w:val="right" w:pos="9026" w:leader="dot"/>
            </w:tabs>
            <w:rPr/>
          </w:pPr>
          <w:hyperlink w:anchor="__RefHeading___Toc4563105_2142443653">
            <w:r>
              <w:rPr>
                <w:webHidden/>
                <w:rStyle w:val="IndexLink"/>
                <w:rtl w:val="true"/>
              </w:rPr>
              <w:t>في تحقيق المقام</w:t>
            </w:r>
            <w:r>
              <w:rPr>
                <w:rStyle w:val="IndexLink"/>
                <w:rtl w:val="true"/>
              </w:rPr>
              <w:tab/>
            </w:r>
            <w:r>
              <w:rPr>
                <w:rStyle w:val="IndexLink"/>
              </w:rPr>
              <w:t>46</w:t>
            </w:r>
          </w:hyperlink>
        </w:p>
        <w:p>
          <w:pPr>
            <w:pStyle w:val="Contents2"/>
            <w:tabs>
              <w:tab w:val="clear" w:pos="8743"/>
              <w:tab w:val="right" w:pos="9026" w:leader="dot"/>
            </w:tabs>
            <w:rPr/>
          </w:pPr>
          <w:hyperlink w:anchor="__RefHeading___Toc4563107_2142443653">
            <w:r>
              <w:rPr>
                <w:webHidden/>
                <w:rStyle w:val="IndexLink"/>
                <w:rtl w:val="true"/>
              </w:rPr>
              <w:t xml:space="preserve">الأمر الثاني </w:t>
            </w:r>
            <w:r>
              <w:rPr>
                <w:rStyle w:val="IndexLink"/>
                <w:rtl w:val="true"/>
              </w:rPr>
              <w:t xml:space="preserve">: </w:t>
            </w:r>
            <w:r>
              <w:rPr>
                <w:rStyle w:val="IndexLink"/>
                <w:rtl w:val="true"/>
              </w:rPr>
              <w:t>في الواضع وكيفية الوضع</w:t>
            </w:r>
            <w:r>
              <w:rPr>
                <w:rStyle w:val="IndexLink"/>
                <w:rtl w:val="true"/>
              </w:rPr>
              <w:tab/>
            </w:r>
            <w:r>
              <w:rPr>
                <w:rStyle w:val="IndexLink"/>
              </w:rPr>
              <w:t>49</w:t>
            </w:r>
          </w:hyperlink>
        </w:p>
        <w:p>
          <w:pPr>
            <w:pStyle w:val="Contents3"/>
            <w:tabs>
              <w:tab w:val="clear" w:pos="8459"/>
              <w:tab w:val="right" w:pos="9026" w:leader="dot"/>
            </w:tabs>
            <w:rPr/>
          </w:pPr>
          <w:hyperlink w:anchor="__RefHeading___Toc4563109_2142443653">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4563111_2142443653">
            <w:r>
              <w:rPr>
                <w:webHidden/>
                <w:rStyle w:val="IndexLink"/>
                <w:rtl w:val="true"/>
              </w:rPr>
              <w:t>حقيقة الوضع</w:t>
            </w:r>
            <w:r>
              <w:rPr>
                <w:rStyle w:val="IndexLink"/>
                <w:rtl w:val="true"/>
              </w:rPr>
              <w:tab/>
            </w:r>
            <w:r>
              <w:rPr>
                <w:rStyle w:val="IndexLink"/>
              </w:rPr>
              <w:t>51</w:t>
            </w:r>
          </w:hyperlink>
        </w:p>
        <w:p>
          <w:pPr>
            <w:pStyle w:val="Contents2"/>
            <w:tabs>
              <w:tab w:val="clear" w:pos="8743"/>
              <w:tab w:val="right" w:pos="9026" w:leader="dot"/>
            </w:tabs>
            <w:rPr/>
          </w:pPr>
          <w:hyperlink w:anchor="__RefHeading___Toc4563113_2142443653">
            <w:r>
              <w:rPr>
                <w:webHidden/>
                <w:rStyle w:val="IndexLink"/>
                <w:rtl w:val="true"/>
              </w:rPr>
              <w:t xml:space="preserve">الأمر الثالث </w:t>
            </w:r>
            <w:r>
              <w:rPr>
                <w:rStyle w:val="IndexLink"/>
                <w:rtl w:val="true"/>
              </w:rPr>
              <w:t xml:space="preserve">: </w:t>
            </w:r>
            <w:r>
              <w:rPr>
                <w:rStyle w:val="IndexLink"/>
                <w:rtl w:val="true"/>
              </w:rPr>
              <w:t>في أقسام الوضع</w:t>
            </w:r>
            <w:r>
              <w:rPr>
                <w:rStyle w:val="IndexLink"/>
                <w:rtl w:val="true"/>
              </w:rPr>
              <w:tab/>
            </w:r>
            <w:r>
              <w:rPr>
                <w:rStyle w:val="IndexLink"/>
              </w:rPr>
              <w:t>53</w:t>
            </w:r>
          </w:hyperlink>
        </w:p>
        <w:p>
          <w:pPr>
            <w:pStyle w:val="Contents3"/>
            <w:tabs>
              <w:tab w:val="clear" w:pos="8459"/>
              <w:tab w:val="right" w:pos="9026" w:leader="dot"/>
            </w:tabs>
            <w:rPr/>
          </w:pPr>
          <w:hyperlink w:anchor="__RefHeading___Toc4563115_2142443653">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4563117_2142443653">
            <w:r>
              <w:rPr>
                <w:webHidden/>
                <w:rStyle w:val="IndexLink"/>
                <w:rtl w:val="true"/>
              </w:rPr>
              <w:t>نقل وتنقيح تصوير المحقّق العراقي لعموم الوضع والموضوع له</w:t>
            </w:r>
            <w:r>
              <w:rPr>
                <w:rStyle w:val="IndexLink"/>
                <w:rtl w:val="true"/>
              </w:rPr>
              <w:tab/>
            </w:r>
            <w:r>
              <w:rPr>
                <w:rStyle w:val="IndexLink"/>
              </w:rPr>
              <w:t>54</w:t>
            </w:r>
          </w:hyperlink>
        </w:p>
        <w:p>
          <w:pPr>
            <w:pStyle w:val="Contents3"/>
            <w:tabs>
              <w:tab w:val="clear" w:pos="8459"/>
              <w:tab w:val="right" w:pos="9026" w:leader="dot"/>
            </w:tabs>
            <w:rPr/>
          </w:pPr>
          <w:hyperlink w:anchor="__RefHeading___Toc4563119_2142443653">
            <w:r>
              <w:rPr>
                <w:webHidden/>
                <w:rStyle w:val="IndexLink"/>
                <w:rtl w:val="true"/>
              </w:rPr>
              <w:t>وهم ودفع</w:t>
            </w:r>
            <w:r>
              <w:rPr>
                <w:rStyle w:val="IndexLink"/>
                <w:rtl w:val="true"/>
              </w:rPr>
              <w:t xml:space="preserve">: </w:t>
            </w:r>
            <w:r>
              <w:rPr>
                <w:rStyle w:val="IndexLink"/>
                <w:rtl w:val="true"/>
              </w:rPr>
              <w:t>تخيّل امتناع عموم الوضع وإبطاله</w:t>
            </w:r>
            <w:r>
              <w:rPr>
                <w:rStyle w:val="IndexLink"/>
                <w:rtl w:val="true"/>
              </w:rPr>
              <w:tab/>
            </w:r>
            <w:r>
              <w:rPr>
                <w:rStyle w:val="IndexLink"/>
              </w:rPr>
              <w:t>57</w:t>
            </w:r>
          </w:hyperlink>
        </w:p>
        <w:p>
          <w:pPr>
            <w:pStyle w:val="Contents3"/>
            <w:tabs>
              <w:tab w:val="clear" w:pos="8459"/>
              <w:tab w:val="right" w:pos="9026" w:leader="dot"/>
            </w:tabs>
            <w:rPr/>
          </w:pPr>
          <w:hyperlink w:anchor="__RefHeading___Toc4563121_2142443653">
            <w:r>
              <w:rPr>
                <w:webHidden/>
                <w:rStyle w:val="IndexLink"/>
                <w:rtl w:val="true"/>
              </w:rPr>
              <w:t>تنبيه</w:t>
            </w:r>
            <w:r>
              <w:rPr>
                <w:rStyle w:val="IndexLink"/>
                <w:rtl w:val="true"/>
              </w:rPr>
              <w:tab/>
            </w:r>
            <w:r>
              <w:rPr>
                <w:rStyle w:val="IndexLink"/>
              </w:rPr>
              <w:t>58</w:t>
            </w:r>
          </w:hyperlink>
        </w:p>
        <w:p>
          <w:pPr>
            <w:pStyle w:val="Contents4"/>
            <w:tabs>
              <w:tab w:val="clear" w:pos="8176"/>
              <w:tab w:val="right" w:pos="9026" w:leader="dot"/>
            </w:tabs>
            <w:rPr/>
          </w:pPr>
          <w:hyperlink w:anchor="__RefHeading___Toc4563123_2142443653">
            <w:r>
              <w:rPr>
                <w:webHidden/>
                <w:rStyle w:val="IndexLink"/>
                <w:rtl w:val="true"/>
              </w:rPr>
              <w:t>في المراد بالعموم في الوضع</w:t>
            </w:r>
            <w:r>
              <w:rPr>
                <w:rStyle w:val="IndexLink"/>
                <w:rtl w:val="true"/>
              </w:rPr>
              <w:tab/>
            </w:r>
            <w:r>
              <w:rPr>
                <w:rStyle w:val="IndexLink"/>
              </w:rPr>
              <w:t>58</w:t>
            </w:r>
          </w:hyperlink>
        </w:p>
        <w:p>
          <w:pPr>
            <w:pStyle w:val="Contents2"/>
            <w:tabs>
              <w:tab w:val="clear" w:pos="8743"/>
              <w:tab w:val="right" w:pos="9026" w:leader="dot"/>
            </w:tabs>
            <w:rPr/>
          </w:pPr>
          <w:hyperlink w:anchor="__RefHeading___Toc4563125_2142443653">
            <w:r>
              <w:rPr>
                <w:webHidden/>
                <w:rStyle w:val="IndexLink"/>
                <w:rtl w:val="true"/>
              </w:rPr>
              <w:t xml:space="preserve">الأمر الرابع </w:t>
            </w:r>
            <w:r>
              <w:rPr>
                <w:rStyle w:val="IndexLink"/>
                <w:rtl w:val="true"/>
              </w:rPr>
              <w:t xml:space="preserve">: </w:t>
            </w:r>
            <w:r>
              <w:rPr>
                <w:rStyle w:val="IndexLink"/>
                <w:rtl w:val="true"/>
              </w:rPr>
              <w:t>في أمثلة أقسام الوضع</w:t>
            </w:r>
            <w:r>
              <w:rPr>
                <w:rStyle w:val="IndexLink"/>
                <w:rtl w:val="true"/>
              </w:rPr>
              <w:tab/>
            </w:r>
            <w:r>
              <w:rPr>
                <w:rStyle w:val="IndexLink"/>
              </w:rPr>
              <w:t>60</w:t>
            </w:r>
          </w:hyperlink>
        </w:p>
        <w:p>
          <w:pPr>
            <w:pStyle w:val="Contents3"/>
            <w:tabs>
              <w:tab w:val="clear" w:pos="8459"/>
              <w:tab w:val="right" w:pos="9026" w:leader="dot"/>
            </w:tabs>
            <w:rPr/>
          </w:pPr>
          <w:hyperlink w:anchor="__RefHeading___Toc4563127_2142443653">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4563129_2142443653">
            <w:r>
              <w:rPr>
                <w:webHidden/>
                <w:rStyle w:val="IndexLink"/>
                <w:rtl w:val="true"/>
              </w:rPr>
              <w:t>القول في معاني الحروف</w:t>
            </w:r>
            <w:r>
              <w:rPr>
                <w:rStyle w:val="IndexLink"/>
                <w:rtl w:val="true"/>
              </w:rPr>
              <w:tab/>
            </w:r>
            <w:r>
              <w:rPr>
                <w:rStyle w:val="IndexLink"/>
              </w:rPr>
              <w:t>61</w:t>
            </w:r>
          </w:hyperlink>
        </w:p>
        <w:p>
          <w:pPr>
            <w:pStyle w:val="Contents3"/>
            <w:tabs>
              <w:tab w:val="clear" w:pos="8459"/>
              <w:tab w:val="right" w:pos="9026" w:leader="dot"/>
            </w:tabs>
            <w:rPr/>
          </w:pPr>
          <w:hyperlink w:anchor="__RefHeading___Toc4563131_2142443653">
            <w:r>
              <w:rPr>
                <w:webHidden/>
                <w:rStyle w:val="IndexLink"/>
                <w:rtl w:val="true"/>
              </w:rPr>
              <w:t>بحث وتحقيق</w:t>
            </w:r>
            <w:r>
              <w:rPr>
                <w:rStyle w:val="IndexLink"/>
                <w:rtl w:val="true"/>
              </w:rPr>
              <w:t xml:space="preserve">: </w:t>
            </w:r>
            <w:r>
              <w:rPr>
                <w:rStyle w:val="IndexLink"/>
                <w:rtl w:val="true"/>
              </w:rPr>
              <w:t>في بيان بعض أقسام الحروف</w:t>
            </w:r>
            <w:r>
              <w:rPr>
                <w:rStyle w:val="IndexLink"/>
                <w:rtl w:val="true"/>
              </w:rPr>
              <w:tab/>
            </w:r>
            <w:r>
              <w:rPr>
                <w:rStyle w:val="IndexLink"/>
              </w:rPr>
              <w:t>65</w:t>
            </w:r>
          </w:hyperlink>
        </w:p>
        <w:p>
          <w:pPr>
            <w:pStyle w:val="Contents3"/>
            <w:tabs>
              <w:tab w:val="clear" w:pos="8459"/>
              <w:tab w:val="right" w:pos="9026" w:leader="dot"/>
            </w:tabs>
            <w:rPr/>
          </w:pPr>
          <w:hyperlink w:anchor="__RefHeading___Toc4563133_2142443653">
            <w:r>
              <w:rPr>
                <w:webHidden/>
                <w:rStyle w:val="IndexLink"/>
                <w:rtl w:val="true"/>
              </w:rPr>
              <w:t>في الخلط من بعض الأعاظم</w:t>
            </w:r>
            <w:r>
              <w:rPr>
                <w:rStyle w:val="IndexLink"/>
                <w:rtl w:val="true"/>
              </w:rPr>
              <w:tab/>
            </w:r>
            <w:r>
              <w:rPr>
                <w:rStyle w:val="IndexLink"/>
              </w:rPr>
              <w:t>66</w:t>
            </w:r>
          </w:hyperlink>
        </w:p>
        <w:p>
          <w:pPr>
            <w:pStyle w:val="Contents3"/>
            <w:tabs>
              <w:tab w:val="clear" w:pos="8459"/>
              <w:tab w:val="right" w:pos="9026" w:leader="dot"/>
            </w:tabs>
            <w:rPr/>
          </w:pPr>
          <w:hyperlink w:anchor="__RefHeading___Toc4563135_2142443653">
            <w:r>
              <w:rPr>
                <w:webHidden/>
                <w:rStyle w:val="IndexLink"/>
                <w:rtl w:val="true"/>
              </w:rPr>
              <w:t>في كلام بعض المحقّقين</w:t>
            </w:r>
            <w:r>
              <w:rPr>
                <w:rStyle w:val="IndexLink"/>
                <w:rtl w:val="true"/>
              </w:rPr>
              <w:tab/>
            </w:r>
            <w:r>
              <w:rPr>
                <w:rStyle w:val="IndexLink"/>
              </w:rPr>
              <w:t>68</w:t>
            </w:r>
          </w:hyperlink>
        </w:p>
        <w:p>
          <w:pPr>
            <w:pStyle w:val="Contents3"/>
            <w:tabs>
              <w:tab w:val="clear" w:pos="8459"/>
              <w:tab w:val="right" w:pos="9026" w:leader="dot"/>
            </w:tabs>
            <w:rPr/>
          </w:pPr>
          <w:hyperlink w:anchor="__RefHeading___Toc4563137_2142443653">
            <w:r>
              <w:rPr>
                <w:webHidden/>
                <w:rStyle w:val="IndexLink"/>
                <w:rtl w:val="true"/>
              </w:rPr>
              <w:t>دفع وهم</w:t>
            </w:r>
            <w:r>
              <w:rPr>
                <w:rStyle w:val="IndexLink"/>
                <w:rtl w:val="true"/>
              </w:rPr>
              <w:t xml:space="preserve">: </w:t>
            </w:r>
            <w:r>
              <w:rPr>
                <w:rStyle w:val="IndexLink"/>
                <w:rtl w:val="true"/>
              </w:rPr>
              <w:t>ردّ مقالة المحقّق العراقي في مدلول الحروف</w:t>
            </w:r>
            <w:r>
              <w:rPr>
                <w:rStyle w:val="IndexLink"/>
                <w:rtl w:val="true"/>
              </w:rPr>
              <w:tab/>
            </w:r>
            <w:r>
              <w:rPr>
                <w:rStyle w:val="IndexLink"/>
              </w:rPr>
              <w:t>71</w:t>
            </w:r>
          </w:hyperlink>
        </w:p>
        <w:p>
          <w:pPr>
            <w:pStyle w:val="Contents3"/>
            <w:tabs>
              <w:tab w:val="clear" w:pos="8459"/>
              <w:tab w:val="right" w:pos="9026" w:leader="dot"/>
            </w:tabs>
            <w:rPr/>
          </w:pPr>
          <w:hyperlink w:anchor="__RefHeading___Toc4563139_2142443653">
            <w:r>
              <w:rPr>
                <w:webHidden/>
                <w:rStyle w:val="IndexLink"/>
                <w:rtl w:val="true"/>
              </w:rPr>
              <w:t xml:space="preserve">تكميل </w:t>
            </w:r>
            <w:r>
              <w:rPr>
                <w:rStyle w:val="IndexLink"/>
                <w:rtl w:val="true"/>
              </w:rPr>
              <w:t xml:space="preserve">: </w:t>
            </w:r>
            <w:r>
              <w:rPr>
                <w:rStyle w:val="IndexLink"/>
                <w:rtl w:val="true"/>
              </w:rPr>
              <w:t>في أنّ الوضع في الحروف عامّ والموضوع له خاصّ</w:t>
            </w:r>
            <w:r>
              <w:rPr>
                <w:rStyle w:val="IndexLink"/>
                <w:rtl w:val="true"/>
              </w:rPr>
              <w:tab/>
            </w:r>
            <w:r>
              <w:rPr>
                <w:rStyle w:val="IndexLink"/>
              </w:rPr>
              <w:t>73</w:t>
            </w:r>
          </w:hyperlink>
        </w:p>
        <w:p>
          <w:pPr>
            <w:pStyle w:val="Contents3"/>
            <w:tabs>
              <w:tab w:val="clear" w:pos="8459"/>
              <w:tab w:val="right" w:pos="9026" w:leader="dot"/>
            </w:tabs>
            <w:rPr/>
          </w:pPr>
          <w:hyperlink w:anchor="__RefHeading___Toc4563141_2142443653">
            <w:r>
              <w:rPr>
                <w:webHidden/>
                <w:rStyle w:val="IndexLink"/>
                <w:rtl w:val="true"/>
              </w:rPr>
              <w:t>نقل كلمات الأعلام في وضع الحروف ونقدها</w:t>
            </w:r>
            <w:r>
              <w:rPr>
                <w:rStyle w:val="IndexLink"/>
                <w:rtl w:val="true"/>
              </w:rPr>
              <w:tab/>
            </w:r>
            <w:r>
              <w:rPr>
                <w:rStyle w:val="IndexLink"/>
              </w:rPr>
              <w:t>73</w:t>
            </w:r>
          </w:hyperlink>
        </w:p>
        <w:p>
          <w:pPr>
            <w:pStyle w:val="Contents3"/>
            <w:tabs>
              <w:tab w:val="clear" w:pos="8459"/>
              <w:tab w:val="right" w:pos="9026" w:leader="dot"/>
            </w:tabs>
            <w:rPr/>
          </w:pPr>
          <w:hyperlink w:anchor="__RefHeading___Toc4563143_2142443653">
            <w:r>
              <w:rPr>
                <w:webHidden/>
                <w:rStyle w:val="IndexLink"/>
                <w:rtl w:val="true"/>
              </w:rPr>
              <w:t xml:space="preserve">القول </w:t>
            </w:r>
            <w:r>
              <w:rPr>
                <w:rStyle w:val="IndexLink"/>
                <w:rtl w:val="true"/>
              </w:rPr>
              <w:t xml:space="preserve">: </w:t>
            </w:r>
            <w:r>
              <w:rPr>
                <w:rStyle w:val="IndexLink"/>
                <w:rtl w:val="true"/>
              </w:rPr>
              <w:t>في معاني الهيئات</w:t>
            </w:r>
            <w:r>
              <w:rPr>
                <w:rStyle w:val="IndexLink"/>
                <w:rtl w:val="true"/>
              </w:rPr>
              <w:tab/>
            </w:r>
            <w:r>
              <w:rPr>
                <w:rStyle w:val="IndexLink"/>
              </w:rPr>
              <w:t>78</w:t>
            </w:r>
          </w:hyperlink>
        </w:p>
        <w:p>
          <w:pPr>
            <w:pStyle w:val="Contents3"/>
            <w:tabs>
              <w:tab w:val="clear" w:pos="8459"/>
              <w:tab w:val="right" w:pos="9026" w:leader="dot"/>
            </w:tabs>
            <w:rPr/>
          </w:pPr>
          <w:hyperlink w:anchor="__RefHeading___Toc4563145_2142443653">
            <w:r>
              <w:rPr>
                <w:webHidden/>
                <w:rStyle w:val="IndexLink"/>
                <w:rtl w:val="true"/>
              </w:rPr>
              <w:t>تنبيه</w:t>
            </w:r>
            <w:r>
              <w:rPr>
                <w:rStyle w:val="IndexLink"/>
                <w:rtl w:val="true"/>
              </w:rPr>
              <w:t xml:space="preserve">: </w:t>
            </w:r>
            <w:r>
              <w:rPr>
                <w:rStyle w:val="IndexLink"/>
                <w:rtl w:val="true"/>
              </w:rPr>
              <w:t>في الجمل التامّة وغير التامّة</w:t>
            </w:r>
            <w:r>
              <w:rPr>
                <w:rStyle w:val="IndexLink"/>
                <w:rtl w:val="true"/>
              </w:rPr>
              <w:tab/>
            </w:r>
            <w:r>
              <w:rPr>
                <w:rStyle w:val="IndexLink"/>
              </w:rPr>
              <w:t>83</w:t>
            </w:r>
          </w:hyperlink>
        </w:p>
        <w:p>
          <w:pPr>
            <w:pStyle w:val="Contents3"/>
            <w:tabs>
              <w:tab w:val="clear" w:pos="8459"/>
              <w:tab w:val="right" w:pos="9026" w:leader="dot"/>
            </w:tabs>
            <w:rPr/>
          </w:pPr>
          <w:hyperlink w:anchor="__RefHeading___Toc4563147_2142443653">
            <w:r>
              <w:rPr>
                <w:webHidden/>
                <w:rStyle w:val="IndexLink"/>
                <w:rtl w:val="true"/>
              </w:rPr>
              <w:t>الكلام في الإنشاء والإخبار</w:t>
            </w:r>
            <w:r>
              <w:rPr>
                <w:rStyle w:val="IndexLink"/>
                <w:rtl w:val="true"/>
              </w:rPr>
              <w:tab/>
            </w:r>
            <w:r>
              <w:rPr>
                <w:rStyle w:val="IndexLink"/>
              </w:rPr>
              <w:t>86</w:t>
            </w:r>
          </w:hyperlink>
        </w:p>
        <w:p>
          <w:pPr>
            <w:pStyle w:val="Contents3"/>
            <w:tabs>
              <w:tab w:val="clear" w:pos="8459"/>
              <w:tab w:val="right" w:pos="9026" w:leader="dot"/>
            </w:tabs>
            <w:rPr/>
          </w:pPr>
          <w:hyperlink w:anchor="__RefHeading___Toc4563149_2142443653">
            <w:r>
              <w:rPr>
                <w:webHidden/>
                <w:rStyle w:val="IndexLink"/>
                <w:rtl w:val="true"/>
              </w:rPr>
              <w:t>في أنحاء الإنشاء</w:t>
            </w:r>
            <w:r>
              <w:rPr>
                <w:rStyle w:val="IndexLink"/>
                <w:rtl w:val="true"/>
              </w:rPr>
              <w:tab/>
            </w:r>
            <w:r>
              <w:rPr>
                <w:rStyle w:val="IndexLink"/>
              </w:rPr>
              <w:t>86</w:t>
            </w:r>
          </w:hyperlink>
        </w:p>
        <w:p>
          <w:pPr>
            <w:pStyle w:val="Contents3"/>
            <w:tabs>
              <w:tab w:val="clear" w:pos="8459"/>
              <w:tab w:val="right" w:pos="9026" w:leader="dot"/>
            </w:tabs>
            <w:rPr/>
          </w:pPr>
          <w:hyperlink w:anchor="__RefHeading___Toc4563151_2142443653">
            <w:r>
              <w:rPr>
                <w:webHidden/>
                <w:rStyle w:val="IndexLink"/>
                <w:rtl w:val="true"/>
              </w:rPr>
              <w:t>الكلام في ألفاظ الإشارات وأخواتها</w:t>
            </w:r>
            <w:r>
              <w:rPr>
                <w:rStyle w:val="IndexLink"/>
                <w:rtl w:val="true"/>
              </w:rPr>
              <w:tab/>
            </w:r>
            <w:r>
              <w:rPr>
                <w:rStyle w:val="IndexLink"/>
              </w:rPr>
              <w:t>87</w:t>
            </w:r>
          </w:hyperlink>
        </w:p>
        <w:p>
          <w:pPr>
            <w:pStyle w:val="Contents3"/>
            <w:tabs>
              <w:tab w:val="clear" w:pos="8459"/>
              <w:tab w:val="right" w:pos="9026" w:leader="dot"/>
            </w:tabs>
            <w:rPr/>
          </w:pPr>
          <w:hyperlink w:anchor="__RefHeading___Toc4563153_2142443653">
            <w:r>
              <w:rPr>
                <w:webHidden/>
                <w:rStyle w:val="IndexLink"/>
                <w:rtl w:val="true"/>
              </w:rPr>
              <w:t xml:space="preserve">تنبيه </w:t>
            </w:r>
            <w:r>
              <w:rPr>
                <w:rStyle w:val="IndexLink"/>
                <w:rtl w:val="true"/>
              </w:rPr>
              <w:t xml:space="preserve">: </w:t>
            </w:r>
            <w:r>
              <w:rPr>
                <w:rStyle w:val="IndexLink"/>
                <w:rtl w:val="true"/>
              </w:rPr>
              <w:t>في أنّ معاني الحروف ليست مغفولاً عنها</w:t>
            </w:r>
            <w:r>
              <w:rPr>
                <w:rStyle w:val="IndexLink"/>
                <w:rtl w:val="true"/>
              </w:rPr>
              <w:tab/>
            </w:r>
            <w:r>
              <w:rPr>
                <w:rStyle w:val="IndexLink"/>
              </w:rPr>
              <w:t>90</w:t>
            </w:r>
          </w:hyperlink>
        </w:p>
        <w:p>
          <w:pPr>
            <w:pStyle w:val="Contents2"/>
            <w:tabs>
              <w:tab w:val="clear" w:pos="8743"/>
              <w:tab w:val="right" w:pos="9026" w:leader="dot"/>
            </w:tabs>
            <w:rPr/>
          </w:pPr>
          <w:hyperlink w:anchor="__RefHeading___Toc4563155_2142443653">
            <w:r>
              <w:rPr>
                <w:webHidden/>
                <w:rStyle w:val="IndexLink"/>
                <w:rtl w:val="true"/>
              </w:rPr>
              <w:t xml:space="preserve">الأمر الخامس </w:t>
            </w:r>
            <w:r>
              <w:rPr>
                <w:rStyle w:val="IndexLink"/>
                <w:rtl w:val="true"/>
              </w:rPr>
              <w:t xml:space="preserve">: </w:t>
            </w:r>
            <w:r>
              <w:rPr>
                <w:rStyle w:val="IndexLink"/>
                <w:rtl w:val="true"/>
              </w:rPr>
              <w:t>في المجاز</w:t>
            </w:r>
            <w:r>
              <w:rPr>
                <w:rStyle w:val="IndexLink"/>
                <w:rtl w:val="true"/>
              </w:rPr>
              <w:tab/>
            </w:r>
            <w:r>
              <w:rPr>
                <w:rStyle w:val="IndexLink"/>
              </w:rPr>
              <w:t>93</w:t>
            </w:r>
          </w:hyperlink>
        </w:p>
        <w:p>
          <w:pPr>
            <w:pStyle w:val="Contents3"/>
            <w:tabs>
              <w:tab w:val="clear" w:pos="8459"/>
              <w:tab w:val="right" w:pos="9026" w:leader="dot"/>
            </w:tabs>
            <w:rPr/>
          </w:pPr>
          <w:hyperlink w:anchor="__RefHeading___Toc4563157_2142443653">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4563159_2142443653">
            <w:r>
              <w:rPr>
                <w:webHidden/>
                <w:rStyle w:val="IndexLink"/>
                <w:rtl w:val="true"/>
              </w:rPr>
              <w:t>التحقيق في المجاز</w:t>
            </w:r>
            <w:r>
              <w:rPr>
                <w:rStyle w:val="IndexLink"/>
                <w:rtl w:val="true"/>
              </w:rPr>
              <w:tab/>
            </w:r>
            <w:r>
              <w:rPr>
                <w:rStyle w:val="IndexLink"/>
              </w:rPr>
              <w:t>95</w:t>
            </w:r>
          </w:hyperlink>
        </w:p>
        <w:p>
          <w:pPr>
            <w:pStyle w:val="Contents3"/>
            <w:tabs>
              <w:tab w:val="clear" w:pos="8459"/>
              <w:tab w:val="right" w:pos="9026" w:leader="dot"/>
            </w:tabs>
            <w:rPr/>
          </w:pPr>
          <w:hyperlink w:anchor="__RefHeading___Toc4563161_2142443653">
            <w:r>
              <w:rPr>
                <w:webHidden/>
                <w:rStyle w:val="IndexLink"/>
                <w:rtl w:val="true"/>
              </w:rPr>
              <w:t>استعمال اللفظ في اللفظ</w:t>
            </w:r>
            <w:r>
              <w:rPr>
                <w:rStyle w:val="IndexLink"/>
                <w:rtl w:val="true"/>
              </w:rPr>
              <w:tab/>
            </w:r>
            <w:r>
              <w:rPr>
                <w:rStyle w:val="IndexLink"/>
              </w:rPr>
              <w:t>97</w:t>
            </w:r>
          </w:hyperlink>
        </w:p>
        <w:p>
          <w:pPr>
            <w:pStyle w:val="Contents3"/>
            <w:tabs>
              <w:tab w:val="clear" w:pos="8459"/>
              <w:tab w:val="right" w:pos="9026" w:leader="dot"/>
            </w:tabs>
            <w:rPr/>
          </w:pPr>
          <w:hyperlink w:anchor="__RefHeading___Toc4563163_2142443653">
            <w:r>
              <w:rPr>
                <w:webHidden/>
                <w:rStyle w:val="IndexLink"/>
                <w:rtl w:val="true"/>
              </w:rPr>
              <w:t>إطلاق اللفظ وإرادة شخصه</w:t>
            </w:r>
            <w:r>
              <w:rPr>
                <w:rStyle w:val="IndexLink"/>
                <w:rtl w:val="true"/>
              </w:rPr>
              <w:tab/>
            </w:r>
            <w:r>
              <w:rPr>
                <w:rStyle w:val="IndexLink"/>
              </w:rPr>
              <w:t>97</w:t>
            </w:r>
          </w:hyperlink>
        </w:p>
        <w:p>
          <w:pPr>
            <w:pStyle w:val="Contents3"/>
            <w:tabs>
              <w:tab w:val="clear" w:pos="8459"/>
              <w:tab w:val="right" w:pos="9026" w:leader="dot"/>
            </w:tabs>
            <w:rPr/>
          </w:pPr>
          <w:hyperlink w:anchor="__RefHeading___Toc4563165_2142443653">
            <w:r>
              <w:rPr>
                <w:webHidden/>
                <w:rStyle w:val="IndexLink"/>
                <w:rtl w:val="true"/>
              </w:rPr>
              <w:t>إطلاق اللفظ وإرادة مثله</w:t>
            </w:r>
            <w:r>
              <w:rPr>
                <w:rStyle w:val="IndexLink"/>
                <w:rtl w:val="true"/>
              </w:rPr>
              <w:tab/>
            </w:r>
            <w:r>
              <w:rPr>
                <w:rStyle w:val="IndexLink"/>
              </w:rPr>
              <w:t>99</w:t>
            </w:r>
          </w:hyperlink>
        </w:p>
        <w:p>
          <w:pPr>
            <w:pStyle w:val="Contents3"/>
            <w:tabs>
              <w:tab w:val="clear" w:pos="8459"/>
              <w:tab w:val="right" w:pos="9026" w:leader="dot"/>
            </w:tabs>
            <w:rPr/>
          </w:pPr>
          <w:hyperlink w:anchor="__RefHeading___Toc4563167_2142443653">
            <w:r>
              <w:rPr>
                <w:webHidden/>
                <w:rStyle w:val="IndexLink"/>
                <w:rtl w:val="true"/>
              </w:rPr>
              <w:t>إطلاق اللفظ وإرادة نوعه</w:t>
            </w:r>
            <w:r>
              <w:rPr>
                <w:rStyle w:val="IndexLink"/>
                <w:rtl w:val="true"/>
              </w:rPr>
              <w:tab/>
            </w:r>
            <w:r>
              <w:rPr>
                <w:rStyle w:val="IndexLink"/>
              </w:rPr>
              <w:t>99</w:t>
            </w:r>
          </w:hyperlink>
        </w:p>
        <w:p>
          <w:pPr>
            <w:pStyle w:val="Contents2"/>
            <w:tabs>
              <w:tab w:val="clear" w:pos="8743"/>
              <w:tab w:val="right" w:pos="9026" w:leader="dot"/>
            </w:tabs>
            <w:rPr/>
          </w:pPr>
          <w:hyperlink w:anchor="__RefHeading___Toc4563169_2142443653">
            <w:r>
              <w:rPr>
                <w:webHidden/>
                <w:rStyle w:val="IndexLink"/>
                <w:rtl w:val="true"/>
              </w:rPr>
              <w:t xml:space="preserve">الأمر السادس </w:t>
            </w:r>
            <w:r>
              <w:rPr>
                <w:rStyle w:val="IndexLink"/>
                <w:rtl w:val="true"/>
              </w:rPr>
              <w:t xml:space="preserve">: </w:t>
            </w:r>
            <w:r>
              <w:rPr>
                <w:rStyle w:val="IndexLink"/>
                <w:rtl w:val="true"/>
              </w:rPr>
              <w:t>في أنّ الألفاظ موضوعة لذات المعاني</w:t>
            </w:r>
            <w:r>
              <w:rPr>
                <w:rStyle w:val="IndexLink"/>
                <w:rtl w:val="true"/>
              </w:rPr>
              <w:tab/>
            </w:r>
            <w:r>
              <w:rPr>
                <w:rStyle w:val="IndexLink"/>
              </w:rPr>
              <w:t>103</w:t>
            </w:r>
          </w:hyperlink>
        </w:p>
        <w:p>
          <w:pPr>
            <w:pStyle w:val="Contents2"/>
            <w:tabs>
              <w:tab w:val="clear" w:pos="8743"/>
              <w:tab w:val="right" w:pos="9026" w:leader="dot"/>
            </w:tabs>
            <w:rPr/>
          </w:pPr>
          <w:hyperlink w:anchor="__RefHeading___Toc4563171_2142443653">
            <w:r>
              <w:rPr>
                <w:webHidden/>
                <w:rStyle w:val="IndexLink"/>
                <w:rtl w:val="true"/>
              </w:rPr>
              <w:t xml:space="preserve">الأمر السابع </w:t>
            </w:r>
            <w:r>
              <w:rPr>
                <w:rStyle w:val="IndexLink"/>
                <w:rtl w:val="true"/>
              </w:rPr>
              <w:t xml:space="preserve">: </w:t>
            </w:r>
            <w:r>
              <w:rPr>
                <w:rStyle w:val="IndexLink"/>
                <w:rtl w:val="true"/>
              </w:rPr>
              <w:t>في الهيئات</w:t>
            </w:r>
            <w:r>
              <w:rPr>
                <w:rStyle w:val="IndexLink"/>
                <w:rtl w:val="true"/>
              </w:rPr>
              <w:tab/>
            </w:r>
            <w:r>
              <w:rPr>
                <w:rStyle w:val="IndexLink"/>
              </w:rPr>
              <w:t>106</w:t>
            </w:r>
          </w:hyperlink>
        </w:p>
        <w:p>
          <w:pPr>
            <w:pStyle w:val="Contents3"/>
            <w:tabs>
              <w:tab w:val="clear" w:pos="8459"/>
              <w:tab w:val="right" w:pos="9026" w:leader="dot"/>
            </w:tabs>
            <w:rPr/>
          </w:pPr>
          <w:hyperlink w:anchor="__RefHeading___Toc4563173_2142443653">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4563175_2142443653">
            <w:r>
              <w:rPr>
                <w:webHidden/>
                <w:rStyle w:val="IndexLink"/>
                <w:rtl w:val="true"/>
              </w:rPr>
              <w:t>تنبيه</w:t>
            </w:r>
            <w:r>
              <w:rPr>
                <w:rStyle w:val="IndexLink"/>
                <w:rtl w:val="true"/>
              </w:rPr>
              <w:t xml:space="preserve">: </w:t>
            </w:r>
            <w:r>
              <w:rPr>
                <w:rStyle w:val="IndexLink"/>
                <w:rtl w:val="true"/>
              </w:rPr>
              <w:t>في الموضوع له في الهيئات</w:t>
            </w:r>
            <w:r>
              <w:rPr>
                <w:rStyle w:val="IndexLink"/>
                <w:rtl w:val="true"/>
              </w:rPr>
              <w:tab/>
            </w:r>
            <w:r>
              <w:rPr>
                <w:rStyle w:val="IndexLink"/>
              </w:rPr>
              <w:t>108</w:t>
            </w:r>
          </w:hyperlink>
        </w:p>
        <w:p>
          <w:pPr>
            <w:pStyle w:val="Contents3"/>
            <w:tabs>
              <w:tab w:val="clear" w:pos="8459"/>
              <w:tab w:val="right" w:pos="9026" w:leader="dot"/>
            </w:tabs>
            <w:rPr/>
          </w:pPr>
          <w:hyperlink w:anchor="__RefHeading___Toc4563177_2142443653">
            <w:r>
              <w:rPr>
                <w:webHidden/>
                <w:rStyle w:val="IndexLink"/>
                <w:rtl w:val="true"/>
              </w:rPr>
              <w:t>تتميم</w:t>
            </w:r>
            <w:r>
              <w:rPr>
                <w:rStyle w:val="IndexLink"/>
                <w:rtl w:val="true"/>
              </w:rPr>
              <w:t xml:space="preserve">: </w:t>
            </w:r>
            <w:r>
              <w:rPr>
                <w:rStyle w:val="IndexLink"/>
                <w:rtl w:val="true"/>
              </w:rPr>
              <w:t>في تقسيم اللفظ إلى المفرد والمركّب</w:t>
            </w:r>
            <w:r>
              <w:rPr>
                <w:rStyle w:val="IndexLink"/>
                <w:rtl w:val="true"/>
              </w:rPr>
              <w:tab/>
            </w:r>
            <w:r>
              <w:rPr>
                <w:rStyle w:val="IndexLink"/>
              </w:rPr>
              <w:t>110</w:t>
            </w:r>
          </w:hyperlink>
        </w:p>
        <w:p>
          <w:pPr>
            <w:pStyle w:val="Contents2"/>
            <w:tabs>
              <w:tab w:val="clear" w:pos="8743"/>
              <w:tab w:val="right" w:pos="9026" w:leader="dot"/>
            </w:tabs>
            <w:rPr/>
          </w:pPr>
          <w:hyperlink w:anchor="__RefHeading___Toc4563179_2142443653">
            <w:r>
              <w:rPr>
                <w:webHidden/>
                <w:rStyle w:val="IndexLink"/>
                <w:rtl w:val="true"/>
              </w:rPr>
              <w:t xml:space="preserve">الأمر الثامن </w:t>
            </w:r>
            <w:r>
              <w:rPr>
                <w:rStyle w:val="IndexLink"/>
                <w:rtl w:val="true"/>
              </w:rPr>
              <w:t xml:space="preserve">: </w:t>
            </w:r>
            <w:r>
              <w:rPr>
                <w:rStyle w:val="IndexLink"/>
                <w:rtl w:val="true"/>
              </w:rPr>
              <w:t>في العلائم التي يمتاز بها المعنى الحقيقي من غيره</w:t>
            </w:r>
            <w:r>
              <w:rPr>
                <w:rStyle w:val="IndexLink"/>
                <w:rtl w:val="true"/>
              </w:rPr>
              <w:tab/>
            </w:r>
            <w:r>
              <w:rPr>
                <w:rStyle w:val="IndexLink"/>
              </w:rPr>
              <w:t>112</w:t>
            </w:r>
          </w:hyperlink>
        </w:p>
        <w:p>
          <w:pPr>
            <w:pStyle w:val="Contents3"/>
            <w:tabs>
              <w:tab w:val="clear" w:pos="8459"/>
              <w:tab w:val="right" w:pos="9026" w:leader="dot"/>
            </w:tabs>
            <w:rPr/>
          </w:pPr>
          <w:hyperlink w:anchor="__RefHeading___Toc4563181_2142443653">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4563183_2142443653">
            <w:r>
              <w:rPr>
                <w:webHidden/>
                <w:rStyle w:val="IndexLink"/>
                <w:rtl w:val="true"/>
              </w:rPr>
              <w:t>التبادر</w:t>
            </w:r>
            <w:r>
              <w:rPr>
                <w:rStyle w:val="IndexLink"/>
                <w:rtl w:val="true"/>
              </w:rPr>
              <w:tab/>
            </w:r>
            <w:r>
              <w:rPr>
                <w:rStyle w:val="IndexLink"/>
              </w:rPr>
              <w:t>113</w:t>
            </w:r>
          </w:hyperlink>
        </w:p>
        <w:p>
          <w:pPr>
            <w:pStyle w:val="Contents3"/>
            <w:tabs>
              <w:tab w:val="clear" w:pos="8459"/>
              <w:tab w:val="right" w:pos="9026" w:leader="dot"/>
            </w:tabs>
            <w:rPr/>
          </w:pPr>
          <w:hyperlink w:anchor="__RefHeading___Toc4563185_2142443653">
            <w:r>
              <w:rPr>
                <w:webHidden/>
                <w:rStyle w:val="IndexLink"/>
                <w:rtl w:val="true"/>
              </w:rPr>
              <w:t>في طرق إحراز كون التبادر من حاقّ اللفظ</w:t>
            </w:r>
            <w:r>
              <w:rPr>
                <w:rStyle w:val="IndexLink"/>
                <w:rtl w:val="true"/>
              </w:rPr>
              <w:tab/>
            </w:r>
            <w:r>
              <w:rPr>
                <w:rStyle w:val="IndexLink"/>
              </w:rPr>
              <w:t>114</w:t>
            </w:r>
          </w:hyperlink>
        </w:p>
        <w:p>
          <w:pPr>
            <w:pStyle w:val="Contents3"/>
            <w:tabs>
              <w:tab w:val="clear" w:pos="8459"/>
              <w:tab w:val="right" w:pos="9026" w:leader="dot"/>
            </w:tabs>
            <w:rPr/>
          </w:pPr>
          <w:hyperlink w:anchor="__RefHeading___Toc4563187_2142443653">
            <w:r>
              <w:rPr>
                <w:webHidden/>
                <w:rStyle w:val="IndexLink"/>
                <w:rtl w:val="true"/>
              </w:rPr>
              <w:t>صحّة الحمل</w:t>
            </w:r>
            <w:r>
              <w:rPr>
                <w:rStyle w:val="IndexLink"/>
                <w:rtl w:val="true"/>
              </w:rPr>
              <w:tab/>
            </w:r>
            <w:r>
              <w:rPr>
                <w:rStyle w:val="IndexLink"/>
              </w:rPr>
              <w:t>115</w:t>
            </w:r>
          </w:hyperlink>
        </w:p>
        <w:p>
          <w:pPr>
            <w:pStyle w:val="Contents3"/>
            <w:tabs>
              <w:tab w:val="clear" w:pos="8459"/>
              <w:tab w:val="right" w:pos="9026" w:leader="dot"/>
            </w:tabs>
            <w:rPr/>
          </w:pPr>
          <w:hyperlink w:anchor="__RefHeading___Toc4563189_2142443653">
            <w:r>
              <w:rPr>
                <w:webHidden/>
                <w:rStyle w:val="IndexLink"/>
                <w:rtl w:val="true"/>
              </w:rPr>
              <w:t>صحّة السلب</w:t>
            </w:r>
            <w:r>
              <w:rPr>
                <w:rStyle w:val="IndexLink"/>
                <w:rtl w:val="true"/>
              </w:rPr>
              <w:tab/>
            </w:r>
            <w:r>
              <w:rPr>
                <w:rStyle w:val="IndexLink"/>
              </w:rPr>
              <w:t>116</w:t>
            </w:r>
          </w:hyperlink>
        </w:p>
        <w:p>
          <w:pPr>
            <w:pStyle w:val="Contents3"/>
            <w:tabs>
              <w:tab w:val="clear" w:pos="8459"/>
              <w:tab w:val="right" w:pos="9026" w:leader="dot"/>
            </w:tabs>
            <w:rPr/>
          </w:pPr>
          <w:hyperlink w:anchor="__RefHeading___Toc4563191_2142443653">
            <w:r>
              <w:rPr>
                <w:webHidden/>
                <w:rStyle w:val="IndexLink"/>
                <w:rtl w:val="true"/>
              </w:rPr>
              <w:t>الاطّراد وعدمه</w:t>
            </w:r>
            <w:r>
              <w:rPr>
                <w:rStyle w:val="IndexLink"/>
                <w:rtl w:val="true"/>
              </w:rPr>
              <w:tab/>
            </w:r>
            <w:r>
              <w:rPr>
                <w:rStyle w:val="IndexLink"/>
              </w:rPr>
              <w:t>117</w:t>
            </w:r>
          </w:hyperlink>
        </w:p>
        <w:p>
          <w:pPr>
            <w:pStyle w:val="Contents2"/>
            <w:tabs>
              <w:tab w:val="clear" w:pos="8743"/>
              <w:tab w:val="right" w:pos="9026" w:leader="dot"/>
            </w:tabs>
            <w:rPr/>
          </w:pPr>
          <w:hyperlink w:anchor="__RefHeading___Toc4563193_2142443653">
            <w:r>
              <w:rPr>
                <w:webHidden/>
                <w:rStyle w:val="IndexLink"/>
                <w:rtl w:val="true"/>
              </w:rPr>
              <w:t xml:space="preserve">الأمر التاسع </w:t>
            </w:r>
            <w:r>
              <w:rPr>
                <w:rStyle w:val="IndexLink"/>
                <w:rtl w:val="true"/>
              </w:rPr>
              <w:t xml:space="preserve">: </w:t>
            </w:r>
            <w:r>
              <w:rPr>
                <w:rStyle w:val="IndexLink"/>
                <w:rtl w:val="true"/>
              </w:rPr>
              <w:t>في تعارض الأحوال</w:t>
            </w:r>
            <w:r>
              <w:rPr>
                <w:rStyle w:val="IndexLink"/>
                <w:rtl w:val="true"/>
              </w:rPr>
              <w:tab/>
            </w:r>
            <w:r>
              <w:rPr>
                <w:rStyle w:val="IndexLink"/>
              </w:rPr>
              <w:t>119</w:t>
            </w:r>
          </w:hyperlink>
        </w:p>
        <w:p>
          <w:pPr>
            <w:pStyle w:val="Contents3"/>
            <w:tabs>
              <w:tab w:val="clear" w:pos="8459"/>
              <w:tab w:val="right" w:pos="9026" w:leader="dot"/>
            </w:tabs>
            <w:rPr/>
          </w:pPr>
          <w:hyperlink w:anchor="__RefHeading___Toc4563195_214244365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4563197_2142443653">
            <w:r>
              <w:rPr>
                <w:webHidden/>
                <w:rStyle w:val="IndexLink"/>
                <w:rtl w:val="true"/>
              </w:rPr>
              <w:t>الأصل في صورة دوران الأمر بين النقل وغيره</w:t>
            </w:r>
            <w:r>
              <w:rPr>
                <w:rStyle w:val="IndexLink"/>
                <w:rtl w:val="true"/>
              </w:rPr>
              <w:tab/>
            </w:r>
            <w:r>
              <w:rPr>
                <w:rStyle w:val="IndexLink"/>
              </w:rPr>
              <w:t>120</w:t>
            </w:r>
          </w:hyperlink>
        </w:p>
        <w:p>
          <w:pPr>
            <w:pStyle w:val="Contents3"/>
            <w:tabs>
              <w:tab w:val="clear" w:pos="8459"/>
              <w:tab w:val="right" w:pos="9026" w:leader="dot"/>
            </w:tabs>
            <w:rPr/>
          </w:pPr>
          <w:hyperlink w:anchor="__RefHeading___Toc4563199_2142443653">
            <w:r>
              <w:rPr>
                <w:webHidden/>
                <w:rStyle w:val="IndexLink"/>
                <w:rtl w:val="true"/>
              </w:rPr>
              <w:t>الأصل في صورة الشكّ في تقدّم النقل على الاستعمال وتأخّره عنه</w:t>
            </w:r>
            <w:r>
              <w:rPr>
                <w:rStyle w:val="IndexLink"/>
                <w:rtl w:val="true"/>
              </w:rPr>
              <w:tab/>
            </w:r>
            <w:r>
              <w:rPr>
                <w:rStyle w:val="IndexLink"/>
              </w:rPr>
              <w:t>120</w:t>
            </w:r>
          </w:hyperlink>
        </w:p>
        <w:p>
          <w:pPr>
            <w:pStyle w:val="Contents2"/>
            <w:tabs>
              <w:tab w:val="clear" w:pos="8743"/>
              <w:tab w:val="right" w:pos="9026" w:leader="dot"/>
            </w:tabs>
            <w:rPr/>
          </w:pPr>
          <w:hyperlink w:anchor="__RefHeading___Toc4563201_2142443653">
            <w:r>
              <w:rPr>
                <w:webHidden/>
                <w:rStyle w:val="IndexLink"/>
                <w:rtl w:val="true"/>
              </w:rPr>
              <w:t xml:space="preserve">الأمر العاشر </w:t>
            </w:r>
            <w:r>
              <w:rPr>
                <w:rStyle w:val="IndexLink"/>
                <w:rtl w:val="true"/>
              </w:rPr>
              <w:t xml:space="preserve">: </w:t>
            </w:r>
            <w:r>
              <w:rPr>
                <w:rStyle w:val="IndexLink"/>
                <w:rtl w:val="true"/>
              </w:rPr>
              <w:t>في الحقيقة الشرعية</w:t>
            </w:r>
            <w:r>
              <w:rPr>
                <w:rStyle w:val="IndexLink"/>
                <w:rtl w:val="true"/>
              </w:rPr>
              <w:tab/>
            </w:r>
            <w:r>
              <w:rPr>
                <w:rStyle w:val="IndexLink"/>
              </w:rPr>
              <w:t>124</w:t>
            </w:r>
          </w:hyperlink>
        </w:p>
        <w:p>
          <w:pPr>
            <w:pStyle w:val="Contents2"/>
            <w:tabs>
              <w:tab w:val="clear" w:pos="8743"/>
              <w:tab w:val="right" w:pos="9026" w:leader="dot"/>
            </w:tabs>
            <w:rPr/>
          </w:pPr>
          <w:hyperlink w:anchor="__RefHeading___Toc4563203_2142443653">
            <w:r>
              <w:rPr>
                <w:webHidden/>
                <w:rStyle w:val="IndexLink"/>
                <w:rtl w:val="true"/>
              </w:rPr>
              <w:t xml:space="preserve">الأمر الحادي عشر </w:t>
            </w:r>
            <w:r>
              <w:rPr>
                <w:rStyle w:val="IndexLink"/>
                <w:rtl w:val="true"/>
              </w:rPr>
              <w:t xml:space="preserve">: </w:t>
            </w:r>
            <w:r>
              <w:rPr>
                <w:rStyle w:val="IndexLink"/>
                <w:rtl w:val="true"/>
              </w:rPr>
              <w:t>في المبحث المعروف بالصحيح والأعمّ</w:t>
            </w:r>
            <w:r>
              <w:rPr>
                <w:rStyle w:val="IndexLink"/>
                <w:rtl w:val="true"/>
              </w:rPr>
              <w:tab/>
            </w:r>
            <w:r>
              <w:rPr>
                <w:rStyle w:val="IndexLink"/>
              </w:rPr>
              <w:t>127</w:t>
            </w:r>
          </w:hyperlink>
        </w:p>
        <w:p>
          <w:pPr>
            <w:pStyle w:val="Contents3"/>
            <w:tabs>
              <w:tab w:val="clear" w:pos="8459"/>
              <w:tab w:val="right" w:pos="9026" w:leader="dot"/>
            </w:tabs>
            <w:rPr/>
          </w:pPr>
          <w:hyperlink w:anchor="__RefHeading___Toc4563205_2142443653">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4563207_2142443653">
            <w:r>
              <w:rPr>
                <w:webHidden/>
                <w:rStyle w:val="IndexLink"/>
                <w:rtl w:val="true"/>
              </w:rPr>
              <w:t xml:space="preserve">المقدّمة الاُولى </w:t>
            </w:r>
            <w:r>
              <w:rPr>
                <w:rStyle w:val="IndexLink"/>
                <w:rtl w:val="true"/>
              </w:rPr>
              <w:t xml:space="preserve">: </w:t>
            </w:r>
            <w:r>
              <w:rPr>
                <w:rStyle w:val="IndexLink"/>
                <w:rtl w:val="true"/>
              </w:rPr>
              <w:t>في اختلاف كلماتهم في عقد البحث</w:t>
            </w:r>
            <w:r>
              <w:rPr>
                <w:rStyle w:val="IndexLink"/>
                <w:rtl w:val="true"/>
              </w:rPr>
              <w:tab/>
            </w:r>
            <w:r>
              <w:rPr>
                <w:rStyle w:val="IndexLink"/>
              </w:rPr>
              <w:t>127</w:t>
            </w:r>
          </w:hyperlink>
        </w:p>
        <w:p>
          <w:pPr>
            <w:pStyle w:val="Contents3"/>
            <w:tabs>
              <w:tab w:val="clear" w:pos="8459"/>
              <w:tab w:val="right" w:pos="9026" w:leader="dot"/>
            </w:tabs>
            <w:rPr/>
          </w:pPr>
          <w:hyperlink w:anchor="__RefHeading___Toc4563209_2142443653">
            <w:r>
              <w:rPr>
                <w:webHidden/>
                <w:rStyle w:val="IndexLink"/>
                <w:rtl w:val="true"/>
              </w:rPr>
              <w:t xml:space="preserve">المقدّمة الثانية </w:t>
            </w:r>
            <w:r>
              <w:rPr>
                <w:rStyle w:val="IndexLink"/>
                <w:rtl w:val="true"/>
              </w:rPr>
              <w:t xml:space="preserve">: </w:t>
            </w:r>
            <w:r>
              <w:rPr>
                <w:rStyle w:val="IndexLink"/>
                <w:rtl w:val="true"/>
              </w:rPr>
              <w:t>في الإشكال على التعبير عن المبحث بالصحيح والأعمّ</w:t>
            </w:r>
            <w:r>
              <w:rPr>
                <w:rStyle w:val="IndexLink"/>
                <w:rtl w:val="true"/>
              </w:rPr>
              <w:tab/>
            </w:r>
            <w:r>
              <w:rPr>
                <w:rStyle w:val="IndexLink"/>
              </w:rPr>
              <w:t>128</w:t>
            </w:r>
          </w:hyperlink>
        </w:p>
        <w:p>
          <w:pPr>
            <w:pStyle w:val="Contents3"/>
            <w:tabs>
              <w:tab w:val="clear" w:pos="8459"/>
              <w:tab w:val="right" w:pos="9026" w:leader="dot"/>
            </w:tabs>
            <w:rPr/>
          </w:pPr>
          <w:hyperlink w:anchor="__RefHeading___Toc4563211_2142443653">
            <w:r>
              <w:rPr>
                <w:webHidden/>
                <w:rStyle w:val="IndexLink"/>
                <w:rtl w:val="true"/>
              </w:rPr>
              <w:t xml:space="preserve">المقدّمة الثالثة </w:t>
            </w:r>
            <w:r>
              <w:rPr>
                <w:rStyle w:val="IndexLink"/>
                <w:rtl w:val="true"/>
              </w:rPr>
              <w:t xml:space="preserve">: </w:t>
            </w:r>
            <w:r>
              <w:rPr>
                <w:rStyle w:val="IndexLink"/>
                <w:rtl w:val="true"/>
              </w:rPr>
              <w:t>في تعيين محلّ النزاع</w:t>
            </w:r>
            <w:r>
              <w:rPr>
                <w:rStyle w:val="IndexLink"/>
                <w:rtl w:val="true"/>
              </w:rPr>
              <w:tab/>
            </w:r>
            <w:r>
              <w:rPr>
                <w:rStyle w:val="IndexLink"/>
              </w:rPr>
              <w:t>131</w:t>
            </w:r>
          </w:hyperlink>
        </w:p>
        <w:p>
          <w:pPr>
            <w:pStyle w:val="Contents3"/>
            <w:tabs>
              <w:tab w:val="clear" w:pos="8459"/>
              <w:tab w:val="right" w:pos="9026" w:leader="dot"/>
            </w:tabs>
            <w:rPr/>
          </w:pPr>
          <w:hyperlink w:anchor="__RefHeading___Toc4563213_2142443653">
            <w:r>
              <w:rPr>
                <w:webHidden/>
                <w:rStyle w:val="IndexLink"/>
                <w:rtl w:val="true"/>
              </w:rPr>
              <w:t xml:space="preserve">المقدّمة الرابعة </w:t>
            </w:r>
            <w:r>
              <w:rPr>
                <w:rStyle w:val="IndexLink"/>
                <w:rtl w:val="true"/>
              </w:rPr>
              <w:t xml:space="preserve">: </w:t>
            </w:r>
            <w:r>
              <w:rPr>
                <w:rStyle w:val="IndexLink"/>
                <w:rtl w:val="true"/>
              </w:rPr>
              <w:t>في لزوم تصوير الجامع</w:t>
            </w:r>
            <w:r>
              <w:rPr>
                <w:rStyle w:val="IndexLink"/>
                <w:rtl w:val="true"/>
              </w:rPr>
              <w:tab/>
            </w:r>
            <w:r>
              <w:rPr>
                <w:rStyle w:val="IndexLink"/>
              </w:rPr>
              <w:t>135</w:t>
            </w:r>
          </w:hyperlink>
        </w:p>
        <w:p>
          <w:pPr>
            <w:pStyle w:val="Contents3"/>
            <w:tabs>
              <w:tab w:val="clear" w:pos="8459"/>
              <w:tab w:val="right" w:pos="9026" w:leader="dot"/>
            </w:tabs>
            <w:rPr/>
          </w:pPr>
          <w:hyperlink w:anchor="__RefHeading___Toc4563215_2142443653">
            <w:r>
              <w:rPr>
                <w:webHidden/>
                <w:rStyle w:val="IndexLink"/>
                <w:rtl w:val="true"/>
              </w:rPr>
              <w:t>التحقيق في تصوير الجامع</w:t>
            </w:r>
            <w:r>
              <w:rPr>
                <w:rStyle w:val="IndexLink"/>
                <w:rtl w:val="true"/>
              </w:rPr>
              <w:tab/>
            </w:r>
            <w:r>
              <w:rPr>
                <w:rStyle w:val="IndexLink"/>
              </w:rPr>
              <w:t>142</w:t>
            </w:r>
          </w:hyperlink>
        </w:p>
        <w:p>
          <w:pPr>
            <w:pStyle w:val="Contents3"/>
            <w:tabs>
              <w:tab w:val="clear" w:pos="8459"/>
              <w:tab w:val="right" w:pos="9026" w:leader="dot"/>
            </w:tabs>
            <w:rPr/>
          </w:pPr>
          <w:hyperlink w:anchor="__RefHeading___Toc4563217_2142443653">
            <w:r>
              <w:rPr>
                <w:webHidden/>
                <w:rStyle w:val="IndexLink"/>
                <w:rtl w:val="true"/>
              </w:rPr>
              <w:t xml:space="preserve">المقدّمة الخامسة </w:t>
            </w:r>
            <w:r>
              <w:rPr>
                <w:rStyle w:val="IndexLink"/>
                <w:rtl w:val="true"/>
              </w:rPr>
              <w:t xml:space="preserve">: </w:t>
            </w:r>
            <w:r>
              <w:rPr>
                <w:rStyle w:val="IndexLink"/>
                <w:rtl w:val="true"/>
              </w:rPr>
              <w:t>في الثمرة بين القول بالصحيح والأعمّ</w:t>
            </w:r>
            <w:r>
              <w:rPr>
                <w:rStyle w:val="IndexLink"/>
                <w:rtl w:val="true"/>
              </w:rPr>
              <w:tab/>
            </w:r>
            <w:r>
              <w:rPr>
                <w:rStyle w:val="IndexLink"/>
              </w:rPr>
              <w:t>144</w:t>
            </w:r>
          </w:hyperlink>
        </w:p>
        <w:p>
          <w:pPr>
            <w:pStyle w:val="Contents4"/>
            <w:tabs>
              <w:tab w:val="clear" w:pos="8176"/>
              <w:tab w:val="right" w:pos="9026" w:leader="dot"/>
            </w:tabs>
            <w:rPr/>
          </w:pPr>
          <w:hyperlink w:anchor="__RefHeading___Toc4563219_2142443653">
            <w:r>
              <w:rPr>
                <w:webHidden/>
                <w:rStyle w:val="IndexLink"/>
                <w:rtl w:val="true"/>
              </w:rPr>
              <w:t>الثمرة الاُولى</w:t>
            </w:r>
            <w:r>
              <w:rPr>
                <w:rStyle w:val="IndexLink"/>
                <w:rtl w:val="true"/>
              </w:rPr>
              <w:t xml:space="preserve">: </w:t>
            </w:r>
            <w:r>
              <w:rPr>
                <w:rStyle w:val="IndexLink"/>
                <w:rtl w:val="true"/>
              </w:rPr>
              <w:t>جريان أصل البراءة</w:t>
            </w:r>
            <w:r>
              <w:rPr>
                <w:rStyle w:val="IndexLink"/>
                <w:rtl w:val="true"/>
              </w:rPr>
              <w:tab/>
            </w:r>
            <w:r>
              <w:rPr>
                <w:rStyle w:val="IndexLink"/>
              </w:rPr>
              <w:t>144</w:t>
            </w:r>
          </w:hyperlink>
        </w:p>
        <w:p>
          <w:pPr>
            <w:pStyle w:val="Contents4"/>
            <w:tabs>
              <w:tab w:val="clear" w:pos="8176"/>
              <w:tab w:val="right" w:pos="9026" w:leader="dot"/>
            </w:tabs>
            <w:rPr/>
          </w:pPr>
          <w:hyperlink w:anchor="__RefHeading___Toc4563221_2142443653">
            <w:r>
              <w:rPr>
                <w:webHidden/>
                <w:rStyle w:val="IndexLink"/>
                <w:rtl w:val="true"/>
              </w:rPr>
              <w:t>الثمرة الثانية</w:t>
            </w:r>
            <w:r>
              <w:rPr>
                <w:rStyle w:val="IndexLink"/>
                <w:rtl w:val="true"/>
              </w:rPr>
              <w:t xml:space="preserve">: </w:t>
            </w:r>
            <w:r>
              <w:rPr>
                <w:rStyle w:val="IndexLink"/>
                <w:rtl w:val="true"/>
              </w:rPr>
              <w:t>صحّة التمسّك بالإطلاق على الأعمّ</w:t>
            </w:r>
            <w:r>
              <w:rPr>
                <w:rStyle w:val="IndexLink"/>
                <w:rtl w:val="true"/>
              </w:rPr>
              <w:tab/>
            </w:r>
            <w:r>
              <w:rPr>
                <w:rStyle w:val="IndexLink"/>
              </w:rPr>
              <w:t>147</w:t>
            </w:r>
          </w:hyperlink>
        </w:p>
        <w:p>
          <w:pPr>
            <w:pStyle w:val="Contents3"/>
            <w:tabs>
              <w:tab w:val="clear" w:pos="8459"/>
              <w:tab w:val="right" w:pos="9026" w:leader="dot"/>
            </w:tabs>
            <w:rPr/>
          </w:pPr>
          <w:hyperlink w:anchor="__RefHeading___Toc4563223_2142443653">
            <w:r>
              <w:rPr>
                <w:webHidden/>
                <w:rStyle w:val="IndexLink"/>
                <w:rtl w:val="true"/>
              </w:rPr>
              <w:t>حول أدلّة الصحيحي والأعمّي</w:t>
            </w:r>
            <w:r>
              <w:rPr>
                <w:rStyle w:val="IndexLink"/>
                <w:rtl w:val="true"/>
              </w:rPr>
              <w:tab/>
            </w:r>
            <w:r>
              <w:rPr>
                <w:rStyle w:val="IndexLink"/>
              </w:rPr>
              <w:t>148</w:t>
            </w:r>
          </w:hyperlink>
        </w:p>
        <w:p>
          <w:pPr>
            <w:pStyle w:val="Contents4"/>
            <w:tabs>
              <w:tab w:val="clear" w:pos="8176"/>
              <w:tab w:val="right" w:pos="9026" w:leader="dot"/>
            </w:tabs>
            <w:rPr/>
          </w:pPr>
          <w:hyperlink w:anchor="__RefHeading___Toc4563225_2142443653">
            <w:r>
              <w:rPr>
                <w:webHidden/>
                <w:rStyle w:val="IndexLink"/>
                <w:rtl w:val="true"/>
              </w:rPr>
              <w:t>الإشكال في استدلال الصحيحي بالتبادر</w:t>
            </w:r>
            <w:r>
              <w:rPr>
                <w:rStyle w:val="IndexLink"/>
                <w:rtl w:val="true"/>
              </w:rPr>
              <w:tab/>
            </w:r>
            <w:r>
              <w:rPr>
                <w:rStyle w:val="IndexLink"/>
              </w:rPr>
              <w:t>148</w:t>
            </w:r>
          </w:hyperlink>
        </w:p>
        <w:p>
          <w:pPr>
            <w:pStyle w:val="Contents4"/>
            <w:tabs>
              <w:tab w:val="clear" w:pos="8176"/>
              <w:tab w:val="right" w:pos="9026" w:leader="dot"/>
            </w:tabs>
            <w:rPr/>
          </w:pPr>
          <w:hyperlink w:anchor="__RefHeading___Toc4563227_2142443653">
            <w:r>
              <w:rPr>
                <w:webHidden/>
                <w:rStyle w:val="IndexLink"/>
                <w:rtl w:val="true"/>
              </w:rPr>
              <w:t>الإشكال في استدلال الصحيحي بصحّة السلب</w:t>
            </w:r>
            <w:r>
              <w:rPr>
                <w:rStyle w:val="IndexLink"/>
                <w:rtl w:val="true"/>
              </w:rPr>
              <w:tab/>
            </w:r>
            <w:r>
              <w:rPr>
                <w:rStyle w:val="IndexLink"/>
              </w:rPr>
              <w:t>150</w:t>
            </w:r>
          </w:hyperlink>
        </w:p>
        <w:p>
          <w:pPr>
            <w:pStyle w:val="Contents4"/>
            <w:tabs>
              <w:tab w:val="clear" w:pos="8176"/>
              <w:tab w:val="right" w:pos="9026" w:leader="dot"/>
            </w:tabs>
            <w:rPr/>
          </w:pPr>
          <w:hyperlink w:anchor="__RefHeading___Toc4563229_2142443653">
            <w:r>
              <w:rPr>
                <w:webHidden/>
                <w:rStyle w:val="IndexLink"/>
                <w:rtl w:val="true"/>
              </w:rPr>
              <w:t>دفع الإشكال وتصحيح دعوى التبادر للصحيحي ثبوتاً</w:t>
            </w:r>
            <w:r>
              <w:rPr>
                <w:rStyle w:val="IndexLink"/>
                <w:rtl w:val="true"/>
              </w:rPr>
              <w:tab/>
            </w:r>
            <w:r>
              <w:rPr>
                <w:rStyle w:val="IndexLink"/>
              </w:rPr>
              <w:t>151</w:t>
            </w:r>
          </w:hyperlink>
        </w:p>
        <w:p>
          <w:pPr>
            <w:pStyle w:val="Contents4"/>
            <w:tabs>
              <w:tab w:val="clear" w:pos="8176"/>
              <w:tab w:val="right" w:pos="9026" w:leader="dot"/>
            </w:tabs>
            <w:rPr/>
          </w:pPr>
          <w:hyperlink w:anchor="__RefHeading___Toc4563231_2142443653">
            <w:r>
              <w:rPr>
                <w:webHidden/>
                <w:rStyle w:val="IndexLink"/>
                <w:rtl w:val="true"/>
              </w:rPr>
              <w:t>استدلال الأعمّي بصحّة تعلّق النذر بترك الصلاة في الأمكنة المكروهة</w:t>
            </w:r>
            <w:r>
              <w:rPr>
                <w:rStyle w:val="IndexLink"/>
                <w:rtl w:val="true"/>
              </w:rPr>
              <w:tab/>
            </w:r>
            <w:r>
              <w:rPr>
                <w:rStyle w:val="IndexLink"/>
              </w:rPr>
              <w:t>153</w:t>
            </w:r>
          </w:hyperlink>
        </w:p>
        <w:p>
          <w:pPr>
            <w:pStyle w:val="Contents4"/>
            <w:tabs>
              <w:tab w:val="clear" w:pos="8176"/>
              <w:tab w:val="right" w:pos="9026" w:leader="dot"/>
            </w:tabs>
            <w:rPr/>
          </w:pPr>
          <w:hyperlink w:anchor="__RefHeading___Toc4563233_2142443653">
            <w:r>
              <w:rPr>
                <w:webHidden/>
                <w:rStyle w:val="IndexLink"/>
                <w:rtl w:val="true"/>
              </w:rPr>
              <w:t>القول في المعاملات</w:t>
            </w:r>
            <w:r>
              <w:rPr>
                <w:rStyle w:val="IndexLink"/>
                <w:rtl w:val="true"/>
              </w:rPr>
              <w:tab/>
            </w:r>
            <w:r>
              <w:rPr>
                <w:rStyle w:val="IndexLink"/>
              </w:rPr>
              <w:t>155</w:t>
            </w:r>
          </w:hyperlink>
        </w:p>
        <w:p>
          <w:pPr>
            <w:pStyle w:val="Contents4"/>
            <w:tabs>
              <w:tab w:val="clear" w:pos="8176"/>
              <w:tab w:val="right" w:pos="9026" w:leader="dot"/>
            </w:tabs>
            <w:rPr/>
          </w:pPr>
          <w:hyperlink w:anchor="__RefHeading___Toc4563235_2142443653">
            <w:r>
              <w:rPr>
                <w:webHidden/>
                <w:rStyle w:val="IndexLink"/>
                <w:rtl w:val="true"/>
              </w:rPr>
              <w:t>الأوّل</w:t>
            </w:r>
            <w:r>
              <w:rPr>
                <w:rStyle w:val="IndexLink"/>
                <w:rtl w:val="true"/>
              </w:rPr>
              <w:t xml:space="preserve">: </w:t>
            </w:r>
            <w:r>
              <w:rPr>
                <w:rStyle w:val="IndexLink"/>
                <w:rtl w:val="true"/>
              </w:rPr>
              <w:t>في عدم جريان النزاع بناءً على الوضع للمسبّبات</w:t>
            </w:r>
            <w:r>
              <w:rPr>
                <w:rStyle w:val="IndexLink"/>
                <w:rtl w:val="true"/>
              </w:rPr>
              <w:tab/>
            </w:r>
            <w:r>
              <w:rPr>
                <w:rStyle w:val="IndexLink"/>
              </w:rPr>
              <w:t>155</w:t>
            </w:r>
          </w:hyperlink>
        </w:p>
        <w:p>
          <w:pPr>
            <w:pStyle w:val="Contents4"/>
            <w:tabs>
              <w:tab w:val="clear" w:pos="8176"/>
              <w:tab w:val="right" w:pos="9026" w:leader="dot"/>
            </w:tabs>
            <w:rPr/>
          </w:pPr>
          <w:hyperlink w:anchor="__RefHeading___Toc4563237_2142443653">
            <w:r>
              <w:rPr>
                <w:webHidden/>
                <w:rStyle w:val="IndexLink"/>
                <w:rtl w:val="true"/>
              </w:rPr>
              <w:t>الثاني</w:t>
            </w:r>
            <w:r>
              <w:rPr>
                <w:rStyle w:val="IndexLink"/>
                <w:rtl w:val="true"/>
              </w:rPr>
              <w:t xml:space="preserve">: </w:t>
            </w:r>
            <w:r>
              <w:rPr>
                <w:rStyle w:val="IndexLink"/>
                <w:rtl w:val="true"/>
              </w:rPr>
              <w:t>في اختلاف الشرع والعرف في المقام</w:t>
            </w:r>
            <w:r>
              <w:rPr>
                <w:rStyle w:val="IndexLink"/>
                <w:rtl w:val="true"/>
              </w:rPr>
              <w:tab/>
            </w:r>
            <w:r>
              <w:rPr>
                <w:rStyle w:val="IndexLink"/>
              </w:rPr>
              <w:t>156</w:t>
            </w:r>
          </w:hyperlink>
        </w:p>
        <w:p>
          <w:pPr>
            <w:pStyle w:val="Contents4"/>
            <w:tabs>
              <w:tab w:val="clear" w:pos="8176"/>
              <w:tab w:val="right" w:pos="9026" w:leader="dot"/>
            </w:tabs>
            <w:rPr/>
          </w:pPr>
          <w:hyperlink w:anchor="__RefHeading___Toc4563239_2142443653">
            <w:r>
              <w:rPr>
                <w:webHidden/>
                <w:rStyle w:val="IndexLink"/>
                <w:rtl w:val="true"/>
              </w:rPr>
              <w:t>الثالث</w:t>
            </w:r>
            <w:r>
              <w:rPr>
                <w:rStyle w:val="IndexLink"/>
                <w:rtl w:val="true"/>
              </w:rPr>
              <w:t xml:space="preserve">: </w:t>
            </w:r>
            <w:r>
              <w:rPr>
                <w:rStyle w:val="IndexLink"/>
                <w:rtl w:val="true"/>
              </w:rPr>
              <w:t>في حال التمسّك بالإطلاق لو كانت الأسامي للمسبّبات</w:t>
            </w:r>
            <w:r>
              <w:rPr>
                <w:rStyle w:val="IndexLink"/>
                <w:rtl w:val="true"/>
              </w:rPr>
              <w:tab/>
            </w:r>
            <w:r>
              <w:rPr>
                <w:rStyle w:val="IndexLink"/>
              </w:rPr>
              <w:t>157</w:t>
            </w:r>
          </w:hyperlink>
        </w:p>
        <w:p>
          <w:pPr>
            <w:pStyle w:val="Contents3"/>
            <w:tabs>
              <w:tab w:val="clear" w:pos="8459"/>
              <w:tab w:val="right" w:pos="9026" w:leader="dot"/>
            </w:tabs>
            <w:rPr/>
          </w:pPr>
          <w:hyperlink w:anchor="__RefHeading___Toc4563241_2142443653">
            <w:r>
              <w:rPr>
                <w:webHidden/>
                <w:rStyle w:val="IndexLink"/>
                <w:rtl w:val="true"/>
              </w:rPr>
              <w:t xml:space="preserve">خاتمة </w:t>
            </w:r>
            <w:r>
              <w:rPr>
                <w:rStyle w:val="IndexLink"/>
                <w:rtl w:val="true"/>
              </w:rPr>
              <w:t xml:space="preserve">: </w:t>
            </w:r>
            <w:r>
              <w:rPr>
                <w:rStyle w:val="IndexLink"/>
                <w:rtl w:val="true"/>
              </w:rPr>
              <w:t>في تصوير جزء الفرد في المركّبات الاعتبارية</w:t>
            </w:r>
            <w:r>
              <w:rPr>
                <w:rStyle w:val="IndexLink"/>
                <w:rtl w:val="true"/>
              </w:rPr>
              <w:tab/>
            </w:r>
            <w:r>
              <w:rPr>
                <w:rStyle w:val="IndexLink"/>
              </w:rPr>
              <w:t>160</w:t>
            </w:r>
          </w:hyperlink>
        </w:p>
        <w:p>
          <w:pPr>
            <w:pStyle w:val="Contents2"/>
            <w:tabs>
              <w:tab w:val="clear" w:pos="8743"/>
              <w:tab w:val="right" w:pos="9026" w:leader="dot"/>
            </w:tabs>
            <w:rPr/>
          </w:pPr>
          <w:hyperlink w:anchor="__RefHeading___Toc4563243_2142443653">
            <w:r>
              <w:rPr>
                <w:webHidden/>
                <w:rStyle w:val="IndexLink"/>
                <w:rtl w:val="true"/>
              </w:rPr>
              <w:t xml:space="preserve">الأمر الثاني عشر </w:t>
            </w:r>
            <w:r>
              <w:rPr>
                <w:rStyle w:val="IndexLink"/>
                <w:rtl w:val="true"/>
              </w:rPr>
              <w:t xml:space="preserve">: </w:t>
            </w:r>
            <w:r>
              <w:rPr>
                <w:rStyle w:val="IndexLink"/>
                <w:rtl w:val="true"/>
              </w:rPr>
              <w:t>في الاشتراك</w:t>
            </w:r>
            <w:r>
              <w:rPr>
                <w:rStyle w:val="IndexLink"/>
                <w:rtl w:val="true"/>
              </w:rPr>
              <w:tab/>
            </w:r>
            <w:r>
              <w:rPr>
                <w:rStyle w:val="IndexLink"/>
              </w:rPr>
              <w:t>162</w:t>
            </w:r>
          </w:hyperlink>
        </w:p>
        <w:p>
          <w:pPr>
            <w:pStyle w:val="Contents2"/>
            <w:tabs>
              <w:tab w:val="clear" w:pos="8743"/>
              <w:tab w:val="right" w:pos="9026" w:leader="dot"/>
            </w:tabs>
            <w:rPr/>
          </w:pPr>
          <w:hyperlink w:anchor="__RefHeading___Toc4563245_2142443653">
            <w:r>
              <w:rPr>
                <w:webHidden/>
                <w:rStyle w:val="IndexLink"/>
                <w:rtl w:val="true"/>
              </w:rPr>
              <w:t xml:space="preserve">الأمر الثالث عشر </w:t>
            </w:r>
            <w:r>
              <w:rPr>
                <w:rStyle w:val="IndexLink"/>
                <w:rtl w:val="true"/>
              </w:rPr>
              <w:t xml:space="preserve">: </w:t>
            </w:r>
            <w:r>
              <w:rPr>
                <w:rStyle w:val="IndexLink"/>
                <w:rtl w:val="true"/>
              </w:rPr>
              <w:t>في استعمال اللفظ في أكثر من معنىً</w:t>
            </w:r>
            <w:r>
              <w:rPr>
                <w:rStyle w:val="IndexLink"/>
                <w:rtl w:val="true"/>
              </w:rPr>
              <w:tab/>
            </w:r>
            <w:r>
              <w:rPr>
                <w:rStyle w:val="IndexLink"/>
              </w:rPr>
              <w:t>164</w:t>
            </w:r>
          </w:hyperlink>
        </w:p>
        <w:p>
          <w:pPr>
            <w:pStyle w:val="Contents3"/>
            <w:tabs>
              <w:tab w:val="clear" w:pos="8459"/>
              <w:tab w:val="right" w:pos="9026" w:leader="dot"/>
            </w:tabs>
            <w:rPr/>
          </w:pPr>
          <w:hyperlink w:anchor="__RefHeading___Toc4563247_2142443653">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4563249_2142443653">
            <w:r>
              <w:rPr>
                <w:webHidden/>
                <w:rStyle w:val="IndexLink"/>
                <w:rtl w:val="true"/>
              </w:rPr>
              <w:t>أدلّة الامتناع والجواب عنها</w:t>
            </w:r>
            <w:r>
              <w:rPr>
                <w:rStyle w:val="IndexLink"/>
                <w:rtl w:val="true"/>
              </w:rPr>
              <w:tab/>
            </w:r>
            <w:r>
              <w:rPr>
                <w:rStyle w:val="IndexLink"/>
              </w:rPr>
              <w:t>165</w:t>
            </w:r>
          </w:hyperlink>
        </w:p>
        <w:p>
          <w:pPr>
            <w:pStyle w:val="Contents2"/>
            <w:tabs>
              <w:tab w:val="clear" w:pos="8743"/>
              <w:tab w:val="right" w:pos="9026" w:leader="dot"/>
            </w:tabs>
            <w:rPr/>
          </w:pPr>
          <w:hyperlink w:anchor="__RefHeading___Toc4563251_2142443653">
            <w:r>
              <w:rPr>
                <w:webHidden/>
                <w:rStyle w:val="IndexLink"/>
                <w:rtl w:val="true"/>
              </w:rPr>
              <w:t>الأمر الرابع عشر في المشتقّ</w:t>
            </w:r>
            <w:r>
              <w:rPr>
                <w:rStyle w:val="IndexLink"/>
                <w:rtl w:val="true"/>
              </w:rPr>
              <w:tab/>
            </w:r>
            <w:r>
              <w:rPr>
                <w:rStyle w:val="IndexLink"/>
              </w:rPr>
              <w:t>171</w:t>
            </w:r>
          </w:hyperlink>
        </w:p>
        <w:p>
          <w:pPr>
            <w:pStyle w:val="Contents3"/>
            <w:tabs>
              <w:tab w:val="clear" w:pos="8459"/>
              <w:tab w:val="right" w:pos="9026" w:leader="dot"/>
            </w:tabs>
            <w:rPr/>
          </w:pPr>
          <w:hyperlink w:anchor="__RefHeading___Toc4563253_2142443653">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4563255_2142443653">
            <w:r>
              <w:rPr>
                <w:webHidden/>
                <w:rStyle w:val="IndexLink"/>
                <w:rtl w:val="true"/>
              </w:rPr>
              <w:t>الأوّل</w:t>
            </w:r>
            <w:r>
              <w:rPr>
                <w:rStyle w:val="IndexLink"/>
                <w:rtl w:val="true"/>
              </w:rPr>
              <w:t xml:space="preserve">: </w:t>
            </w:r>
            <w:r>
              <w:rPr>
                <w:rStyle w:val="IndexLink"/>
                <w:rtl w:val="true"/>
              </w:rPr>
              <w:t>في كون النزاع لغوياً</w:t>
            </w:r>
            <w:r>
              <w:rPr>
                <w:rStyle w:val="IndexLink"/>
                <w:rtl w:val="true"/>
              </w:rPr>
              <w:tab/>
            </w:r>
            <w:r>
              <w:rPr>
                <w:rStyle w:val="IndexLink"/>
              </w:rPr>
              <w:t>171</w:t>
            </w:r>
          </w:hyperlink>
        </w:p>
        <w:p>
          <w:pPr>
            <w:pStyle w:val="Contents3"/>
            <w:tabs>
              <w:tab w:val="clear" w:pos="8459"/>
              <w:tab w:val="right" w:pos="9026" w:leader="dot"/>
            </w:tabs>
            <w:rPr/>
          </w:pPr>
          <w:hyperlink w:anchor="__RefHeading___Toc4563257_2142443653">
            <w:r>
              <w:rPr>
                <w:webHidden/>
                <w:rStyle w:val="IndexLink"/>
                <w:rtl w:val="true"/>
              </w:rPr>
              <w:t>الثاني</w:t>
            </w:r>
            <w:r>
              <w:rPr>
                <w:rStyle w:val="IndexLink"/>
                <w:rtl w:val="true"/>
              </w:rPr>
              <w:t xml:space="preserve">: </w:t>
            </w:r>
            <w:r>
              <w:rPr>
                <w:rStyle w:val="IndexLink"/>
                <w:rtl w:val="true"/>
              </w:rPr>
              <w:t>في العناوين الداخلة في محلّ النزاع</w:t>
            </w:r>
            <w:r>
              <w:rPr>
                <w:rStyle w:val="IndexLink"/>
                <w:rtl w:val="true"/>
              </w:rPr>
              <w:tab/>
            </w:r>
            <w:r>
              <w:rPr>
                <w:rStyle w:val="IndexLink"/>
              </w:rPr>
              <w:t>172</w:t>
            </w:r>
          </w:hyperlink>
        </w:p>
        <w:p>
          <w:pPr>
            <w:pStyle w:val="Contents3"/>
            <w:tabs>
              <w:tab w:val="clear" w:pos="8459"/>
              <w:tab w:val="right" w:pos="9026" w:leader="dot"/>
            </w:tabs>
            <w:rPr/>
          </w:pPr>
          <w:hyperlink w:anchor="__RefHeading___Toc4563259_2142443653">
            <w:r>
              <w:rPr>
                <w:webHidden/>
                <w:rStyle w:val="IndexLink"/>
                <w:rtl w:val="true"/>
              </w:rPr>
              <w:t>كلام فخر المحقّقين في الرضاع</w:t>
            </w:r>
            <w:r>
              <w:rPr>
                <w:rStyle w:val="IndexLink"/>
                <w:rtl w:val="true"/>
              </w:rPr>
              <w:tab/>
            </w:r>
            <w:r>
              <w:rPr>
                <w:rStyle w:val="IndexLink"/>
              </w:rPr>
              <w:t>174</w:t>
            </w:r>
          </w:hyperlink>
        </w:p>
        <w:p>
          <w:pPr>
            <w:pStyle w:val="Contents3"/>
            <w:tabs>
              <w:tab w:val="clear" w:pos="8459"/>
              <w:tab w:val="right" w:pos="9026" w:leader="dot"/>
            </w:tabs>
            <w:rPr/>
          </w:pPr>
          <w:hyperlink w:anchor="__RefHeading___Toc4563261_2142443653">
            <w:r>
              <w:rPr>
                <w:webHidden/>
                <w:rStyle w:val="IndexLink"/>
                <w:rtl w:val="true"/>
              </w:rPr>
              <w:t>الثالث</w:t>
            </w:r>
            <w:r>
              <w:rPr>
                <w:rStyle w:val="IndexLink"/>
                <w:rtl w:val="true"/>
              </w:rPr>
              <w:t xml:space="preserve">: </w:t>
            </w:r>
            <w:r>
              <w:rPr>
                <w:rStyle w:val="IndexLink"/>
                <w:rtl w:val="true"/>
              </w:rPr>
              <w:t>في خروج أسماء الزمان عن محطّ البحث</w:t>
            </w:r>
            <w:r>
              <w:rPr>
                <w:rStyle w:val="IndexLink"/>
                <w:rtl w:val="true"/>
              </w:rPr>
              <w:tab/>
            </w:r>
            <w:r>
              <w:rPr>
                <w:rStyle w:val="IndexLink"/>
              </w:rPr>
              <w:t>178</w:t>
            </w:r>
          </w:hyperlink>
        </w:p>
        <w:p>
          <w:pPr>
            <w:pStyle w:val="Contents3"/>
            <w:tabs>
              <w:tab w:val="clear" w:pos="8459"/>
              <w:tab w:val="right" w:pos="9026" w:leader="dot"/>
            </w:tabs>
            <w:rPr/>
          </w:pPr>
          <w:hyperlink w:anchor="__RefHeading___Toc4563263_2142443653">
            <w:r>
              <w:rPr>
                <w:webHidden/>
                <w:rStyle w:val="IndexLink"/>
                <w:rtl w:val="true"/>
              </w:rPr>
              <w:t>الرابع</w:t>
            </w:r>
            <w:r>
              <w:rPr>
                <w:rStyle w:val="IndexLink"/>
                <w:rtl w:val="true"/>
              </w:rPr>
              <w:t xml:space="preserve">: </w:t>
            </w:r>
            <w:r>
              <w:rPr>
                <w:rStyle w:val="IndexLink"/>
                <w:rtl w:val="true"/>
              </w:rPr>
              <w:t>في وضع المشتقّات</w:t>
            </w:r>
            <w:r>
              <w:rPr>
                <w:rStyle w:val="IndexLink"/>
                <w:rtl w:val="true"/>
              </w:rPr>
              <w:tab/>
            </w:r>
            <w:r>
              <w:rPr>
                <w:rStyle w:val="IndexLink"/>
              </w:rPr>
              <w:t>181</w:t>
            </w:r>
          </w:hyperlink>
        </w:p>
        <w:p>
          <w:pPr>
            <w:pStyle w:val="Contents3"/>
            <w:tabs>
              <w:tab w:val="clear" w:pos="8459"/>
              <w:tab w:val="right" w:pos="9026" w:leader="dot"/>
            </w:tabs>
            <w:rPr/>
          </w:pPr>
          <w:hyperlink w:anchor="__RefHeading___Toc4563265_2142443653">
            <w:r>
              <w:rPr>
                <w:webHidden/>
                <w:rStyle w:val="IndexLink"/>
                <w:rtl w:val="true"/>
              </w:rPr>
              <w:t>الاُولى</w:t>
            </w:r>
            <w:r>
              <w:rPr>
                <w:rStyle w:val="IndexLink"/>
                <w:rtl w:val="true"/>
              </w:rPr>
              <w:t xml:space="preserve">: </w:t>
            </w:r>
            <w:r>
              <w:rPr>
                <w:rStyle w:val="IndexLink"/>
                <w:rtl w:val="true"/>
              </w:rPr>
              <w:t>في كيفية وضع المادّة</w:t>
            </w:r>
            <w:r>
              <w:rPr>
                <w:rStyle w:val="IndexLink"/>
                <w:rtl w:val="true"/>
              </w:rPr>
              <w:tab/>
            </w:r>
            <w:r>
              <w:rPr>
                <w:rStyle w:val="IndexLink"/>
              </w:rPr>
              <w:t>181</w:t>
            </w:r>
          </w:hyperlink>
        </w:p>
        <w:p>
          <w:pPr>
            <w:pStyle w:val="Contents3"/>
            <w:tabs>
              <w:tab w:val="clear" w:pos="8459"/>
              <w:tab w:val="right" w:pos="9026" w:leader="dot"/>
            </w:tabs>
            <w:rPr/>
          </w:pPr>
          <w:hyperlink w:anchor="__RefHeading___Toc4563267_2142443653">
            <w:r>
              <w:rPr>
                <w:webHidden/>
                <w:rStyle w:val="IndexLink"/>
                <w:rtl w:val="true"/>
              </w:rPr>
              <w:t>الثانية</w:t>
            </w:r>
            <w:r>
              <w:rPr>
                <w:rStyle w:val="IndexLink"/>
                <w:rtl w:val="true"/>
              </w:rPr>
              <w:t xml:space="preserve">: </w:t>
            </w:r>
            <w:r>
              <w:rPr>
                <w:rStyle w:val="IndexLink"/>
                <w:rtl w:val="true"/>
              </w:rPr>
              <w:t>في وضع الهيئات</w:t>
            </w:r>
            <w:r>
              <w:rPr>
                <w:rStyle w:val="IndexLink"/>
                <w:rtl w:val="true"/>
              </w:rPr>
              <w:tab/>
            </w:r>
            <w:r>
              <w:rPr>
                <w:rStyle w:val="IndexLink"/>
              </w:rPr>
              <w:t>185</w:t>
            </w:r>
          </w:hyperlink>
        </w:p>
        <w:p>
          <w:pPr>
            <w:pStyle w:val="Contents3"/>
            <w:tabs>
              <w:tab w:val="clear" w:pos="8459"/>
              <w:tab w:val="right" w:pos="9026" w:leader="dot"/>
            </w:tabs>
            <w:rPr/>
          </w:pPr>
          <w:hyperlink w:anchor="__RefHeading___Toc4563269_2142443653">
            <w:r>
              <w:rPr>
                <w:webHidden/>
                <w:rStyle w:val="IndexLink"/>
                <w:rtl w:val="true"/>
              </w:rPr>
              <w:t>الثالثة</w:t>
            </w:r>
            <w:r>
              <w:rPr>
                <w:rStyle w:val="IndexLink"/>
                <w:rtl w:val="true"/>
              </w:rPr>
              <w:t xml:space="preserve">: </w:t>
            </w:r>
            <w:r>
              <w:rPr>
                <w:rStyle w:val="IndexLink"/>
                <w:rtl w:val="true"/>
              </w:rPr>
              <w:t>في كيفية دلالة الفعل المضارع على الحال</w:t>
            </w:r>
            <w:r>
              <w:rPr>
                <w:rStyle w:val="IndexLink"/>
                <w:rtl w:val="true"/>
              </w:rPr>
              <w:tab/>
            </w:r>
            <w:r>
              <w:rPr>
                <w:rStyle w:val="IndexLink"/>
              </w:rPr>
              <w:t>187</w:t>
            </w:r>
          </w:hyperlink>
        </w:p>
        <w:p>
          <w:pPr>
            <w:pStyle w:val="Contents3"/>
            <w:tabs>
              <w:tab w:val="clear" w:pos="8459"/>
              <w:tab w:val="right" w:pos="9026" w:leader="dot"/>
            </w:tabs>
            <w:rPr/>
          </w:pPr>
          <w:hyperlink w:anchor="__RefHeading___Toc4563271_2142443653">
            <w:r>
              <w:rPr>
                <w:webHidden/>
                <w:rStyle w:val="IndexLink"/>
                <w:rtl w:val="true"/>
              </w:rPr>
              <w:t>الخامس</w:t>
            </w:r>
            <w:r>
              <w:rPr>
                <w:rStyle w:val="IndexLink"/>
                <w:rtl w:val="true"/>
              </w:rPr>
              <w:t xml:space="preserve">: </w:t>
            </w:r>
            <w:r>
              <w:rPr>
                <w:rStyle w:val="IndexLink"/>
                <w:rtl w:val="true"/>
              </w:rPr>
              <w:t>في اختلاف مبادئ المشتقّات</w:t>
            </w:r>
            <w:r>
              <w:rPr>
                <w:rStyle w:val="IndexLink"/>
                <w:rtl w:val="true"/>
              </w:rPr>
              <w:tab/>
            </w:r>
            <w:r>
              <w:rPr>
                <w:rStyle w:val="IndexLink"/>
              </w:rPr>
              <w:t>188</w:t>
            </w:r>
          </w:hyperlink>
        </w:p>
        <w:p>
          <w:pPr>
            <w:pStyle w:val="Contents3"/>
            <w:tabs>
              <w:tab w:val="clear" w:pos="8459"/>
              <w:tab w:val="right" w:pos="9026" w:leader="dot"/>
            </w:tabs>
            <w:rPr/>
          </w:pPr>
          <w:hyperlink w:anchor="__RefHeading___Toc4563273_2142443653">
            <w:r>
              <w:rPr>
                <w:webHidden/>
                <w:rStyle w:val="IndexLink"/>
                <w:rtl w:val="true"/>
              </w:rPr>
              <w:t>السادس</w:t>
            </w:r>
            <w:r>
              <w:rPr>
                <w:rStyle w:val="IndexLink"/>
                <w:rtl w:val="true"/>
              </w:rPr>
              <w:t xml:space="preserve">: </w:t>
            </w:r>
            <w:r>
              <w:rPr>
                <w:rStyle w:val="IndexLink"/>
                <w:rtl w:val="true"/>
              </w:rPr>
              <w:t>في المراد ب</w:t>
            </w:r>
            <w:r>
              <w:rPr>
                <w:rStyle w:val="IndexLink"/>
                <w:rtl w:val="true"/>
              </w:rPr>
              <w:t>- «</w:t>
            </w:r>
            <w:r>
              <w:rPr>
                <w:rStyle w:val="IndexLink"/>
                <w:rtl w:val="true"/>
              </w:rPr>
              <w:t>الحال</w:t>
            </w:r>
            <w:r>
              <w:rPr>
                <w:rStyle w:val="IndexLink"/>
                <w:rtl w:val="true"/>
              </w:rPr>
              <w:t>»</w:t>
              <w:tab/>
            </w:r>
            <w:r>
              <w:rPr>
                <w:rStyle w:val="IndexLink"/>
              </w:rPr>
              <w:t>190</w:t>
            </w:r>
          </w:hyperlink>
        </w:p>
        <w:p>
          <w:pPr>
            <w:pStyle w:val="Contents3"/>
            <w:tabs>
              <w:tab w:val="clear" w:pos="8459"/>
              <w:tab w:val="right" w:pos="9026" w:leader="dot"/>
            </w:tabs>
            <w:rPr/>
          </w:pPr>
          <w:hyperlink w:anchor="__RefHeading___Toc4563275_2142443653">
            <w:r>
              <w:rPr>
                <w:webHidden/>
                <w:rStyle w:val="IndexLink"/>
                <w:rtl w:val="true"/>
              </w:rPr>
              <w:t>السابع</w:t>
            </w:r>
            <w:r>
              <w:rPr>
                <w:rStyle w:val="IndexLink"/>
                <w:rtl w:val="true"/>
              </w:rPr>
              <w:t xml:space="preserve">: </w:t>
            </w:r>
            <w:r>
              <w:rPr>
                <w:rStyle w:val="IndexLink"/>
                <w:rtl w:val="true"/>
              </w:rPr>
              <w:t>في امتناع تصوير الجامع على الأعمّ</w:t>
            </w:r>
            <w:r>
              <w:rPr>
                <w:rStyle w:val="IndexLink"/>
                <w:rtl w:val="true"/>
              </w:rPr>
              <w:tab/>
            </w:r>
            <w:r>
              <w:rPr>
                <w:rStyle w:val="IndexLink"/>
              </w:rPr>
              <w:t>191</w:t>
            </w:r>
          </w:hyperlink>
        </w:p>
        <w:p>
          <w:pPr>
            <w:pStyle w:val="Contents2"/>
            <w:tabs>
              <w:tab w:val="clear" w:pos="8743"/>
              <w:tab w:val="right" w:pos="9026" w:leader="dot"/>
            </w:tabs>
            <w:rPr/>
          </w:pPr>
          <w:hyperlink w:anchor="__RefHeading___Toc4563277_2142443653">
            <w:r>
              <w:rPr>
                <w:webHidden/>
                <w:rStyle w:val="IndexLink"/>
                <w:rtl w:val="true"/>
              </w:rPr>
              <w:t>التحقيق كون المشتقّ حقيقة في خصوص المتلبّس</w:t>
            </w:r>
            <w:r>
              <w:rPr>
                <w:rStyle w:val="IndexLink"/>
                <w:rtl w:val="true"/>
              </w:rPr>
              <w:tab/>
            </w:r>
            <w:r>
              <w:rPr>
                <w:rStyle w:val="IndexLink"/>
              </w:rPr>
              <w:t>193</w:t>
            </w:r>
          </w:hyperlink>
        </w:p>
        <w:p>
          <w:pPr>
            <w:pStyle w:val="Contents3"/>
            <w:tabs>
              <w:tab w:val="clear" w:pos="8459"/>
              <w:tab w:val="right" w:pos="9026" w:leader="dot"/>
            </w:tabs>
            <w:rPr/>
          </w:pPr>
          <w:hyperlink w:anchor="__RefHeading___Toc4563279_2142443653">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4563281_2142443653">
            <w:r>
              <w:rPr>
                <w:webHidden/>
                <w:rStyle w:val="IndexLink"/>
                <w:rtl w:val="true"/>
              </w:rPr>
              <w:t>نقد الوجوه التي استدلّ بها للأعمّ</w:t>
            </w:r>
            <w:r>
              <w:rPr>
                <w:rStyle w:val="IndexLink"/>
                <w:rtl w:val="true"/>
              </w:rPr>
              <w:tab/>
            </w:r>
            <w:r>
              <w:rPr>
                <w:rStyle w:val="IndexLink"/>
              </w:rPr>
              <w:t>194</w:t>
            </w:r>
          </w:hyperlink>
        </w:p>
        <w:p>
          <w:pPr>
            <w:pStyle w:val="Contents3"/>
            <w:tabs>
              <w:tab w:val="clear" w:pos="8459"/>
              <w:tab w:val="right" w:pos="9026" w:leader="dot"/>
            </w:tabs>
            <w:rPr/>
          </w:pPr>
          <w:hyperlink w:anchor="__RefHeading___Toc4563283_2142443653">
            <w:r>
              <w:rPr>
                <w:webHidden/>
                <w:rStyle w:val="IndexLink"/>
                <w:rtl w:val="true"/>
              </w:rPr>
              <w:t>الأوّل</w:t>
            </w:r>
            <w:r>
              <w:rPr>
                <w:rStyle w:val="IndexLink"/>
                <w:rtl w:val="true"/>
              </w:rPr>
              <w:t xml:space="preserve">: </w:t>
            </w:r>
            <w:r>
              <w:rPr>
                <w:rStyle w:val="IndexLink"/>
                <w:rtl w:val="true"/>
              </w:rPr>
              <w:t>في بساطة المشتقّ وتركيبه</w:t>
            </w:r>
            <w:r>
              <w:rPr>
                <w:rStyle w:val="IndexLink"/>
                <w:rtl w:val="true"/>
              </w:rPr>
              <w:tab/>
            </w:r>
            <w:r>
              <w:rPr>
                <w:rStyle w:val="IndexLink"/>
              </w:rPr>
              <w:t>197</w:t>
            </w:r>
          </w:hyperlink>
        </w:p>
        <w:p>
          <w:pPr>
            <w:pStyle w:val="Contents3"/>
            <w:tabs>
              <w:tab w:val="clear" w:pos="8459"/>
              <w:tab w:val="right" w:pos="9026" w:leader="dot"/>
            </w:tabs>
            <w:rPr/>
          </w:pPr>
          <w:hyperlink w:anchor="__RefHeading___Toc4563285_2142443653">
            <w:r>
              <w:rPr>
                <w:webHidden/>
                <w:rStyle w:val="IndexLink"/>
                <w:rtl w:val="true"/>
              </w:rPr>
              <w:t>تحقيق المقام</w:t>
            </w:r>
            <w:r>
              <w:rPr>
                <w:rStyle w:val="IndexLink"/>
                <w:rtl w:val="true"/>
              </w:rPr>
              <w:tab/>
            </w:r>
            <w:r>
              <w:rPr>
                <w:rStyle w:val="IndexLink"/>
              </w:rPr>
              <w:t>200</w:t>
            </w:r>
          </w:hyperlink>
        </w:p>
        <w:p>
          <w:pPr>
            <w:pStyle w:val="Contents3"/>
            <w:tabs>
              <w:tab w:val="clear" w:pos="8459"/>
              <w:tab w:val="right" w:pos="9026" w:leader="dot"/>
            </w:tabs>
            <w:rPr/>
          </w:pPr>
          <w:hyperlink w:anchor="__RefHeading___Toc4563287_2142443653">
            <w:r>
              <w:rPr>
                <w:webHidden/>
                <w:rStyle w:val="IndexLink"/>
                <w:rtl w:val="true"/>
              </w:rPr>
              <w:t>استدلال المحقّق الشريف على بساطة المشتقّ ونقده</w:t>
            </w:r>
            <w:r>
              <w:rPr>
                <w:rStyle w:val="IndexLink"/>
                <w:rtl w:val="true"/>
              </w:rPr>
              <w:tab/>
            </w:r>
            <w:r>
              <w:rPr>
                <w:rStyle w:val="IndexLink"/>
              </w:rPr>
              <w:t>201</w:t>
            </w:r>
          </w:hyperlink>
        </w:p>
        <w:p>
          <w:pPr>
            <w:pStyle w:val="Contents3"/>
            <w:tabs>
              <w:tab w:val="clear" w:pos="8459"/>
              <w:tab w:val="right" w:pos="9026" w:leader="dot"/>
            </w:tabs>
            <w:rPr/>
          </w:pPr>
          <w:hyperlink w:anchor="__RefHeading___Toc4563289_2142443653">
            <w:r>
              <w:rPr>
                <w:webHidden/>
                <w:rStyle w:val="IndexLink"/>
                <w:rtl w:val="true"/>
              </w:rPr>
              <w:t>الثاني</w:t>
            </w:r>
            <w:r>
              <w:rPr>
                <w:rStyle w:val="IndexLink"/>
                <w:rtl w:val="true"/>
              </w:rPr>
              <w:t xml:space="preserve">: </w:t>
            </w:r>
            <w:r>
              <w:rPr>
                <w:rStyle w:val="IndexLink"/>
                <w:rtl w:val="true"/>
              </w:rPr>
              <w:t>في الفرق بين المشتقّ ومبدئه</w:t>
            </w:r>
            <w:r>
              <w:rPr>
                <w:rStyle w:val="IndexLink"/>
                <w:rtl w:val="true"/>
              </w:rPr>
              <w:tab/>
            </w:r>
            <w:r>
              <w:rPr>
                <w:rStyle w:val="IndexLink"/>
              </w:rPr>
              <w:t>204</w:t>
            </w:r>
          </w:hyperlink>
        </w:p>
        <w:p>
          <w:pPr>
            <w:pStyle w:val="Contents3"/>
            <w:tabs>
              <w:tab w:val="clear" w:pos="8459"/>
              <w:tab w:val="right" w:pos="9026" w:leader="dot"/>
            </w:tabs>
            <w:rPr/>
          </w:pPr>
          <w:hyperlink w:anchor="__RefHeading___Toc4563291_2142443653">
            <w:r>
              <w:rPr>
                <w:webHidden/>
                <w:rStyle w:val="IndexLink"/>
                <w:rtl w:val="true"/>
              </w:rPr>
              <w:t>الثالث</w:t>
            </w:r>
            <w:r>
              <w:rPr>
                <w:rStyle w:val="IndexLink"/>
                <w:rtl w:val="true"/>
              </w:rPr>
              <w:t xml:space="preserve">: </w:t>
            </w:r>
            <w:r>
              <w:rPr>
                <w:rStyle w:val="IndexLink"/>
                <w:rtl w:val="true"/>
              </w:rPr>
              <w:t>كلام صاحب الفصول ومناقشته</w:t>
            </w:r>
            <w:r>
              <w:rPr>
                <w:rStyle w:val="IndexLink"/>
                <w:rtl w:val="true"/>
              </w:rPr>
              <w:tab/>
            </w:r>
            <w:r>
              <w:rPr>
                <w:rStyle w:val="IndexLink"/>
              </w:rPr>
              <w:t>206</w:t>
            </w:r>
          </w:hyperlink>
        </w:p>
        <w:p>
          <w:pPr>
            <w:pStyle w:val="Contents3"/>
            <w:tabs>
              <w:tab w:val="clear" w:pos="8459"/>
              <w:tab w:val="right" w:pos="9026" w:leader="dot"/>
            </w:tabs>
            <w:rPr/>
          </w:pPr>
          <w:hyperlink w:anchor="__RefHeading___Toc4563293_2142443653">
            <w:r>
              <w:rPr>
                <w:webHidden/>
                <w:rStyle w:val="IndexLink"/>
                <w:rtl w:val="true"/>
              </w:rPr>
              <w:t>الرابع</w:t>
            </w:r>
            <w:r>
              <w:rPr>
                <w:rStyle w:val="IndexLink"/>
                <w:rtl w:val="true"/>
              </w:rPr>
              <w:t xml:space="preserve">: </w:t>
            </w:r>
            <w:r>
              <w:rPr>
                <w:rStyle w:val="IndexLink"/>
                <w:rtl w:val="true"/>
              </w:rPr>
              <w:t>في الإشكال على الصفات الجارية على ذاته تعالى</w:t>
            </w:r>
            <w:r>
              <w:rPr>
                <w:rStyle w:val="IndexLink"/>
                <w:rtl w:val="true"/>
              </w:rPr>
              <w:tab/>
            </w:r>
            <w:r>
              <w:rPr>
                <w:rStyle w:val="IndexLink"/>
              </w:rPr>
              <w:t>208</w:t>
            </w:r>
          </w:hyperlink>
        </w:p>
        <w:p>
          <w:pPr>
            <w:pStyle w:val="Contents2"/>
            <w:tabs>
              <w:tab w:val="clear" w:pos="8743"/>
              <w:tab w:val="right" w:pos="9026" w:leader="dot"/>
            </w:tabs>
            <w:rPr/>
          </w:pPr>
          <w:hyperlink w:anchor="__RefHeading___Toc4563295_2142443653">
            <w:r>
              <w:rPr>
                <w:webHidden/>
                <w:rStyle w:val="IndexLink"/>
                <w:rtl w:val="true"/>
              </w:rPr>
              <w:t xml:space="preserve">المقصد الأوّل في الأوامر وفيه فصول </w:t>
            </w:r>
            <w:r>
              <w:rPr>
                <w:rStyle w:val="IndexLink"/>
                <w:rtl w:val="true"/>
              </w:rPr>
              <w:t>:</w:t>
              <w:tab/>
            </w:r>
            <w:r>
              <w:rPr>
                <w:rStyle w:val="IndexLink"/>
              </w:rPr>
              <w:t>212</w:t>
            </w:r>
          </w:hyperlink>
        </w:p>
        <w:p>
          <w:pPr>
            <w:pStyle w:val="Contents3"/>
            <w:tabs>
              <w:tab w:val="clear" w:pos="8459"/>
              <w:tab w:val="right" w:pos="9026" w:leader="dot"/>
            </w:tabs>
            <w:rPr/>
          </w:pPr>
          <w:hyperlink w:anchor="__RefHeading___Toc4563297_2142443653">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4563299_2142443653">
            <w:r>
              <w:rPr>
                <w:webHidden/>
                <w:rStyle w:val="IndexLink"/>
                <w:rtl w:val="true"/>
              </w:rPr>
              <w:t>الفصل الأوّل فيما يتعلّق بمادّة الأمر</w:t>
            </w:r>
            <w:r>
              <w:rPr>
                <w:rStyle w:val="IndexLink"/>
                <w:rtl w:val="true"/>
              </w:rPr>
              <w:tab/>
            </w:r>
            <w:r>
              <w:rPr>
                <w:rStyle w:val="IndexLink"/>
              </w:rPr>
              <w:t>214</w:t>
            </w:r>
          </w:hyperlink>
        </w:p>
        <w:p>
          <w:pPr>
            <w:pStyle w:val="Contents4"/>
            <w:tabs>
              <w:tab w:val="clear" w:pos="8176"/>
              <w:tab w:val="right" w:pos="9026" w:leader="dot"/>
            </w:tabs>
            <w:rPr/>
          </w:pPr>
          <w:hyperlink w:anchor="__RefHeading___Toc4563301_2142443653">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4563303_2142443653">
            <w:r>
              <w:rPr>
                <w:webHidden/>
                <w:rStyle w:val="IndexLink"/>
                <w:rtl w:val="true"/>
              </w:rPr>
              <w:t>الأمر الأوّل</w:t>
            </w:r>
            <w:r>
              <w:rPr>
                <w:rStyle w:val="IndexLink"/>
                <w:rtl w:val="true"/>
              </w:rPr>
              <w:t xml:space="preserve">: </w:t>
            </w:r>
            <w:r>
              <w:rPr>
                <w:rStyle w:val="IndexLink"/>
                <w:rtl w:val="true"/>
              </w:rPr>
              <w:t>في معاني لفظ الأمر</w:t>
            </w:r>
            <w:r>
              <w:rPr>
                <w:rStyle w:val="IndexLink"/>
                <w:rtl w:val="true"/>
              </w:rPr>
              <w:tab/>
            </w:r>
            <w:r>
              <w:rPr>
                <w:rStyle w:val="IndexLink"/>
              </w:rPr>
              <w:t>214</w:t>
            </w:r>
          </w:hyperlink>
        </w:p>
        <w:p>
          <w:pPr>
            <w:pStyle w:val="Contents5"/>
            <w:tabs>
              <w:tab w:val="clear" w:pos="7892"/>
              <w:tab w:val="right" w:pos="9026" w:leader="dot"/>
            </w:tabs>
            <w:rPr/>
          </w:pPr>
          <w:hyperlink w:anchor="__RefHeading___Toc4563305_2142443653">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4563307_2142443653">
            <w:r>
              <w:rPr>
                <w:webHidden/>
                <w:rStyle w:val="IndexLink"/>
                <w:rtl w:val="true"/>
              </w:rPr>
              <w:t>تنبيه</w:t>
            </w:r>
            <w:r>
              <w:rPr>
                <w:rStyle w:val="IndexLink"/>
                <w:rtl w:val="true"/>
              </w:rPr>
              <w:t>:</w:t>
              <w:tab/>
            </w:r>
            <w:r>
              <w:rPr>
                <w:rStyle w:val="IndexLink"/>
              </w:rPr>
              <w:t>215</w:t>
            </w:r>
          </w:hyperlink>
        </w:p>
        <w:p>
          <w:pPr>
            <w:pStyle w:val="Contents4"/>
            <w:tabs>
              <w:tab w:val="clear" w:pos="8176"/>
              <w:tab w:val="right" w:pos="9026" w:leader="dot"/>
            </w:tabs>
            <w:rPr/>
          </w:pPr>
          <w:hyperlink w:anchor="__RefHeading___Toc4563309_2142443653">
            <w:r>
              <w:rPr>
                <w:webHidden/>
                <w:rStyle w:val="IndexLink"/>
                <w:rtl w:val="true"/>
              </w:rPr>
              <w:t>الأمر الثاني</w:t>
            </w:r>
            <w:r>
              <w:rPr>
                <w:rStyle w:val="IndexLink"/>
                <w:rtl w:val="true"/>
              </w:rPr>
              <w:t xml:space="preserve">: </w:t>
            </w:r>
            <w:r>
              <w:rPr>
                <w:rStyle w:val="IndexLink"/>
                <w:rtl w:val="true"/>
              </w:rPr>
              <w:t>في اعتبار العلوّ والاستعلاء في مادّة الأمر</w:t>
            </w:r>
            <w:r>
              <w:rPr>
                <w:rStyle w:val="IndexLink"/>
                <w:rtl w:val="true"/>
              </w:rPr>
              <w:tab/>
            </w:r>
            <w:r>
              <w:rPr>
                <w:rStyle w:val="IndexLink"/>
              </w:rPr>
              <w:t>216</w:t>
            </w:r>
          </w:hyperlink>
        </w:p>
        <w:p>
          <w:pPr>
            <w:pStyle w:val="Contents4"/>
            <w:tabs>
              <w:tab w:val="clear" w:pos="8176"/>
              <w:tab w:val="right" w:pos="9026" w:leader="dot"/>
            </w:tabs>
            <w:rPr/>
          </w:pPr>
          <w:hyperlink w:anchor="__RefHeading___Toc4563311_2142443653">
            <w:r>
              <w:rPr>
                <w:webHidden/>
                <w:rStyle w:val="IndexLink"/>
                <w:rtl w:val="true"/>
              </w:rPr>
              <w:t>الأمر الثالث</w:t>
            </w:r>
            <w:r>
              <w:rPr>
                <w:rStyle w:val="IndexLink"/>
                <w:rtl w:val="true"/>
              </w:rPr>
              <w:t xml:space="preserve">: </w:t>
            </w:r>
            <w:r>
              <w:rPr>
                <w:rStyle w:val="IndexLink"/>
                <w:rtl w:val="true"/>
              </w:rPr>
              <w:t>في دلالة مادّة الأمر على الوجوب</w:t>
            </w:r>
            <w:r>
              <w:rPr>
                <w:rStyle w:val="IndexLink"/>
                <w:rtl w:val="true"/>
              </w:rPr>
              <w:tab/>
            </w:r>
            <w:r>
              <w:rPr>
                <w:rStyle w:val="IndexLink"/>
              </w:rPr>
              <w:t>217</w:t>
            </w:r>
          </w:hyperlink>
        </w:p>
        <w:p>
          <w:pPr>
            <w:pStyle w:val="Contents3"/>
            <w:tabs>
              <w:tab w:val="clear" w:pos="8459"/>
              <w:tab w:val="right" w:pos="9026" w:leader="dot"/>
            </w:tabs>
            <w:rPr/>
          </w:pPr>
          <w:hyperlink w:anchor="__RefHeading___Toc4563313_2142443653">
            <w:r>
              <w:rPr>
                <w:webHidden/>
                <w:rStyle w:val="IndexLink"/>
                <w:rtl w:val="true"/>
              </w:rPr>
              <w:t>الفصل الثاني فيما يتعلّق بصيغة الأمر</w:t>
            </w:r>
            <w:r>
              <w:rPr>
                <w:rStyle w:val="IndexLink"/>
                <w:rtl w:val="true"/>
              </w:rPr>
              <w:tab/>
            </w:r>
            <w:r>
              <w:rPr>
                <w:rStyle w:val="IndexLink"/>
              </w:rPr>
              <w:t>219</w:t>
            </w:r>
          </w:hyperlink>
        </w:p>
        <w:p>
          <w:pPr>
            <w:pStyle w:val="Contents4"/>
            <w:tabs>
              <w:tab w:val="clear" w:pos="8176"/>
              <w:tab w:val="right" w:pos="9026" w:leader="dot"/>
            </w:tabs>
            <w:rPr/>
          </w:pPr>
          <w:hyperlink w:anchor="__RefHeading___Toc4563315_2142443653">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4563317_2142443653">
            <w:r>
              <w:rPr>
                <w:webHidden/>
                <w:rStyle w:val="IndexLink"/>
                <w:rtl w:val="true"/>
              </w:rPr>
              <w:t>المبحث الأوّل</w:t>
            </w:r>
            <w:r>
              <w:rPr>
                <w:rStyle w:val="IndexLink"/>
                <w:rtl w:val="true"/>
              </w:rPr>
              <w:t xml:space="preserve">: </w:t>
            </w:r>
            <w:r>
              <w:rPr>
                <w:rStyle w:val="IndexLink"/>
                <w:rtl w:val="true"/>
              </w:rPr>
              <w:t>في أنّ صيغة الأمر موضوعة للبعث والإغراء</w:t>
            </w:r>
            <w:r>
              <w:rPr>
                <w:rStyle w:val="IndexLink"/>
                <w:rtl w:val="true"/>
              </w:rPr>
              <w:tab/>
            </w:r>
            <w:r>
              <w:rPr>
                <w:rStyle w:val="IndexLink"/>
              </w:rPr>
              <w:t>219</w:t>
            </w:r>
          </w:hyperlink>
        </w:p>
        <w:p>
          <w:pPr>
            <w:pStyle w:val="Contents4"/>
            <w:tabs>
              <w:tab w:val="clear" w:pos="8176"/>
              <w:tab w:val="right" w:pos="9026" w:leader="dot"/>
            </w:tabs>
            <w:rPr/>
          </w:pPr>
          <w:hyperlink w:anchor="__RefHeading___Toc4563319_2142443653">
            <w:r>
              <w:rPr>
                <w:webHidden/>
                <w:rStyle w:val="IndexLink"/>
                <w:rtl w:val="true"/>
              </w:rPr>
              <w:t>المبحث الثاني في المعاني الاُخر لهيئة الأمر</w:t>
            </w:r>
            <w:r>
              <w:rPr>
                <w:rStyle w:val="IndexLink"/>
                <w:rtl w:val="true"/>
              </w:rPr>
              <w:tab/>
            </w:r>
            <w:r>
              <w:rPr>
                <w:rStyle w:val="IndexLink"/>
              </w:rPr>
              <w:t>221</w:t>
            </w:r>
          </w:hyperlink>
        </w:p>
        <w:p>
          <w:pPr>
            <w:pStyle w:val="Contents4"/>
            <w:tabs>
              <w:tab w:val="clear" w:pos="8176"/>
              <w:tab w:val="right" w:pos="9026" w:leader="dot"/>
            </w:tabs>
            <w:rPr/>
          </w:pPr>
          <w:hyperlink w:anchor="__RefHeading___Toc4563321_2142443653">
            <w:r>
              <w:rPr>
                <w:webHidden/>
                <w:rStyle w:val="IndexLink"/>
                <w:rtl w:val="true"/>
              </w:rPr>
              <w:t>المبحث الثالث في أنّ الهيئة تدلّ على الوجوب أم لا؟</w:t>
            </w:r>
            <w:r>
              <w:rPr>
                <w:rStyle w:val="IndexLink"/>
                <w:rtl w:val="true"/>
              </w:rPr>
              <w:tab/>
            </w:r>
            <w:r>
              <w:rPr>
                <w:rStyle w:val="IndexLink"/>
              </w:rPr>
              <w:t>222</w:t>
            </w:r>
          </w:hyperlink>
        </w:p>
        <w:p>
          <w:pPr>
            <w:pStyle w:val="Contents5"/>
            <w:tabs>
              <w:tab w:val="clear" w:pos="7892"/>
              <w:tab w:val="right" w:pos="9026" w:leader="dot"/>
            </w:tabs>
            <w:rPr/>
          </w:pPr>
          <w:hyperlink w:anchor="__RefHeading___Toc4563323_2142443653">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4563325_2142443653">
            <w:r>
              <w:rPr>
                <w:webHidden/>
                <w:rStyle w:val="IndexLink"/>
                <w:rtl w:val="true"/>
              </w:rPr>
              <w:t>منشأ ظهور الصيغة في الوجوب</w:t>
            </w:r>
            <w:r>
              <w:rPr>
                <w:rStyle w:val="IndexLink"/>
                <w:rtl w:val="true"/>
              </w:rPr>
              <w:tab/>
            </w:r>
            <w:r>
              <w:rPr>
                <w:rStyle w:val="IndexLink"/>
              </w:rPr>
              <w:t>225</w:t>
            </w:r>
          </w:hyperlink>
        </w:p>
        <w:p>
          <w:pPr>
            <w:pStyle w:val="Contents5"/>
            <w:tabs>
              <w:tab w:val="clear" w:pos="7892"/>
              <w:tab w:val="right" w:pos="9026" w:leader="dot"/>
            </w:tabs>
            <w:rPr/>
          </w:pPr>
          <w:hyperlink w:anchor="__RefHeading___Toc4563327_2142443653">
            <w:r>
              <w:rPr>
                <w:webHidden/>
                <w:rStyle w:val="IndexLink"/>
                <w:rtl w:val="true"/>
              </w:rPr>
              <w:t>تتميم</w:t>
            </w:r>
            <w:r>
              <w:rPr>
                <w:rStyle w:val="IndexLink"/>
                <w:rtl w:val="true"/>
              </w:rPr>
              <w:t xml:space="preserve">: </w:t>
            </w:r>
            <w:r>
              <w:rPr>
                <w:rStyle w:val="IndexLink"/>
                <w:rtl w:val="true"/>
              </w:rPr>
              <w:t>في الجمل الخبرية المستعملة في مقام الإنشاء</w:t>
            </w:r>
            <w:r>
              <w:rPr>
                <w:rStyle w:val="IndexLink"/>
                <w:rtl w:val="true"/>
              </w:rPr>
              <w:tab/>
            </w:r>
            <w:r>
              <w:rPr>
                <w:rStyle w:val="IndexLink"/>
              </w:rPr>
              <w:t>232</w:t>
            </w:r>
          </w:hyperlink>
        </w:p>
        <w:p>
          <w:pPr>
            <w:pStyle w:val="Contents4"/>
            <w:tabs>
              <w:tab w:val="clear" w:pos="8176"/>
              <w:tab w:val="right" w:pos="9026" w:leader="dot"/>
            </w:tabs>
            <w:rPr/>
          </w:pPr>
          <w:hyperlink w:anchor="__RefHeading___Toc4563329_2142443653">
            <w:r>
              <w:rPr>
                <w:webHidden/>
                <w:rStyle w:val="IndexLink"/>
                <w:rtl w:val="true"/>
              </w:rPr>
              <w:t>المبحث الرابع في التعبّدي والتوصّلي وأنّ مقتضى الأصل ماذا؟</w:t>
            </w:r>
            <w:r>
              <w:rPr>
                <w:rStyle w:val="IndexLink"/>
                <w:rtl w:val="true"/>
              </w:rPr>
              <w:tab/>
            </w:r>
            <w:r>
              <w:rPr>
                <w:rStyle w:val="IndexLink"/>
              </w:rPr>
              <w:t>233</w:t>
            </w:r>
          </w:hyperlink>
        </w:p>
        <w:p>
          <w:pPr>
            <w:pStyle w:val="Contents5"/>
            <w:tabs>
              <w:tab w:val="clear" w:pos="7892"/>
              <w:tab w:val="right" w:pos="9026" w:leader="dot"/>
            </w:tabs>
            <w:rPr/>
          </w:pPr>
          <w:hyperlink w:anchor="__RefHeading___Toc4563331_2142443653">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4563333_2142443653">
            <w:r>
              <w:rPr>
                <w:webHidden/>
                <w:rStyle w:val="IndexLink"/>
                <w:rtl w:val="true"/>
              </w:rPr>
              <w:t>الأوّل</w:t>
            </w:r>
            <w:r>
              <w:rPr>
                <w:rStyle w:val="IndexLink"/>
                <w:rtl w:val="true"/>
              </w:rPr>
              <w:t xml:space="preserve">: </w:t>
            </w:r>
            <w:r>
              <w:rPr>
                <w:rStyle w:val="IndexLink"/>
                <w:rtl w:val="true"/>
              </w:rPr>
              <w:t>في معنى التعبّدية والتوصّلية</w:t>
            </w:r>
            <w:r>
              <w:rPr>
                <w:rStyle w:val="IndexLink"/>
                <w:rtl w:val="true"/>
              </w:rPr>
              <w:t>:</w:t>
              <w:tab/>
            </w:r>
            <w:r>
              <w:rPr>
                <w:rStyle w:val="IndexLink"/>
              </w:rPr>
              <w:t>233</w:t>
            </w:r>
          </w:hyperlink>
        </w:p>
        <w:p>
          <w:pPr>
            <w:pStyle w:val="Contents5"/>
            <w:tabs>
              <w:tab w:val="clear" w:pos="7892"/>
              <w:tab w:val="right" w:pos="9026" w:leader="dot"/>
            </w:tabs>
            <w:rPr/>
          </w:pPr>
          <w:hyperlink w:anchor="__RefHeading___Toc4563335_2142443653">
            <w:r>
              <w:rPr>
                <w:webHidden/>
                <w:rStyle w:val="IndexLink"/>
                <w:rtl w:val="true"/>
              </w:rPr>
              <w:t>الثاني</w:t>
            </w:r>
            <w:r>
              <w:rPr>
                <w:rStyle w:val="IndexLink"/>
                <w:rtl w:val="true"/>
              </w:rPr>
              <w:t xml:space="preserve">: </w:t>
            </w:r>
            <w:r>
              <w:rPr>
                <w:rStyle w:val="IndexLink"/>
                <w:rtl w:val="true"/>
              </w:rPr>
              <w:t>في إمكان أخذ قصد الأمر في المتعلّق</w:t>
            </w:r>
            <w:r>
              <w:rPr>
                <w:rStyle w:val="IndexLink"/>
                <w:rtl w:val="true"/>
              </w:rPr>
              <w:tab/>
            </w:r>
            <w:r>
              <w:rPr>
                <w:rStyle w:val="IndexLink"/>
              </w:rPr>
              <w:t>234</w:t>
            </w:r>
          </w:hyperlink>
        </w:p>
        <w:p>
          <w:pPr>
            <w:pStyle w:val="Contents6"/>
            <w:tabs>
              <w:tab w:val="clear" w:pos="7609"/>
              <w:tab w:val="right" w:pos="9026" w:leader="dot"/>
            </w:tabs>
            <w:rPr/>
          </w:pPr>
          <w:hyperlink w:anchor="__RefHeading___Toc4563337_2142443653">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4563339_2142443653">
            <w:r>
              <w:rPr>
                <w:webHidden/>
                <w:rStyle w:val="IndexLink"/>
                <w:rtl w:val="true"/>
              </w:rPr>
              <w:t>فيما استدلّ به على امتناع الأخذ امتناعاً ذاتياً</w:t>
            </w:r>
            <w:r>
              <w:rPr>
                <w:rStyle w:val="IndexLink"/>
                <w:rtl w:val="true"/>
              </w:rPr>
              <w:tab/>
            </w:r>
            <w:r>
              <w:rPr>
                <w:rStyle w:val="IndexLink"/>
              </w:rPr>
              <w:t>235</w:t>
            </w:r>
          </w:hyperlink>
        </w:p>
        <w:p>
          <w:pPr>
            <w:pStyle w:val="Contents6"/>
            <w:tabs>
              <w:tab w:val="clear" w:pos="7609"/>
              <w:tab w:val="right" w:pos="9026" w:leader="dot"/>
            </w:tabs>
            <w:rPr/>
          </w:pPr>
          <w:hyperlink w:anchor="__RefHeading___Toc4563341_2142443653">
            <w:r>
              <w:rPr>
                <w:webHidden/>
                <w:rStyle w:val="IndexLink"/>
                <w:rtl w:val="true"/>
              </w:rPr>
              <w:t>فيما استدلّ به على امتناع الأخذ امتناعاً بالغير</w:t>
            </w:r>
            <w:r>
              <w:rPr>
                <w:rStyle w:val="IndexLink"/>
                <w:rtl w:val="true"/>
              </w:rPr>
              <w:tab/>
            </w:r>
            <w:r>
              <w:rPr>
                <w:rStyle w:val="IndexLink"/>
              </w:rPr>
              <w:t>239</w:t>
            </w:r>
          </w:hyperlink>
        </w:p>
        <w:p>
          <w:pPr>
            <w:pStyle w:val="Contents6"/>
            <w:tabs>
              <w:tab w:val="clear" w:pos="7609"/>
              <w:tab w:val="right" w:pos="9026" w:leader="dot"/>
            </w:tabs>
            <w:rPr/>
          </w:pPr>
          <w:hyperlink w:anchor="__RefHeading___Toc4563343_2142443653">
            <w:r>
              <w:rPr>
                <w:webHidden/>
                <w:rStyle w:val="IndexLink"/>
                <w:rtl w:val="true"/>
              </w:rPr>
              <w:t>في تصحيح أخذ قصد الأمر بأمرين</w:t>
            </w:r>
            <w:r>
              <w:rPr>
                <w:rStyle w:val="IndexLink"/>
                <w:rtl w:val="true"/>
              </w:rPr>
              <w:tab/>
            </w:r>
            <w:r>
              <w:rPr>
                <w:rStyle w:val="IndexLink"/>
              </w:rPr>
              <w:t>243</w:t>
            </w:r>
          </w:hyperlink>
        </w:p>
        <w:p>
          <w:pPr>
            <w:pStyle w:val="Contents6"/>
            <w:tabs>
              <w:tab w:val="clear" w:pos="7609"/>
              <w:tab w:val="right" w:pos="9026" w:leader="dot"/>
            </w:tabs>
            <w:rPr/>
          </w:pPr>
          <w:hyperlink w:anchor="__RefHeading___Toc4563345_2142443653">
            <w:r>
              <w:rPr>
                <w:webHidden/>
                <w:rStyle w:val="IndexLink"/>
                <w:rtl w:val="true"/>
              </w:rPr>
              <w:t>تتميم</w:t>
            </w:r>
            <w:r>
              <w:rPr>
                <w:rStyle w:val="IndexLink"/>
                <w:rtl w:val="true"/>
              </w:rPr>
              <w:t xml:space="preserve">: </w:t>
            </w:r>
            <w:r>
              <w:rPr>
                <w:rStyle w:val="IndexLink"/>
                <w:rtl w:val="true"/>
              </w:rPr>
              <w:t>في إمكان أخذ قصد المصلحة ونحوها في المتعلّق</w:t>
            </w:r>
            <w:r>
              <w:rPr>
                <w:rStyle w:val="IndexLink"/>
                <w:rtl w:val="true"/>
              </w:rPr>
              <w:tab/>
            </w:r>
            <w:r>
              <w:rPr>
                <w:rStyle w:val="IndexLink"/>
              </w:rPr>
              <w:t>247</w:t>
            </w:r>
          </w:hyperlink>
        </w:p>
        <w:p>
          <w:pPr>
            <w:pStyle w:val="Contents5"/>
            <w:tabs>
              <w:tab w:val="clear" w:pos="7892"/>
              <w:tab w:val="right" w:pos="9026" w:leader="dot"/>
            </w:tabs>
            <w:rPr/>
          </w:pPr>
          <w:hyperlink w:anchor="__RefHeading___Toc4563347_2142443653">
            <w:r>
              <w:rPr>
                <w:webHidden/>
                <w:rStyle w:val="IndexLink"/>
                <w:rtl w:val="true"/>
              </w:rPr>
              <w:t>الثالث</w:t>
            </w:r>
            <w:r>
              <w:rPr>
                <w:rStyle w:val="IndexLink"/>
                <w:rtl w:val="true"/>
              </w:rPr>
              <w:t xml:space="preserve">: </w:t>
            </w:r>
            <w:r>
              <w:rPr>
                <w:rStyle w:val="IndexLink"/>
                <w:rtl w:val="true"/>
              </w:rPr>
              <w:t>في مقتضى الأصل اللفظي في المقام</w:t>
            </w:r>
            <w:r>
              <w:rPr>
                <w:rStyle w:val="IndexLink"/>
                <w:rtl w:val="true"/>
              </w:rPr>
              <w:tab/>
            </w:r>
            <w:r>
              <w:rPr>
                <w:rStyle w:val="IndexLink"/>
              </w:rPr>
              <w:t>249</w:t>
            </w:r>
          </w:hyperlink>
        </w:p>
        <w:p>
          <w:pPr>
            <w:pStyle w:val="Contents6"/>
            <w:tabs>
              <w:tab w:val="clear" w:pos="7609"/>
              <w:tab w:val="right" w:pos="9026" w:leader="dot"/>
            </w:tabs>
            <w:rPr/>
          </w:pPr>
          <w:hyperlink w:anchor="__RefHeading___Toc4563349_2142443653">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4563351_2142443653">
            <w:r>
              <w:rPr>
                <w:webHidden/>
                <w:rStyle w:val="IndexLink"/>
                <w:rtl w:val="true"/>
              </w:rPr>
              <w:t>في كلام شيخنا العلاّمة أعلى الله مقامه</w:t>
            </w:r>
            <w:r>
              <w:rPr>
                <w:rStyle w:val="IndexLink"/>
                <w:rtl w:val="true"/>
              </w:rPr>
              <w:tab/>
            </w:r>
            <w:r>
              <w:rPr>
                <w:rStyle w:val="IndexLink"/>
              </w:rPr>
              <w:t>249</w:t>
            </w:r>
          </w:hyperlink>
        </w:p>
        <w:p>
          <w:pPr>
            <w:pStyle w:val="Contents5"/>
            <w:tabs>
              <w:tab w:val="clear" w:pos="7892"/>
              <w:tab w:val="right" w:pos="9026" w:leader="dot"/>
            </w:tabs>
            <w:rPr/>
          </w:pPr>
          <w:hyperlink w:anchor="__RefHeading___Toc4563353_2142443653">
            <w:r>
              <w:rPr>
                <w:webHidden/>
                <w:rStyle w:val="IndexLink"/>
                <w:rtl w:val="true"/>
              </w:rPr>
              <w:t>الرابع</w:t>
            </w:r>
            <w:r>
              <w:rPr>
                <w:rStyle w:val="IndexLink"/>
                <w:rtl w:val="true"/>
              </w:rPr>
              <w:t xml:space="preserve">: </w:t>
            </w:r>
            <w:r>
              <w:rPr>
                <w:rStyle w:val="IndexLink"/>
                <w:rtl w:val="true"/>
              </w:rPr>
              <w:t>في تحرير الأصل العملي</w:t>
            </w:r>
            <w:r>
              <w:rPr>
                <w:rStyle w:val="IndexLink"/>
                <w:rtl w:val="true"/>
              </w:rPr>
              <w:tab/>
            </w:r>
            <w:r>
              <w:rPr>
                <w:rStyle w:val="IndexLink"/>
              </w:rPr>
              <w:t>252</w:t>
            </w:r>
          </w:hyperlink>
        </w:p>
        <w:p>
          <w:pPr>
            <w:pStyle w:val="Contents4"/>
            <w:tabs>
              <w:tab w:val="clear" w:pos="8176"/>
              <w:tab w:val="right" w:pos="9026" w:leader="dot"/>
            </w:tabs>
            <w:rPr/>
          </w:pPr>
          <w:hyperlink w:anchor="__RefHeading___Toc4563355_2142443653">
            <w:r>
              <w:rPr>
                <w:webHidden/>
                <w:rStyle w:val="IndexLink"/>
                <w:rtl w:val="true"/>
              </w:rPr>
              <w:t>المبحث الخامس في أصالة النفسية والعينية والتعيينية</w:t>
            </w:r>
            <w:r>
              <w:rPr>
                <w:rStyle w:val="IndexLink"/>
                <w:rtl w:val="true"/>
              </w:rPr>
              <w:tab/>
            </w:r>
            <w:r>
              <w:rPr>
                <w:rStyle w:val="IndexLink"/>
              </w:rPr>
              <w:t>256</w:t>
            </w:r>
          </w:hyperlink>
        </w:p>
        <w:p>
          <w:pPr>
            <w:pStyle w:val="Contents4"/>
            <w:tabs>
              <w:tab w:val="clear" w:pos="8176"/>
              <w:tab w:val="right" w:pos="9026" w:leader="dot"/>
            </w:tabs>
            <w:rPr/>
          </w:pPr>
          <w:hyperlink w:anchor="__RefHeading___Toc4563357_2142443653">
            <w:r>
              <w:rPr>
                <w:webHidden/>
                <w:rStyle w:val="IndexLink"/>
                <w:rtl w:val="true"/>
              </w:rPr>
              <w:t>المبحث السادس في المرّة والتكرار</w:t>
            </w:r>
            <w:r>
              <w:rPr>
                <w:rStyle w:val="IndexLink"/>
                <w:rtl w:val="true"/>
              </w:rPr>
              <w:tab/>
            </w:r>
            <w:r>
              <w:rPr>
                <w:rStyle w:val="IndexLink"/>
              </w:rPr>
              <w:t>259</w:t>
            </w:r>
          </w:hyperlink>
        </w:p>
        <w:p>
          <w:pPr>
            <w:pStyle w:val="Contents5"/>
            <w:tabs>
              <w:tab w:val="clear" w:pos="7892"/>
              <w:tab w:val="right" w:pos="9026" w:leader="dot"/>
            </w:tabs>
            <w:rPr/>
          </w:pPr>
          <w:hyperlink w:anchor="__RefHeading___Toc4563359_2142443653">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4563361_2142443653">
            <w:r>
              <w:rPr>
                <w:webHidden/>
                <w:rStyle w:val="IndexLink"/>
                <w:rtl w:val="true"/>
              </w:rPr>
              <w:t>الأوّل</w:t>
            </w:r>
            <w:r>
              <w:rPr>
                <w:rStyle w:val="IndexLink"/>
                <w:rtl w:val="true"/>
              </w:rPr>
              <w:t xml:space="preserve">: </w:t>
            </w:r>
            <w:r>
              <w:rPr>
                <w:rStyle w:val="IndexLink"/>
                <w:rtl w:val="true"/>
              </w:rPr>
              <w:t>في تحرير محلّ النزاع</w:t>
            </w:r>
            <w:r>
              <w:rPr>
                <w:rStyle w:val="IndexLink"/>
                <w:rtl w:val="true"/>
              </w:rPr>
              <w:tab/>
            </w:r>
            <w:r>
              <w:rPr>
                <w:rStyle w:val="IndexLink"/>
              </w:rPr>
              <w:t>259</w:t>
            </w:r>
          </w:hyperlink>
        </w:p>
        <w:p>
          <w:pPr>
            <w:pStyle w:val="Contents5"/>
            <w:tabs>
              <w:tab w:val="clear" w:pos="7892"/>
              <w:tab w:val="right" w:pos="9026" w:leader="dot"/>
            </w:tabs>
            <w:rPr/>
          </w:pPr>
          <w:hyperlink w:anchor="__RefHeading___Toc4563363_2142443653">
            <w:r>
              <w:rPr>
                <w:webHidden/>
                <w:rStyle w:val="IndexLink"/>
                <w:rtl w:val="true"/>
              </w:rPr>
              <w:t>الثاني</w:t>
            </w:r>
            <w:r>
              <w:rPr>
                <w:rStyle w:val="IndexLink"/>
                <w:rtl w:val="true"/>
              </w:rPr>
              <w:t xml:space="preserve">: </w:t>
            </w:r>
            <w:r>
              <w:rPr>
                <w:rStyle w:val="IndexLink"/>
                <w:rtl w:val="true"/>
              </w:rPr>
              <w:t>في تعيين المراد من المرّة والتكرار</w:t>
            </w:r>
            <w:r>
              <w:rPr>
                <w:rStyle w:val="IndexLink"/>
                <w:rtl w:val="true"/>
              </w:rPr>
              <w:tab/>
            </w:r>
            <w:r>
              <w:rPr>
                <w:rStyle w:val="IndexLink"/>
              </w:rPr>
              <w:t>261</w:t>
            </w:r>
          </w:hyperlink>
        </w:p>
        <w:p>
          <w:pPr>
            <w:pStyle w:val="Contents5"/>
            <w:tabs>
              <w:tab w:val="clear" w:pos="7892"/>
              <w:tab w:val="right" w:pos="9026" w:leader="dot"/>
            </w:tabs>
            <w:rPr/>
          </w:pPr>
          <w:hyperlink w:anchor="__RefHeading___Toc4563365_2142443653">
            <w:r>
              <w:rPr>
                <w:webHidden/>
                <w:rStyle w:val="IndexLink"/>
                <w:rtl w:val="true"/>
              </w:rPr>
              <w:t>الثالث</w:t>
            </w:r>
            <w:r>
              <w:rPr>
                <w:rStyle w:val="IndexLink"/>
                <w:rtl w:val="true"/>
              </w:rPr>
              <w:t xml:space="preserve">: </w:t>
            </w:r>
            <w:r>
              <w:rPr>
                <w:rStyle w:val="IndexLink"/>
                <w:rtl w:val="true"/>
              </w:rPr>
              <w:t>في وحدة الامتثال وتعدّده عند إتيان الأفراد العرضية دفعة</w:t>
            </w:r>
            <w:r>
              <w:rPr>
                <w:rStyle w:val="IndexLink"/>
                <w:rtl w:val="true"/>
              </w:rPr>
              <w:tab/>
            </w:r>
            <w:r>
              <w:rPr>
                <w:rStyle w:val="IndexLink"/>
              </w:rPr>
              <w:t>263</w:t>
            </w:r>
          </w:hyperlink>
        </w:p>
        <w:p>
          <w:pPr>
            <w:pStyle w:val="Contents5"/>
            <w:tabs>
              <w:tab w:val="clear" w:pos="7892"/>
              <w:tab w:val="right" w:pos="9026" w:leader="dot"/>
            </w:tabs>
            <w:rPr/>
          </w:pPr>
          <w:hyperlink w:anchor="__RefHeading___Toc4563367_2142443653">
            <w:r>
              <w:rPr>
                <w:webHidden/>
                <w:rStyle w:val="IndexLink"/>
                <w:rtl w:val="true"/>
              </w:rPr>
              <w:t>التحقيق</w:t>
            </w:r>
            <w:r>
              <w:rPr>
                <w:rStyle w:val="IndexLink"/>
                <w:rtl w:val="true"/>
              </w:rPr>
              <w:t xml:space="preserve">: </w:t>
            </w:r>
            <w:r>
              <w:rPr>
                <w:rStyle w:val="IndexLink"/>
                <w:rtl w:val="true"/>
              </w:rPr>
              <w:t>عدم دلالة الأمر على المرّة والتكرار</w:t>
            </w:r>
            <w:r>
              <w:rPr>
                <w:rStyle w:val="IndexLink"/>
                <w:rtl w:val="true"/>
              </w:rPr>
              <w:tab/>
            </w:r>
            <w:r>
              <w:rPr>
                <w:rStyle w:val="IndexLink"/>
              </w:rPr>
              <w:t>265</w:t>
            </w:r>
          </w:hyperlink>
        </w:p>
        <w:p>
          <w:pPr>
            <w:pStyle w:val="Contents4"/>
            <w:tabs>
              <w:tab w:val="clear" w:pos="8176"/>
              <w:tab w:val="right" w:pos="9026" w:leader="dot"/>
            </w:tabs>
            <w:rPr/>
          </w:pPr>
          <w:hyperlink w:anchor="__RefHeading___Toc4563369_2142443653">
            <w:r>
              <w:rPr>
                <w:webHidden/>
                <w:rStyle w:val="IndexLink"/>
                <w:rtl w:val="true"/>
              </w:rPr>
              <w:t>المبحث السابع في الفور والتراخي</w:t>
            </w:r>
            <w:r>
              <w:rPr>
                <w:rStyle w:val="IndexLink"/>
                <w:rtl w:val="true"/>
              </w:rPr>
              <w:tab/>
            </w:r>
            <w:r>
              <w:rPr>
                <w:rStyle w:val="IndexLink"/>
              </w:rPr>
              <w:t>266</w:t>
            </w:r>
          </w:hyperlink>
        </w:p>
        <w:p>
          <w:pPr>
            <w:pStyle w:val="Contents5"/>
            <w:tabs>
              <w:tab w:val="clear" w:pos="7892"/>
              <w:tab w:val="right" w:pos="9026" w:leader="dot"/>
            </w:tabs>
            <w:rPr/>
          </w:pPr>
          <w:hyperlink w:anchor="__RefHeading___Toc4563371_2142443653">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4563373_2142443653">
            <w:r>
              <w:rPr>
                <w:webHidden/>
                <w:rStyle w:val="IndexLink"/>
                <w:rtl w:val="true"/>
              </w:rPr>
              <w:t>في استدلال العلاّمة الحائري على الفورية</w:t>
            </w:r>
            <w:r>
              <w:rPr>
                <w:rStyle w:val="IndexLink"/>
                <w:rtl w:val="true"/>
              </w:rPr>
              <w:tab/>
            </w:r>
            <w:r>
              <w:rPr>
                <w:rStyle w:val="IndexLink"/>
              </w:rPr>
              <w:t>266</w:t>
            </w:r>
          </w:hyperlink>
        </w:p>
        <w:p>
          <w:pPr>
            <w:pStyle w:val="Contents5"/>
            <w:tabs>
              <w:tab w:val="clear" w:pos="7892"/>
              <w:tab w:val="right" w:pos="9026" w:leader="dot"/>
            </w:tabs>
            <w:rPr/>
          </w:pPr>
          <w:hyperlink w:anchor="__RefHeading___Toc4563375_2142443653">
            <w:r>
              <w:rPr>
                <w:webHidden/>
                <w:rStyle w:val="IndexLink"/>
                <w:rtl w:val="true"/>
              </w:rPr>
              <w:t>في الاستدلال على الفور بالآيتين الكريمتين</w:t>
            </w:r>
            <w:r>
              <w:rPr>
                <w:rStyle w:val="IndexLink"/>
                <w:rtl w:val="true"/>
              </w:rPr>
              <w:tab/>
            </w:r>
            <w:r>
              <w:rPr>
                <w:rStyle w:val="IndexLink"/>
              </w:rPr>
              <w:t>267</w:t>
            </w:r>
          </w:hyperlink>
        </w:p>
        <w:p>
          <w:pPr>
            <w:pStyle w:val="Contents3"/>
            <w:tabs>
              <w:tab w:val="clear" w:pos="8459"/>
              <w:tab w:val="right" w:pos="9026" w:leader="dot"/>
            </w:tabs>
            <w:rPr/>
          </w:pPr>
          <w:hyperlink w:anchor="__RefHeading___Toc4563377_2142443653">
            <w:r>
              <w:rPr>
                <w:webHidden/>
                <w:rStyle w:val="IndexLink"/>
                <w:rtl w:val="true"/>
              </w:rPr>
              <w:t>الفصل الثالث في الإجزاء</w:t>
            </w:r>
            <w:r>
              <w:rPr>
                <w:rStyle w:val="IndexLink"/>
                <w:rtl w:val="true"/>
              </w:rPr>
              <w:tab/>
            </w:r>
            <w:r>
              <w:rPr>
                <w:rStyle w:val="IndexLink"/>
              </w:rPr>
              <w:t>270</w:t>
            </w:r>
          </w:hyperlink>
        </w:p>
        <w:p>
          <w:pPr>
            <w:pStyle w:val="Contents4"/>
            <w:tabs>
              <w:tab w:val="clear" w:pos="8176"/>
              <w:tab w:val="right" w:pos="9026" w:leader="dot"/>
            </w:tabs>
            <w:rPr/>
          </w:pPr>
          <w:hyperlink w:anchor="__RefHeading___Toc4563379_2142443653">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4563381_2142443653">
            <w:r>
              <w:rPr>
                <w:webHidden/>
                <w:rStyle w:val="IndexLink"/>
                <w:rtl w:val="true"/>
              </w:rPr>
              <w:t>المقدّمة الاُولى</w:t>
            </w:r>
            <w:r>
              <w:rPr>
                <w:rStyle w:val="IndexLink"/>
                <w:rtl w:val="true"/>
              </w:rPr>
              <w:t xml:space="preserve">: </w:t>
            </w:r>
            <w:r>
              <w:rPr>
                <w:rStyle w:val="IndexLink"/>
                <w:rtl w:val="true"/>
              </w:rPr>
              <w:t>في تحرير محلّ النزاع</w:t>
            </w:r>
            <w:r>
              <w:rPr>
                <w:rStyle w:val="IndexLink"/>
                <w:rtl w:val="true"/>
              </w:rPr>
              <w:tab/>
            </w:r>
            <w:r>
              <w:rPr>
                <w:rStyle w:val="IndexLink"/>
              </w:rPr>
              <w:t>270</w:t>
            </w:r>
          </w:hyperlink>
        </w:p>
        <w:p>
          <w:pPr>
            <w:pStyle w:val="Contents4"/>
            <w:tabs>
              <w:tab w:val="clear" w:pos="8176"/>
              <w:tab w:val="right" w:pos="9026" w:leader="dot"/>
            </w:tabs>
            <w:rPr/>
          </w:pPr>
          <w:hyperlink w:anchor="__RefHeading___Toc4563383_2142443653">
            <w:r>
              <w:rPr>
                <w:webHidden/>
                <w:rStyle w:val="IndexLink"/>
                <w:rtl w:val="true"/>
              </w:rPr>
              <w:t>المقدّمة الثانية</w:t>
            </w:r>
            <w:r>
              <w:rPr>
                <w:rStyle w:val="IndexLink"/>
                <w:rtl w:val="true"/>
              </w:rPr>
              <w:t xml:space="preserve">: </w:t>
            </w:r>
            <w:r>
              <w:rPr>
                <w:rStyle w:val="IndexLink"/>
                <w:rtl w:val="true"/>
              </w:rPr>
              <w:t>في المراد من الاقتضاء</w:t>
            </w:r>
            <w:r>
              <w:rPr>
                <w:rStyle w:val="IndexLink"/>
                <w:rtl w:val="true"/>
              </w:rPr>
              <w:tab/>
            </w:r>
            <w:r>
              <w:rPr>
                <w:rStyle w:val="IndexLink"/>
              </w:rPr>
              <w:t>272</w:t>
            </w:r>
          </w:hyperlink>
        </w:p>
        <w:p>
          <w:pPr>
            <w:pStyle w:val="Contents4"/>
            <w:tabs>
              <w:tab w:val="clear" w:pos="8176"/>
              <w:tab w:val="right" w:pos="9026" w:leader="dot"/>
            </w:tabs>
            <w:rPr/>
          </w:pPr>
          <w:hyperlink w:anchor="__RefHeading___Toc4563385_2142443653">
            <w:r>
              <w:rPr>
                <w:webHidden/>
                <w:rStyle w:val="IndexLink"/>
                <w:rtl w:val="true"/>
              </w:rPr>
              <w:t>المقدّمة الثالثة</w:t>
            </w:r>
            <w:r>
              <w:rPr>
                <w:rStyle w:val="IndexLink"/>
                <w:rtl w:val="true"/>
              </w:rPr>
              <w:t xml:space="preserve">: </w:t>
            </w:r>
            <w:r>
              <w:rPr>
                <w:rStyle w:val="IndexLink"/>
                <w:rtl w:val="true"/>
              </w:rPr>
              <w:t xml:space="preserve">في معنى </w:t>
            </w:r>
            <w:r>
              <w:rPr>
                <w:rStyle w:val="IndexLink"/>
                <w:rtl w:val="true"/>
              </w:rPr>
              <w:t>«</w:t>
            </w:r>
            <w:r>
              <w:rPr>
                <w:rStyle w:val="IndexLink"/>
                <w:rtl w:val="true"/>
              </w:rPr>
              <w:t>على وجهه</w:t>
            </w:r>
            <w:r>
              <w:rPr>
                <w:rStyle w:val="IndexLink"/>
                <w:rtl w:val="true"/>
              </w:rPr>
              <w:t>»</w:t>
              <w:tab/>
            </w:r>
            <w:r>
              <w:rPr>
                <w:rStyle w:val="IndexLink"/>
              </w:rPr>
              <w:t>273</w:t>
            </w:r>
          </w:hyperlink>
        </w:p>
        <w:p>
          <w:pPr>
            <w:pStyle w:val="Contents4"/>
            <w:tabs>
              <w:tab w:val="clear" w:pos="8176"/>
              <w:tab w:val="right" w:pos="9026" w:leader="dot"/>
            </w:tabs>
            <w:rPr/>
          </w:pPr>
          <w:hyperlink w:anchor="__RefHeading___Toc4563387_2142443653">
            <w:r>
              <w:rPr>
                <w:webHidden/>
                <w:rStyle w:val="IndexLink"/>
                <w:rtl w:val="true"/>
              </w:rPr>
              <w:t>المقدّمة الرابعة</w:t>
            </w:r>
            <w:r>
              <w:rPr>
                <w:rStyle w:val="IndexLink"/>
                <w:rtl w:val="true"/>
              </w:rPr>
              <w:t xml:space="preserve">: </w:t>
            </w:r>
            <w:r>
              <w:rPr>
                <w:rStyle w:val="IndexLink"/>
                <w:rtl w:val="true"/>
              </w:rPr>
              <w:t>في فارق المسألة عن المرّة والتكرار</w:t>
            </w:r>
            <w:r>
              <w:rPr>
                <w:rStyle w:val="IndexLink"/>
                <w:rtl w:val="true"/>
              </w:rPr>
              <w:tab/>
            </w:r>
            <w:r>
              <w:rPr>
                <w:rStyle w:val="IndexLink"/>
              </w:rPr>
              <w:t>273</w:t>
            </w:r>
          </w:hyperlink>
        </w:p>
        <w:p>
          <w:pPr>
            <w:pStyle w:val="Contents4"/>
            <w:tabs>
              <w:tab w:val="clear" w:pos="8176"/>
              <w:tab w:val="right" w:pos="9026" w:leader="dot"/>
            </w:tabs>
            <w:rPr/>
          </w:pPr>
          <w:hyperlink w:anchor="__RefHeading___Toc4563389_2142443653">
            <w:r>
              <w:rPr>
                <w:webHidden/>
                <w:rStyle w:val="IndexLink"/>
                <w:rtl w:val="true"/>
              </w:rPr>
              <w:t>المقدّمة الخامسة</w:t>
            </w:r>
            <w:r>
              <w:rPr>
                <w:rStyle w:val="IndexLink"/>
                <w:rtl w:val="true"/>
              </w:rPr>
              <w:t xml:space="preserve">: </w:t>
            </w:r>
            <w:r>
              <w:rPr>
                <w:rStyle w:val="IndexLink"/>
                <w:rtl w:val="true"/>
              </w:rPr>
              <w:t>في وحدة الأمر أو تعدّده في المقام</w:t>
            </w:r>
            <w:r>
              <w:rPr>
                <w:rStyle w:val="IndexLink"/>
                <w:rtl w:val="true"/>
              </w:rPr>
              <w:tab/>
            </w:r>
            <w:r>
              <w:rPr>
                <w:rStyle w:val="IndexLink"/>
              </w:rPr>
              <w:t>274</w:t>
            </w:r>
          </w:hyperlink>
        </w:p>
        <w:p>
          <w:pPr>
            <w:pStyle w:val="Contents5"/>
            <w:tabs>
              <w:tab w:val="clear" w:pos="7892"/>
              <w:tab w:val="right" w:pos="9026" w:leader="dot"/>
            </w:tabs>
            <w:rPr/>
          </w:pPr>
          <w:hyperlink w:anchor="__RefHeading___Toc4563391_2142443653">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4563393_2142443653">
            <w:r>
              <w:rPr>
                <w:webHidden/>
                <w:rStyle w:val="IndexLink"/>
                <w:rtl w:val="true"/>
              </w:rPr>
              <w:t>الموضع الأوّل في إجزاء الإتيان بالمأمور به مطلقاً عن التعبّد به ثانياً</w:t>
            </w:r>
            <w:r>
              <w:rPr>
                <w:rStyle w:val="IndexLink"/>
                <w:rtl w:val="true"/>
              </w:rPr>
              <w:tab/>
            </w:r>
            <w:r>
              <w:rPr>
                <w:rStyle w:val="IndexLink"/>
              </w:rPr>
              <w:t>276</w:t>
            </w:r>
          </w:hyperlink>
        </w:p>
        <w:p>
          <w:pPr>
            <w:pStyle w:val="Contents5"/>
            <w:tabs>
              <w:tab w:val="clear" w:pos="7892"/>
              <w:tab w:val="right" w:pos="9026" w:leader="dot"/>
            </w:tabs>
            <w:rPr/>
          </w:pPr>
          <w:hyperlink w:anchor="__RefHeading___Toc4563395_2142443653">
            <w:r>
              <w:rPr>
                <w:webHidden/>
                <w:rStyle w:val="IndexLink"/>
                <w:rtl w:val="true"/>
              </w:rPr>
              <w:t>في تبديل الامتثال بالامتثال</w:t>
            </w:r>
            <w:r>
              <w:rPr>
                <w:rStyle w:val="IndexLink"/>
                <w:rtl w:val="true"/>
              </w:rPr>
              <w:tab/>
            </w:r>
            <w:r>
              <w:rPr>
                <w:rStyle w:val="IndexLink"/>
              </w:rPr>
              <w:t>276</w:t>
            </w:r>
          </w:hyperlink>
        </w:p>
        <w:p>
          <w:pPr>
            <w:pStyle w:val="Contents5"/>
            <w:tabs>
              <w:tab w:val="clear" w:pos="7892"/>
              <w:tab w:val="right" w:pos="9026" w:leader="dot"/>
            </w:tabs>
            <w:rPr/>
          </w:pPr>
          <w:hyperlink w:anchor="__RefHeading___Toc4563397_2142443653">
            <w:r>
              <w:rPr>
                <w:webHidden/>
                <w:rStyle w:val="IndexLink"/>
                <w:rtl w:val="true"/>
              </w:rPr>
              <w:t>الموضع الثاني في أنّ الإتيان بالفرد الاضطراري مقتضٍ للإجزاء</w:t>
            </w:r>
            <w:r>
              <w:rPr>
                <w:rStyle w:val="IndexLink"/>
                <w:rtl w:val="true"/>
              </w:rPr>
              <w:tab/>
            </w:r>
            <w:r>
              <w:rPr>
                <w:rStyle w:val="IndexLink"/>
              </w:rPr>
              <w:t>281</w:t>
            </w:r>
          </w:hyperlink>
        </w:p>
        <w:p>
          <w:pPr>
            <w:pStyle w:val="Contents5"/>
            <w:tabs>
              <w:tab w:val="clear" w:pos="7892"/>
              <w:tab w:val="right" w:pos="9026" w:leader="dot"/>
            </w:tabs>
            <w:rPr/>
          </w:pPr>
          <w:hyperlink w:anchor="__RefHeading___Toc4563399_2142443653">
            <w:r>
              <w:rPr>
                <w:webHidden/>
                <w:rStyle w:val="IndexLink"/>
                <w:rtl w:val="true"/>
              </w:rPr>
              <w:t>الموضع الثالث في الإتيان بالمأمور به بالأمر الظاهري</w:t>
            </w:r>
            <w:r>
              <w:rPr>
                <w:rStyle w:val="IndexLink"/>
                <w:rtl w:val="true"/>
              </w:rPr>
              <w:tab/>
            </w:r>
            <w:r>
              <w:rPr>
                <w:rStyle w:val="IndexLink"/>
              </w:rPr>
              <w:t>286</w:t>
            </w:r>
          </w:hyperlink>
        </w:p>
        <w:p>
          <w:pPr>
            <w:pStyle w:val="Contents6"/>
            <w:tabs>
              <w:tab w:val="clear" w:pos="7609"/>
              <w:tab w:val="right" w:pos="9026" w:leader="dot"/>
            </w:tabs>
            <w:rPr/>
          </w:pPr>
          <w:hyperlink w:anchor="__RefHeading___Toc4563401_2142443653">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4563403_2142443653">
            <w:r>
              <w:rPr>
                <w:webHidden/>
                <w:rStyle w:val="IndexLink"/>
                <w:rtl w:val="true"/>
              </w:rPr>
              <w:t>المقام الأوّل</w:t>
            </w:r>
            <w:r>
              <w:rPr>
                <w:rStyle w:val="IndexLink"/>
                <w:rtl w:val="true"/>
              </w:rPr>
              <w:t xml:space="preserve">: </w:t>
            </w:r>
            <w:r>
              <w:rPr>
                <w:rStyle w:val="IndexLink"/>
                <w:rtl w:val="true"/>
              </w:rPr>
              <w:t>في أنّ الإتيان بمقتضى الأمارات هل موجب للإجزاء؟</w:t>
            </w:r>
            <w:r>
              <w:rPr>
                <w:rStyle w:val="IndexLink"/>
                <w:rtl w:val="true"/>
              </w:rPr>
              <w:tab/>
            </w:r>
            <w:r>
              <w:rPr>
                <w:rStyle w:val="IndexLink"/>
              </w:rPr>
              <w:t>286</w:t>
            </w:r>
          </w:hyperlink>
        </w:p>
        <w:p>
          <w:pPr>
            <w:pStyle w:val="Contents6"/>
            <w:tabs>
              <w:tab w:val="clear" w:pos="7609"/>
              <w:tab w:val="right" w:pos="9026" w:leader="dot"/>
            </w:tabs>
            <w:rPr/>
          </w:pPr>
          <w:hyperlink w:anchor="__RefHeading___Toc4563405_2142443653">
            <w:r>
              <w:rPr>
                <w:webHidden/>
                <w:rStyle w:val="IndexLink"/>
                <w:rtl w:val="true"/>
              </w:rPr>
              <w:t>المقام الثاني</w:t>
            </w:r>
            <w:r>
              <w:rPr>
                <w:rStyle w:val="IndexLink"/>
                <w:rtl w:val="true"/>
              </w:rPr>
              <w:t xml:space="preserve">: </w:t>
            </w:r>
            <w:r>
              <w:rPr>
                <w:rStyle w:val="IndexLink"/>
                <w:rtl w:val="true"/>
              </w:rPr>
              <w:t>في أنّ الإتيان بمؤدّى الاُصول هل يقتضي الإجزاء؟</w:t>
            </w:r>
            <w:r>
              <w:rPr>
                <w:rStyle w:val="IndexLink"/>
                <w:rtl w:val="true"/>
              </w:rPr>
              <w:tab/>
            </w:r>
            <w:r>
              <w:rPr>
                <w:rStyle w:val="IndexLink"/>
              </w:rPr>
              <w:t>288</w:t>
            </w:r>
          </w:hyperlink>
        </w:p>
        <w:p>
          <w:pPr>
            <w:pStyle w:val="Contents3"/>
            <w:tabs>
              <w:tab w:val="clear" w:pos="8459"/>
              <w:tab w:val="right" w:pos="9026" w:leader="dot"/>
            </w:tabs>
            <w:rPr/>
          </w:pPr>
          <w:hyperlink w:anchor="__RefHeading___Toc4563407_2142443653">
            <w:r>
              <w:rPr>
                <w:webHidden/>
                <w:rStyle w:val="IndexLink"/>
                <w:rtl w:val="true"/>
              </w:rPr>
              <w:t>الفصل الرابع في مقدّمة الواجب</w:t>
            </w:r>
            <w:r>
              <w:rPr>
                <w:rStyle w:val="IndexLink"/>
                <w:rtl w:val="true"/>
              </w:rPr>
              <w:tab/>
            </w:r>
            <w:r>
              <w:rPr>
                <w:rStyle w:val="IndexLink"/>
              </w:rPr>
              <w:t>293</w:t>
            </w:r>
          </w:hyperlink>
        </w:p>
        <w:p>
          <w:pPr>
            <w:pStyle w:val="Contents4"/>
            <w:tabs>
              <w:tab w:val="clear" w:pos="8176"/>
              <w:tab w:val="right" w:pos="9026" w:leader="dot"/>
            </w:tabs>
            <w:rPr/>
          </w:pPr>
          <w:hyperlink w:anchor="__RefHeading___Toc4563409_2142443653">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4563411_2142443653">
            <w:r>
              <w:rPr>
                <w:webHidden/>
                <w:rStyle w:val="IndexLink"/>
                <w:rtl w:val="true"/>
              </w:rPr>
              <w:t>الأمر الأوّل</w:t>
            </w:r>
            <w:r>
              <w:rPr>
                <w:rStyle w:val="IndexLink"/>
                <w:rtl w:val="true"/>
              </w:rPr>
              <w:t xml:space="preserve">: </w:t>
            </w:r>
            <w:r>
              <w:rPr>
                <w:rStyle w:val="IndexLink"/>
                <w:rtl w:val="true"/>
              </w:rPr>
              <w:t>في محطّ البحث</w:t>
            </w:r>
            <w:r>
              <w:rPr>
                <w:rStyle w:val="IndexLink"/>
                <w:rtl w:val="true"/>
              </w:rPr>
              <w:tab/>
            </w:r>
            <w:r>
              <w:rPr>
                <w:rStyle w:val="IndexLink"/>
              </w:rPr>
              <w:t>293</w:t>
            </w:r>
          </w:hyperlink>
        </w:p>
        <w:p>
          <w:pPr>
            <w:pStyle w:val="Contents4"/>
            <w:tabs>
              <w:tab w:val="clear" w:pos="8176"/>
              <w:tab w:val="right" w:pos="9026" w:leader="dot"/>
            </w:tabs>
            <w:rPr/>
          </w:pPr>
          <w:hyperlink w:anchor="__RefHeading___Toc4563413_2142443653">
            <w:r>
              <w:rPr>
                <w:webHidden/>
                <w:rStyle w:val="IndexLink"/>
                <w:rtl w:val="true"/>
              </w:rPr>
              <w:t>الأمر الثاني في أنّ المسألة عقلية اُصولية</w:t>
            </w:r>
            <w:r>
              <w:rPr>
                <w:rStyle w:val="IndexLink"/>
                <w:rtl w:val="true"/>
              </w:rPr>
              <w:tab/>
            </w:r>
            <w:r>
              <w:rPr>
                <w:rStyle w:val="IndexLink"/>
              </w:rPr>
              <w:t>297</w:t>
            </w:r>
          </w:hyperlink>
        </w:p>
        <w:p>
          <w:pPr>
            <w:pStyle w:val="Contents4"/>
            <w:tabs>
              <w:tab w:val="clear" w:pos="8176"/>
              <w:tab w:val="right" w:pos="9026" w:leader="dot"/>
            </w:tabs>
            <w:rPr/>
          </w:pPr>
          <w:hyperlink w:anchor="__RefHeading___Toc4563415_2142443653">
            <w:r>
              <w:rPr>
                <w:webHidden/>
                <w:rStyle w:val="IndexLink"/>
                <w:rtl w:val="true"/>
              </w:rPr>
              <w:t>الأمر الثالث في تقسيمات المقدّمة</w:t>
            </w:r>
            <w:r>
              <w:rPr>
                <w:rStyle w:val="IndexLink"/>
                <w:rtl w:val="true"/>
              </w:rPr>
              <w:tab/>
            </w:r>
            <w:r>
              <w:rPr>
                <w:rStyle w:val="IndexLink"/>
              </w:rPr>
              <w:t>299</w:t>
            </w:r>
          </w:hyperlink>
        </w:p>
        <w:p>
          <w:pPr>
            <w:pStyle w:val="Contents5"/>
            <w:tabs>
              <w:tab w:val="clear" w:pos="7892"/>
              <w:tab w:val="right" w:pos="9026" w:leader="dot"/>
            </w:tabs>
            <w:rPr/>
          </w:pPr>
          <w:hyperlink w:anchor="__RefHeading___Toc4563417_2142443653">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4563419_2142443653">
            <w:r>
              <w:rPr>
                <w:webHidden/>
                <w:rStyle w:val="IndexLink"/>
                <w:rtl w:val="true"/>
              </w:rPr>
              <w:t>منها</w:t>
            </w:r>
            <w:r>
              <w:rPr>
                <w:rStyle w:val="IndexLink"/>
                <w:rtl w:val="true"/>
              </w:rPr>
              <w:t xml:space="preserve">: </w:t>
            </w:r>
            <w:r>
              <w:rPr>
                <w:rStyle w:val="IndexLink"/>
                <w:rtl w:val="true"/>
              </w:rPr>
              <w:t>الداخلية والخارجية</w:t>
            </w:r>
            <w:r>
              <w:rPr>
                <w:rStyle w:val="IndexLink"/>
                <w:rtl w:val="true"/>
              </w:rPr>
              <w:tab/>
            </w:r>
            <w:r>
              <w:rPr>
                <w:rStyle w:val="IndexLink"/>
              </w:rPr>
              <w:t>299</w:t>
            </w:r>
          </w:hyperlink>
        </w:p>
        <w:p>
          <w:pPr>
            <w:pStyle w:val="Contents5"/>
            <w:tabs>
              <w:tab w:val="clear" w:pos="7892"/>
              <w:tab w:val="right" w:pos="9026" w:leader="dot"/>
            </w:tabs>
            <w:rPr/>
          </w:pPr>
          <w:hyperlink w:anchor="__RefHeading___Toc4563421_2142443653">
            <w:r>
              <w:rPr>
                <w:webHidden/>
                <w:rStyle w:val="IndexLink"/>
                <w:rtl w:val="true"/>
              </w:rPr>
              <w:t xml:space="preserve">دفع وهم </w:t>
            </w:r>
            <w:r>
              <w:rPr>
                <w:rStyle w:val="IndexLink"/>
                <w:rtl w:val="true"/>
              </w:rPr>
              <w:t xml:space="preserve">: </w:t>
            </w:r>
            <w:r>
              <w:rPr>
                <w:rStyle w:val="IndexLink"/>
                <w:rtl w:val="true"/>
              </w:rPr>
              <w:t>کلام المحقّق العراقي حول ما هو خارج عن محل النزاع</w:t>
            </w:r>
            <w:r>
              <w:rPr>
                <w:rStyle w:val="IndexLink"/>
                <w:rtl w:val="true"/>
              </w:rPr>
              <w:tab/>
            </w:r>
            <w:r>
              <w:rPr>
                <w:rStyle w:val="IndexLink"/>
              </w:rPr>
              <w:t>301</w:t>
            </w:r>
          </w:hyperlink>
        </w:p>
        <w:p>
          <w:pPr>
            <w:pStyle w:val="Contents5"/>
            <w:tabs>
              <w:tab w:val="clear" w:pos="7892"/>
              <w:tab w:val="right" w:pos="9026" w:leader="dot"/>
            </w:tabs>
            <w:rPr/>
          </w:pPr>
          <w:hyperlink w:anchor="__RefHeading___Toc4563423_2142443653">
            <w:r>
              <w:rPr>
                <w:webHidden/>
                <w:rStyle w:val="IndexLink"/>
                <w:rtl w:val="true"/>
              </w:rPr>
              <w:t>تتميم</w:t>
            </w:r>
            <w:r>
              <w:rPr>
                <w:rStyle w:val="IndexLink"/>
                <w:rtl w:val="true"/>
              </w:rPr>
              <w:t xml:space="preserve">: </w:t>
            </w:r>
            <w:r>
              <w:rPr>
                <w:rStyle w:val="IndexLink"/>
                <w:rtl w:val="true"/>
              </w:rPr>
              <w:t>في شمول النزاع لجميع أقسام المقدّمات الخارجية</w:t>
            </w:r>
            <w:r>
              <w:rPr>
                <w:rStyle w:val="IndexLink"/>
                <w:rtl w:val="true"/>
              </w:rPr>
              <w:tab/>
            </w:r>
            <w:r>
              <w:rPr>
                <w:rStyle w:val="IndexLink"/>
              </w:rPr>
              <w:t>304</w:t>
            </w:r>
          </w:hyperlink>
        </w:p>
        <w:p>
          <w:pPr>
            <w:pStyle w:val="Contents5"/>
            <w:tabs>
              <w:tab w:val="clear" w:pos="7892"/>
              <w:tab w:val="right" w:pos="9026" w:leader="dot"/>
            </w:tabs>
            <w:rPr/>
          </w:pPr>
          <w:hyperlink w:anchor="__RefHeading___Toc4563425_2142443653">
            <w:r>
              <w:rPr>
                <w:webHidden/>
                <w:rStyle w:val="IndexLink"/>
                <w:rtl w:val="true"/>
              </w:rPr>
              <w:t>ومنها</w:t>
            </w:r>
            <w:r>
              <w:rPr>
                <w:rStyle w:val="IndexLink"/>
                <w:rtl w:val="true"/>
              </w:rPr>
              <w:t xml:space="preserve">: </w:t>
            </w:r>
            <w:r>
              <w:rPr>
                <w:rStyle w:val="IndexLink"/>
                <w:rtl w:val="true"/>
              </w:rPr>
              <w:t>تقسيمها إلى المقارن والمتقدّم والمتأخّر</w:t>
            </w:r>
            <w:r>
              <w:rPr>
                <w:rStyle w:val="IndexLink"/>
                <w:rtl w:val="true"/>
              </w:rPr>
              <w:tab/>
            </w:r>
            <w:r>
              <w:rPr>
                <w:rStyle w:val="IndexLink"/>
              </w:rPr>
              <w:t>305</w:t>
            </w:r>
          </w:hyperlink>
        </w:p>
        <w:p>
          <w:pPr>
            <w:pStyle w:val="Contents5"/>
            <w:tabs>
              <w:tab w:val="clear" w:pos="7892"/>
              <w:tab w:val="right" w:pos="9026" w:leader="dot"/>
            </w:tabs>
            <w:rPr/>
          </w:pPr>
          <w:hyperlink w:anchor="__RefHeading___Toc4563427_2142443653">
            <w:r>
              <w:rPr>
                <w:webHidden/>
                <w:rStyle w:val="IndexLink"/>
                <w:rtl w:val="true"/>
              </w:rPr>
              <w:t>الإشكال في الشرط المتأخّر</w:t>
            </w:r>
            <w:r>
              <w:rPr>
                <w:rStyle w:val="IndexLink"/>
                <w:rtl w:val="true"/>
              </w:rPr>
              <w:tab/>
            </w:r>
            <w:r>
              <w:rPr>
                <w:rStyle w:val="IndexLink"/>
              </w:rPr>
              <w:t>305</w:t>
            </w:r>
          </w:hyperlink>
        </w:p>
        <w:p>
          <w:pPr>
            <w:pStyle w:val="Contents5"/>
            <w:tabs>
              <w:tab w:val="clear" w:pos="7892"/>
              <w:tab w:val="right" w:pos="9026" w:leader="dot"/>
            </w:tabs>
            <w:rPr/>
          </w:pPr>
          <w:hyperlink w:anchor="__RefHeading___Toc4563429_2142443653">
            <w:r>
              <w:rPr>
                <w:webHidden/>
                <w:rStyle w:val="IndexLink"/>
                <w:rtl w:val="true"/>
              </w:rPr>
              <w:t>كلام المحقّق العراقي لدفع الإشكال في الشرط المتأخّر</w:t>
            </w:r>
            <w:r>
              <w:rPr>
                <w:rStyle w:val="IndexLink"/>
                <w:rtl w:val="true"/>
              </w:rPr>
              <w:tab/>
            </w:r>
            <w:r>
              <w:rPr>
                <w:rStyle w:val="IndexLink"/>
              </w:rPr>
              <w:t>306</w:t>
            </w:r>
          </w:hyperlink>
        </w:p>
        <w:p>
          <w:pPr>
            <w:pStyle w:val="Contents5"/>
            <w:tabs>
              <w:tab w:val="clear" w:pos="7892"/>
              <w:tab w:val="right" w:pos="9026" w:leader="dot"/>
            </w:tabs>
            <w:rPr/>
          </w:pPr>
          <w:hyperlink w:anchor="__RefHeading___Toc4563431_2142443653">
            <w:r>
              <w:rPr>
                <w:webHidden/>
                <w:rStyle w:val="IndexLink"/>
                <w:rtl w:val="true"/>
              </w:rPr>
              <w:t>التحقيق في دفع الإشكال عن الشرط المتأخّر</w:t>
            </w:r>
            <w:r>
              <w:rPr>
                <w:rStyle w:val="IndexLink"/>
                <w:rtl w:val="true"/>
              </w:rPr>
              <w:tab/>
            </w:r>
            <w:r>
              <w:rPr>
                <w:rStyle w:val="IndexLink"/>
              </w:rPr>
              <w:t>309</w:t>
            </w:r>
          </w:hyperlink>
        </w:p>
        <w:p>
          <w:pPr>
            <w:pStyle w:val="Contents5"/>
            <w:tabs>
              <w:tab w:val="clear" w:pos="7892"/>
              <w:tab w:val="right" w:pos="9026" w:leader="dot"/>
            </w:tabs>
            <w:rPr/>
          </w:pPr>
          <w:hyperlink w:anchor="__RefHeading___Toc4563433_2142443653">
            <w:r>
              <w:rPr>
                <w:webHidden/>
                <w:rStyle w:val="IndexLink"/>
                <w:rtl w:val="true"/>
              </w:rPr>
              <w:t>نقل كلام المحقّق النائيني في تحرير محطّ البحث في الشرط المتأخّر</w:t>
            </w:r>
            <w:r>
              <w:rPr>
                <w:rStyle w:val="IndexLink"/>
                <w:rtl w:val="true"/>
              </w:rPr>
              <w:tab/>
            </w:r>
            <w:r>
              <w:rPr>
                <w:rStyle w:val="IndexLink"/>
              </w:rPr>
              <w:t>312</w:t>
            </w:r>
          </w:hyperlink>
        </w:p>
        <w:p>
          <w:pPr>
            <w:pStyle w:val="Contents4"/>
            <w:tabs>
              <w:tab w:val="clear" w:pos="8176"/>
              <w:tab w:val="right" w:pos="9026" w:leader="dot"/>
            </w:tabs>
            <w:rPr/>
          </w:pPr>
          <w:hyperlink w:anchor="__RefHeading___Toc4563435_2142443653">
            <w:r>
              <w:rPr>
                <w:webHidden/>
                <w:rStyle w:val="IndexLink"/>
                <w:rtl w:val="true"/>
              </w:rPr>
              <w:t>الأمر الرابع في تقسيمات الواجب</w:t>
            </w:r>
            <w:r>
              <w:rPr>
                <w:rStyle w:val="IndexLink"/>
                <w:rtl w:val="true"/>
              </w:rPr>
              <w:tab/>
            </w:r>
            <w:r>
              <w:rPr>
                <w:rStyle w:val="IndexLink"/>
              </w:rPr>
              <w:t>315</w:t>
            </w:r>
          </w:hyperlink>
        </w:p>
        <w:p>
          <w:pPr>
            <w:pStyle w:val="Contents5"/>
            <w:tabs>
              <w:tab w:val="clear" w:pos="7892"/>
              <w:tab w:val="right" w:pos="9026" w:leader="dot"/>
            </w:tabs>
            <w:rPr/>
          </w:pPr>
          <w:hyperlink w:anchor="__RefHeading___Toc4563437_2142443653">
            <w:r>
              <w:rPr>
                <w:webHidden/>
                <w:rStyle w:val="IndexLink"/>
                <w:rtl w:val="true"/>
              </w:rPr>
              <w:t>الواجب المطلق والمشروط</w:t>
            </w:r>
            <w:r>
              <w:rPr>
                <w:rStyle w:val="IndexLink"/>
                <w:rtl w:val="true"/>
              </w:rPr>
              <w:tab/>
            </w:r>
            <w:r>
              <w:rPr>
                <w:rStyle w:val="IndexLink"/>
              </w:rPr>
              <w:t>315</w:t>
            </w:r>
          </w:hyperlink>
        </w:p>
        <w:p>
          <w:pPr>
            <w:pStyle w:val="Contents5"/>
            <w:tabs>
              <w:tab w:val="clear" w:pos="7892"/>
              <w:tab w:val="right" w:pos="9026" w:leader="dot"/>
            </w:tabs>
            <w:rPr/>
          </w:pPr>
          <w:hyperlink w:anchor="__RefHeading___Toc4563439_2142443653">
            <w:r>
              <w:rPr>
                <w:webHidden/>
                <w:rStyle w:val="IndexLink"/>
                <w:rtl w:val="true"/>
              </w:rPr>
              <w:t>الجهة الاُولى</w:t>
            </w:r>
            <w:r>
              <w:rPr>
                <w:rStyle w:val="IndexLink"/>
                <w:rtl w:val="true"/>
              </w:rPr>
              <w:t xml:space="preserve">: </w:t>
            </w:r>
            <w:r>
              <w:rPr>
                <w:rStyle w:val="IndexLink"/>
                <w:rtl w:val="true"/>
              </w:rPr>
              <w:t>في تصوير الواجب المشروط</w:t>
            </w:r>
            <w:r>
              <w:rPr>
                <w:rStyle w:val="IndexLink"/>
                <w:rtl w:val="true"/>
              </w:rPr>
              <w:tab/>
            </w:r>
            <w:r>
              <w:rPr>
                <w:rStyle w:val="IndexLink"/>
              </w:rPr>
              <w:t>315</w:t>
            </w:r>
          </w:hyperlink>
        </w:p>
        <w:p>
          <w:pPr>
            <w:pStyle w:val="Contents6"/>
            <w:tabs>
              <w:tab w:val="clear" w:pos="7609"/>
              <w:tab w:val="right" w:pos="9026" w:leader="dot"/>
            </w:tabs>
            <w:rPr/>
          </w:pPr>
          <w:hyperlink w:anchor="__RefHeading___Toc4563441_2142443653">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4563443_2142443653">
            <w:r>
              <w:rPr>
                <w:webHidden/>
                <w:rStyle w:val="IndexLink"/>
                <w:rtl w:val="true"/>
              </w:rPr>
              <w:t>ضابط قيود المادّة والهيئة</w:t>
            </w:r>
            <w:r>
              <w:rPr>
                <w:rStyle w:val="IndexLink"/>
                <w:rtl w:val="true"/>
              </w:rPr>
              <w:tab/>
            </w:r>
            <w:r>
              <w:rPr>
                <w:rStyle w:val="IndexLink"/>
              </w:rPr>
              <w:t>316</w:t>
            </w:r>
          </w:hyperlink>
        </w:p>
        <w:p>
          <w:pPr>
            <w:pStyle w:val="Contents6"/>
            <w:tabs>
              <w:tab w:val="clear" w:pos="7609"/>
              <w:tab w:val="right" w:pos="9026" w:leader="dot"/>
            </w:tabs>
            <w:rPr/>
          </w:pPr>
          <w:hyperlink w:anchor="__RefHeading___Toc4563445_2142443653">
            <w:r>
              <w:rPr>
                <w:webHidden/>
                <w:rStyle w:val="IndexLink"/>
                <w:rtl w:val="true"/>
              </w:rPr>
              <w:t xml:space="preserve">نقل وتحصيل </w:t>
            </w:r>
            <w:r>
              <w:rPr>
                <w:rStyle w:val="IndexLink"/>
                <w:rtl w:val="true"/>
              </w:rPr>
              <w:t xml:space="preserve">: </w:t>
            </w:r>
            <w:r>
              <w:rPr>
                <w:rStyle w:val="IndexLink"/>
                <w:rtl w:val="true"/>
              </w:rPr>
              <w:t>حول کلام المحقّق العراقي في الضابط في القیدین</w:t>
            </w:r>
            <w:r>
              <w:rPr>
                <w:rStyle w:val="IndexLink"/>
                <w:rtl w:val="true"/>
              </w:rPr>
              <w:tab/>
            </w:r>
            <w:r>
              <w:rPr>
                <w:rStyle w:val="IndexLink"/>
              </w:rPr>
              <w:t>317</w:t>
            </w:r>
          </w:hyperlink>
        </w:p>
        <w:p>
          <w:pPr>
            <w:pStyle w:val="Contents6"/>
            <w:tabs>
              <w:tab w:val="clear" w:pos="7609"/>
              <w:tab w:val="right" w:pos="9026" w:leader="dot"/>
            </w:tabs>
            <w:rPr/>
          </w:pPr>
          <w:hyperlink w:anchor="__RefHeading___Toc4563447_2142443653">
            <w:r>
              <w:rPr>
                <w:webHidden/>
                <w:rStyle w:val="IndexLink"/>
                <w:rtl w:val="true"/>
              </w:rPr>
              <w:t>تذكرة</w:t>
            </w:r>
            <w:r>
              <w:rPr>
                <w:rStyle w:val="IndexLink"/>
                <w:rtl w:val="true"/>
              </w:rPr>
              <w:t xml:space="preserve">: </w:t>
            </w:r>
            <w:r>
              <w:rPr>
                <w:rStyle w:val="IndexLink"/>
                <w:rtl w:val="true"/>
              </w:rPr>
              <w:t>في أدلّة امتناع رجوع القيد إلى الهيئة والجواب عنها</w:t>
            </w:r>
            <w:r>
              <w:rPr>
                <w:rStyle w:val="IndexLink"/>
                <w:rtl w:val="true"/>
              </w:rPr>
              <w:tab/>
            </w:r>
            <w:r>
              <w:rPr>
                <w:rStyle w:val="IndexLink"/>
              </w:rPr>
              <w:t>318</w:t>
            </w:r>
          </w:hyperlink>
        </w:p>
        <w:p>
          <w:pPr>
            <w:pStyle w:val="Contents5"/>
            <w:tabs>
              <w:tab w:val="clear" w:pos="7892"/>
              <w:tab w:val="right" w:pos="9026" w:leader="dot"/>
            </w:tabs>
            <w:rPr/>
          </w:pPr>
          <w:hyperlink w:anchor="__RefHeading___Toc4563449_2142443653">
            <w:r>
              <w:rPr>
                <w:webHidden/>
                <w:rStyle w:val="IndexLink"/>
                <w:rtl w:val="true"/>
              </w:rPr>
              <w:t>الجهة الثانية</w:t>
            </w:r>
            <w:r>
              <w:rPr>
                <w:rStyle w:val="IndexLink"/>
                <w:rtl w:val="true"/>
              </w:rPr>
              <w:t xml:space="preserve">: </w:t>
            </w:r>
            <w:r>
              <w:rPr>
                <w:rStyle w:val="IndexLink"/>
                <w:rtl w:val="true"/>
              </w:rPr>
              <w:t>في حكم الواجب المشروط قبل تحقّق شرطه</w:t>
            </w:r>
            <w:r>
              <w:rPr>
                <w:rStyle w:val="IndexLink"/>
                <w:rtl w:val="true"/>
              </w:rPr>
              <w:tab/>
            </w:r>
            <w:r>
              <w:rPr>
                <w:rStyle w:val="IndexLink"/>
              </w:rPr>
              <w:t>320</w:t>
            </w:r>
          </w:hyperlink>
        </w:p>
        <w:p>
          <w:pPr>
            <w:pStyle w:val="Contents5"/>
            <w:tabs>
              <w:tab w:val="clear" w:pos="7892"/>
              <w:tab w:val="right" w:pos="9026" w:leader="dot"/>
            </w:tabs>
            <w:rPr/>
          </w:pPr>
          <w:hyperlink w:anchor="__RefHeading___Toc4563451_2142443653">
            <w:r>
              <w:rPr>
                <w:webHidden/>
                <w:rStyle w:val="IndexLink"/>
                <w:rtl w:val="true"/>
              </w:rPr>
              <w:t>الجهة الثالثة</w:t>
            </w:r>
            <w:r>
              <w:rPr>
                <w:rStyle w:val="IndexLink"/>
                <w:rtl w:val="true"/>
              </w:rPr>
              <w:t xml:space="preserve">: </w:t>
            </w:r>
            <w:r>
              <w:rPr>
                <w:rStyle w:val="IndexLink"/>
                <w:rtl w:val="true"/>
              </w:rPr>
              <w:t>في إشكالات الواجب المشروط على مسلك المشهور</w:t>
            </w:r>
            <w:r>
              <w:rPr>
                <w:rStyle w:val="IndexLink"/>
                <w:rtl w:val="true"/>
              </w:rPr>
              <w:tab/>
            </w:r>
            <w:r>
              <w:rPr>
                <w:rStyle w:val="IndexLink"/>
              </w:rPr>
              <w:t>322</w:t>
            </w:r>
          </w:hyperlink>
        </w:p>
        <w:p>
          <w:pPr>
            <w:pStyle w:val="Contents6"/>
            <w:tabs>
              <w:tab w:val="clear" w:pos="7609"/>
              <w:tab w:val="right" w:pos="9026" w:leader="dot"/>
            </w:tabs>
            <w:rPr/>
          </w:pPr>
          <w:hyperlink w:anchor="__RefHeading___Toc4563453_2142443653">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4563455_2142443653">
            <w:r>
              <w:rPr>
                <w:webHidden/>
                <w:rStyle w:val="IndexLink"/>
                <w:rtl w:val="true"/>
              </w:rPr>
              <w:t>الواجب المعلّق والمنجّز</w:t>
            </w:r>
            <w:r>
              <w:rPr>
                <w:rStyle w:val="IndexLink"/>
                <w:rtl w:val="true"/>
              </w:rPr>
              <w:tab/>
            </w:r>
            <w:r>
              <w:rPr>
                <w:rStyle w:val="IndexLink"/>
              </w:rPr>
              <w:t>326</w:t>
            </w:r>
          </w:hyperlink>
        </w:p>
        <w:p>
          <w:pPr>
            <w:pStyle w:val="Contents6"/>
            <w:tabs>
              <w:tab w:val="clear" w:pos="7609"/>
              <w:tab w:val="right" w:pos="9026" w:leader="dot"/>
            </w:tabs>
            <w:rPr/>
          </w:pPr>
          <w:hyperlink w:anchor="__RefHeading___Toc4563457_2142443653">
            <w:r>
              <w:rPr>
                <w:webHidden/>
                <w:rStyle w:val="IndexLink"/>
                <w:rtl w:val="true"/>
              </w:rPr>
              <w:t>إشكال المحقّق النهاوندي على الواجب المعلّق</w:t>
            </w:r>
            <w:r>
              <w:rPr>
                <w:rStyle w:val="IndexLink"/>
                <w:rtl w:val="true"/>
              </w:rPr>
              <w:tab/>
            </w:r>
            <w:r>
              <w:rPr>
                <w:rStyle w:val="IndexLink"/>
              </w:rPr>
              <w:t>326</w:t>
            </w:r>
          </w:hyperlink>
        </w:p>
        <w:p>
          <w:pPr>
            <w:pStyle w:val="Contents6"/>
            <w:tabs>
              <w:tab w:val="clear" w:pos="7609"/>
              <w:tab w:val="right" w:pos="9026" w:leader="dot"/>
            </w:tabs>
            <w:rPr/>
          </w:pPr>
          <w:hyperlink w:anchor="__RefHeading___Toc4563459_2142443653">
            <w:r>
              <w:rPr>
                <w:webHidden/>
                <w:rStyle w:val="IndexLink"/>
                <w:rtl w:val="true"/>
              </w:rPr>
              <w:t>إشكال المحقّق النائيني على الواجب المعلّق</w:t>
            </w:r>
            <w:r>
              <w:rPr>
                <w:rStyle w:val="IndexLink"/>
                <w:rtl w:val="true"/>
              </w:rPr>
              <w:tab/>
            </w:r>
            <w:r>
              <w:rPr>
                <w:rStyle w:val="IndexLink"/>
              </w:rPr>
              <w:t>330</w:t>
            </w:r>
          </w:hyperlink>
        </w:p>
        <w:p>
          <w:pPr>
            <w:pStyle w:val="Contents6"/>
            <w:tabs>
              <w:tab w:val="clear" w:pos="7609"/>
              <w:tab w:val="right" w:pos="9026" w:leader="dot"/>
            </w:tabs>
            <w:rPr/>
          </w:pPr>
          <w:hyperlink w:anchor="__RefHeading___Toc4563461_2142443653">
            <w:r>
              <w:rPr>
                <w:webHidden/>
                <w:rStyle w:val="IndexLink"/>
                <w:rtl w:val="true"/>
              </w:rPr>
              <w:t>تتمّة</w:t>
            </w:r>
            <w:r>
              <w:rPr>
                <w:rStyle w:val="IndexLink"/>
                <w:rtl w:val="true"/>
              </w:rPr>
              <w:t xml:space="preserve">: </w:t>
            </w:r>
            <w:r>
              <w:rPr>
                <w:rStyle w:val="IndexLink"/>
                <w:rtl w:val="true"/>
              </w:rPr>
              <w:t>في دوران القيد بين الهيئة والمادّة</w:t>
            </w:r>
            <w:r>
              <w:rPr>
                <w:rStyle w:val="IndexLink"/>
                <w:rtl w:val="true"/>
              </w:rPr>
              <w:tab/>
            </w:r>
            <w:r>
              <w:rPr>
                <w:rStyle w:val="IndexLink"/>
              </w:rPr>
              <w:t>332</w:t>
            </w:r>
          </w:hyperlink>
        </w:p>
        <w:p>
          <w:pPr>
            <w:pStyle w:val="Contents6"/>
            <w:tabs>
              <w:tab w:val="clear" w:pos="7609"/>
              <w:tab w:val="right" w:pos="9026" w:leader="dot"/>
            </w:tabs>
            <w:rPr/>
          </w:pPr>
          <w:hyperlink w:anchor="__RefHeading___Toc4563463_2142443653">
            <w:r>
              <w:rPr>
                <w:webHidden/>
                <w:rStyle w:val="IndexLink"/>
                <w:rtl w:val="true"/>
              </w:rPr>
              <w:t>حول الوجهين المنقولين عن الشيخ لترجيح رجوع القيد إلى المادّة</w:t>
            </w:r>
            <w:r>
              <w:rPr>
                <w:rStyle w:val="IndexLink"/>
                <w:rtl w:val="true"/>
              </w:rPr>
              <w:tab/>
            </w:r>
            <w:r>
              <w:rPr>
                <w:rStyle w:val="IndexLink"/>
              </w:rPr>
              <w:t>332</w:t>
            </w:r>
          </w:hyperlink>
        </w:p>
        <w:p>
          <w:pPr>
            <w:pStyle w:val="Contents6"/>
            <w:tabs>
              <w:tab w:val="clear" w:pos="7609"/>
              <w:tab w:val="right" w:pos="9026" w:leader="dot"/>
            </w:tabs>
            <w:rPr/>
          </w:pPr>
          <w:hyperlink w:anchor="__RefHeading___Toc4563465_2142443653">
            <w:r>
              <w:rPr>
                <w:webHidden/>
                <w:rStyle w:val="IndexLink"/>
                <w:rtl w:val="true"/>
              </w:rPr>
              <w:t>الواجب النفسي والغيري</w:t>
            </w:r>
            <w:r>
              <w:rPr>
                <w:rStyle w:val="IndexLink"/>
                <w:rtl w:val="true"/>
              </w:rPr>
              <w:tab/>
            </w:r>
            <w:r>
              <w:rPr>
                <w:rStyle w:val="IndexLink"/>
              </w:rPr>
              <w:t>338</w:t>
            </w:r>
          </w:hyperlink>
        </w:p>
        <w:p>
          <w:pPr>
            <w:pStyle w:val="Contents6"/>
            <w:tabs>
              <w:tab w:val="clear" w:pos="7609"/>
              <w:tab w:val="right" w:pos="9026" w:leader="dot"/>
            </w:tabs>
            <w:rPr/>
          </w:pPr>
          <w:hyperlink w:anchor="__RefHeading___Toc4563467_2142443653">
            <w:r>
              <w:rPr>
                <w:webHidden/>
                <w:rStyle w:val="IndexLink"/>
                <w:rtl w:val="true"/>
              </w:rPr>
              <w:t>مقتضى الأصل اللفظي عند الشكّ في الغيرية</w:t>
            </w:r>
            <w:r>
              <w:rPr>
                <w:rStyle w:val="IndexLink"/>
                <w:rtl w:val="true"/>
              </w:rPr>
              <w:tab/>
            </w:r>
            <w:r>
              <w:rPr>
                <w:rStyle w:val="IndexLink"/>
              </w:rPr>
              <w:t>339</w:t>
            </w:r>
          </w:hyperlink>
        </w:p>
        <w:p>
          <w:pPr>
            <w:pStyle w:val="Contents6"/>
            <w:tabs>
              <w:tab w:val="clear" w:pos="7609"/>
              <w:tab w:val="right" w:pos="9026" w:leader="dot"/>
            </w:tabs>
            <w:rPr/>
          </w:pPr>
          <w:hyperlink w:anchor="__RefHeading___Toc4563469_2142443653">
            <w:r>
              <w:rPr>
                <w:webHidden/>
                <w:rStyle w:val="IndexLink"/>
                <w:rtl w:val="true"/>
              </w:rPr>
              <w:t>مقتضى الأصل العملي عند الشكّ في الغيرية</w:t>
            </w:r>
            <w:r>
              <w:rPr>
                <w:rStyle w:val="IndexLink"/>
                <w:rtl w:val="true"/>
              </w:rPr>
              <w:tab/>
            </w:r>
            <w:r>
              <w:rPr>
                <w:rStyle w:val="IndexLink"/>
              </w:rPr>
              <w:t>341</w:t>
            </w:r>
          </w:hyperlink>
        </w:p>
        <w:p>
          <w:pPr>
            <w:pStyle w:val="Contents6"/>
            <w:tabs>
              <w:tab w:val="clear" w:pos="7609"/>
              <w:tab w:val="right" w:pos="9026" w:leader="dot"/>
            </w:tabs>
            <w:rPr/>
          </w:pPr>
          <w:hyperlink w:anchor="__RefHeading___Toc4563471_2142443653">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4563473_2142443653">
            <w:r>
              <w:rPr>
                <w:webHidden/>
                <w:rStyle w:val="IndexLink"/>
                <w:rtl w:val="true"/>
              </w:rPr>
              <w:t>التنبيه الأوّل في ترتّب الثواب والعقاب على التكاليف الغيرية</w:t>
            </w:r>
            <w:r>
              <w:rPr>
                <w:rStyle w:val="IndexLink"/>
                <w:rtl w:val="true"/>
              </w:rPr>
              <w:tab/>
            </w:r>
            <w:r>
              <w:rPr>
                <w:rStyle w:val="IndexLink"/>
              </w:rPr>
              <w:t>343</w:t>
            </w:r>
          </w:hyperlink>
        </w:p>
        <w:p>
          <w:pPr>
            <w:pStyle w:val="Contents6"/>
            <w:tabs>
              <w:tab w:val="clear" w:pos="7609"/>
              <w:tab w:val="right" w:pos="9026" w:leader="dot"/>
            </w:tabs>
            <w:rPr/>
          </w:pPr>
          <w:hyperlink w:anchor="__RefHeading___Toc4563475_2142443653">
            <w:r>
              <w:rPr>
                <w:webHidden/>
                <w:rStyle w:val="IndexLink"/>
                <w:rtl w:val="true"/>
              </w:rPr>
              <w:t>التنبيه الثاني في الإشكالات الواردة على الطهارات الثلاث</w:t>
            </w:r>
            <w:r>
              <w:rPr>
                <w:rStyle w:val="IndexLink"/>
                <w:rtl w:val="true"/>
              </w:rPr>
              <w:tab/>
            </w:r>
            <w:r>
              <w:rPr>
                <w:rStyle w:val="IndexLink"/>
              </w:rPr>
              <w:t>348</w:t>
            </w:r>
          </w:hyperlink>
        </w:p>
        <w:p>
          <w:pPr>
            <w:pStyle w:val="Contents6"/>
            <w:tabs>
              <w:tab w:val="clear" w:pos="7609"/>
              <w:tab w:val="right" w:pos="9026" w:leader="dot"/>
            </w:tabs>
            <w:rPr/>
          </w:pPr>
          <w:hyperlink w:anchor="__RefHeading___Toc4563477_2142443653">
            <w:r>
              <w:rPr>
                <w:webHidden/>
                <w:rStyle w:val="IndexLink"/>
                <w:rtl w:val="true"/>
              </w:rPr>
              <w:t>التنبيه الثالث في منشأ عبادية الطهارات</w:t>
            </w:r>
            <w:r>
              <w:rPr>
                <w:rStyle w:val="IndexLink"/>
                <w:rtl w:val="true"/>
              </w:rPr>
              <w:tab/>
            </w:r>
            <w:r>
              <w:rPr>
                <w:rStyle w:val="IndexLink"/>
              </w:rPr>
              <w:t>351</w:t>
            </w:r>
          </w:hyperlink>
        </w:p>
        <w:p>
          <w:pPr>
            <w:pStyle w:val="Contents4"/>
            <w:tabs>
              <w:tab w:val="clear" w:pos="8176"/>
              <w:tab w:val="right" w:pos="9026" w:leader="dot"/>
            </w:tabs>
            <w:rPr/>
          </w:pPr>
          <w:hyperlink w:anchor="__RefHeading___Toc4563479_2142443653">
            <w:r>
              <w:rPr>
                <w:webHidden/>
                <w:rStyle w:val="IndexLink"/>
                <w:rtl w:val="true"/>
              </w:rPr>
              <w:t>الأمر الخامس ما هو الواجب في باب المقدّمة ؟</w:t>
            </w:r>
            <w:r>
              <w:rPr>
                <w:rStyle w:val="IndexLink"/>
                <w:rtl w:val="true"/>
              </w:rPr>
              <w:tab/>
            </w:r>
            <w:r>
              <w:rPr>
                <w:rStyle w:val="IndexLink"/>
              </w:rPr>
              <w:t>354</w:t>
            </w:r>
          </w:hyperlink>
        </w:p>
        <w:p>
          <w:pPr>
            <w:pStyle w:val="Contents5"/>
            <w:tabs>
              <w:tab w:val="clear" w:pos="7892"/>
              <w:tab w:val="right" w:pos="9026" w:leader="dot"/>
            </w:tabs>
            <w:rPr/>
          </w:pPr>
          <w:hyperlink w:anchor="__RefHeading___Toc4563481_2142443653">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4563483_2142443653">
            <w:r>
              <w:rPr>
                <w:webHidden/>
                <w:rStyle w:val="IndexLink"/>
                <w:rtl w:val="true"/>
              </w:rPr>
              <w:t>حول ما نسب إلى صاحب المعالم في المقام</w:t>
            </w:r>
            <w:r>
              <w:rPr>
                <w:rStyle w:val="IndexLink"/>
                <w:rtl w:val="true"/>
              </w:rPr>
              <w:tab/>
            </w:r>
            <w:r>
              <w:rPr>
                <w:rStyle w:val="IndexLink"/>
              </w:rPr>
              <w:t>354</w:t>
            </w:r>
          </w:hyperlink>
        </w:p>
        <w:p>
          <w:pPr>
            <w:pStyle w:val="Contents5"/>
            <w:tabs>
              <w:tab w:val="clear" w:pos="7892"/>
              <w:tab w:val="right" w:pos="9026" w:leader="dot"/>
            </w:tabs>
            <w:rPr/>
          </w:pPr>
          <w:hyperlink w:anchor="__RefHeading___Toc4563485_2142443653">
            <w:r>
              <w:rPr>
                <w:webHidden/>
                <w:rStyle w:val="IndexLink"/>
                <w:rtl w:val="true"/>
              </w:rPr>
              <w:t>حول ما نسب إلى الشيخ الأعظم في المقام</w:t>
            </w:r>
            <w:r>
              <w:rPr>
                <w:rStyle w:val="IndexLink"/>
                <w:rtl w:val="true"/>
              </w:rPr>
              <w:tab/>
            </w:r>
            <w:r>
              <w:rPr>
                <w:rStyle w:val="IndexLink"/>
              </w:rPr>
              <w:t>355</w:t>
            </w:r>
          </w:hyperlink>
        </w:p>
        <w:p>
          <w:pPr>
            <w:pStyle w:val="Contents5"/>
            <w:tabs>
              <w:tab w:val="clear" w:pos="7892"/>
              <w:tab w:val="right" w:pos="9026" w:leader="dot"/>
            </w:tabs>
            <w:rPr/>
          </w:pPr>
          <w:hyperlink w:anchor="__RefHeading___Toc4563487_2142443653">
            <w:r>
              <w:rPr>
                <w:webHidden/>
                <w:rStyle w:val="IndexLink"/>
                <w:rtl w:val="true"/>
              </w:rPr>
              <w:t xml:space="preserve">حول وجوب المقدّمة الموصلة </w:t>
            </w:r>
            <w:r>
              <w:rPr>
                <w:rStyle w:val="IndexLink"/>
                <w:rtl w:val="true"/>
              </w:rPr>
              <w:t>(</w:t>
            </w:r>
            <w:r>
              <w:rPr>
                <w:rStyle w:val="IndexLink"/>
                <w:rtl w:val="true"/>
              </w:rPr>
              <w:t>مقالة صاحب الفصول</w:t>
            </w:r>
            <w:r>
              <w:rPr>
                <w:rStyle w:val="IndexLink"/>
                <w:rtl w:val="true"/>
              </w:rPr>
              <w:t>)</w:t>
              <w:tab/>
            </w:r>
            <w:r>
              <w:rPr>
                <w:rStyle w:val="IndexLink"/>
              </w:rPr>
              <w:t>358</w:t>
            </w:r>
          </w:hyperlink>
        </w:p>
        <w:p>
          <w:pPr>
            <w:pStyle w:val="Contents5"/>
            <w:tabs>
              <w:tab w:val="clear" w:pos="7892"/>
              <w:tab w:val="right" w:pos="9026" w:leader="dot"/>
            </w:tabs>
            <w:rPr/>
          </w:pPr>
          <w:hyperlink w:anchor="__RefHeading___Toc4563489_2142443653">
            <w:r>
              <w:rPr>
                <w:webHidden/>
                <w:rStyle w:val="IndexLink"/>
                <w:rtl w:val="true"/>
              </w:rPr>
              <w:t>إشكالات المقدّمة الموصلة وأجوبتها</w:t>
            </w:r>
            <w:r>
              <w:rPr>
                <w:rStyle w:val="IndexLink"/>
                <w:rtl w:val="true"/>
              </w:rPr>
              <w:tab/>
            </w:r>
            <w:r>
              <w:rPr>
                <w:rStyle w:val="IndexLink"/>
              </w:rPr>
              <w:t>358</w:t>
            </w:r>
          </w:hyperlink>
        </w:p>
        <w:p>
          <w:pPr>
            <w:pStyle w:val="Contents5"/>
            <w:tabs>
              <w:tab w:val="clear" w:pos="7892"/>
              <w:tab w:val="right" w:pos="9026" w:leader="dot"/>
            </w:tabs>
            <w:rPr/>
          </w:pPr>
          <w:hyperlink w:anchor="__RefHeading___Toc4563491_2142443653">
            <w:r>
              <w:rPr>
                <w:webHidden/>
                <w:rStyle w:val="IndexLink"/>
                <w:rtl w:val="true"/>
              </w:rPr>
              <w:t>في حال وجوب المقدّمة حال الإيصال</w:t>
            </w:r>
            <w:r>
              <w:rPr>
                <w:rStyle w:val="IndexLink"/>
                <w:rtl w:val="true"/>
              </w:rPr>
              <w:tab/>
            </w:r>
            <w:r>
              <w:rPr>
                <w:rStyle w:val="IndexLink"/>
              </w:rPr>
              <w:t>362</w:t>
            </w:r>
          </w:hyperlink>
        </w:p>
        <w:p>
          <w:pPr>
            <w:pStyle w:val="Contents5"/>
            <w:tabs>
              <w:tab w:val="clear" w:pos="7892"/>
              <w:tab w:val="right" w:pos="9026" w:leader="dot"/>
            </w:tabs>
            <w:rPr/>
          </w:pPr>
          <w:hyperlink w:anchor="__RefHeading___Toc4563493_2142443653">
            <w:r>
              <w:rPr>
                <w:webHidden/>
                <w:rStyle w:val="IndexLink"/>
                <w:rtl w:val="true"/>
              </w:rPr>
              <w:t>التحقيق وجوب المقدّمة الموصلة</w:t>
            </w:r>
            <w:r>
              <w:rPr>
                <w:rStyle w:val="IndexLink"/>
                <w:rtl w:val="true"/>
              </w:rPr>
              <w:tab/>
            </w:r>
            <w:r>
              <w:rPr>
                <w:rStyle w:val="IndexLink"/>
              </w:rPr>
              <w:t>366</w:t>
            </w:r>
          </w:hyperlink>
        </w:p>
        <w:p>
          <w:pPr>
            <w:pStyle w:val="Contents5"/>
            <w:tabs>
              <w:tab w:val="clear" w:pos="7892"/>
              <w:tab w:val="right" w:pos="9026" w:leader="dot"/>
            </w:tabs>
            <w:rPr/>
          </w:pPr>
          <w:hyperlink w:anchor="__RefHeading___Toc4563495_2142443653">
            <w:r>
              <w:rPr>
                <w:webHidden/>
                <w:rStyle w:val="IndexLink"/>
                <w:rtl w:val="true"/>
              </w:rPr>
              <w:t>ثمرة القول بالمقدّمة الموصلة</w:t>
            </w:r>
            <w:r>
              <w:rPr>
                <w:rStyle w:val="IndexLink"/>
                <w:rtl w:val="true"/>
              </w:rPr>
              <w:tab/>
            </w:r>
            <w:r>
              <w:rPr>
                <w:rStyle w:val="IndexLink"/>
              </w:rPr>
              <w:t>367</w:t>
            </w:r>
          </w:hyperlink>
        </w:p>
        <w:p>
          <w:pPr>
            <w:pStyle w:val="Contents5"/>
            <w:tabs>
              <w:tab w:val="clear" w:pos="7892"/>
              <w:tab w:val="right" w:pos="9026" w:leader="dot"/>
            </w:tabs>
            <w:rPr/>
          </w:pPr>
          <w:hyperlink w:anchor="__RefHeading___Toc4563497_2142443653">
            <w:r>
              <w:rPr>
                <w:webHidden/>
                <w:rStyle w:val="IndexLink"/>
                <w:rtl w:val="true"/>
              </w:rPr>
              <w:t>الواجب الأصلي والتبعي</w:t>
            </w:r>
            <w:r>
              <w:rPr>
                <w:rStyle w:val="IndexLink"/>
                <w:rtl w:val="true"/>
              </w:rPr>
              <w:tab/>
            </w:r>
            <w:r>
              <w:rPr>
                <w:rStyle w:val="IndexLink"/>
              </w:rPr>
              <w:t>371</w:t>
            </w:r>
          </w:hyperlink>
        </w:p>
        <w:p>
          <w:pPr>
            <w:pStyle w:val="Contents5"/>
            <w:tabs>
              <w:tab w:val="clear" w:pos="7892"/>
              <w:tab w:val="right" w:pos="9026" w:leader="dot"/>
            </w:tabs>
            <w:rPr/>
          </w:pPr>
          <w:hyperlink w:anchor="__RefHeading___Toc4563499_2142443653">
            <w:r>
              <w:rPr>
                <w:webHidden/>
                <w:rStyle w:val="IndexLink"/>
                <w:rtl w:val="true"/>
              </w:rPr>
              <w:t xml:space="preserve">تتميم </w:t>
            </w:r>
            <w:r>
              <w:rPr>
                <w:rStyle w:val="IndexLink"/>
                <w:rtl w:val="true"/>
              </w:rPr>
              <w:t xml:space="preserve">: </w:t>
            </w:r>
            <w:r>
              <w:rPr>
                <w:rStyle w:val="IndexLink"/>
                <w:rtl w:val="true"/>
              </w:rPr>
              <w:t>في ثمرة بحث مقدّمة الواجب</w:t>
            </w:r>
            <w:r>
              <w:rPr>
                <w:rStyle w:val="IndexLink"/>
                <w:rtl w:val="true"/>
              </w:rPr>
              <w:tab/>
            </w:r>
            <w:r>
              <w:rPr>
                <w:rStyle w:val="IndexLink"/>
              </w:rPr>
              <w:t>373</w:t>
            </w:r>
          </w:hyperlink>
        </w:p>
        <w:p>
          <w:pPr>
            <w:pStyle w:val="Contents5"/>
            <w:tabs>
              <w:tab w:val="clear" w:pos="7892"/>
              <w:tab w:val="right" w:pos="9026" w:leader="dot"/>
            </w:tabs>
            <w:rPr/>
          </w:pPr>
          <w:hyperlink w:anchor="__RefHeading___Toc4563501_2142443653">
            <w:r>
              <w:rPr>
                <w:webHidden/>
                <w:rStyle w:val="IndexLink"/>
                <w:rtl w:val="true"/>
              </w:rPr>
              <w:t>حول تأسيس الأصل في مقدّمة الواجب</w:t>
            </w:r>
            <w:r>
              <w:rPr>
                <w:rStyle w:val="IndexLink"/>
                <w:rtl w:val="true"/>
              </w:rPr>
              <w:tab/>
            </w:r>
            <w:r>
              <w:rPr>
                <w:rStyle w:val="IndexLink"/>
              </w:rPr>
              <w:t>374</w:t>
            </w:r>
          </w:hyperlink>
        </w:p>
        <w:p>
          <w:pPr>
            <w:pStyle w:val="Contents5"/>
            <w:tabs>
              <w:tab w:val="clear" w:pos="7892"/>
              <w:tab w:val="right" w:pos="9026" w:leader="dot"/>
            </w:tabs>
            <w:rPr/>
          </w:pPr>
          <w:hyperlink w:anchor="__RefHeading___Toc4563503_2142443653">
            <w:r>
              <w:rPr>
                <w:webHidden/>
                <w:rStyle w:val="IndexLink"/>
                <w:rtl w:val="true"/>
              </w:rPr>
              <w:t>التحقيق عدم وجوب المقدّمة</w:t>
            </w:r>
            <w:r>
              <w:rPr>
                <w:rStyle w:val="IndexLink"/>
                <w:rtl w:val="true"/>
              </w:rPr>
              <w:tab/>
            </w:r>
            <w:r>
              <w:rPr>
                <w:rStyle w:val="IndexLink"/>
              </w:rPr>
              <w:t>375</w:t>
            </w:r>
          </w:hyperlink>
        </w:p>
        <w:p>
          <w:pPr>
            <w:pStyle w:val="Contents5"/>
            <w:tabs>
              <w:tab w:val="clear" w:pos="7892"/>
              <w:tab w:val="right" w:pos="9026" w:leader="dot"/>
            </w:tabs>
            <w:rPr/>
          </w:pPr>
          <w:hyperlink w:anchor="__RefHeading___Toc4563505_2142443653">
            <w:r>
              <w:rPr>
                <w:webHidden/>
                <w:rStyle w:val="IndexLink"/>
                <w:rtl w:val="true"/>
              </w:rPr>
              <w:t xml:space="preserve">تتمّة </w:t>
            </w:r>
            <w:r>
              <w:rPr>
                <w:rStyle w:val="IndexLink"/>
                <w:rtl w:val="true"/>
              </w:rPr>
              <w:t xml:space="preserve">: </w:t>
            </w:r>
            <w:r>
              <w:rPr>
                <w:rStyle w:val="IndexLink"/>
                <w:rtl w:val="true"/>
              </w:rPr>
              <w:t>في مقدّمة الحرام</w:t>
            </w:r>
            <w:r>
              <w:rPr>
                <w:rStyle w:val="IndexLink"/>
                <w:rtl w:val="true"/>
              </w:rPr>
              <w:tab/>
            </w:r>
            <w:r>
              <w:rPr>
                <w:rStyle w:val="IndexLink"/>
              </w:rPr>
              <w:t>380</w:t>
            </w:r>
          </w:hyperlink>
        </w:p>
        <w:p>
          <w:pPr>
            <w:pStyle w:val="Contents2"/>
            <w:tabs>
              <w:tab w:val="clear" w:pos="8743"/>
              <w:tab w:val="right" w:pos="9026" w:leader="dot"/>
            </w:tabs>
            <w:rPr/>
          </w:pPr>
          <w:hyperlink w:anchor="__RefHeading___Toc4563507_2142443653">
            <w:r>
              <w:rPr>
                <w:webHidden/>
                <w:rStyle w:val="IndexLink"/>
                <w:rtl w:val="true"/>
              </w:rPr>
              <w:t>الفهارس العامّة</w:t>
            </w:r>
            <w:r>
              <w:rPr>
                <w:rStyle w:val="IndexLink"/>
                <w:rtl w:val="true"/>
              </w:rPr>
              <w:tab/>
            </w:r>
            <w:r>
              <w:rPr>
                <w:rStyle w:val="IndexLink"/>
              </w:rPr>
              <w:t>386</w:t>
            </w:r>
          </w:hyperlink>
        </w:p>
        <w:p>
          <w:pPr>
            <w:pStyle w:val="Contents3"/>
            <w:tabs>
              <w:tab w:val="clear" w:pos="8459"/>
              <w:tab w:val="right" w:pos="9026" w:leader="dot"/>
            </w:tabs>
            <w:rPr/>
          </w:pPr>
          <w:hyperlink w:anchor="__RefHeading___Toc4563509_2142443653">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4563511_2142443653">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388</w:t>
            </w:r>
          </w:hyperlink>
        </w:p>
        <w:p>
          <w:pPr>
            <w:pStyle w:val="Contents3"/>
            <w:tabs>
              <w:tab w:val="clear" w:pos="8459"/>
              <w:tab w:val="right" w:pos="9026" w:leader="dot"/>
            </w:tabs>
            <w:rPr/>
          </w:pPr>
          <w:hyperlink w:anchor="__RefHeading___Toc4563513_2142443653">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391</w:t>
            </w:r>
          </w:hyperlink>
        </w:p>
        <w:p>
          <w:pPr>
            <w:pStyle w:val="Contents3"/>
            <w:tabs>
              <w:tab w:val="clear" w:pos="8459"/>
              <w:tab w:val="right" w:pos="9026" w:leader="dot"/>
            </w:tabs>
            <w:rPr/>
          </w:pPr>
          <w:hyperlink w:anchor="__RefHeading___Toc4563515_2142443653">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392</w:t>
            </w:r>
          </w:hyperlink>
        </w:p>
        <w:p>
          <w:pPr>
            <w:pStyle w:val="Contents3"/>
            <w:tabs>
              <w:tab w:val="clear" w:pos="8459"/>
              <w:tab w:val="right" w:pos="9026" w:leader="dot"/>
            </w:tabs>
            <w:rPr/>
          </w:pPr>
          <w:hyperlink w:anchor="__RefHeading___Toc4563517_2142443653">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394</w:t>
            </w:r>
          </w:hyperlink>
        </w:p>
        <w:p>
          <w:pPr>
            <w:pStyle w:val="Contents3"/>
            <w:tabs>
              <w:tab w:val="clear" w:pos="8459"/>
              <w:tab w:val="right" w:pos="9026" w:leader="dot"/>
            </w:tabs>
            <w:rPr/>
          </w:pPr>
          <w:hyperlink w:anchor="__RefHeading___Toc4563519_2142443653">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398</w:t>
            </w:r>
          </w:hyperlink>
        </w:p>
        <w:p>
          <w:pPr>
            <w:pStyle w:val="Contents3"/>
            <w:tabs>
              <w:tab w:val="clear" w:pos="8459"/>
              <w:tab w:val="right" w:pos="9026" w:leader="dot"/>
            </w:tabs>
            <w:rPr/>
          </w:pPr>
          <w:hyperlink w:anchor="__RefHeading___Toc4563521_2142443653">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400</w:t>
            </w:r>
          </w:hyperlink>
        </w:p>
        <w:p>
          <w:pPr>
            <w:pStyle w:val="Contents3"/>
            <w:tabs>
              <w:tab w:val="clear" w:pos="8459"/>
              <w:tab w:val="right" w:pos="9026" w:leader="dot"/>
            </w:tabs>
            <w:rPr/>
          </w:pPr>
          <w:hyperlink w:anchor="__RefHeading___Toc4563523_2142443653">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412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78_146119"/>
      <w:bookmarkStart w:id="1" w:name="pg15278_146119"/>
      <w:bookmarkEnd w:id="1"/>
    </w:p>
    <w:p>
      <w:pPr>
        <w:pStyle w:val="Heading2"/>
        <w:numPr>
          <w:ilvl w:val="1"/>
          <w:numId w:val="1"/>
        </w:numPr>
        <w:rPr/>
      </w:pPr>
      <w:bookmarkStart w:id="2" w:name="pg15278_146119"/>
      <w:bookmarkStart w:id="3" w:name="__RefHeading___Toc4563071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الوصول الی علم الاصول المجلد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6307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78_146123"/>
      <w:bookmarkStart w:id="8" w:name="pg15278_146123"/>
      <w:bookmarkEnd w:id="8"/>
    </w:p>
    <w:p>
      <w:pPr>
        <w:pStyle w:val="Heading2"/>
        <w:numPr>
          <w:ilvl w:val="1"/>
          <w:numId w:val="1"/>
        </w:numPr>
        <w:rPr/>
      </w:pPr>
      <w:bookmarkStart w:id="9" w:name="pg15278_146123"/>
      <w:bookmarkStart w:id="10" w:name="__RefHeading___Toc4563075_2142443653"/>
      <w:bookmarkStart w:id="11" w:name="_Toc3"/>
      <w:bookmarkEnd w:id="9"/>
      <w:bookmarkEnd w:id="10"/>
      <w:r>
        <w:rPr>
          <w:rtl w:val="true"/>
        </w:rPr>
        <w:t xml:space="preserve">مقدّمة موسوعة الإمام الخميني </w:t>
      </w:r>
      <w:r>
        <w:rPr>
          <w:rtl w:val="true"/>
        </w:rPr>
        <w:t>(</w:t>
      </w:r>
      <w:r>
        <w:rPr>
          <w:rtl w:val="true"/>
        </w:rPr>
        <w:t>س</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قضى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خمسين عاماً من عمره الشريف مشتغلاً بالتعليم والتحقيق والتأليف ناجحاً في كلّ هذه المراحل كلّ النجاح، أثمرت له مكتسبات وحصائل عظيمة وذات قيمة 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بالإضافة إلى ثلاثة عقود من تولّيه للمرجعية الشيعية وقيادته لنضال الشعب الإيراني المسلم وإقامته لكيان الجمهورية الإسلامية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سماحة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سنوات حضوره في الحوزتين العلميتين في قم المقدّسة والنجف الأشرف وبالتوازي مع تعليمه وتدريسه على أعلى المستويات في الفقه والاُصول والفلسفة والعرفان والأخلاق؛ مهتمّاً كلّ الاهتمام بتأليف الكتب في هذه الموضوعات، ما يظهر ويتجلّى لنا بوضوح من خلالها تعدّد الجهات العلمية المختلفة ومدى إحاطته وتضلّع باعه في تلك العلوم وما يرتبط بها كالمنطق والفلسفة والتفسير والحديث والرجال وغيرها من شعب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الطريف أنّ سماحة الإمام بدأ تأليفه من الموضوعات العقلية الغامضة والصعبة التي لا تنالها أيدي الأفكار إلاّ بجهاد واجتهاد حتّى مرحلة التعلّم، فضلاً عن التعليم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ألّف عام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دعاء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العرفان وهو أوّل كتاب له، </w:t>
      </w:r>
    </w:p>
    <w:p>
      <w:pPr>
        <w:pStyle w:val="BookText"/>
        <w:rPr/>
      </w:pPr>
      <w:r>
        <w:rPr>
          <w:rFonts w:ascii="Amiri" w:hAnsi="Amiri" w:eastAsia="Amiri" w:cs="Amiri"/>
          <w:color w:val="111111"/>
          <w:sz w:val="28"/>
          <w:sz w:val="28"/>
          <w:szCs w:val="28"/>
          <w:rtl w:val="true"/>
          <w:lang w:bidi="ar-SA"/>
        </w:rPr>
        <w:t xml:space="preserve">واستمرّ في سياق التأليف حتّى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حيث ألّف أيّام إقامته في النجف الأشرف آخر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 أصعب المباحث المطروحة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مجال العرفان، ألّف باللغة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دعاء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على 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 إلى الخلافة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على شرح فصوص الحكم ومصباح الاُنس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الأبحاث الأخلاقية والعرفانية وباللغة 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جنود عقل وجهل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علم اُصول الفقه، ألّف أسفاراً قيّمة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مناهج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الهداية في التعليقة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الدرر في قاعدة 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لمحات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تقريراته من إفادات السيّد البروجردي لمحاضرات ألقاها في خارج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إطار الفقه الفتوائي، صنّف باللغة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التعليقة على 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وباللغة 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حاشيه بر رساله ارث ملاهاشم 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بر توضيح المسائل آيت الله 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الفقه الاستدلالي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الخلل في الصلاة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وخلال هذه الكتب، قد ألّف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وعدّة رسائل فقهية </w:t>
      </w:r>
    </w:p>
    <w:p>
      <w:pPr>
        <w:pStyle w:val="BookText"/>
        <w:rPr/>
      </w:pPr>
      <w:r>
        <w:rPr>
          <w:rFonts w:ascii="Amiri" w:hAnsi="Amiri" w:eastAsia="Amiri" w:cs="Amiri"/>
          <w:color w:val="111111"/>
          <w:sz w:val="28"/>
          <w:sz w:val="28"/>
          <w:szCs w:val="28"/>
          <w:rtl w:val="true"/>
          <w:lang w:bidi="ar-SA"/>
        </w:rPr>
        <w:t xml:space="preserve">واُصولية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رسائل عرفانية 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تفسيرية لسورة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عدة محاضرات له في الأخلاق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الاستفتائات، فهي مجموعة من الأجوبة التي أفادها بعد انتصار الثورة الإسلامية إلاّ بعض ما وصل إلينا من فترة حضوره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الآثار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قسم كبير من الاستفتائات وعدّة رسائل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تولّت نشرها مؤسّسة تنظيم ونشر آثار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نشر اُخرى بصور مختلفة، ولكن كان من الحقيق علينا القيام بنشرها في مجموعة فاخرة وعصرية وفي متناول اليد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لنيل هذا المرام قامت مؤسّسة تنظيم ونشر آثار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بإنجاز هذه المهمّة طوال سنوات باهتمام ومساهمة من المحقّقين المحنّكين والمسيطرين على شؤون التحقيق العلمية ونجحت في هذه العملية بتقديم آثار سماحة الإمام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بالذكر أنّ ما أوردناه في هذا الإطار هو ما كتَبه وألّفه سماحته شخصياً وبقلمه ولم يرد في الموسوعة شيء من التقريرات التي ألّفها وحرّرها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يلي نذكر المراحل التي قضيناها في سبيل إعداد هذه المجموعة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إعادة القراءة وتصحيح المتن والمقابلة مع النسخ الأصلية والموجودة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المصادر والمآخذ والأقوال وتوحيدها وإكمال العناوين الأصلية والفرعية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الفهارس الفنّية لكلّ مجلّد لتسهيل وصول المحقّقين والمشتاقين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التحرير العلمي والفنّي ووضع العلامات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مقدّمة التحقيق لكلّ كتاب بانفراده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التصنيف الموضوعي في الموسوعة الخمسين جزءاً بالترتيب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الاُصولية منها سبعة أجزاء، والفقهية الاستدلالية أربعة عشر جزءاً، والفقهية الفتوائية عشرة أجزاء، والاستفتائات عشرة أجزاء، والكتب العقلية تسعة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المستقبل القريب يصدر الجزء الصفر لهذه المجموعة والذي يشتمل على مقدّمة مفصّلة حول مكانة وشخصية الإمام العلمية وآثاره هكذا كما يصدر جزءان كفهارس ودلالات على الموسوعة بأسرها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الختام نقدّم جزيل الشكر والتقدير لكلّ من حجّة الإسلام والمسلمين مسيح بروجردي بوصفه مشرفاً عامّاً وحجّة الإسلام والمسلمين حسين شايعي بوصفه ناظراً علمياً، وأيضاً سماحة إبراهيم طاهري كيا بوصفه مديراً للمشروع، وهكذا حجج الإسلام مهدي مهريزي الذي اقترح المشروع ورسول عبداللهي، وقد تمّ قسم من العمل في فترة إدارتهما للمؤسّسة وأيضاً الإخوة والسادة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پويا مساعد التحقيق ومحمّد كاظم تقوي، رضا هوشياري، حجت الله أخضري، عباس أخضري، داود صالحيتبار، سيّد مرتضى سيّد إبراهيمي، حسين شهابي، محمود أيّوبي، محسن إيزدي، علي كريمي، حسنعلي منصوري، محمّد علي حسن‌زاده، محمّد حسن عباسي، محمّد روحاني وعلي سبحاني، وكلّ من ساهم من الإخوة الكرام في إنجاز هذا المشروع وما تحمّلوا في سبيله من عناء؛ ولا شكّ أنّه لم يكن ليؤتي بثماره لولا هذه الهمم العالية والجهود السامية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p>
    <w:p>
      <w:pPr>
        <w:pStyle w:val="BookText"/>
        <w:rPr/>
      </w:pPr>
      <w:r>
        <w:rPr>
          <w:rFonts w:ascii="Amiri" w:hAnsi="Amiri" w:eastAsia="Amiri" w:cs="Amiri"/>
          <w:color w:val="111111"/>
          <w:sz w:val="28"/>
          <w:sz w:val="28"/>
          <w:szCs w:val="28"/>
          <w:rtl w:val="true"/>
          <w:lang w:bidi="ar-SA"/>
        </w:rPr>
        <w:t>مدير مؤسّسة تنظيم ونشر آثار الإمام الخميني</w:t>
      </w:r>
    </w:p>
    <w:p>
      <w:pPr>
        <w:pStyle w:val="BookText"/>
        <w:rPr/>
      </w:pPr>
      <w:r>
        <w:rPr>
          <w:rFonts w:ascii="Amiri" w:hAnsi="Amiri" w:eastAsia="Amiri" w:cs="Amiri"/>
          <w:color w:val="111111"/>
          <w:sz w:val="28"/>
          <w:sz w:val="28"/>
          <w:szCs w:val="28"/>
          <w:rtl w:val="true"/>
          <w:lang w:bidi="ar-SA"/>
        </w:rPr>
        <w:t>فرع قم المقدّسة</w:t>
      </w:r>
    </w:p>
    <w:p>
      <w:pPr>
        <w:pStyle w:val="BookText"/>
        <w:rPr/>
      </w:pPr>
      <w:r>
        <w:rPr>
          <w:rFonts w:ascii="Amiri" w:hAnsi="Amiri" w:eastAsia="Amiri" w:cs="Amiri"/>
          <w:color w:val="111111"/>
          <w:sz w:val="28"/>
          <w:sz w:val="28"/>
          <w:szCs w:val="28"/>
          <w:rtl w:val="true"/>
          <w:lang w:bidi="ar-SA"/>
        </w:rPr>
        <w:t>سيّد حبيب الله الموسوي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bookmarkStart w:id="12" w:name="pg15278_146127"/>
    </w:p>
    <w:p>
      <w:pPr>
        <w:pStyle w:val="Heading2"/>
        <w:numPr>
          <w:ilvl w:val="1"/>
          <w:numId w:val="1"/>
        </w:numPr>
        <w:rPr/>
      </w:pPr>
      <w:bookmarkStart w:id="13" w:name="__RefHeading___Toc4563077_2142443653"/>
      <w:bookmarkStart w:id="14" w:name="_Toc4"/>
      <w:bookmarkEnd w:id="12"/>
      <w:bookmarkEnd w:id="13"/>
      <w:r>
        <w:rPr>
          <w:rtl w:val="true"/>
        </w:rPr>
        <w:t>مقدّمة التحقيق</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من البركات الإلهية توفيق الإمام الخميني قدّس سرّه  لكتابة دورة كاملة من علم اُصول الفقه؛ فإنّه وبإزاء تدريسه لهذا العلم وبعد إلقائه الدروس على جمع من الطلاّب كان يدوّنها، وقد قام بتتميم بعض أبحاثه عند تدريسه له في الدورات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نظّمت المدوّنات الاُصولية للإمام الخميني قدّس سرّه  في هذه الموسوعة ضمن سبعة مجلّدات وستأتي التوضيحات المتعلّقة بكلّ منها في مقدّمته الخاصّة به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حرّره من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وقد فرغ منه في الرابع والعشرين من شهر شوّال المكرّم من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مجلّدان يشتملان على مباحث الألفاظ وفقاً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درّس الإمام الخميني قدّس سرّه  هذه الأبواب مرّتين، والمرّة الثانية هي </w:t>
      </w:r>
    </w:p>
    <w:p>
      <w:pPr>
        <w:pStyle w:val="BookText"/>
        <w:rPr/>
      </w:pPr>
      <w:r>
        <w:rPr>
          <w:rFonts w:ascii="Amiri" w:hAnsi="Amiri" w:eastAsia="Amiri" w:cs="Amiri"/>
          <w:color w:val="111111"/>
          <w:sz w:val="28"/>
          <w:sz w:val="28"/>
          <w:szCs w:val="28"/>
          <w:rtl w:val="true"/>
          <w:lang w:bidi="ar-SA"/>
        </w:rPr>
        <w:t xml:space="preserve">آخر دورة درّسها في علم الاُصول حتّى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أضاف إلى الكتاب تعاليق وعبارات وفقاً لآرائه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القارئ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المعالم الرئيسية والكلّية للمدرسة الاُصولية للإمام الخميني قدّس سرّه  التي جاءت بعضها في مقدّمة تلميذه المبرّز آية الله العظمى الفاضل اللنكراني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الضروري الإشارة إلى أنّ سماحة الإمام قدّس سرّه  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نقاطاً هامّة قيّمة وتحقيقات ذات تأثير بالغ، مثل ما ذكره حول نقد قياس العلل التشريعية على التكوينية، الفرق بين العامّ والمطلق، متعلّق الأمر والنهي، المعانى الحرفية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أهمّها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الخطابات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نظرية بديعة وذات آثار واسعة في الفقه، بل في الكثير من الأبحاث الاُصولية أيضاً، وقد أثبت قدّس سرّه  في هذه النظرية ثلاث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الخطابات الشرعية ليست على أساس خطاب المولى والعبد، بل هي على أساس القواعد القانونية الرائجة بين الحكومة والمجتمع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الخطابات الشرعية هي كالخطابات القانونية الرائجة بين العقلاء، لا تنحلّ إلى عدد الأفراد والموضوعات وإنّما هي خطابات كلّية لا يلاحظ فيها الأفراد والموضوعات بخصوصياتها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الخطابات الشرعية حيث لا يلاحظ فيها اختصاصات الأفراد، تشمل العاجز والناسي والعاصي والكافر، إلاّ أن يخرج الشارع نفسه بعض الأفراد من خطابه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الخصيصة الاُخرى الملحوظة بكثرة في هذا الكتاب هي تبيين بعض المسائل والأبحاث الفلسفية العميقة وهي قاعدة الواحد، الوجود الرابط، الكلّي الطبيعى، </w:t>
      </w:r>
      <w:bookmarkStart w:id="15" w:name="pg15278_146129"/>
    </w:p>
    <w:p>
      <w:pPr>
        <w:pStyle w:val="BookText"/>
        <w:rPr/>
      </w:pPr>
      <w:bookmarkEnd w:id="15"/>
      <w:r>
        <w:rPr>
          <w:rFonts w:ascii="Amiri" w:hAnsi="Amiri" w:eastAsia="Amiri" w:cs="Amiri"/>
          <w:color w:val="111111"/>
          <w:sz w:val="28"/>
          <w:sz w:val="28"/>
          <w:szCs w:val="28"/>
          <w:rtl w:val="true"/>
          <w:lang w:bidi="ar-SA"/>
        </w:rPr>
        <w:t>اعتبارات الماهية، أحكام التناقض والتضادّ وغيرها، وذلك لبيان مزالق الأبحاث في المؤلّفات الاُصولية للآخرين، حفظاً على أصل عدم الخلط بين الأبحاث الحقيقية والاعتبارية</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4563079_2142443653"/>
      <w:bookmarkStart w:id="17" w:name="_Toc5"/>
      <w:bookmarkEnd w:id="16"/>
      <w:r>
        <w:rPr>
          <w:rtl w:val="true"/>
        </w:rPr>
        <w:t xml:space="preserve">رسالة </w:t>
      </w:r>
      <w:r>
        <w:rPr>
          <w:rtl w:val="true"/>
        </w:rPr>
        <w:t>«</w:t>
      </w:r>
      <w:r>
        <w:rPr>
          <w:rtl w:val="true"/>
        </w:rPr>
        <w:t>الطلب والإرادة</w:t>
      </w:r>
      <w:r>
        <w:rPr>
          <w:rtl w:val="true"/>
        </w:rPr>
        <w:t>»</w:t>
      </w:r>
      <w:bookmarkEnd w:id="17"/>
    </w:p>
    <w:p>
      <w:pPr>
        <w:pStyle w:val="BookText"/>
        <w:rPr/>
      </w:pPr>
      <w:r>
        <w:rPr>
          <w:rFonts w:ascii="Amiri" w:hAnsi="Amiri" w:eastAsia="Amiri" w:cs="Amiri"/>
          <w:color w:val="111111"/>
          <w:sz w:val="28"/>
          <w:sz w:val="28"/>
          <w:szCs w:val="28"/>
          <w:rtl w:val="true"/>
          <w:lang w:bidi="ar-SA"/>
        </w:rPr>
        <w:t xml:space="preserve">ثمّ هذا الكتاب يشتمل على رسالة حول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الأبحاث الكلامية والفلسفية المعقّدة؛ لأ نّه قد اُورد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جزءاً من الكتب الاُصولية المتأخّرة، لكن حيث إنّ دأب الإمام الخميني قدّس سرّه  هو عدم خلط المسائل المتعلّقة بعلم مع علم آخر، بل كان يبذل جهده ببيان المسائل الخاصّة بذلك العلم خاصّة، من هنا فإنّه لمّا وصل في درسه إلى هذا البحث وكان يرى أنّه خارج عن الاُصول المتعارفة كتب رسالة مستقلّة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وطبعت سابقاً شكل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هذه الطبعة فلمّا رأينا شدّة احتياج الباحثين إلى هذه الرسالة مع صغر حجمها، طبعناها تبعاً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منضمّة إلى مباحث الألفاظ من علم الاُصول</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4563081_2142443653"/>
      <w:bookmarkStart w:id="19" w:name="_Toc6"/>
      <w:bookmarkEnd w:id="18"/>
      <w:r>
        <w:rPr>
          <w:rtl w:val="true"/>
        </w:rPr>
        <w:t>منهجنا في التحقيق</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المطلوب له مراحل عديدة ومعروفة، فلأجل الدقّة في إنجاز الأعمال اللازمة في تحقيق هذه الموسوعة لم تقنع المؤسّسة بتنفيذ مراحلها مرّة واحدة وإنّما قامت بتكرارها عدّة مرّات ومن قبل العديد من الباحثين؛ تفادياً للأخطاء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فيما يلي إيضاح هذه المراحل بشكل مختصر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الكتاب طبقاً للنسخة التي بخطّ المؤلّف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النصّ وترقيمه بعلائم الترقيم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إضافة عدد من العناوين بهدف تسهيل الرجوع للكتاب، ونظراً إلى كثرتها فقد جرّدناها من المعقوفين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الآيات الكريمة، والأحاديث الشريفة، وقد أسندناها إلى مصادرها الأصلية كالكتب الأربعة وكتب الواسطة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الأقوال والآراء المنقولة قدر المستطاع؛ سواء الفقهية منها والاُصولية والفلسفية واللغوية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قد عبّرنا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لم نتمكّن من تحديد صاحب القول الأصلي، أو لم نعثر على القول في كتابه، أو لم يكن المنقول مطابقاً للموجود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الفهارس الفنّية لكلّ مجلّد تسهيلاً لأمر المحقّقين والاستفادة الكاملة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الكتاب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الوصول إلى علم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كانت من قبل مؤسّسة تنظيم ونشر آثار الإمام الخميني قدّس سرّه ، بإجازة نجله الرحيل حجّة الإسلام والمسلمين الحاج السيّد أحمد الخميني قدّس سرّه  عند نشره بعد رحلة الإمام قدّس سرّه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الكتاب قد طبع لأوّل مرّة في شوّال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الموافق لشهر فروردين من 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انتشرت نظرياته الاُصولية حول مباحث الألفاظ قبل هذا التأريخ 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آية الله العظمى الشيخ جعفر السبحاني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وليعلم أنّ هذه المراحل قد وقعت في الطبعة الاُولى لهذه المؤسّسة وفي هذه الطبعة قد صحّحناها وهذّبناها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نتقدّم بالشكر الجزيل والثناء الجميل لجميع الأفاضل الذين ساهموا في هذا المشروع المبارك والذي استمرّ ستّة أعوام لنشر هذه الموسوعة، ونسأل البارئ أن يوفّقهم جميعاً ويثيبهم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وحسبنا الله ونعم الوكيل</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bookmarkStart w:id="20" w:name="pg15278_146132"/>
    </w:p>
    <w:p>
      <w:pPr>
        <w:pStyle w:val="Heading2"/>
        <w:numPr>
          <w:ilvl w:val="1"/>
          <w:numId w:val="1"/>
        </w:numPr>
        <w:rPr/>
      </w:pPr>
      <w:bookmarkStart w:id="21" w:name="__RefHeading___Toc4563083_2142443653"/>
      <w:bookmarkStart w:id="22" w:name="_Toc7"/>
      <w:bookmarkEnd w:id="20"/>
      <w:bookmarkEnd w:id="21"/>
      <w:r>
        <w:rPr>
          <w:rtl w:val="true"/>
        </w:rPr>
        <w:t>مقدّمة</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w:t>
      </w:r>
    </w:p>
    <w:p>
      <w:pPr>
        <w:pStyle w:val="BookText"/>
        <w:rPr/>
      </w:pPr>
      <w:r>
        <w:rPr>
          <w:rFonts w:ascii="Amiri" w:hAnsi="Amiri" w:eastAsia="Amiri" w:cs="Amiri"/>
          <w:color w:val="111111"/>
          <w:sz w:val="28"/>
          <w:sz w:val="28"/>
          <w:szCs w:val="28"/>
          <w:rtl w:val="true"/>
          <w:lang w:bidi="ar-SA"/>
        </w:rPr>
        <w:t>على خير خلقه وأشرف بريّته محمّد وعلى آله الطيّبين</w:t>
      </w:r>
    </w:p>
    <w:p>
      <w:pPr>
        <w:pStyle w:val="BookText"/>
        <w:rPr/>
      </w:pPr>
      <w:r>
        <w:rPr>
          <w:rFonts w:ascii="Amiri" w:hAnsi="Amiri" w:eastAsia="Amiri" w:cs="Amiri"/>
          <w:color w:val="111111"/>
          <w:sz w:val="28"/>
          <w:sz w:val="28"/>
          <w:szCs w:val="28"/>
          <w:rtl w:val="true"/>
          <w:lang w:bidi="ar-SA"/>
        </w:rPr>
        <w:t>الطاهرين،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فممّا أنعم الله تعالى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نعمائه التي لا تحصى، وآلائه التي لاتعدّ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عظيمة يجب عليّ بإزائها الشكر الكثير، وهي أن وفّقني لإدراك دورة كاملة من المباحث الاُصولية التي ألقاها سيّدنا الاُستاذ العلاّمة المحقّق الإمام الخميني قدّس سرّه  على جمّ غفير من الأفاضل في الحوزة العلمية المقدّسة التي هي بالفعل اُمّ الحوزات العلمية في عالم الشيعة، وهي حوزة قم المحمية، التي هي عُشّ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الزمن القديم إلى يومنا هذا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غرضي في هذا المجال تعريف الاُستاذ وتبيين شخصيته، بل ولا حاجة إليه؛ لكونها غنيّة عن البيان، لا سيّما من مثلي الذي هو من أقلّ تلاميذه بعد كون أبعاده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الفقهية والاُصولية والفلسفية والعرفانية والأخلاقية </w:t>
      </w:r>
    </w:p>
    <w:p>
      <w:pPr>
        <w:pStyle w:val="BookText"/>
        <w:rPr/>
      </w:pPr>
      <w:r>
        <w:rPr>
          <w:rFonts w:ascii="Amiri" w:hAnsi="Amiri" w:eastAsia="Amiri" w:cs="Amiri"/>
          <w:color w:val="111111"/>
          <w:sz w:val="28"/>
          <w:sz w:val="28"/>
          <w:szCs w:val="28"/>
          <w:rtl w:val="true"/>
          <w:lang w:bidi="ar-SA"/>
        </w:rPr>
        <w:t xml:space="preserve">والتفسيرية والرجالية وغيرها من العلوم الإسلامية والفنون المذهبية ومقدّماتها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لدى المخالف والمؤالف، لا سيّما بعد تحقّق الثورة الإسلامية الإيرانية المشتهرة في الآفاق، الواقعة بتفضّل الله وعنايته الخاصّة، بعد المجاهدات الكثيرة وتحمّل المشاقّ والآلام المتنوّعة والتضحيات الكثيرة من الاُمّة المسلمة الإيرانية، الذين كان كثير منهم من الشباب؛ لأنّ الثورة المسبوقة بالمعارضات التي طالت خمس عشرة سنة كانت بقيادة الروحانية والمرجعية وعلى رأسهم الإمام قدّس سرّه ، فإنّه كان هو القائد الأعظم والمؤسّس لنظام الحكومة الإسلامية المحضة، التي يكون تعريفها وتبيينها من طريق أهل البيت عليهم الصلاة والسلام، والإنصاف أنّ تأسيس تلك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الظرف الذي كان الحاكم على إيران مستظهراً بالقدرة العظيمة الظاهرية التي لم يكن فوقها قدرة، وهي قدرة الشيطان الأكبر الذي هو اُمّ الفساد في جميع أقطار العالم في هذا الزمان، وهو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 بالمعجزة، خصوصاً مع عدم الاستظهار بقدرة اُخرى أصلاً وعدم توفّر الإمكانات وعدم التجهيزات حتّى الأجهزة الأوّلية والآلات الساذجة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المستظهَر به هي القدرة المطلقة الإلهية، التي لا يماثلها قدرة أصلاً، والإيمان والاعتقاد بتلك القدرة غير المحدودة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w:t>
      </w:r>
    </w:p>
    <w:p>
      <w:pPr>
        <w:pStyle w:val="BookText"/>
        <w:rPr/>
      </w:pPr>
      <w:r>
        <w:rPr>
          <w:rFonts w:ascii="Amiri" w:hAnsi="Amiri" w:eastAsia="Amiri" w:cs="Amiri"/>
          <w:color w:val="111111"/>
          <w:sz w:val="28"/>
          <w:sz w:val="28"/>
          <w:szCs w:val="28"/>
          <w:rtl w:val="true"/>
          <w:lang w:bidi="ar-SA"/>
        </w:rPr>
        <w:t>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النصر المضاف إلى المحدود محدود، والمضاف إلى الله غيرِ المحدود غيرُ محدود، فجزاء النصر الجزئي المحدود هو النصر الكلّي غير المحدود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نشاهد ثمرات الثورة في أبعادها المختلفة، ومن ثمراتها حدوث التحوّل الكامل، خصوصاً في الشباب الذين كان كثير منهم قبل الثورة غوّاصين </w:t>
      </w:r>
    </w:p>
    <w:p>
      <w:pPr>
        <w:pStyle w:val="BookText"/>
        <w:rPr/>
      </w:pPr>
      <w:r>
        <w:rPr>
          <w:rFonts w:ascii="Amiri" w:hAnsi="Amiri" w:eastAsia="Amiri" w:cs="Amiri"/>
          <w:color w:val="111111"/>
          <w:sz w:val="28"/>
          <w:sz w:val="28"/>
          <w:szCs w:val="28"/>
          <w:rtl w:val="true"/>
          <w:lang w:bidi="ar-SA"/>
        </w:rPr>
        <w:t>في بحار الشهوات، وأحاطت بهم الخطيئات، ولم يكن همّهم إلاّ الالتذاذ بالمعاصي والاشتغال بالسيّئات، وقد تحوّل حالهم إلى أن صار مطلوبهم الأكبر الذي كانوا يدعون له في صلاة ليلهم هي الشهادة في سبيل الله وفداء أنفسهم في الحرب مع العراق التي أشعلها الشيطان الأكبر لغرض مواجهة الثورة وإسقاطها واجتثاثها من أصلها؛ اعتقاداً بأنّ الحكومة الإسلامية والقوانين القرآنية المنطبقة على الفطرة الأصلية والعقل السليم لا تقف عند نقطة خاصّة، بل تسري إلى سائر البلاد، وهو كذلك، فنرى الميل إلى الإسلام الواقعي المحض في كثير من الممالك الإسلامية التي يترأّسها المنتحلون للإسلام المتظاهرون به مع عدم اعتقادهم به بوجه، ولأجله تكون المعارضة والمخالفة مستمرّة، وكثيراً ما يقدّم المعارضون التضحيات الكثيرة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عقيدتي أنّ أهمّ ثمرة للثورة، الذي لا تبلغه ثمرة اُخرى في الأهمّية والعظمة هو اشتهار عقائد الشيعة واطّلاع العالم عليها وعلى أنّ مدرسة التشيّع هي مدرسة المعارضة للظالم والخروج على الطاغوت وحكومته بأيّ نحو كان على مرّ التاريخ، ولم يكن لهذه الشهرة سابقة في بدء الإسلام وأوّل حدوثه؛ ولذا ترتّب على هذه الشهرة توجّه أنظار المحقّقين وأفكار الباحثين الطالبين للحقيقة إلى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الفطرة السليمة غير المشوبة إذا نظرت إلى عقائد الشيعة وأفكارهم في الفنون الإسلامية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الفردية والاجتماعية والسياسية والاقتصادية، وسائر شؤونها المتكثّرة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تكاد تشكّ في صحّتها وكونها هي العقائد الحقّة والقوانين الصالحة لإدارة المجتمعات والحكومات؛ لابتنائها على العقل السليم والمنطق الصحيح والحرّية والاستقلال والتكفّل </w:t>
      </w:r>
      <w:bookmarkStart w:id="23" w:name="pg15278_146135"/>
    </w:p>
    <w:p>
      <w:pPr>
        <w:pStyle w:val="BookText"/>
        <w:rPr/>
      </w:pPr>
      <w:bookmarkEnd w:id="23"/>
      <w:r>
        <w:rPr>
          <w:rFonts w:ascii="Amiri" w:hAnsi="Amiri" w:eastAsia="Amiri" w:cs="Amiri"/>
          <w:color w:val="111111"/>
          <w:sz w:val="28"/>
          <w:sz w:val="28"/>
          <w:szCs w:val="28"/>
          <w:rtl w:val="true"/>
          <w:lang w:bidi="ar-SA"/>
        </w:rPr>
        <w:t>لجميع شؤون المعاش والمعاد في جميع الأعصار والأدوار وكلّ أقطار العالم على اختلاف ألسنتهم وألوانهم وأفكارهم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نرجع الآن إلى ما هو الغرض في هذه المقدّمة، فنقول</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4563085_2142443653"/>
      <w:bookmarkStart w:id="25" w:name="_Toc8"/>
      <w:bookmarkEnd w:id="24"/>
      <w:r>
        <w:rPr>
          <w:rtl w:val="true"/>
        </w:rPr>
        <w:t>أوّل من صنّف في علم الاُصول</w:t>
      </w:r>
      <w:bookmarkEnd w:id="25"/>
    </w:p>
    <w:p>
      <w:pPr>
        <w:pStyle w:val="BookText"/>
        <w:rPr/>
      </w:pPr>
      <w:r>
        <w:rPr>
          <w:rFonts w:ascii="Amiri" w:hAnsi="Amiri" w:eastAsia="Amiri" w:cs="Amiri"/>
          <w:color w:val="111111"/>
          <w:sz w:val="28"/>
          <w:sz w:val="28"/>
          <w:szCs w:val="28"/>
          <w:rtl w:val="true"/>
          <w:lang w:bidi="ar-SA"/>
        </w:rPr>
        <w:t xml:space="preserve">قال السيوطي في محكيّ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صنّف في اُصول الفقه الشافعيُ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بذلك جمع من أعلام المؤرّخين وبعض المصنّفين فيما يتعلّق بالكتب كصاحب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يحتمل أن يكون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سابق على الشافعي وتلميذ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صنّف في ذلك، كما قاله ابن خلّكان في ترجمته، كما أنّه هو أوّل من لُقّب بقاضي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يحتمل أن يكون هو محمّد بن الحسن الشيباني فقيه العراق؛ لأ نّه مقدّم على الشافعي، وقد صرّح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جملة مؤلّفاته الكثيرة تأليفاً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وتأليفاً سمّاه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وتأليفاً</w:t>
      </w:r>
    </w:p>
    <w:p>
      <w:pPr>
        <w:pStyle w:val="BookText"/>
        <w:rPr/>
      </w:pPr>
      <w:r>
        <w:rPr>
          <w:rFonts w:ascii="Amiri" w:hAnsi="Amiri" w:eastAsia="Amiri" w:cs="Amiri"/>
          <w:color w:val="111111"/>
          <w:sz w:val="28"/>
          <w:sz w:val="28"/>
          <w:szCs w:val="28"/>
          <w:rtl w:val="true"/>
          <w:lang w:bidi="ar-SA"/>
        </w:rPr>
        <w:t xml:space="preserve">بعنوان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 الرأي</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الشيعة لعلوم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الأجلّ الصدر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صنّف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كان المؤسّس هما الإمامين الهُمامين الصادقين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الحكم، صنّف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ومباحثها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أهمّ مباحث هذا العلم، ثمّ يونس بن عبدالرحمان مولى آل يقطين، صنّف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الحديث ومسائله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مبحث تعارض </w:t>
      </w:r>
      <w:bookmarkStart w:id="26" w:name="pg15278_146136"/>
    </w:p>
    <w:p>
      <w:pPr>
        <w:pStyle w:val="BookText"/>
        <w:rPr/>
      </w:pPr>
      <w:bookmarkEnd w:id="26"/>
      <w:r>
        <w:rPr>
          <w:rFonts w:ascii="Amiri" w:hAnsi="Amiri" w:eastAsia="Amiri" w:cs="Amiri"/>
          <w:color w:val="111111"/>
          <w:sz w:val="28"/>
          <w:sz w:val="28"/>
          <w:szCs w:val="28"/>
          <w:rtl w:val="true"/>
          <w:lang w:bidi="ar-SA"/>
        </w:rPr>
        <w:t xml:space="preserve">الحديثين ومسائل التعادل والترجيح في الحديثين المتعارضين، ذكرهما أبوالعبّاس النجّاشي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والشافعي متأخّر عنهما</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4563087_2142443653"/>
      <w:bookmarkStart w:id="28" w:name="_Toc9"/>
      <w:bookmarkEnd w:id="27"/>
      <w:r>
        <w:rPr>
          <w:rtl w:val="true"/>
        </w:rPr>
        <w:t>سير علم الاُصول عند الشيعة وقوسه النزولي والصعودي</w:t>
      </w:r>
      <w:bookmarkEnd w:id="28"/>
    </w:p>
    <w:p>
      <w:pPr>
        <w:pStyle w:val="BookText"/>
        <w:rPr/>
      </w:pPr>
      <w:r>
        <w:rPr>
          <w:rFonts w:ascii="Amiri" w:hAnsi="Amiri" w:eastAsia="Amiri" w:cs="Amiri"/>
          <w:color w:val="111111"/>
          <w:sz w:val="28"/>
          <w:sz w:val="28"/>
          <w:szCs w:val="28"/>
          <w:rtl w:val="true"/>
          <w:lang w:bidi="ar-SA"/>
        </w:rPr>
        <w:t xml:space="preserve">الظاهر أنّ أوّل من اعتمد على علم الاُصول في مقام الاستنباط واستند إليه الشيخ الجليل حسن بن علي بن أبي عقيل، الذي هو من مشايخ جعفر بن محمّد ابن قولويه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مشايخ الشيخ المفيد قدّس سرّه  وهو أوّل من هذّب الفقه، واستعمل النظر، وفتّق</w:t>
      </w:r>
      <w:r>
        <w:rPr>
          <w:rStyle w:val="FootnoteAnchor"/>
          <w:rtl w:val="true"/>
        </w:rPr>
        <w:footnoteReference w:id="2"/>
      </w:r>
      <w:r>
        <w:rPr>
          <w:rFonts w:ascii="IRNazanin" w:hAnsi="IRNazanin" w:eastAsia="IRNazanin"/>
          <w:color w:val="111111"/>
          <w:sz w:val="28"/>
          <w:sz w:val="28"/>
          <w:szCs w:val="28"/>
          <w:rtl w:val="true"/>
          <w:lang w:bidi="fa-IR"/>
        </w:rPr>
        <w:t xml:space="preserve">البحث عن الاُصول والفروع في ابتداء الغيبة الكبرى، وله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المتمسّك بحبل آل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اقتفى أثره ونهج منهجه ابن الجنيد المعروف بالإسكافي،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السيّد بحر العلوم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الطائفة الإمامية، وأعاظم الفرقة المُحقّة، وأفاضل قدماء الإمامية، وأكثرهم علماً وفقهاً وأدباً وتصنيفاً، وأحسنهم تحريراً وأدقّهم نظراً، تبلغ مصنّفاته نحواً من خمسين كتاباً،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الشيعة لأحكام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جميع مباحث الفقه، وهو عشرون مجلّداً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وصلت النوبة بعدهما إلى الشيخ الأكبر محمّد بن محمّد بن النعمان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 لّف كتاباً في الاُصول، يشتمل مع اختصاره على اُمّهات المباحث والمطالب، وقد رأيت مصنّفاً له في الاُصول في غاية الاختصار لا يتجاوز عدّة صفحات، ولعلّه كان كتاباً آخر منه في هذا العلم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في ذلك تلميذاه اللذان هما من أركان الطائفة، والمتبحّرين في الفنون </w:t>
      </w:r>
    </w:p>
    <w:p>
      <w:pPr>
        <w:pStyle w:val="BookText"/>
        <w:rPr/>
      </w:pPr>
      <w:r>
        <w:rPr>
          <w:rFonts w:ascii="Amiri" w:hAnsi="Amiri" w:eastAsia="Amiri" w:cs="Amiri"/>
          <w:color w:val="111111"/>
          <w:sz w:val="28"/>
          <w:sz w:val="28"/>
          <w:szCs w:val="28"/>
          <w:rtl w:val="true"/>
          <w:lang w:bidi="ar-SA"/>
        </w:rPr>
        <w:t>المختلفة الإسلامية، ولهما تآليف قيّمة وتصنيفات ثمينة في أكثرها،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السيّد المرتضى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الطائفة أبوجعفر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القدّوسي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صنَّف الأوّل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اُصول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 شأنه السيّد بحر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أحسن كتاب صنّف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ولجلالة شأن الشيخ الطوسي وعظمة مقامه وكثرة تأليفاته واستنباطاته وفتاواه، لم يعْدُ أحد من تلامذته نظريات اُستاذهم، ولم يتجاسروا على نقدها وتمحيصها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واستمرّت هذه الحالة إلى أن وصلت النوبة إلى سبط الشيخ ابن إدريس الحلّي المعروف بصاحب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فجدّد البحث والانتقاد، وفتح باب الاستنباط والاجتهاد بعد الركود والانسداد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وانتقل الدور بعده إلى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اُخته العلاّمة الحلّي، فأحكما أساس البحث والنظر، وأ لّفا في الفقه والاُصول كتباً كثيرة، فأ لّف الأوّل في الاُصول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الوصول إلى معرفة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صنّف كتباً كثيرة عمدتها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تصدّى لشرحه جمع من أجلاّء الأصحاب منهم ابنه فخر المحقّقين، وصار مدار البحث والدرس إلى زمان الشهيد الثاني، وقد أ لّف الشهيد المزبور كتاباً في ذلك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إلى زماننا هذا مدار البحث والدرس في بدء الشروع في علم الاُصول؛ لسلاسة تعبيره وجودة جمعه وسهولة تناوله، ولأجله صار مورداً لإقبال العلماء </w:t>
      </w:r>
      <w:bookmarkStart w:id="29" w:name="pg15278_146138"/>
    </w:p>
    <w:p>
      <w:pPr>
        <w:pStyle w:val="BookText"/>
        <w:rPr/>
      </w:pPr>
      <w:bookmarkEnd w:id="29"/>
      <w:r>
        <w:rPr>
          <w:rFonts w:ascii="Amiri" w:hAnsi="Amiri" w:eastAsia="Amiri" w:cs="Amiri"/>
          <w:color w:val="111111"/>
          <w:sz w:val="28"/>
          <w:sz w:val="28"/>
          <w:szCs w:val="28"/>
          <w:rtl w:val="true"/>
          <w:lang w:bidi="ar-SA"/>
        </w:rPr>
        <w:t xml:space="preserve">عليه بالتحشية والتعليق والشرح، وأحسنها ما أ لّفه الشيخ محمّد تقي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كبير مشتمل على تحقيقات كثيرة وتدقيقات بديعة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الدورة بلغت العناية بعلم الاُصول مرتبةً لم تكن حاجة إلى بلوغه تلك المرتبة بوجه؛ بعد كونها مقدّمة للفقه، ولم تكن لها موضوعية، وعلى حسب تعبير بعض الأعاظم اتّصف بالتورّم والخروج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وصلت النوبة إلى الشيخ الأعظم الشيخ مرتضى الأنصاري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وتلميذه المحقّق الخراساني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منهما التنقيح والتهذيب والترتيب على وجه أنيق، وصار الكتابان من الكتب الدراسية في الحوزات العلمية، وعليهما شروح وتعاليق كثيرة، وصارت أنظارهما مورداً للتدقيق والتحقيق من قبل أجلاّء تلاميذهما، ولهم في ذلك تآليف قيّمة وأنظار ثمينة، لا يمكن إنكار علوّ رتبتها الكاشف عن الغوص في أعماق بحار المطالب، والبلوغ إلى منتهى المراتب العالية والدرجات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انتقل الدور إلى الطبقة اللاحقة التي منهم سيّدنا الاُستاذ العلاّمة المحقّق الاُصولي الكبير الإمام الخميني قدّس سرّه </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4563089_2142443653"/>
      <w:bookmarkStart w:id="31" w:name="_Toc10"/>
      <w:bookmarkEnd w:id="30"/>
      <w:r>
        <w:rPr>
          <w:rtl w:val="true"/>
        </w:rPr>
        <w:t>منهج الإمام قدّس سرّه  وأنظاره في علم الاُصول</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بناؤه على ملاحظة المطالب من أصلها والنظر في أساسها وأنّها هل اُسّست على أساس صحيح قابل للقبول، أو أنّ أساسها مخدوش ومورد للنظر والبحث، فقد رأينا في مباحثه أنّه كثيراً ما يضع إصبعه </w:t>
      </w:r>
    </w:p>
    <w:p>
      <w:pPr>
        <w:pStyle w:val="BookText"/>
        <w:rPr/>
      </w:pPr>
      <w:r>
        <w:rPr>
          <w:rFonts w:ascii="Amiri" w:hAnsi="Amiri" w:eastAsia="Amiri" w:cs="Amiri"/>
          <w:color w:val="111111"/>
          <w:sz w:val="28"/>
          <w:sz w:val="28"/>
          <w:szCs w:val="28"/>
          <w:rtl w:val="true"/>
          <w:lang w:bidi="ar-SA"/>
        </w:rPr>
        <w:t>على نكتة البحث، ويهتمّ بالأساس الذي لعلّه كان مسلّماً عندهم، ويناقش فيه، ولأجله تصير المسألة متطوّرة متغيّرة، ولا تصل النوبة إلى البحث عن الأغصان والفروع، ومن هذه الجهة كان بحثه قدّس سرّه  في أعلى درجة الفائدة، وموجباً لشحذ أذهان الفضلاء والطلبة، ولم تكن المطالب مقبولة عنده تعبّداً وتقليداً، بل كانت ملحوظة اُسُساً واُصولاً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 هذه مزية مهمّة توجب الرشد والرقاء، وتؤثّر في كمال التحقيق والتدقيق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أنظاره القيّمة الابتكارية المحضة أو تبعاً لبعض مشايخه، فكثيرة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ثمرات مهمّة وفوائد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انحلال الخطابات العامّة المتوجّهة إلى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الخطاب واحداً والمخاطب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الخطابات الكثيرة حسب كثرة المخاطبين وتعدّد المكلّفين، بل الخطاب واحد والمخاطب متعدّد، والشرط في صحّة هذا النحو من الخطاب يغاير الشرط في الخطابات الشخصية، فإنّه لا يمكن في الخطاب الشخصي توجيهه إلى المخاطب مع العلم بعدم القدرة مثلاً، مع أنّه لا مانع من كونه مخاطباً في ضمن العموم مع وصف كونه كذلك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عليه صحّة الأمر بالضدّين الأهمّ والمهمّ من دون أن يكون هناك ترتّب في البين، كما يتكلّفه القائل بالترتّب الذي صار مورداً للإثبات والنفي إلى حدّ الاستحالة، فإنّه عليه يكون الأمران ثابتين من دون ترتّب وطولية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يترتّب عليه صحّة تكليف الكفّار والعصاة مع العلم بعصيانهم ومخالفتهم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ثمرات مهمّة اُخرى كعدم اشتراط الابتلاء الذي جعله الشيخ الأعظم </w:t>
      </w:r>
    </w:p>
    <w:p>
      <w:pPr>
        <w:pStyle w:val="BookText"/>
        <w:rPr/>
      </w:pPr>
      <w:r>
        <w:rPr>
          <w:rFonts w:ascii="Amiri" w:hAnsi="Amiri" w:eastAsia="Amiri" w:cs="Amiri"/>
          <w:color w:val="111111"/>
          <w:sz w:val="28"/>
          <w:sz w:val="28"/>
          <w:szCs w:val="28"/>
          <w:rtl w:val="true"/>
          <w:lang w:bidi="ar-SA"/>
        </w:rPr>
        <w:t>الأنصاري قدّس سرّه  من شرائط منجّزية العلم الإجمالي،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خروج بعض الطرفين أو الأطراف عن محلّ الابتلاء يمنع عن تأثير العلم رأساً، وعلى مبنى الإمام قدّس سرّه  لا يبقى مجال لهذا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إ بطال 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ولعلّه من المسلّم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الماهية توجد بوجود فردٍ ما، وتنعدم بانعدام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ما بيّنه وأفاده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الطبيعي موجوداً بوجود فردٍ ما، فالإنسان يوجد بوجود زيد لا محالة، كما أنّه يوجد بوجود عمرو، لكنّ زيداً وعمراً إنسانان لا إنسان واحد، فإذا كان وجود زيد وجود إنسان تامّ وتحقّق كمال الطبيعة وتمام الماهية، فكيف لا يكون عدمه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الإنسان يوجد بوجود زيد، كذلك ينعدم بعدمه لا محالة، لكن لا مانع من وجود الماهية وعدمها في آنٍ واحد، فكما أنّ الإنسان يتّصف في آنٍ واحد بالبياض والسواد معاً لأجل اتّصاف زيد بالأوّل وعمرو بالثاني، كذلك يتّصف بالوجود والعدم معاً للعلّة المذكورة بعينها، وعليه فلا يبقى مجال لما اشتهر من أنّ الماهية توجد بوجود فردٍ ما، وتنعدم بانعدام جميع الأفراد، بل هي توجد بوجود فرد، وتنعدم بانعدام فرد، ويجتمع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آنٍ واحد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إبطال ما استفاده مثل المحقّق الخراساني قدّس سرّه  من المسألة المعروفة في الفلسفة، وهي أنّ الماهية من حيث هي هي ليست إلاّ هي؛ لا موجودة ولا معدومة، ولا مطلوبة ولا غير مطلوبة، من أنّ مقتضى ذلك عدم إمكان تعلّق الأحكام التكليفية بنفس الطبائع والماهيات؛ لأنّها في عالم الماهية ليست إلاّ هي، ولا تكون مطلوبة كما أنّها لا تكون غير مطلوبة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ومحصّل ما أفاد في إبطال هذا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الفلاسفة من العبارة المذكورة أنّ الماهية في مرتبتها التي هي مرتبة الجنس والفصل لا يكون أمر آخر غيرهما مأخوذاً فيها؛ بحيث يكون في عداد الجنس والفصل حتّى الوجود، فإنّ الماهية وإن كانت متّصفة بالوجود إلاّ أنّ الوجود لا يكون داخلاً فيها جزءاً؛ لا جنساً ولا فصلاً، كما أنّ العدم أيضاً يكون كذلك، مع أنّها في الخارج لا تخلو إمّا عن الوجود وإمّا عن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المذكورة ناظرة إلى الحمل الأوّلي الذاتي الذي لا يكون دون الاتّحاد في الماهية وإن لم نقل باعتبار الاتّحاد في المفهوم فيه أيضاً، والبحث في تعلّق الأحكام بالطبائع ناظر إلى الحمل الشائع الصناعي، فماهية الصلاة واجبة لا بمعنى كون الوجوب جزءاً لماهيتها، بل بمعنى كونها معروضة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إضافة الوجوب إلى الماهية إنّما هي في عداد إضافة الوجود إليها، ولا فرق بين الأمرين، وعليه فلا مجال للفرار عن الشبهة المذكورة بالالتجاء إلى كون متعلّق الأحكام هو وجود الطبائع، كما زعمه المحقّق الخراساني قدّس سرّه  مضافاً إلى استحالة تعلّق التكليف بالوجود؛ للزوم تحصيل الحاصل، والتحقيق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ما أفاده وضوح جواز اجتماع الأمر والنهي في مثل الصلاة في الدار المغصوبة؛ لعدم تحقّق الاتّحاد بين العنوانين في عالم تعلّق الأمر والنهي، وكون الاتّحاد في الخارج الذي هو خارج عن مرحلة تعلّق الأحكام وغير ذلك من الثمرات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اشتهر لا سيّما في كلام المحقّق الخراساني قدّس سرّه  أنّ لكلّ حكم </w:t>
      </w:r>
    </w:p>
    <w:p>
      <w:pPr>
        <w:pStyle w:val="BookText"/>
        <w:rPr/>
      </w:pPr>
      <w:r>
        <w:rPr>
          <w:rFonts w:ascii="Amiri" w:hAnsi="Amiri" w:eastAsia="Amiri" w:cs="Amiri"/>
          <w:color w:val="111111"/>
          <w:sz w:val="28"/>
          <w:sz w:val="28"/>
          <w:szCs w:val="28"/>
          <w:rtl w:val="true"/>
          <w:lang w:bidi="ar-SA"/>
        </w:rPr>
        <w:t>مراتب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والإنشاء والفعلية والتنجّز، ولو أخرجنا الاقتضاء والتنجّز عن المراتب؛ نظراً إلى كون الأوّل قبل الحكم وسبباً مقتضياً له، والثاني بعد الحكم؛ لأ نّه عبارة عن استحقاق العقوبة على المخالفة، تبقى المرتبتان؛ الإنشاء والفعلية، والمراد بالأوّل مرتبة جعل الحكم ووضعه وإنشائه، وبالثاني مرتبة بلوغه إلى لزوم العمل على طبقه، والجري على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قدّس سرّه  قد أنكر هذه المراتب بل المرتبتين أيضاً، والتزم بأنّ الأحكام على قسمين، لا أنّ لكلٍّ منها 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الأحكام الفعلية الواقعة في جريان العمل والقوانين التي يلزم تطبيق 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الأحكام الإنشائية التي تصير فعلية في زمن المهديّ صاحب العصر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فالإنشائية والفعلية منوّعتان لجنس الحكم، لا أنّهما مرتبتان لكلّ حكم، والتحقيق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إبطال ما كان مسلّماً عند مثل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الأوامر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الواقعي الأوّلي، والأمر الثانوي الاضطراري، والأمر الظاهري، وأنّ الأوّل مثل الأمر بالصلاة مع الطهارة المائية، والثاني مثل الأمر بها مع الطهارة الترابية، والثالث مثل الأمر بها مع الطهارة الظاهرية الثابتة</w:t>
      </w:r>
    </w:p>
    <w:p>
      <w:pPr>
        <w:pStyle w:val="BookText"/>
        <w:rPr/>
      </w:pPr>
      <w:r>
        <w:rPr>
          <w:rFonts w:ascii="Amiri" w:hAnsi="Amiri" w:eastAsia="Amiri" w:cs="Amiri"/>
          <w:color w:val="111111"/>
          <w:sz w:val="28"/>
          <w:sz w:val="28"/>
          <w:szCs w:val="28"/>
          <w:rtl w:val="true"/>
          <w:lang w:bidi="ar-SA"/>
        </w:rPr>
        <w:t>بالبيّنة أو بمثل الاستصحاب وقاعدة الطهارة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الأمر غير قابل للقبول، بل في المثال المذكور الأمر الواحد قد تعلّق بطبيعة الصلاة في قوله تعالى في موارد 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bookmarkStart w:id="32" w:name="pg15278_146143"/>
    </w:p>
    <w:p>
      <w:pPr>
        <w:pStyle w:val="BookText"/>
        <w:rPr/>
      </w:pPr>
      <w:bookmarkEnd w:id="32"/>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الوضوء والتيمّم ناظرة إلى تبيين المتعلّق واشتراطه بالوضوء لواجد الماء وبالتيمّم لفاقد الماء، من دون أن يكون هناك أمران، كما أنّ أدلّة حجّية البيّنة والاُصول العملية المثبتة للطهارة ناظرة إلى جواز الاكتفاء بالطهارة الثابتة بها في مقام الامتثال وموافقة الأمر بالصلاة من دون أن يكون هناك أمر ثالث، فالأمر واحد ومتعلّقه أيضاً واحد، لكنّ الأدلّة الاُخرى ناظرة إلى بيان الشرطية والاكتفاء بالشرط ولو كان ثابتاً بأصل أو أمارة، فنرى في مورد بعض أدلّة الاستصحاب إجراءه في مورد الشكّ في الوضوء مع العلم بحدوثه من دون أن يكون فيه إشعار بتعدّد الأمر ووجود أمر آخر غير الأمر المتعلّق بطبيعة الصلاة، بل مفاده التوسعة في دليل آية الوضوء، وأنّ الوضوء الاستصحابي يكفي في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وقع البحث في أنّه مع انكشاف الخلاف وأنّه لم يكن متوضّئاً في حال الشكّ، هل يكون المأتيّ به مُجزياً أم لا؟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تبعاً لشيخه واُستاذه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وقاية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المجاز لا يكون استعمالاً للّفظ في غير ما وضع له، بل يكون استعمالاً فيما وضع له، غاية الأمر ثبوت ادّعاء في البين شبيه ما يقوله السكّاكي في خصوص باب الاستعارة التي هي المجاز مع علاقة المشابهة، مع فرق بينهما قد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الموارد الكثيرة والأنظار القيّمة التي يظهر لمن راجع مباحثه</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4563091_2142443653"/>
      <w:bookmarkStart w:id="34" w:name="_Toc11"/>
      <w:bookmarkEnd w:id="33"/>
      <w:r>
        <w:rPr>
          <w:rtl w:val="true"/>
        </w:rPr>
        <w:t>الكتاب الذي بين يديك</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 الفضلاء الذين كانوا يستفيدون من مباحثه كثيرون، وكان أكثرهم يقرّرون ويثبتون مطالبه كلاًّ أو جُلاًّ، لكن المطبوع منها الذي كان ملحوظاً </w:t>
      </w:r>
    </w:p>
    <w:p>
      <w:pPr>
        <w:pStyle w:val="BookText"/>
        <w:rPr/>
      </w:pPr>
      <w:r>
        <w:rPr>
          <w:rFonts w:ascii="Amiri" w:hAnsi="Amiri" w:eastAsia="Amiri" w:cs="Amiri"/>
          <w:color w:val="111111"/>
          <w:sz w:val="28"/>
          <w:sz w:val="28"/>
          <w:szCs w:val="28"/>
          <w:rtl w:val="true"/>
          <w:lang w:bidi="ar-SA"/>
        </w:rPr>
        <w:t xml:space="preserve">للإمام قدّس سرّه  ومتصدّراً بتقريظه الشريف ما قرّره الفاضل العالم الكامل أخونا المعظّم آية الله الحاج الشيخ جعفر السبحاني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بركات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مرجعاً للفضلاء والطلاّب في الحوزات العلمية من الأساتذة والتلامذة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الكتاب الذي بين يديك وجد بعد ارتحاله قدّس سرّه  في قراطيس متفرّقة ولم يخرج إليك إلاّ بعد إعمال جهد شديد وعمل متواصل تصدّت له مؤسّسة تنظيم ونشر آثار الإمام قدّس سرّه  التي هي مؤسّسة كثيرة البركات والآثار، وهي تحت إشراف قُرّة العين حجّة الإسلام والمسلمين الحاج السيّد أحمد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صدرت منها كتب نافعة كثيرة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أوّلاً التقدير والتشكّر من تلك المؤسّسة التي لا زالت مؤيّدة، وثانياً من الذين أتعبوا أنفسهم في تنظيم هذا الكتاب وتذييله بمطالب يترتّب عليها فوائد مهمّة لا يُستغنى عنها بوجه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نرجو من الله تعالى أن يزيد في علوّ درجات الإمام قدّس سرّه</w:t>
      </w:r>
    </w:p>
    <w:p>
      <w:pPr>
        <w:pStyle w:val="BookText"/>
        <w:rPr/>
      </w:pPr>
      <w:r>
        <w:rPr>
          <w:rFonts w:ascii="Amiri" w:hAnsi="Amiri" w:eastAsia="Amiri" w:cs="Amiri"/>
          <w:color w:val="111111"/>
          <w:sz w:val="28"/>
          <w:sz w:val="28"/>
          <w:szCs w:val="28"/>
          <w:rtl w:val="true"/>
          <w:lang w:bidi="ar-SA"/>
        </w:rPr>
        <w:t xml:space="preserve">وأن يحشره مع أجداده الطيّبين الطاهرين وأن يجزيه عن الإسلام والمسلمين خير جزاء المحسنين بحقّ بقيّة الله تعالى في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وأرواح العالمين لتراب مقدمه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اللازم البحث في المقدّمة على سبيل التفصيل، لكن ضيق الوقت، والاستعجال قد منعا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الفاضل اللنكراني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w:t>
      </w:r>
    </w:p>
    <w:p>
      <w:pPr>
        <w:pStyle w:val="BookText"/>
        <w:rPr/>
      </w:pPr>
      <w:r>
        <w:rPr>
          <w:rFonts w:ascii="Amiri" w:hAnsi="Amiri" w:eastAsia="Amiri" w:cs="Amiri"/>
          <w:color w:val="111111"/>
          <w:sz w:val="28"/>
          <w:sz w:val="28"/>
          <w:szCs w:val="28"/>
          <w:rtl w:val="true"/>
          <w:lang w:bidi="ar-SA"/>
        </w:rPr>
        <w:t>على محمّد وآله الطاهرين ولعنة الله على أعدائهم</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فقبل الورود في المقصود لا بدّ من تقديم اُمور</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5283_146147"/>
      <w:bookmarkStart w:id="36" w:name="pg15283_146147"/>
      <w:bookmarkEnd w:id="36"/>
    </w:p>
    <w:p>
      <w:pPr>
        <w:pStyle w:val="Heading2"/>
        <w:numPr>
          <w:ilvl w:val="1"/>
          <w:numId w:val="1"/>
        </w:numPr>
        <w:rPr/>
      </w:pPr>
      <w:bookmarkStart w:id="37" w:name="pg15283_146147"/>
      <w:bookmarkStart w:id="38" w:name="__RefHeading___Toc4563093_2142443653"/>
      <w:bookmarkStart w:id="39" w:name="_Toc12"/>
      <w:bookmarkEnd w:id="37"/>
      <w:bookmarkEnd w:id="38"/>
      <w:r>
        <w:rPr>
          <w:rtl w:val="true"/>
        </w:rPr>
        <w:t xml:space="preserve">الأمر الأوّل </w:t>
      </w:r>
      <w:r>
        <w:rPr>
          <w:rtl w:val="true"/>
        </w:rPr>
        <w:t xml:space="preserve">: </w:t>
      </w:r>
      <w:r>
        <w:rPr>
          <w:rtl w:val="true"/>
        </w:rPr>
        <w:t>في موضوع علم الاُصول وتعريفه</w:t>
      </w:r>
      <w:bookmarkEnd w:id="39"/>
    </w:p>
    <w:p>
      <w:pPr>
        <w:pStyle w:val="Heading3"/>
        <w:numPr>
          <w:ilvl w:val="2"/>
          <w:numId w:val="1"/>
        </w:numPr>
        <w:rPr/>
      </w:pPr>
      <w:bookmarkStart w:id="40" w:name="__RefHeading___Toc4563095_2142443653"/>
      <w:bookmarkStart w:id="41" w:name="_Toc13"/>
      <w:bookmarkEnd w:id="40"/>
      <w:r>
        <w:rPr>
          <w:rtl w:val="true"/>
        </w:rPr>
        <w:t>اعتبارية وحدة العلم</w:t>
      </w:r>
      <w:bookmarkEnd w:id="41"/>
    </w:p>
    <w:p>
      <w:pPr>
        <w:pStyle w:val="BookText"/>
        <w:rPr/>
      </w:pPr>
      <w:r>
        <w:rPr>
          <w:rFonts w:ascii="Amiri" w:hAnsi="Amiri" w:eastAsia="Amiri" w:cs="Amiri"/>
          <w:color w:val="111111"/>
          <w:sz w:val="28"/>
          <w:sz w:val="28"/>
          <w:szCs w:val="28"/>
          <w:rtl w:val="true"/>
          <w:lang w:bidi="ar-SA"/>
        </w:rPr>
        <w:t>إنّ كلّ علم عبارة عن عدّة قضايا مرتبطة تجمعها خصوصية بها يترتّب عليها غرض واحد وفائدة واحدة بالوحدة السنخية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اعتبارية لا حقيقية؛ ضرورة امتناع حصول الوحدة الحقيقية المساوقة للوجود الحقيقي للقضايا المتعدّدة؛ لأنّ المركّب من الشيئين أو الأشياء لا يكون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المركّب الحقيقي الحاصل من الكسر والانكسار المتحصّلة منهما صورة غير صورة الأجزاء</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563097_2142443653"/>
      <w:bookmarkStart w:id="43" w:name="_Toc14"/>
      <w:bookmarkEnd w:id="42"/>
      <w:r>
        <w:rPr>
          <w:rtl w:val="true"/>
        </w:rPr>
        <w:t>تدريجية تكامل العلوم</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أنّ العلوم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نشأت من النقص إلى الكمال، فكلّ علم لم يكن في أوّل أمره إلاّ قضايا معدودة لعلّها لم تبلغ عدد </w:t>
      </w:r>
      <w:bookmarkStart w:id="44" w:name="pg15283_146148"/>
    </w:p>
    <w:p>
      <w:pPr>
        <w:pStyle w:val="BookText"/>
        <w:rPr/>
      </w:pPr>
      <w:bookmarkEnd w:id="44"/>
      <w:r>
        <w:rPr>
          <w:rFonts w:ascii="Amiri" w:hAnsi="Amiri" w:eastAsia="Amiri" w:cs="Amiri"/>
          <w:color w:val="111111"/>
          <w:sz w:val="28"/>
          <w:sz w:val="28"/>
          <w:szCs w:val="28"/>
          <w:rtl w:val="true"/>
          <w:lang w:bidi="ar-SA"/>
        </w:rPr>
        <w:t>الأصابع، فأضاف إليها الخلف بعد السلف، وكم ترك الأوّل للآخر، والفَرَط للتابع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المنطق، فقد نقل الشيخ أبوعلي عن معلّم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ورثنا عمّن تقدّمنا في الأقيسة إلاّ ضوابط غير 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
      </w:r>
      <w:r>
        <w:rPr>
          <w:rFonts w:ascii="Amiri" w:hAnsi="Amiri" w:eastAsia="Amiri" w:cs="Amiri"/>
          <w:color w:val="111111"/>
          <w:sz w:val="28"/>
          <w:sz w:val="28"/>
          <w:szCs w:val="28"/>
          <w:rtl w:val="true"/>
          <w:lang w:bidi="ar-SA"/>
        </w:rPr>
        <w:t>، وهذا حال سائر العلوم، فلا أظنّ بعلم اُسّس من بدو نشئه على ما هو الآن بين أيدينا، فانظر علوم الرياضيات والطبّ والتشريح حاضرها وماضيها، وعلمي الفقه والاُصول من زمن الصدوقين والشيخين إلى زماننا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563099_2142443653"/>
      <w:bookmarkStart w:id="46" w:name="_Toc15"/>
      <w:bookmarkEnd w:id="45"/>
      <w:r>
        <w:rPr>
          <w:rtl w:val="true"/>
        </w:rPr>
        <w:t>عدم لزوم موضوع واحد لكلّ علم</w:t>
      </w:r>
      <w:bookmarkEnd w:id="46"/>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القضايا المركّبة منها العلوم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العلوم ما يكون جميع قضاياه أو غالبها قضايا حقيقية أو بحكمها، كالعقليات والفقه واُصوله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تكون جزئية حقيقية، كالتأريخ والجغرافيا وغالب مسائل الهيئة وعلم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موضوع المسائل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موضوع العلم، قد تكون كنسبة الطبيعي إلى أفراده، وقد تكون كنسبة الكلّ إلى أجزائه، بل قد يكون موضوع جميع المسائل هو موضوع العلم، فمن الأوّل الأمثلة الاُول، ومن الثاني الثانية غالباً ما عدا العرفان، ومن الثالث العرفان؛ فإنّ موضوعه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 موضوع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 اُمور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موضوع كلّ علم ما يبحث فيه عن عوارضه </w:t>
      </w:r>
    </w:p>
    <w:p>
      <w:pPr>
        <w:pStyle w:val="BookText"/>
        <w:rPr/>
      </w:pPr>
      <w:r>
        <w:rPr>
          <w:rFonts w:ascii="Amiri" w:hAnsi="Amiri" w:eastAsia="Amiri" w:cs="Amiri"/>
          <w:color w:val="111111"/>
          <w:sz w:val="28"/>
          <w:sz w:val="28"/>
          <w:szCs w:val="28"/>
          <w:rtl w:val="true"/>
          <w:lang w:bidi="ar-SA"/>
        </w:rPr>
        <w:t>الذاتية، ممّا لا أصل له، سواء فسّرناها بما فسّرها القدماء</w:t>
      </w:r>
      <w:r>
        <w:rPr>
          <w:rStyle w:val="FootnoteAnchor"/>
          <w:rtl w:val="true"/>
        </w:rPr>
        <w:footnoteReference w:id="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بأ نّها ما لا تكون لها واسطة في العروض</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ضرورة أنّ عوارض موضوعات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نسبتها إلى موضوع العلم كنسبة الأجزاء إلى الكلّ، لا الجزئيات إلى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من عوارضه الذاتية بالتفسيرين إلاّ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مسائل العلوم هي القضايا الحقيقية</w:t>
      </w:r>
      <w:r>
        <w:rPr>
          <w:rStyle w:val="FootnoteAnchor"/>
          <w:rtl w:val="true"/>
        </w:rPr>
        <w:footnoteReference w:id="6"/>
      </w:r>
      <w:r>
        <w:rPr>
          <w:rFonts w:ascii="Amiri" w:hAnsi="Amiri" w:eastAsia="Amiri" w:cs="Amiri"/>
          <w:color w:val="111111"/>
          <w:sz w:val="28"/>
          <w:sz w:val="28"/>
          <w:szCs w:val="28"/>
          <w:rtl w:val="true"/>
          <w:lang w:bidi="ar-SA"/>
        </w:rPr>
        <w:t>، غير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موضوعات المسائل هي موضوع العلم خارجاً، ويتّحد معها عيناً كاتّحاد الطبيعي وأفراده</w:t>
      </w:r>
      <w:r>
        <w:rPr>
          <w:rStyle w:val="FootnoteAnchor"/>
          <w:rtl w:val="true"/>
        </w:rPr>
        <w:footnoteReference w:id="7"/>
      </w: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من أنّه لا بدّ لكلّ علم من موضوع واحد جامع بين موضوعات المسائل، ممّا لا أصل له؛ فإنّك قد عرفت أنّ كلّ علم إنّما كان بدو تدوينه عدّة قضايا، فأضاف إليه الخلف حتّى صار كاملاً، ولم يكن من أوّل الأمر في نظر المؤسّس البحث عن عوارض الجامع بين موضوعات المسائل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علم الفقه، فهل يكون في مسائله ما يبحث عن عوارض فعل المكلّف بما هو فعله الجامع بين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نظر مدوّنيه في أوّل تدوينه إلى ذلك، </w:t>
      </w:r>
    </w:p>
    <w:p>
      <w:pPr>
        <w:pStyle w:val="BookText"/>
        <w:rPr/>
      </w:pPr>
      <w:r>
        <w:rPr>
          <w:rFonts w:ascii="Amiri" w:hAnsi="Amiri" w:eastAsia="Amiri" w:cs="Amiri"/>
          <w:color w:val="111111"/>
          <w:sz w:val="28"/>
          <w:sz w:val="28"/>
          <w:szCs w:val="28"/>
          <w:rtl w:val="true"/>
          <w:lang w:bidi="ar-SA"/>
        </w:rPr>
        <w:t>أم كان هذا التكلّف كالمناسبات بعد الوقوع على وجه لا يصدق في جميع مسائل العلوم أو غالبها؟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تظنّ أنّ مدوّن علم الجغرافيا في بدو تأسيسه كان شخصاً ناظراً إلى أحوال الأرض وهيئاتها؟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في كلّ صقع وجد شخص أو أشخاص في مرّ الدهور، ودوّن جغرافيا صُقعه، أو مع البلاد المجاورة، ثمّ ضمّ آخر جغرافيا صقعه إليه، فصار جغرافيا مملكة، وهكذا إلى أن صار جغرافيا جميع الأرض، فلم يكن البحث فيه من أوّل الأمر عن أحوال الأرض،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كثير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فالالتزام بأ نّه لا بدّ لكلّ علم من موضوع يبحث فيه عن عوارضه الذاتية، ثمّ التزام تكلّفات باردة لتصحيحه، ثمّ التزام استطراد كثير من المباحث التي تكون بالضرورة من مسائل الفنون، ممّا لا أرى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داعٍ للالتزام بكون موضوع علم الفقه هو فعل المكلّف</w:t>
      </w:r>
      <w:r>
        <w:rPr>
          <w:rStyle w:val="FootnoteAnchor"/>
          <w:rtl w:val="true"/>
        </w:rPr>
        <w:footnoteReference w:id="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وأنّ موضوع كلّ علم ما يبحث فيه عن عوارضه الذاتية، مع أنّ الأحكام ليست من العوارض؟</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التسليم وتعميم الأعراض للاعتباريات، ليست كلّها من الأعراض الذاتية لموضوعات المسائل؛ فإنّ وجوب الصلاة لا يمكن أن يكون من الأعراض الذاتية لها بوجودها الخارجي؛ لكون الخارج ظرف السقوط لا الثبوت، ولا بوجودها الذهني، وهو واضح، ولا للماهية من حيث هي؛ ضرورة </w:t>
      </w:r>
    </w:p>
    <w:p>
      <w:pPr>
        <w:pStyle w:val="BookText"/>
        <w:rPr/>
      </w:pPr>
      <w:r>
        <w:rPr>
          <w:rFonts w:ascii="Amiri" w:hAnsi="Amiri" w:eastAsia="Amiri" w:cs="Amiri"/>
          <w:color w:val="111111"/>
          <w:sz w:val="28"/>
          <w:sz w:val="28"/>
          <w:szCs w:val="28"/>
          <w:rtl w:val="true"/>
          <w:lang w:bidi="ar-SA"/>
        </w:rPr>
        <w:t>عدم كونها مطلوبة، فمعنى وجوبها أنّ الآمر نظر إلى الماهية وبعث المكلّف نحو إيجادها، وبهذا الاعتبار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واجبة، لا بمعنى اتّصافها بالوجوب في وعاء من الأوعية، ووعاء الاعتبار ليس خارجاً عن الخارج والذهن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لزوم الاستطراد في كثير من مهمّات مسائل الفقه، كأبواب الضمان، وأبواب المطهّرات والنجاسات، وأبواب الإرث،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أيّ داعٍ لجعل موضوع الفلسفة هو الوجود، ثمّ التكلّف بإرجاع المسائل فيها إلى البحث عن أعراضه الذاتية له بما تكلّف به بعض أعاظم فنّ الفلسفة</w:t>
      </w:r>
      <w:r>
        <w:rPr>
          <w:rStyle w:val="FootnoteAnchor"/>
          <w:rtl w:val="true"/>
        </w:rPr>
        <w:footnoteReference w:id="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الالتزام باستطراد كثير من المباحث، كمباحث الماهية والأعدام، بل مباحث المعاد وأحوال الجنّة والنار وغيرها، أو التكلّف الشديد البارد بإدخالها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كثيراً من العلوم مشتمل على قضايا سلبية بالسلب التحصيلي، والتحقيق في السوالب المحصّلة أنّ مفادها هو قطع النسبة وسلب الربط، لا إثبات النسبة السلبية، كما أوضحناه بما لا مزيد عليه في مباحث الاستصحاب</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موضوع كلّ علمٍ أمراً واحداً منطبقاً على موضوعات المسائل ومتّحداً معها، غيرُ سديدة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ذلك عقلاً؛ استناداً إلى قاعدة عدم صدور الواحد إلاّ من الواحد</w:t>
      </w:r>
      <w:r>
        <w:rPr>
          <w:rStyle w:val="FootnoteAnchor"/>
          <w:rtl w:val="true"/>
        </w:rPr>
        <w:footnoteReference w:id="11"/>
      </w:r>
      <w:r>
        <w:rPr>
          <w:rFonts w:ascii="Amiri" w:hAnsi="Amiri" w:eastAsia="Amiri" w:cs="Amiri"/>
          <w:color w:val="111111"/>
          <w:sz w:val="28"/>
          <w:sz w:val="28"/>
          <w:szCs w:val="28"/>
          <w:rtl w:val="true"/>
          <w:lang w:bidi="ar-SA"/>
        </w:rPr>
        <w:t xml:space="preserve">، ممّا لا ينبغي أن يصدر ممّن له حظّ من العقليات؛ فإنّ </w:t>
      </w:r>
      <w:bookmarkStart w:id="47" w:name="pg15283_146152"/>
    </w:p>
    <w:p>
      <w:pPr>
        <w:pStyle w:val="BookText"/>
        <w:rPr/>
      </w:pPr>
      <w:bookmarkEnd w:id="47"/>
      <w:r>
        <w:rPr>
          <w:rFonts w:ascii="Amiri" w:hAnsi="Amiri" w:eastAsia="Amiri" w:cs="Amiri"/>
          <w:color w:val="111111"/>
          <w:sz w:val="28"/>
          <w:sz w:val="28"/>
          <w:szCs w:val="28"/>
          <w:rtl w:val="true"/>
          <w:lang w:bidi="ar-SA"/>
        </w:rPr>
        <w:t xml:space="preserve">موضوع القاعدة هو البسيط الحقيقي صادراً ومصدراً، لا مثل العلوم التي هي قضايا متكثّرة، كلّ منها مشتملة على فائدة تكون مع اُخرى واحدةً بالسنخ؛ فإنّ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منها فائدة غير ما يستفاد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مفعول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القواعد، لكن لتلك الفوائد الكثيرة ربط وسنخية من وجه، ولها وحدة انتزاعية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حديث تأثير الجامع بين المؤثّرات إذا اجتمعت على أثر واحد، حديث خرافة؛ لعدم تحقّق الجامع في الخارج بنعت الوحدة إلاّ على رأي الرجل الهمداني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4563101_2142443653"/>
      <w:bookmarkStart w:id="49" w:name="_Toc16"/>
      <w:bookmarkEnd w:id="48"/>
      <w:r>
        <w:rPr>
          <w:rtl w:val="true"/>
        </w:rPr>
        <w:t>تنبيه</w:t>
      </w:r>
      <w:r>
        <w:rPr>
          <w:rtl w:val="true"/>
        </w:rPr>
        <w:t xml:space="preserve">: </w:t>
      </w:r>
      <w:r>
        <w:rPr>
          <w:rtl w:val="true"/>
        </w:rPr>
        <w:t>فيما به امتياز العلوم</w:t>
      </w:r>
      <w:bookmarkEnd w:id="49"/>
    </w:p>
    <w:p>
      <w:pPr>
        <w:pStyle w:val="BookText"/>
        <w:rPr/>
      </w:pPr>
      <w:r>
        <w:rPr>
          <w:rFonts w:ascii="Amiri" w:hAnsi="Amiri" w:eastAsia="Amiri" w:cs="Amiri"/>
          <w:color w:val="111111"/>
          <w:sz w:val="28"/>
          <w:sz w:val="28"/>
          <w:szCs w:val="28"/>
          <w:rtl w:val="true"/>
          <w:lang w:bidi="ar-SA"/>
        </w:rPr>
        <w:t>كما أنّ منشأ الوحدة في العلوم هو سنخية قضاياها المتشتّتة، منشأ امتيازها هو اختلاف ذاتها وسنخ قضاياها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ما به اختلافها وامتيازها هو الأغراض أو الفوائد المترتّبة عليها؛ لتأخّرها رتبة عن القضايا، فمع عدم امتيازها لا يمكن أن يترتّب عليها فوائد مختلفة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تتداخل العلوم في بعض القضايا؛ بمعنى أن تكون لقضيّة واحدة فائدة 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الأديب عنها لفائدتها الأدبية، والاُصولي لفهم كلام الشارع، كبعض مباحث الألفاظ، فالاُصولي والأديب يكون غرضهما فهم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للاستغراق،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لكن يكون ذلك هو الغرض الأقصى </w:t>
      </w:r>
      <w:bookmarkStart w:id="50" w:name="pg15283_146153"/>
    </w:p>
    <w:p>
      <w:pPr>
        <w:pStyle w:val="BookText"/>
        <w:rPr/>
      </w:pPr>
      <w:bookmarkEnd w:id="50"/>
      <w:r>
        <w:rPr>
          <w:rFonts w:ascii="Amiri" w:hAnsi="Amiri" w:eastAsia="Amiri" w:cs="Amiri"/>
          <w:color w:val="111111"/>
          <w:sz w:val="28"/>
          <w:sz w:val="28"/>
          <w:szCs w:val="28"/>
          <w:rtl w:val="true"/>
          <w:lang w:bidi="ar-SA"/>
        </w:rPr>
        <w:t>للأديب بما أنّه أديب، أو يكون أقصى مقصده أمراً أدبياً، وللاُصولي غرض آخر؛ هو فهم كلام الشارع لتعيين تكليف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وتداخل العلوم في بعض‌المسائل لا يوجب أن تكون امتيازها بالأغراض بما أنّها واحدة بالوحدة الاعتبارية؛ فإنّ المركّب من مسائل شتّى إذا اختلف مع مركّب آخر بحسب مسائله، واتّحد معه في بعضها، يكون مختلفاً معه بما أنّه واحد اعتباري ذاتاً، خصوصاً إذا كان التداخل قليلاً، كما أنّ الأمر كذلك في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العلوم إنّما يكون بذاتها، لا بالأغراض والفوائد؛ فإنّه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لزوم كون المبحوث عنه في مسائل العلم من الأعراض الذاتية لموضوع العلم، بل ولا لموضوع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المباحث اللفظية، كالبحث عن دلالة الأمر والنهي وكلمات الحصر وكثير من مباحث العامّ والخاصّ، والمطلق والمقيّد، وبعض المباحث العقلية التي يكون البحث فيها أعمّ ممّا ورد في كلام الشارع، تكون من مسائل العلم بما أنّها مسائل مرتبطة بسائر مسائلها ومشتركة معها في الخصوصية التي لأجلها صارت واحدة بالاعتبار، إذا لم يكن محذور آخر في عدّها منه، كما سنشير إليه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4563103_2142443653"/>
      <w:bookmarkStart w:id="52" w:name="_Toc17"/>
      <w:bookmarkEnd w:id="51"/>
      <w:r>
        <w:rPr>
          <w:rtl w:val="true"/>
        </w:rPr>
        <w:t>بحث وتحقيق</w:t>
      </w:r>
      <w:r>
        <w:rPr>
          <w:rtl w:val="true"/>
        </w:rPr>
        <w:t xml:space="preserve">: </w:t>
      </w:r>
      <w:r>
        <w:rPr>
          <w:rtl w:val="true"/>
        </w:rPr>
        <w:t>في تعريف الاُصول</w:t>
      </w:r>
      <w:bookmarkEnd w:id="5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 الاُصول بتعاريف لم يسلم واحد منها من الإشكال طرداً أو عكساً؛ بخروج ما دخل فيه تارة، ودخول ما خرج منه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اشتهر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w:t>
      </w:r>
    </w:p>
    <w:p>
      <w:pPr>
        <w:pStyle w:val="BookText"/>
        <w:rPr/>
      </w:pPr>
      <w:r>
        <w:rPr>
          <w:rFonts w:ascii="Amiri" w:hAnsi="Amiri" w:eastAsia="Amiri" w:cs="Amiri"/>
          <w:color w:val="111111"/>
          <w:sz w:val="28"/>
          <w:sz w:val="28"/>
          <w:szCs w:val="28"/>
          <w:rtl w:val="true"/>
          <w:lang w:bidi="ar-SA"/>
        </w:rPr>
        <w:t>العلم بالقواعد الممهّدة لاستنباط الأحكام الشرعية الفرعية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فاستشكل عليه بلزوم استطراد الظنّ على الحكومة، ومسائل الاُصول العملية في الشبهات الحكمية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الشيخ الأعظم ما يوجب انسلاك كثير من القواعد الفقهية فيه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عدل المحقّق الخراساني رحمه الله علیه  عنه إلى تعريفه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 نّه صناعة يعرف بها القواعد التي يمكن أن تقع في طريق استنباط الأحكام، أو التي ينتهى إليها في مقام العمل</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لإدخال الظنّ على الحكومة والاُصول العملية، ولعلّ التعبير بالصناعة للإشارة إلى أنّ الاُصول علم آلي بالنسبة إلى الفقه، كالمنطق بالنسبة إلى العلوم العقلية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هذا التعريف أسوأ التعاريف المتداولة بينهم؛ لأنّ كلّ علم إمّا نفس المسائل، فتكون البراهين على إثباتها من المبادئ التصديقية، أو مجموع المسائل والمبادئ،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أجزاء العلوم ثلاثة</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واُريد به أجزاء العلوم المدوّنة، وأمّا كون العلم هو المبادئ فقط فلم يذهب إليه أحد، ولا يمكن التزامه، وقد سبق منه رحمه الله علیه  أنّ مسائل العلم هي قضايا متشتّتة </w:t>
      </w:r>
    </w:p>
    <w:p>
      <w:pPr>
        <w:pStyle w:val="BookText"/>
        <w:rPr/>
      </w:pPr>
      <w:r>
        <w:rPr>
          <w:rFonts w:ascii="Amiri" w:hAnsi="Amiri" w:eastAsia="Amiri" w:cs="Amiri"/>
          <w:color w:val="111111"/>
          <w:sz w:val="28"/>
          <w:sz w:val="28"/>
          <w:szCs w:val="28"/>
          <w:rtl w:val="true"/>
          <w:lang w:bidi="ar-SA"/>
        </w:rPr>
        <w:t>جمعها اشتراكها في الدخل في الغرض</w:t>
      </w:r>
      <w:r>
        <w:rPr>
          <w:rStyle w:val="FootnoteAnchor"/>
          <w:rtl w:val="true"/>
        </w:rPr>
        <w:footnoteReference w:id="19"/>
      </w:r>
      <w:r>
        <w:rPr>
          <w:rFonts w:ascii="Amiri" w:hAnsi="Amiri" w:eastAsia="Amiri" w:cs="Amiri"/>
          <w:color w:val="111111"/>
          <w:sz w:val="28"/>
          <w:sz w:val="28"/>
          <w:szCs w:val="28"/>
          <w:rtl w:val="true"/>
          <w:lang w:bidi="ar-SA"/>
        </w:rPr>
        <w:t>، مع أنّ تعريفه ذلك لا ينطبق إلاّ على المبادئ؛ فإنّها هي التي تعرف بها القواعد التي يمكن أن تقع في طريق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القواعد الكلّية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ما يضمن أصلاً وعكساً، وقاعدة الضرر، والحرج، والغرر، وغيرها من القواعد التي يستنبط منها أحكام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يراد بالصناعة هو العلم الآلي المحض كما احتملنا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وارد على تعريف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مع</w:t>
      </w:r>
    </w:p>
    <w:p>
      <w:pPr>
        <w:pStyle w:val="BookText"/>
        <w:rPr/>
      </w:pPr>
      <w:r>
        <w:rPr>
          <w:rFonts w:ascii="Amiri" w:hAnsi="Amiri" w:eastAsia="Amiri" w:cs="Amiri"/>
          <w:color w:val="111111"/>
          <w:sz w:val="28"/>
          <w:sz w:val="28"/>
          <w:szCs w:val="28"/>
          <w:rtl w:val="true"/>
          <w:lang w:bidi="ar-SA"/>
        </w:rPr>
        <w:t>ورود بعض مناقشات اُخر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وارد على تعريف بعض أعاظم العصر رحمه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عبارة عن العلم بالكبريات التي لو انضمّت إليها صغرياتها يستنتج منها حكم فرعي كلّي</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فإنّه صادق على القواعد المتقدّمة، مع ورود الإشكال المتقدّم على التعريف المعروف عليه، وقد تصدّى لدفع الإشكال في أوائل الاستصحاب</w:t>
      </w:r>
      <w:r>
        <w:rPr>
          <w:rStyle w:val="FootnoteAnchor"/>
          <w:rtl w:val="true"/>
        </w:rPr>
        <w:footnoteReference w:id="22"/>
      </w:r>
      <w:r>
        <w:rPr>
          <w:rFonts w:ascii="Amiri" w:hAnsi="Amiri" w:eastAsia="Amiri" w:cs="Amiri"/>
          <w:color w:val="111111"/>
          <w:sz w:val="28"/>
          <w:sz w:val="28"/>
          <w:szCs w:val="28"/>
          <w:rtl w:val="true"/>
          <w:lang w:bidi="ar-SA"/>
        </w:rPr>
        <w:t>بما لا يخلو من غرابة، فراجع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بعض المحقّقين تصدّى لدفع الإشكال على الطرد والعكس بأنّ المدار في المسألة الاُصولية على وقوعها في طريق استنباط الحكم الشرعي </w:t>
      </w:r>
    </w:p>
    <w:p>
      <w:pPr>
        <w:pStyle w:val="BookText"/>
        <w:rPr/>
      </w:pPr>
      <w:r>
        <w:rPr>
          <w:rFonts w:ascii="Amiri" w:hAnsi="Amiri" w:eastAsia="Amiri" w:cs="Amiri"/>
          <w:color w:val="111111"/>
          <w:sz w:val="28"/>
          <w:sz w:val="28"/>
          <w:szCs w:val="28"/>
          <w:rtl w:val="true"/>
          <w:lang w:bidi="ar-SA"/>
        </w:rPr>
        <w:t>بنحو يكون ناظراً إلى إثبات الحكم بنفسه، أو بكيفية تعلّقه بموضوعه،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المسائل الأدبية لا تقع إلاّ في طريق استنباط موضوع الحكم بلا نظر إلى كيفية تعلّق حكمه، بخلاف مباحث العامّ والخاصّ، والمطلق والمقيّد</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كثيراً من مباحث العامّ والخاصّ، والمطلق والمقيّد، والمفاهيم، والأمر والنهي، مباحث لغوية يحرز بها أوضاع الكلمات، كمبحث المشتقّ الذي اعترف بخروجه</w:t>
      </w:r>
      <w:r>
        <w:rPr>
          <w:rStyle w:val="FootnoteAnchor"/>
          <w:rtl w:val="true"/>
        </w:rPr>
        <w:footnoteReference w:id="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وكسائر المباحث اللغوية، فأيّ فرق بين البحث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للاستغراق،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وأداة الشرط دالّة على المفهوم، والضمير المتعقّب للجمل يرجع إلى الأخيرة منها، والأمر والنهي ظاهران في الوجوب والحرمة، إلى غير ذلك، وبين البحث عن أنّ الصعيد مطلق وجه الأرض، وهيئة الفعل دالّة على الصدور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المباحث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ذلك ممّا يستنتج منه كيفية تعلّق الحكم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ورود إشكال دخول القواعد الفقهية فيه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تصدّينا في مباحث الظنّ لبيان الفرق بين القواعد الاُصولية والفقهية</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بما لا يخلو من إشكال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أظنّ إمكان حدّ جامع لجميع المسائل التي يبحث عنها في الاُصول بوضعه الفعلي، وطارد لغيرها من المباحث الأدبية التي تكون نظير كثير من مباحث الألفاظ، والفقهية التي تكون نظير الاُصولية في وقوعها كبرى قياس الاستنتاج</w:t>
      </w:r>
      <w:r>
        <w:rPr>
          <w:rFonts w:eastAsia="Amiri" w:cs="Amiri" w:ascii="Amiri" w:hAnsi="Amiri"/>
          <w:color w:val="111111"/>
          <w:sz w:val="28"/>
          <w:szCs w:val="28"/>
          <w:rtl w:val="true"/>
          <w:lang w:bidi="ar-SA"/>
        </w:rPr>
        <w:t xml:space="preserve">. </w:t>
      </w:r>
      <w:bookmarkStart w:id="53" w:name="pg15283_146157"/>
    </w:p>
    <w:p>
      <w:pPr>
        <w:pStyle w:val="Heading3"/>
        <w:numPr>
          <w:ilvl w:val="2"/>
          <w:numId w:val="1"/>
        </w:numPr>
        <w:rPr/>
      </w:pPr>
      <w:bookmarkStart w:id="54" w:name="__RefHeading___Toc4563105_2142443653"/>
      <w:bookmarkStart w:id="55" w:name="_Toc18"/>
      <w:bookmarkEnd w:id="53"/>
      <w:bookmarkEnd w:id="54"/>
      <w:r>
        <w:rPr>
          <w:rtl w:val="true"/>
        </w:rPr>
        <w:t>في تحقيق المقام</w:t>
      </w:r>
      <w:bookmarkEnd w:id="55"/>
    </w:p>
    <w:p>
      <w:pPr>
        <w:pStyle w:val="BookText"/>
        <w:rPr/>
      </w:pPr>
      <w:r>
        <w:rPr>
          <w:rFonts w:ascii="Amiri" w:hAnsi="Amiri" w:eastAsia="Amiri" w:cs="Amiri"/>
          <w:color w:val="111111"/>
          <w:sz w:val="28"/>
          <w:sz w:val="28"/>
          <w:szCs w:val="28"/>
          <w:rtl w:val="true"/>
          <w:lang w:bidi="ar-SA"/>
        </w:rPr>
        <w:t>والذي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كلّية المباحث التي يبحث فيها عن الأوضاع اللغوية، وتشخيص مفاهيم الجمل والألفاظ، ومداليل المفردات والمركّبات، وتشخيص الظهورات، خارجةٌ من المسائل الاُصولية، وداخلة في علم الأدب، وإنّما يبحث عنها الاُصولي؛ لكونها كثيرة الدوران في الفقه والسيلان في مباحثه؛ ولهذا لا يقنع الاُصولي بالبحث عنها في باب من الفقه، بل المناسب له بما أنّ منظوره الاجتهاد في الأحكام، أن ينقّح تلك المباحث العامّة البلوى ولو لم تكن اُصولية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أدرج المتأخّرون</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المسائل التي لا ابتلاء بها رأساً أو قليلة الفائدة جدّاً في فنّهم لأدنى مناسبة؛ إمّا تشييداً لأذهان المشتغلين، أو لثمرة علمية، أو لدخالة بعيدة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عرفت ذلك لا بأس بتعريفه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 نّه هو القواعد الآلية التي يمكن أن تقع كبرى استنتاج الأحكام الكلّية الإلهية أو الوظيفة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ينظر فيها بل ينظر بها فقط، ولا يكون لها شأن إلاّ ذلك، فتخرج بها القواعد الفقهية، فإنّها منظور فيها؛ لأنّ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ينظر فيها، وتكون حكماً كلّياً إلهياً، مع أنّها من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جزئيات قاعدة اليد، ولا يثبت بها حكم 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كانت الملازمة الشرعية بين المقدّم والتالي كان للنقض وجه، لكن ليس كذلك عكساً ولا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قاعدة الضرر والحرج والغرر؛ فإنّها مقيّدات للأحكام ولو بنحو الحكومة، فلا تكون آلية بل استقلالية، وإن يعرف بها حال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يخرج بهذا القيد بعض الاُصول العملية، كأصل البراءة الشرعية المستفاد من حديث الرفع</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وغيره، ولا غرو فيه؛ لأ نّه حكم شرعي ظاهري كأصل الحلّ والطهارة</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كما أنّ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البراءة الشرعية من الاُصول، وماهيته ليست غير أصل البراءة العقلية، بل العقل والنقل متطابقان على معذورية الجاهل،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مُعَذِّبِينَ حَتَّى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لايعلمون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الرفع؛ بناءً على كونه لرفع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الرفع؛ بناءً على رفع الحكم ورفع الشرطية والجزئية،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كونه بمعنى المباح، لا على احتمال آخر، فأجنبيّ عن أصل البراءة، بل هي أحكام فقهية، فأصل البراءة مسألة اُصولية، وأصل الإباحة والحلّ فقهية، فافهم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عوالي اللآلي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اُنظر 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كتاب الصيد والذبائح، أبواب الذبائح، الباب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كتاب التجارة، أبواب مايكتسب به،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كتاب القضاء، أبواب صفات القاضي،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لأجل أنّ الاُصولية لا تتقوّم بالوقوع الفعلي، فالبحث عن القياس وحجّية الشهرة والإجماع المنقول 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مباحث العلوم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العملية؛ لعدم عملية جميع الأحكام، كمطهّرية الماء والشمس، ونجاسة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لإدخال مثل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الظنّ على الحكومة ففيه كلام آخر،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العقل حكم بحجّيته يدخل بالقيد، وإن كان إيجاب العمل على طبقه عقلاً لأجل كونه أحد أطراف العلم فيكون أمارة على الواقع، وليس للظنّ من هذه الحيثية دخالة، وإن لا يجوز رفع اليد عنه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نكتف بأ نّه ما يمكن أن تقع كبرى استنتاج الوظيفة؛ لعدم كون ما يستنتج منها وظيفة دائماً كالأمثلة المتقدّمة، وإن تنتهي إلى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أسلم من سائر التعاريف، والأمر سهل</w:t>
      </w:r>
      <w:r>
        <w:rPr>
          <w:rFonts w:eastAsia="Amiri" w:cs="Amiri" w:ascii="Amiri" w:hAnsi="Amiri"/>
          <w:color w:val="111111"/>
          <w:sz w:val="28"/>
          <w:szCs w:val="28"/>
          <w:rtl w:val="true"/>
          <w:lang w:bidi="ar-SA"/>
        </w:rPr>
        <w:t xml:space="preserve">. </w:t>
      </w:r>
      <w:bookmarkStart w:id="56" w:name="pg15283_146160"/>
    </w:p>
    <w:p>
      <w:pPr>
        <w:pStyle w:val="Heading2"/>
        <w:numPr>
          <w:ilvl w:val="1"/>
          <w:numId w:val="1"/>
        </w:numPr>
        <w:rPr/>
      </w:pPr>
      <w:bookmarkStart w:id="57" w:name="__RefHeading___Toc4563107_2142443653"/>
      <w:bookmarkStart w:id="58" w:name="_Toc19"/>
      <w:bookmarkEnd w:id="56"/>
      <w:bookmarkEnd w:id="57"/>
      <w:r>
        <w:rPr>
          <w:rtl w:val="true"/>
        </w:rPr>
        <w:t xml:space="preserve">الأمر الثاني </w:t>
      </w:r>
      <w:r>
        <w:rPr>
          <w:rtl w:val="true"/>
        </w:rPr>
        <w:t xml:space="preserve">: </w:t>
      </w:r>
      <w:r>
        <w:rPr>
          <w:rtl w:val="true"/>
        </w:rPr>
        <w:t>في الواضع وكيفية الوضع</w:t>
      </w:r>
      <w:bookmarkEnd w:id="58"/>
    </w:p>
    <w:p>
      <w:pPr>
        <w:pStyle w:val="Heading3"/>
        <w:numPr>
          <w:ilvl w:val="2"/>
          <w:numId w:val="1"/>
        </w:numPr>
        <w:rPr/>
      </w:pPr>
      <w:bookmarkStart w:id="59" w:name="__RefHeading___Toc4563109_2142443653"/>
      <w:bookmarkStart w:id="60" w:name="_Toc20"/>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لا شبهة في أنّ البشر في الأزمنة القديمة جدّاً كان في غاية سذاجة الحياة وبساطة المعيشة، وبحسبها كان احتياجه إلى الألفاظ محصوراً محدوداً، فوضعها على حسب احتياجه المحدود، ثمّ كلّما كثر احتياجه كثرت الأوضاع واللغات، فكثرة الألفاظ والمعاني والاحتياجات في الحال الحاضر لا تدلّ على أنّ الواضع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بوحيه وإلهامه، بل الواضع هو البشر، لا شخص واحد، بل أشخاص كثيرة في مرّ الدهور وتمادي الأزمنة، فما صدر عن بعض الأعاظم في المقام</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ممّا لا ينبغي أن يصغى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عدم العلاقة الذاتية بين الألفاظ والمعاني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 الجعل فهو واضح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لزوم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للترجيح بلا مرجّح في الوضع، وجعل هذا برهاناً </w:t>
      </w:r>
    </w:p>
    <w:p>
      <w:pPr>
        <w:pStyle w:val="BookText"/>
        <w:rPr/>
      </w:pPr>
      <w:r>
        <w:rPr>
          <w:rFonts w:ascii="Amiri" w:hAnsi="Amiri" w:eastAsia="Amiri" w:cs="Amiri"/>
          <w:color w:val="111111"/>
          <w:sz w:val="28"/>
          <w:sz w:val="28"/>
          <w:szCs w:val="28"/>
          <w:rtl w:val="true"/>
          <w:lang w:bidi="ar-SA"/>
        </w:rPr>
        <w:t>على لزوم كونه تعالى واضعاً؛ لعدم إحاطة البشر بالخصوصيات والروابط بينها</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لعدم لزوم كون المرجّح هو الرابطة بين اللفظ والمعنى؛ لإمكان أن يكون انتخاب لفظ لترجيحٍ فيه لدى الواضع، من قبيل سهولة الأداء، وحسن التركيب، إلى غير ذلك، من غير أن يكون بين الألفاظ والمعاني أدنى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المناسبة بين جميع الألفاظ والمعاني ممّا يدفعه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إقامة البرهان على دفعها؛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لمعنىً بسيط من جميع الجهات ألفاظ مختلفة في لغة أو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لجميعها الربط مع المعنى، أو لبعضها دون بعض، أو لا ربط لواحد منها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الأوّل؛ للزوم تحقّق الجهات المختلفة في البسيط الحقيقي، وهو خلف، وعلى الثاني والثالث تبطل دعوى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عدم تحقّق العلقة بينهما بعد الوضع بمعنى أنّ الجاعل لم يوجد علقة خارجية بينهما،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لأنّ تعيين اللفظ للمعنى لا يعقل أن يكون موجباً لوجود العلقة الخارجية التكوينية، وأمّا فهم المعنى من اللفظ فليس إلاّ للاُنس الحاصل من الاستعمال، أو من العلم بأنّ المتكلّم يعمل على طبق الوضع، من غير أن تكون علقة زائدة على ما ذكر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لازم ذلك انعدام هذه العلقة بانعدام المعتبرين والعالمين، كما أنّ القوانين الجعلية العلمية التي قد يتعلّق بها العلم وقد يتعلّق بها الجهل، لو كانت </w:t>
      </w:r>
      <w:bookmarkStart w:id="61" w:name="pg15283_146162"/>
    </w:p>
    <w:p>
      <w:pPr>
        <w:pStyle w:val="BookText"/>
        <w:rPr/>
      </w:pPr>
      <w:bookmarkEnd w:id="61"/>
      <w:r>
        <w:rPr>
          <w:rFonts w:ascii="Amiri" w:hAnsi="Amiri" w:eastAsia="Amiri" w:cs="Amiri"/>
          <w:color w:val="111111"/>
          <w:sz w:val="28"/>
          <w:sz w:val="28"/>
          <w:szCs w:val="28"/>
          <w:rtl w:val="true"/>
          <w:lang w:bidi="ar-SA"/>
        </w:rPr>
        <w:t>من الاعتبارات ولم يكن لها وعاء غير الاعتبار، يلزم الالتزام بانعدامها بالغفلة عنها، وهذا ممّا يأبى عنه العقل السليم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بشيءٍ؛ لعدم فساد تاليه، بل الأمر كذلك بلا إشكال في القوانين الجعلية، كقانون الزواج والنظام</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وغيرهما؛ فإنّه مع انعدام المعتبرين ومناشئ اعتبارها ومحالّ كتْبها لم يكن لها تحقّق، كما أنّ الألسنة القديمة المتداولة بين البشر المنقرضة بوجودها العلمي والكتبي صارت منقرضة معدومة وليس لها عين ولا أثر في الخارج والذهن، وما لا وجود له في الخارج والعين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القوانين العلمية التي لها موازين واقعية كشف عنها العلم لم تنعدم بانعدام المكاشفين، فقانون الجاذبة له واقع كشف أم لم يكشف، بخلاف الجعليات، فلا ينبغي التأمّل في أنّ الواضع لم يجعل علاقة واقعية بين اللفظ والمعنى، مع أنّ البرهان المتقدّم يبطل تحقّق هذه العلاقة قبل الجعل وبعده</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563111_2142443653"/>
      <w:bookmarkStart w:id="63" w:name="_Toc21"/>
      <w:bookmarkEnd w:id="62"/>
      <w:r>
        <w:rPr>
          <w:rtl w:val="true"/>
        </w:rPr>
        <w:t>حقيقة الوضع</w:t>
      </w:r>
      <w:bookmarkEnd w:id="63"/>
    </w:p>
    <w:p>
      <w:pPr>
        <w:pStyle w:val="BookText"/>
        <w:rPr/>
      </w:pPr>
      <w:r>
        <w:rPr>
          <w:rFonts w:ascii="Amiri" w:hAnsi="Amiri" w:eastAsia="Amiri" w:cs="Amiri"/>
          <w:color w:val="111111"/>
          <w:sz w:val="28"/>
          <w:sz w:val="28"/>
          <w:szCs w:val="28"/>
          <w:rtl w:val="true"/>
          <w:lang w:bidi="ar-SA"/>
        </w:rPr>
        <w:t xml:space="preserve">ثمّ إنّ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تصاريفه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اللفظ للمعنى وتعيينه للدلالة عليه، وهذا لا ينقسم إلى قسمين؛ لأنّ التعيّني لا يكون وضعاً وجعلاً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والاختصاص الواقع في كلام المحقّق الخراساني</w:t>
      </w:r>
      <w:r>
        <w:rPr>
          <w:rStyle w:val="FootnoteAnchor"/>
          <w:rtl w:val="true"/>
        </w:rPr>
        <w:footnoteReference w:id="33"/>
      </w:r>
      <w:r>
        <w:rPr>
          <w:rFonts w:ascii="Amiri" w:hAnsi="Amiri" w:eastAsia="Amiri" w:cs="Amiri"/>
          <w:color w:val="111111"/>
          <w:sz w:val="28"/>
          <w:sz w:val="28"/>
          <w:szCs w:val="28"/>
          <w:rtl w:val="true"/>
          <w:lang w:bidi="ar-SA"/>
        </w:rPr>
        <w:t>ليس وضعاً بل أثره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التعهّد الذي وقع في كلام المحقّق الرشتي</w:t>
      </w:r>
      <w:r>
        <w:rPr>
          <w:rStyle w:val="FootnoteAnchor"/>
          <w:rtl w:val="true"/>
        </w:rPr>
        <w:footnoteReference w:id="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وتبعه شيخنا الاُستاذ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يعقل جعل العلاقة بين الأمرين اللذين لا علاقة بينهما أصلاً، والذي</w:t>
      </w:r>
    </w:p>
    <w:p>
      <w:pPr>
        <w:pStyle w:val="BookText"/>
        <w:rPr/>
      </w:pPr>
      <w:r>
        <w:rPr>
          <w:rFonts w:ascii="Amiri" w:hAnsi="Amiri" w:eastAsia="Amiri" w:cs="Amiri"/>
          <w:color w:val="111111"/>
          <w:sz w:val="28"/>
          <w:sz w:val="28"/>
          <w:szCs w:val="28"/>
          <w:rtl w:val="true"/>
          <w:lang w:bidi="ar-SA"/>
        </w:rPr>
        <w:t>يمكن تعقّله هو أن يلتزم الواضع أنّه متى أراد وتعقّله وأراد إفهام الغير تكلّم بلفظ</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أيضاً متأخّر عن الجعل والتعيين؛ لأنّ هذا التعهّد هو الالتزام بالعمل بالوضع لا نفسه، 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لا نعقل جعل العلاقة، هو حقّ إذا كان الوضع جعل العلاقة الواقعية، وأمّا إذا كان عمل الواضع تعيين اللفظ للمعنى فهو بمكان من الإمكان، بل الواقع كذلك وجداناً، بل ربما يكون الواضع غير المستعمل، فيكون الوضع للغير، ويكون الواضع غافلاً عن هذا الالتزام التعليقي، فالاختصاص والربط والتعهّد كلّها غير حقيقة الوضع</w:t>
      </w:r>
      <w:r>
        <w:rPr>
          <w:rFonts w:eastAsia="Amiri" w:cs="Amiri" w:ascii="Amiri" w:hAnsi="Amiri"/>
          <w:color w:val="111111"/>
          <w:sz w:val="28"/>
          <w:szCs w:val="28"/>
          <w:rtl w:val="true"/>
          <w:lang w:bidi="ar-SA"/>
        </w:rPr>
        <w:t xml:space="preserve">. </w:t>
      </w:r>
      <w:bookmarkStart w:id="64" w:name="pg15283_146164"/>
    </w:p>
    <w:p>
      <w:pPr>
        <w:pStyle w:val="Heading2"/>
        <w:numPr>
          <w:ilvl w:val="1"/>
          <w:numId w:val="1"/>
        </w:numPr>
        <w:rPr/>
      </w:pPr>
      <w:bookmarkStart w:id="65" w:name="__RefHeading___Toc4563113_2142443653"/>
      <w:bookmarkStart w:id="66" w:name="_Toc22"/>
      <w:bookmarkEnd w:id="64"/>
      <w:bookmarkEnd w:id="65"/>
      <w:r>
        <w:rPr>
          <w:rtl w:val="true"/>
        </w:rPr>
        <w:t xml:space="preserve">الأمر الثالث </w:t>
      </w:r>
      <w:r>
        <w:rPr>
          <w:rtl w:val="true"/>
        </w:rPr>
        <w:t xml:space="preserve">: </w:t>
      </w:r>
      <w:r>
        <w:rPr>
          <w:rtl w:val="true"/>
        </w:rPr>
        <w:t>في أقسام الوضع</w:t>
      </w:r>
      <w:bookmarkEnd w:id="66"/>
    </w:p>
    <w:p>
      <w:pPr>
        <w:pStyle w:val="Heading3"/>
        <w:numPr>
          <w:ilvl w:val="2"/>
          <w:numId w:val="1"/>
        </w:numPr>
        <w:rPr/>
      </w:pPr>
      <w:bookmarkStart w:id="67" w:name="__RefHeading___Toc4563115_2142443653"/>
      <w:bookmarkStart w:id="68" w:name="_Toc23"/>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ينقسم الوضع إلى عمومه وعموم الموضوع له، أو خصوصهما، أو عموم الأوّل، أو الثاني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امتناع كون العامّ مرآةً للخاصّ ووجهاً له دون الخاصّ للعامّ</w:t>
      </w:r>
      <w:r>
        <w:rPr>
          <w:rStyle w:val="FootnoteAnchor"/>
          <w:rtl w:val="true"/>
        </w:rPr>
        <w:footnoteReference w:id="36"/>
      </w:r>
      <w:r>
        <w:rPr>
          <w:rFonts w:ascii="Amiri" w:hAnsi="Amiri" w:eastAsia="Amiri" w:cs="Amiri"/>
          <w:color w:val="111111"/>
          <w:sz w:val="28"/>
          <w:sz w:val="28"/>
          <w:szCs w:val="28"/>
          <w:rtl w:val="true"/>
          <w:lang w:bidi="ar-SA"/>
        </w:rPr>
        <w:t xml:space="preserve">، غير صحيح؛ لأنّ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مرآةً للخاصّ بما أنّه خاصّ؛ لأنّ الخصوصيات وإن اتّحدت مع العامّ وجوداً، لكن يخالفها عنواناً وماهية، ولا يمكن أن يحكي عنوان إلاّ عمّا بحذائه، فالإنسان لا يحكي إلاّ عن حيثية الإنسانية، لا خصوصيات الأفراد، فلا يكفي للوضع للأفراد تصوّر نفس عنوان العامّ الذي ينحلّ الخاصّ والفرد إليه وإلى غيره، بل لا بدّ من لحاظ الخاصّ، ولا يعقل الوضع إلاّ مع تصوّر الطرفين ولو بالإجمال، فلو تقوّم الوضع بمرآتية العنوان للموضوع له كان عموم الوضع وخصوص الموضوع له </w:t>
      </w:r>
      <w:bookmarkStart w:id="69" w:name="pg15283_146165"/>
    </w:p>
    <w:p>
      <w:pPr>
        <w:pStyle w:val="BookText"/>
        <w:rPr/>
      </w:pPr>
      <w:bookmarkEnd w:id="69"/>
      <w:r>
        <w:rPr>
          <w:rFonts w:ascii="Amiri" w:hAnsi="Amiri" w:eastAsia="Amiri" w:cs="Amiri"/>
          <w:color w:val="111111"/>
          <w:sz w:val="28"/>
          <w:sz w:val="28"/>
          <w:szCs w:val="28"/>
          <w:rtl w:val="true"/>
          <w:lang w:bidi="ar-SA"/>
        </w:rPr>
        <w:t xml:space="preserve">كالعكس محالاً،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كلاهما ممكنين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تصوّر العامّ قد يكون موجباً لانتقال الذهن إلى مصاديقه بوجه إجمالي، فيتصوّر العامّ ويوضع اللفظ بإزاء ما هو مصداقه، ويكون هذا العنوان الإجمالي المشير آلة للوضع للأفراد، ولا يحتاج في الوضع إلى تصوّرها بخصوصياتها تفصيلاً، بل لا يمكن ذلك؛ لعدم إمكان الإحاطة بها تفصيلاً؛ لعدم تناهي أفراد الطبيعي، وبهذا المعنى يكون خصوص الوضع وعموم الموضوع له ممكناً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4563117_2142443653"/>
      <w:bookmarkStart w:id="71" w:name="_Toc24"/>
      <w:bookmarkEnd w:id="70"/>
      <w:r>
        <w:rPr>
          <w:rtl w:val="true"/>
        </w:rPr>
        <w:t>نقل وتنقيح تصوير المحقّق العراقي لعموم الوضع والموضوع له</w:t>
      </w:r>
      <w:bookmarkEnd w:id="7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لعموم الوضع والموضوع له معنىً آخر غير ما هو المشهور، بتوهّم أنّ للطبيعي حصصاً في الخارج متكثّرة الوجود، ولها جامعاً موجوداً في الخارج بالوجود السعي ملاصقاً للخصوصيات، واحداً بالوحدة الذاتية؛ بدليل انتزاع المفهوم الواحد منها وتأثير العلّتين في معلول واحد، وللصور الذهنية للأفراد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كذلك، وإلاّ لم يكن تامّ الانطباق على الخارج، ولازم ذلك عدم مجيء المعنى المشترك في الذهن إلاّ في ضمن الخصوصيات، فحينئذٍ يمكن ملاحظة صورة هذه الجهة المتّحدة السارية في الخصوصيات المطابقة لما في الخارج بتوسيط معنىً إجمالي ووضع اللفظ لها لا للخصوصيات، في قبال وضعه للجامع المجرّد عنها،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الوضع العامّ والموضوع له كذلك، لكن لازمه انتقال النفس في مقام الاستعمال </w:t>
      </w:r>
    </w:p>
    <w:p>
      <w:pPr>
        <w:pStyle w:val="BookText"/>
        <w:rPr/>
      </w:pPr>
      <w:r>
        <w:rPr>
          <w:rFonts w:ascii="Amiri" w:hAnsi="Amiri" w:eastAsia="Amiri" w:cs="Amiri"/>
          <w:color w:val="111111"/>
          <w:sz w:val="28"/>
          <w:sz w:val="28"/>
          <w:szCs w:val="28"/>
          <w:rtl w:val="true"/>
          <w:lang w:bidi="ar-SA"/>
        </w:rPr>
        <w:t>إلى صور الأفراد، وهذا لا ينافي كون الطبيعي مع الأفراد كالآباء مع الأولاد</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ما لا يخفى على أهله؛ فإنّ الجامع الخارجي بنعت الوحدة يساوق الوجود الواحد بالوحدة العددية؛ ضرورة مساوقة الوحدة للوجود، وفساده أوضح من أن يخفى، وهو رحمه الله علیه  وإن فرّ من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الحصص متكثّرة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يلزم الوحدة العددية، لكن كرّ عليه بالالتزام بالجامع الموجود بالوجود السعي الذي توهّم كونه منشأ انتزاع المفهوم الواحد، وكونه مؤثّراً عند اجتماع العلّتين على معلول واحد، وإن سمّاه واحداً ذاتياً وسنخياً، وهذا رأي الرجل الهمداني</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منشأ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 من قيام البرهان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عدم انتزاع مفهوم واحد إلاّ من منشأ واحد فهو كذلك، لكن ليس معناه أنّه يكون في الخارج أمر واحد جامع موجود بنعت الوحدة ينتزع منه المفهوم، بل المراد منه أنّ الماهية اللا بشرط الموجودة في الخارج بنعت الكثرة المحضة، للعقل أن يجرّد أفرادها عن اللواحق والمشخّصات، فعند ذلك ينال من كلّ فرد ما ينال من الآخر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اللا بشرط إنسان متكثّر الوجود، واللا بشرط يتكثّر مع الكثرة، لا بمعنى صيرورته حصصاً منقسماً متجزّئاً كما يوهمه لفظ الحصص، بل بمعنى </w:t>
      </w:r>
    </w:p>
    <w:p>
      <w:pPr>
        <w:pStyle w:val="BookText"/>
        <w:rPr/>
      </w:pPr>
      <w:r>
        <w:rPr>
          <w:rFonts w:ascii="Amiri" w:hAnsi="Amiri" w:eastAsia="Amiri" w:cs="Amiri"/>
          <w:color w:val="111111"/>
          <w:sz w:val="28"/>
          <w:sz w:val="28"/>
          <w:szCs w:val="28"/>
          <w:rtl w:val="true"/>
          <w:lang w:bidi="ar-SA"/>
        </w:rPr>
        <w:t>كون كلّ فرد تمام حقيقة الإنسان؛ فإنّها لا تأبى عن الكثرة في وعاء الخارج، والعقل بعد التخلية والتجريد يراها بنعت الوحدة، لكن وعاء تحقّقها بالوحدة هو الذهن، فللماهية نشأة خارجية هي نشأة الكثرة المحضة، ونشأة عقلية بعد التجريد هي نشأة الوحدة الذاتية أو النوعية أو السنخية، وهذا مراد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الطبيعي مع الأفراد كالآباء مع الأولاد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وما زعمه رحمه الله علیه  هو عين القول بكونه كالأب مع الأولاد، ولازمه الوحدة العددية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حديث كون الجامع مؤثّراً في العلل المستقلّة إذا اجتمعت على معلول واحد، متمثّلاً بعدّة قضايا عرفية؛ كالبنادق المؤثّرات في قتل حيوان، وكالشمس والنار المجتمعتين على تسخين ماء واحد، وكاجتماع عدّة أشخاص لرفع الحجر العظيم، فهو من غرائب الكلام، لا يصدر إلاّ ممّن لا يعلم كيفية تعلّق المعلول بالعلّة في الفاعل الإلهي؛ إذ لا يمكن اجتماع العلّتين البسيطتين على معلول واحد قطّ حتّى يلتزم بتأثير الجامع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الواحد بالنوع والذات والسنخ بما أنّه كذلك لا يمكن أن يكون مؤثّراً ومتأثّراً إلاّ بالعرض، والمؤثّر والمتأثّر دائماً هو الهوية الوجودية الواحدة بالوحدة الحقيقية، وموارد النقض كلّها من قبيل تأثير الكثير في الكثير عقلاً، وإنّما خلط الأمر العرفي بالعقلي، والأولى إيكال أمثال هذه المسائل إلى علمه وأهله</w:t>
      </w:r>
      <w:r>
        <w:rPr>
          <w:rStyle w:val="FootnoteAnchor"/>
          <w:rtl w:val="true"/>
        </w:rPr>
        <w:footnoteReference w:id="40"/>
      </w:r>
      <w:r>
        <w:rPr>
          <w:rFonts w:ascii="Amiri" w:hAnsi="Amiri" w:eastAsia="Amiri" w:cs="Amiri"/>
          <w:color w:val="111111"/>
          <w:sz w:val="28"/>
          <w:sz w:val="28"/>
          <w:szCs w:val="28"/>
          <w:rtl w:val="true"/>
          <w:lang w:bidi="ar-SA"/>
        </w:rPr>
        <w:t xml:space="preserve">، حتّى لا يقع الباحث في مفاسد عظيمة من حيث لا يعلم، كدعوى كون </w:t>
      </w:r>
      <w:bookmarkStart w:id="72" w:name="pg15283_146168"/>
    </w:p>
    <w:p>
      <w:pPr>
        <w:pStyle w:val="BookText"/>
        <w:rPr/>
      </w:pPr>
      <w:bookmarkEnd w:id="72"/>
      <w:r>
        <w:rPr>
          <w:rFonts w:ascii="Amiri" w:hAnsi="Amiri" w:eastAsia="Amiri" w:cs="Amiri"/>
          <w:color w:val="111111"/>
          <w:sz w:val="28"/>
          <w:sz w:val="28"/>
          <w:szCs w:val="28"/>
          <w:rtl w:val="true"/>
          <w:lang w:bidi="ar-SA"/>
        </w:rPr>
        <w:t>السنخية بين العلّة والمعلول من قبيل الجامع الخارجي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وأوكلنا تحقيقه إلى محلّه</w:t>
      </w:r>
      <w:r>
        <w:rPr>
          <w:rStyle w:val="FootnoteAnchor"/>
          <w:rtl w:val="true"/>
        </w:rPr>
        <w:footnoteReference w:id="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الجامع الخارجي بين الأفراد الخارجية غير معقول، وكذا لا جامع بين الأفراد الذهنية بنعت الوحدة بما هي موجودة في الذهن، ولكن للعقل أن يُجرّدها عن الخصوصيات وينال الجامع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تسليم تحقّق الجامع الكذائي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وضع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إحضار الخصوصيات اللاحقة له خارجاً في الذهن؛ لأنّ الجامع لم يكن ذاته إلاّ نفس الماهية، والخصوصيات خارجة عنها، واتّحادها معها أو لصوقها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ولزومها لها خارجاً لا يوجب إحضارها في الذهن بلفظ موضوع لغيرها ما لم يكن بينهما لزوم ذهني، وهو غير معلول للاتّحاد أو الالتصاق، ومجرّد كونها جامعاً بينها لو أوجب ذلك لزم إحضار الخصوصيات باللفظ الموضوع لنفس الماهية؛ لأ 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بوجودها ومتّحدة معها ولو بنعت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الخارجي غير الانفهام من اللفظ</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563119_2142443653"/>
      <w:bookmarkStart w:id="74" w:name="_Toc25"/>
      <w:bookmarkEnd w:id="73"/>
      <w:r>
        <w:rPr>
          <w:rtl w:val="true"/>
        </w:rPr>
        <w:t>وهم ودفع</w:t>
      </w:r>
      <w:r>
        <w:rPr>
          <w:rtl w:val="true"/>
        </w:rPr>
        <w:t xml:space="preserve">: </w:t>
      </w:r>
      <w:r>
        <w:rPr>
          <w:rtl w:val="true"/>
        </w:rPr>
        <w:t>تخيّل امتناع عموم الوضع وإبطاله</w:t>
      </w:r>
      <w:bookmarkEnd w:id="7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الوضع مطلقاً محال؛ لأنّ الملحوظ جزئي حقيقي؛ لوجوده في الذهن، وقطع النظر عن اللحاظ أو كونه مغفولاً عنه لا يوجب انقلابه كلّياً، بل الكلّي القابل للصدق على الكثيرين لا يمكن أن يتحقّق مجرّداً </w:t>
      </w:r>
      <w:bookmarkStart w:id="75" w:name="pg15283_146169"/>
    </w:p>
    <w:p>
      <w:pPr>
        <w:pStyle w:val="BookText"/>
        <w:rPr/>
      </w:pPr>
      <w:bookmarkEnd w:id="75"/>
      <w:r>
        <w:rPr>
          <w:rFonts w:ascii="Amiri" w:hAnsi="Amiri" w:eastAsia="Amiri" w:cs="Amiri"/>
          <w:color w:val="111111"/>
          <w:sz w:val="28"/>
          <w:sz w:val="28"/>
          <w:szCs w:val="28"/>
          <w:rtl w:val="true"/>
          <w:lang w:bidi="ar-SA"/>
        </w:rPr>
        <w:t>عن الخصوصيات وبنعت الكلّية في وعاء من الأوعية؛ إذ لا تقرّر للطبيعي إلاّ بالوجود، ومعه جزئي، فأين لحاظ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 الوضع خصوصه بحسب الواقع، وإن يتوهّم اللاحظ كونه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الملحوظ حال الوضع هو الملحوظ بالعرض لا بالذات؛ ضرورة أنّ اللفظ لم يوضع له في عموم الوضع والموضوع له، ولا في خصوصهما، ولا لمصاديقه في خصوص الموضوع له؛ لعدم المصداق له، والملحوظية بالعرض تكفي للوضع وصيرورته عامّاً أو خاصّاً، وإلاّ يلزم امتناع الوضع للخارجيات مطلقاً؛ لعدم تصوّرها بالذات، فالصورة الملحوظة بالذات في خصوص الوضع والماهية الملحوظة كذلك في عمومه، وسيلة للحاظ الخاصّ والعامّ؛ كوساطة الصورة الذهنية من المعدوم المطلق للإخبار بعدم الإخبار عنه، ومن شريك الباري للإخبار بامتناعه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563121_2142443653"/>
      <w:bookmarkStart w:id="77" w:name="_Toc26"/>
      <w:bookmarkEnd w:id="76"/>
      <w:r>
        <w:rPr>
          <w:rtl w:val="true"/>
        </w:rPr>
        <w:t>تنبيه</w:t>
      </w:r>
      <w:bookmarkEnd w:id="77"/>
    </w:p>
    <w:p>
      <w:pPr>
        <w:pStyle w:val="Heading4"/>
        <w:numPr>
          <w:ilvl w:val="3"/>
          <w:numId w:val="1"/>
        </w:numPr>
        <w:rPr/>
      </w:pPr>
      <w:bookmarkStart w:id="78" w:name="__RefHeading___Toc4563123_2142443653"/>
      <w:bookmarkStart w:id="79" w:name="_Toc27"/>
      <w:bookmarkEnd w:id="78"/>
      <w:r>
        <w:rPr>
          <w:rtl w:val="true"/>
        </w:rPr>
        <w:t>في المراد بالعموم في الوضع</w:t>
      </w:r>
      <w:bookmarkEnd w:id="7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يسبق إلى بعض الأذهان مقابلة الوضع العامّ والموضوع له كذلك لخصوصهما، فيتوهّم أنّ الموضوع له في الثاني هو الخاصّ بما أنّه خاصّ؛ أي المتشخّص الخارجي بما هو كذلك، فلا بدّ وأن يكون في الأوّل العامّ بما أنّه عامّ، كما التزم به بعض المدقّقين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لكنّه فاسد، بل المراد بالعموم هو نفس الطبائع والماهيات، كما يشهد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الأجناس، ولا ريب في أنّها نفس الطبائع لا بما هي عامّة؛ ضرورة أنّها كذلك آبية عن الحمل، فلو وضع اللفظ لها لزم التجريد والتجوّز دائماً،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يتّضح تصوّر قسم آخر للوضع، وهو عموم الموضوع له بما هو عامّ، لكن ثبوته محلّ منع</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من عموم الوضع وخصوص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يكون الملحوظ شخصاً والموضوع له كلّ ما كان من أمثاله،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خصوصهما بالمعنى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يكون الملحوظ جميع الأفراد بنحو الإجمال والموضوع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فإنّه أيضاً من خصوصهما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 xml:space="preserve">تصوّر ما ذكر، وإمكان الوضع الخاصّ وعموم الموضوع له، لا طريق لنا في مورد عموم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بالتبادر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عموم الوضع، كما لا طريق لإثبات عمومه في مثل معاني الحروف على فرض ثبوت خصوص الموضوع له فيها؛ لإمكان أن يكون من قبيل الصورة الثانية أو الصورة الثالثة من صور خصوص الموضوع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بناءً على امتناع عموم الموضوع له وخصوص الوضع يستكشف من عموم الأوّل عموم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عليك أنّ العموم والخصوص في المقام غيرهما في باب العامّ والخاصّ؛ فالعامّ هاهنا نفس الماهية، والخاصّ جزئي حقيقي، والعامّ هناك القضيّة المحصورة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والخاصّ ما كان أقلّ ولو كانت محصورة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الخلط في ذلك صار موجباً لغفلة بعض المدقّقينأ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5283_146171"/>
    </w:p>
    <w:p>
      <w:pPr>
        <w:pStyle w:val="Heading2"/>
        <w:numPr>
          <w:ilvl w:val="1"/>
          <w:numId w:val="1"/>
        </w:numPr>
        <w:rPr/>
      </w:pPr>
      <w:bookmarkStart w:id="81" w:name="__RefHeading___Toc4563125_2142443653"/>
      <w:bookmarkStart w:id="82" w:name="_Toc28"/>
      <w:bookmarkEnd w:id="80"/>
      <w:bookmarkEnd w:id="81"/>
      <w:r>
        <w:rPr>
          <w:rtl w:val="true"/>
        </w:rPr>
        <w:t xml:space="preserve">الأمر الرابع </w:t>
      </w:r>
      <w:r>
        <w:rPr>
          <w:rtl w:val="true"/>
        </w:rPr>
        <w:t xml:space="preserve">: </w:t>
      </w:r>
      <w:r>
        <w:rPr>
          <w:rtl w:val="true"/>
        </w:rPr>
        <w:t>في أمثلة أقسام الوضع</w:t>
      </w:r>
      <w:bookmarkEnd w:id="82"/>
    </w:p>
    <w:p>
      <w:pPr>
        <w:pStyle w:val="Heading3"/>
        <w:numPr>
          <w:ilvl w:val="2"/>
          <w:numId w:val="1"/>
        </w:numPr>
        <w:rPr/>
      </w:pPr>
      <w:bookmarkStart w:id="83" w:name="__RefHeading___Toc4563127_2142443653"/>
      <w:bookmarkStart w:id="84" w:name="_Toc29"/>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لا إشكال في ثبوت عموم الوضع والموضوع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ثبوت خصوصهما، ومثّلوا له بالأعلام الشخصية</w:t>
      </w:r>
      <w:r>
        <w:rPr>
          <w:rStyle w:val="FootnoteAnchor"/>
          <w:rtl w:val="true"/>
        </w:rPr>
        <w:footnoteReference w:id="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كونها منه إشكال؛ للزوم كون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ضرورية،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 حمله عليه كحمل الشيء على نفسه، ومجازية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إمّا موجود وإمّا 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الفرق وجداناً بينه وبين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إمّا قائم أو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العناية فيه، فلا يبعد أن يلتزم بأ نّها وضعت للماهية الكلّية التي لا تنطبق إلاّ على الفرد الواحد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أنّ الماهية الكذائية مغفول عنها حين الوضع بالوجدان، مدفوع بأنّ الارتكاز مساعد لذلك؛ كما نرى من إخبار العوامّ والنساء بمعدومية المسمّيات في الأعلام وموجوديتها</w:t>
      </w:r>
      <w:r>
        <w:rPr>
          <w:rFonts w:eastAsia="Amiri" w:cs="Amiri" w:ascii="Amiri" w:hAnsi="Amiri"/>
          <w:color w:val="111111"/>
          <w:sz w:val="28"/>
          <w:szCs w:val="28"/>
          <w:rtl w:val="true"/>
          <w:lang w:bidi="ar-SA"/>
        </w:rPr>
        <w:t xml:space="preserve">. </w:t>
      </w:r>
      <w:bookmarkStart w:id="85" w:name="pg15283_146172"/>
    </w:p>
    <w:p>
      <w:pPr>
        <w:pStyle w:val="BookText"/>
        <w:rPr/>
      </w:pPr>
      <w:bookmarkEnd w:id="85"/>
      <w:r>
        <w:rPr>
          <w:rFonts w:ascii="Amiri" w:hAnsi="Amiri" w:eastAsia="Amiri" w:cs="Amiri"/>
          <w:color w:val="111111"/>
          <w:sz w:val="28"/>
          <w:sz w:val="28"/>
          <w:szCs w:val="28"/>
          <w:rtl w:val="true"/>
          <w:lang w:bidi="ar-SA"/>
        </w:rPr>
        <w:t>والموضوع في هذا الحكم ليس الماهية الكلّية القابلة للانطباق على الكثيرين، ولا الشخص الموجود بما هو كذلك، بل الماهية التي لا تنطبق إلاّ على الفرد الخارجي، وهي متصوّرة ارتكازاً، والأعلام الشخصية موضوعة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أهون من الالتزام بمجازية كثير من الاستعمالات الرائجة بلا عناية وجداناً،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الوضع العامّ والموضوع له الخاصّ فقد ذهب جمع بأنّ وضع الحروف كذلك</w:t>
      </w:r>
      <w:r>
        <w:rPr>
          <w:rStyle w:val="FootnoteAnchor"/>
          <w:rtl w:val="true"/>
        </w:rPr>
        <w:footnoteReference w:id="45"/>
      </w:r>
      <w:r>
        <w:rPr>
          <w:rFonts w:ascii="Amiri" w:hAnsi="Amiri" w:eastAsia="Amiri" w:cs="Amiri"/>
          <w:color w:val="111111"/>
          <w:sz w:val="28"/>
          <w:sz w:val="28"/>
          <w:szCs w:val="28"/>
          <w:rtl w:val="true"/>
          <w:lang w:bidi="ar-SA"/>
        </w:rPr>
        <w:t>، فلا بدّ من تحقيق معانيها أوّلاً حتّى يتّضح ما هو الحقّ، فنقول</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4563129_2142443653"/>
      <w:bookmarkStart w:id="87" w:name="_Toc30"/>
      <w:bookmarkEnd w:id="86"/>
      <w:r>
        <w:rPr>
          <w:rtl w:val="true"/>
        </w:rPr>
        <w:t>القول في معاني الحروف</w:t>
      </w:r>
      <w:bookmarkEnd w:id="87"/>
    </w:p>
    <w:p>
      <w:pPr>
        <w:pStyle w:val="BookText"/>
        <w:rPr/>
      </w:pPr>
      <w:r>
        <w:rPr>
          <w:rFonts w:ascii="Amiri" w:hAnsi="Amiri" w:eastAsia="Amiri" w:cs="Amiri"/>
          <w:color w:val="111111"/>
          <w:sz w:val="28"/>
          <w:sz w:val="28"/>
          <w:szCs w:val="28"/>
          <w:rtl w:val="true"/>
          <w:lang w:bidi="ar-SA"/>
        </w:rPr>
        <w:t>لا إشكال في أنّه مع قطع النظر عن الوضع تكون الموجودات مختلفة في أنحاء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موجودة ومعقولة في نفسها كالجواهر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موجودة في غيرها ومعقولة في نفسها كالأعراض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تكون في نفسها موجودة ولا معقولة كالنسب والإضافات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الجسم موجوداً بوجود مستقلّ، ويكون له ماهية معقولة بذاتها، وللبياض وجود خارجي غير مستقلّ؛ أي يكون وجوده </w:t>
      </w:r>
    </w:p>
    <w:p>
      <w:pPr>
        <w:pStyle w:val="BookText"/>
        <w:rPr/>
      </w:pPr>
      <w:r>
        <w:rPr>
          <w:rFonts w:ascii="Amiri" w:hAnsi="Amiri" w:eastAsia="Amiri" w:cs="Amiri"/>
          <w:color w:val="111111"/>
          <w:sz w:val="28"/>
          <w:sz w:val="28"/>
          <w:szCs w:val="28"/>
          <w:rtl w:val="true"/>
          <w:lang w:bidi="ar-SA"/>
        </w:rPr>
        <w:t>في نفسه عين وجوده للجسم، فلا يمكن أن يتحقّق في نفسه مستقلاًّ، ولكن له ماهية معقولة بذاتها من غير احتياجها إلى أمر آخر، فنفس ذات البياض معقولة مع الغفلة عن وجود الجوهر وماهيته، لكن في وجوده يحتاج إلى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النسب والروابط بينهما فليس لها وجود مستقلّ، بل تكون موجوديتها تبعاً لهما، كما لا تكون لها ماهيات مستقلّة بالمعقولية حتّى تتعقّل بنفس ذاتها، بل يكون نحو تعقّلها في الذهن كنحو وجودها في الخارج تبعاً للطرفين، فمثل هذه النسب والإضافات وكذا الوجودات الرابطة لا يكون معدوماً مطلقاً؛ بحيث يكون حصول البياض للجسم كلا حصوله، ووقوع زيد في الدار كلا وقوعه، لكن تكون موجوديتها بعين موجودية الطرفين بنحوٍ، ولا يكون لها ماهية معقولة مستقلّة في المعقولية كماهية الجواهر والأعراض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للعقل أن ينتزع منها مفهوماً مستقلاًّ بالمفهومية، كمفهوم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ويجعلها حاكية عنها بنحو من الحكاية، لا كحكاية الماهية عن مصداقها الذاتي؛ ضرورة عدم إمكان تعقّلها بنحو الاستقلال، لا بالذات ولا بالعرض، فليست نسبتها إليها كنسبة الماهية إلى مصداقها، ولا كنسبة مفهوم الوجود أو العدم إليهما، فلا يمكن استحضار حقائق النسب في الذهن بذاتها بتوسّط هذه العناوين، نعم، يمكن الاستحضار التبعي كالوجود الخارجي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قد نعقل الخارج على ما هو عليه، فنعقل الجسم الذي له البياض كما هو في الخارج، فيتحقّق الجسم والبياض بصورتهما في الذهن والإضافة بينهما </w:t>
      </w:r>
    </w:p>
    <w:p>
      <w:pPr>
        <w:pStyle w:val="BookText"/>
        <w:rPr/>
      </w:pPr>
      <w:r>
        <w:rPr>
          <w:rFonts w:ascii="Amiri" w:hAnsi="Amiri" w:eastAsia="Amiri" w:cs="Amiri"/>
          <w:color w:val="111111"/>
          <w:sz w:val="28"/>
          <w:sz w:val="28"/>
          <w:szCs w:val="28"/>
          <w:rtl w:val="true"/>
          <w:lang w:bidi="ar-SA"/>
        </w:rPr>
        <w:t>تبعاً لهما، من غير أن يكون لها صورة استقلالية متصوّرة، ففي هذا النحو من التعقّل تكون حقيقة النسبة والكون الرابط متحقّقين في الذهن كتحقّقهما في الخارج، فيكون البياض والجسم مربوطين في الذهن والخارج بتوسّط هذه المعاني الإضافية والنسب؛ فزيد في الخارج لا يكون مرتبطاً بالدار ولا الدار به إلاّ بالإضافة الحاصلة بينهما المتحقّقة بنحو الكون الرابط، وهو كونه في الدار، لا كونه المطلق، وكذا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تعقّلناه على ما هو في الخارج؛ أي بنحو الارتباط والانتساب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تعقّلنا الربط والنسبة بالحمل الأوّلي فلا يمكن أن يكون ما به الارتباط بين المعقولات، كما إذا تعقّلنا مفاهيم الدار، والربط، والإنسان، والابتداء، والسير، والبصرة، والانتهاء، والسير، والكوفة؛ فإنّها مفاهيم مفردة استقلالية لا يرتبط بعضها ببعض، كما لو فرض وجود هذه الماهيات في الخارج من غير توسّط الانتسابات والإضافات، فالربط التكويني بين الجواهر والأعراض إنّما هو بالنسب والإضافات والأكوان الرابطة، وكذا حال المعقولات؛ فلا يتحقّق الربط بين الجواهر والأعراض المعقولة إلاّ بالنسب والإضافات والأكوان الرابطة بالحمل الشائع، لا الأوّلي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العين والذهن مع قطع النظر عن الوضع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بالنظر إليهما، فقد يريد المتكلّم أن يحكي عن الخارج على ما هو عليه من ارتباط الجواهر بالأعراض وحصول الأعراض للجواهر، فلا بدّ له من التشبّث بألفاظ الحروف </w:t>
      </w:r>
    </w:p>
    <w:p>
      <w:pPr>
        <w:pStyle w:val="BookText"/>
        <w:rPr/>
      </w:pPr>
      <w:r>
        <w:rPr>
          <w:rFonts w:ascii="Amiri" w:hAnsi="Amiri" w:eastAsia="Amiri" w:cs="Amiri"/>
          <w:color w:val="111111"/>
          <w:sz w:val="28"/>
          <w:sz w:val="28"/>
          <w:szCs w:val="28"/>
          <w:rtl w:val="true"/>
          <w:lang w:bidi="ar-SA"/>
        </w:rPr>
        <w:t>والهيئات، وسيأتي الفرق بينهما</w:t>
      </w:r>
      <w:r>
        <w:rPr>
          <w:rStyle w:val="FootnoteAnchor"/>
          <w:rtl w:val="true"/>
        </w:rPr>
        <w:footnoteReference w:id="46"/>
      </w:r>
      <w:r>
        <w:rPr>
          <w:rFonts w:ascii="Amiri" w:hAnsi="Amiri" w:eastAsia="Amiri" w:cs="Amiri"/>
          <w:color w:val="111111"/>
          <w:sz w:val="28"/>
          <w:sz w:val="28"/>
          <w:szCs w:val="28"/>
          <w:rtl w:val="true"/>
          <w:lang w:bidi="ar-SA"/>
        </w:rPr>
        <w:t>، كما أنّه لو أراد الحكاية عن الصور المعقولة المترابطة فلا محيص له إلاّ التشبّث بها،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ربط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سير ابتداء كوفة انتهاء 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تكون ألفاظ مفردة غير مترابطة، غير حاكية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النوع من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هي حاكية حكاية تصوّرية عن الارتباطات بين المعاني الاسمية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الأمر أوضح من ذلك؛ ضرورة أنّه لو حاول أحد تجزئة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وقاس كلّ لفظ منه إلى الواقع، لوجد دلالة مادّة الفعل على طبيعة السير، وهيئته على الانتساب الصدوري إلى المتكلّم، والبصرة والكوفة على البلدين،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الابتداء والانتهاء المرتبطين بالسير والبلدين، والهيئة على تحقّق الارتباطات كما سيأتي بيانه</w:t>
      </w:r>
      <w:r>
        <w:rPr>
          <w:rStyle w:val="FootnoteAnchor"/>
          <w:rtl w:val="true"/>
        </w:rPr>
        <w:footnoteReference w:id="47"/>
      </w:r>
      <w:r>
        <w:rPr>
          <w:rFonts w:ascii="Amiri" w:hAnsi="Amiri" w:eastAsia="Amiri" w:cs="Amiri"/>
          <w:color w:val="111111"/>
          <w:sz w:val="28"/>
          <w:sz w:val="28"/>
          <w:szCs w:val="28"/>
          <w:rtl w:val="true"/>
          <w:lang w:bidi="ar-SA"/>
        </w:rPr>
        <w:t xml:space="preserve">، فهذه الحروف حاكية عن الارتباطات والإضافات بين الجواهر والأعراض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الخارج أو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وموقعة للارتباط بين ألفاظ الأسماء في الجمل تبعاً واستجراراً، لا ملحوظاً بالاستقلال، فلولا محكيّاتها ومعانيها لم ترتبط الجواهر بالأعراض في الخارج، ولا الصور المعقولة الاسمية الحاكية عن الخارج بعضها بالبعض، ولولا ألفاظها لم ترتبط ألفاظ الأسماء، ولم تحصل الجمل، فتدبّر</w:t>
      </w:r>
      <w:r>
        <w:rPr>
          <w:rFonts w:eastAsia="Amiri" w:cs="Amiri" w:ascii="Amiri" w:hAnsi="Amiri"/>
          <w:color w:val="111111"/>
          <w:sz w:val="28"/>
          <w:szCs w:val="28"/>
          <w:rtl w:val="true"/>
          <w:lang w:bidi="ar-SA"/>
        </w:rPr>
        <w:t xml:space="preserve">. </w:t>
      </w:r>
      <w:bookmarkStart w:id="88" w:name="pg15283_146176"/>
    </w:p>
    <w:p>
      <w:pPr>
        <w:pStyle w:val="Heading3"/>
        <w:numPr>
          <w:ilvl w:val="2"/>
          <w:numId w:val="1"/>
        </w:numPr>
        <w:rPr/>
      </w:pPr>
      <w:bookmarkStart w:id="89" w:name="__RefHeading___Toc4563131_2142443653"/>
      <w:bookmarkStart w:id="90" w:name="_Toc31"/>
      <w:bookmarkEnd w:id="88"/>
      <w:bookmarkEnd w:id="89"/>
      <w:r>
        <w:rPr>
          <w:rtl w:val="true"/>
        </w:rPr>
        <w:t>بحث وتحقيق</w:t>
      </w:r>
      <w:r>
        <w:rPr>
          <w:rtl w:val="true"/>
        </w:rPr>
        <w:t xml:space="preserve">: </w:t>
      </w:r>
      <w:r>
        <w:rPr>
          <w:rtl w:val="true"/>
        </w:rPr>
        <w:t>في بيان بعض أقسام الحروف</w:t>
      </w:r>
      <w:bookmarkEnd w:id="90"/>
    </w:p>
    <w:p>
      <w:pPr>
        <w:pStyle w:val="BookText"/>
        <w:rPr/>
      </w:pPr>
      <w:r>
        <w:rPr>
          <w:rFonts w:ascii="Amiri" w:hAnsi="Amiri" w:eastAsia="Amiri" w:cs="Amiri"/>
          <w:color w:val="111111"/>
          <w:sz w:val="28"/>
          <w:sz w:val="28"/>
          <w:szCs w:val="28"/>
          <w:rtl w:val="true"/>
          <w:lang w:bidi="ar-SA"/>
        </w:rPr>
        <w:t>ما ذكرنا من كون الحروف حاكيات عن الارتباطات ليس حكماً كلّياً للحروف، بل هو شأن بعضها، وبعض آخر منها ليس حاكياً عن الواقع، بل موجد لمعناه، كحروف القسم والتأكيد والتنبيه والتحضيض والردع وأمثالها؛ فإنّها وضعت لأن تكون آلة لإيجاد معانيها، وتستعمل استعمالاً إيجادياً، كما أنّ شأن بعض الأفعال كذلك كما يأتي</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ضرورة أنّه ليس للقسم والتأكيد والردع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تحكي حروفها عنه، بل المتكلّم ينشئ معانيها بالحروف، فلا شبهة في تحقّق هذين النحوين في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الآن بصدد استقصاء أحوال جميع الحروف، ولا دعوى حصرها فيهما، ولا بصدد أقسام النسب في القضايا البسيطة والمركّبة والإيجابية والسلبية، بل بصدد بيان أنّ هذين النحوين من الحروف يكونان في لسان العرب والفرس بل سائر الألسنة حسب مسيس الاحتياج إليهما، ولا يكون جميعها إيجادية ولا حاكية، ولا ننحرف عن هذه الطريقة المطابقة لوجدان كلّ صاحب لسان إلاّ ببرهان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حال ما زُعم قيامه على امتناع الإيجادية</w:t>
      </w:r>
      <w:r>
        <w:rPr>
          <w:rStyle w:val="FootnoteAnchor"/>
          <w:rtl w:val="true"/>
        </w:rPr>
        <w:footnoteReference w:id="49"/>
      </w:r>
      <w:r>
        <w:rPr>
          <w:rFonts w:ascii="Amiri" w:hAnsi="Amiri" w:eastAsia="Amiri" w:cs="Amiri"/>
          <w:color w:val="111111"/>
          <w:sz w:val="28"/>
          <w:sz w:val="28"/>
          <w:szCs w:val="28"/>
          <w:rtl w:val="true"/>
          <w:lang w:bidi="ar-SA"/>
        </w:rPr>
        <w:t>، لكن بعد التنبيه على الخلط الذي وقع لبعض أعاظم العصر في المقام</w:t>
      </w:r>
      <w:r>
        <w:rPr>
          <w:rFonts w:eastAsia="Amiri" w:cs="Amiri" w:ascii="Amiri" w:hAnsi="Amiri"/>
          <w:color w:val="111111"/>
          <w:sz w:val="28"/>
          <w:szCs w:val="28"/>
          <w:rtl w:val="true"/>
          <w:lang w:bidi="ar-SA"/>
        </w:rPr>
        <w:t xml:space="preserve">: </w:t>
      </w:r>
      <w:bookmarkStart w:id="91" w:name="pg15283_146177"/>
    </w:p>
    <w:p>
      <w:pPr>
        <w:pStyle w:val="Heading3"/>
        <w:numPr>
          <w:ilvl w:val="2"/>
          <w:numId w:val="1"/>
        </w:numPr>
        <w:rPr/>
      </w:pPr>
      <w:bookmarkStart w:id="92" w:name="__RefHeading___Toc4563133_2142443653"/>
      <w:bookmarkStart w:id="93" w:name="_Toc32"/>
      <w:bookmarkEnd w:id="91"/>
      <w:bookmarkEnd w:id="92"/>
      <w:r>
        <w:rPr>
          <w:rtl w:val="true"/>
        </w:rPr>
        <w:t>في الخلط من بعض الأعاظم</w:t>
      </w:r>
      <w:bookmarkEnd w:id="93"/>
    </w:p>
    <w:p>
      <w:pPr>
        <w:pStyle w:val="BookText"/>
        <w:rPr/>
      </w:pPr>
      <w:r>
        <w:rPr>
          <w:rFonts w:ascii="Amiri" w:hAnsi="Amiri" w:eastAsia="Amiri" w:cs="Amiri"/>
          <w:color w:val="111111"/>
          <w:sz w:val="28"/>
          <w:sz w:val="28"/>
          <w:szCs w:val="28"/>
          <w:rtl w:val="true"/>
          <w:lang w:bidi="ar-SA"/>
        </w:rPr>
        <w:t>فإنّه قد قسّم المعاني المرادة من الألفاظ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إخطارية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معاني الأسماء؛ لأنّ استعمال ألفاظها في المعاني يوجب إخطار معانيها في ذهن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معاني الحروف؛ لأنّ استعمالها في معانيها يوجب إيجاد معانيها، من دون أن يكون لها نحو تقرّرٍ مع قطع النظر عن الاستعمال</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من الإيجادية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إيجاد الربط بين أجزاء الكلام؛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معاني الحروف كلّها إيجادية حتّى ما أفاد منها النسبة؛ لأنّ شأن أدوات النسبة ليس إلاّ إيجاد الربط بين جزأي الكلام؛ لعدم الربط بين ألفاظ الأسماء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لهما من المعنى، وأدوات النسبة وضعت لإيجاد الربط بينهما على وجه يصحّ 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إيجاد الربط يلاحظ مجموع الكلام من النسبة والمنتسبين، فإن كان له خارج يطابقه يكون صادقاً، وإلاّ فلا</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لأنّ كون تلك الأدوات موقعة للربط مسلّم، لكن عدم شأن لها إلاّ ذلك صِرف ادّعاء من غير دليل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الدليل على خلافه؛ لأنّ إيقاع الربط بالحروف فرع استعمالها بما لها من المعنى؛ ضرورة أنّ نفس الحروف بلا دلالة على المعنى غير موقعة للربط، </w:t>
      </w:r>
    </w:p>
    <w:p>
      <w:pPr>
        <w:pStyle w:val="BookText"/>
        <w:rPr/>
      </w:pPr>
      <w:r>
        <w:rPr>
          <w:rFonts w:ascii="Amiri" w:hAnsi="Amiri" w:eastAsia="Amiri" w:cs="Amiri"/>
          <w:color w:val="111111"/>
          <w:sz w:val="28"/>
          <w:sz w:val="28"/>
          <w:szCs w:val="28"/>
          <w:rtl w:val="true"/>
          <w:lang w:bidi="ar-SA"/>
        </w:rPr>
        <w:t>والتبادر والوجدان من أهل كلّ لسان حاكمان بأنّ بعض الحروف حاكٍ عن الإضافات والنسب، كما نبّهنا عليه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مجموع الكلام بعد إيقاع الربط حاكٍ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ضرورة أنّه لا وضع لمجموعه، إلاّ أن يرجع إلى ما سنذكره</w:t>
      </w:r>
      <w:r>
        <w:rPr>
          <w:rStyle w:val="FootnoteAnchor"/>
          <w:rtl w:val="true"/>
        </w:rPr>
        <w:footnoteReference w:id="53"/>
      </w:r>
      <w:r>
        <w:rPr>
          <w:rFonts w:ascii="Amiri" w:hAnsi="Amiri" w:eastAsia="Amiri" w:cs="Amiri"/>
          <w:color w:val="111111"/>
          <w:sz w:val="28"/>
          <w:sz w:val="28"/>
          <w:szCs w:val="28"/>
          <w:rtl w:val="true"/>
          <w:lang w:bidi="ar-SA"/>
        </w:rPr>
        <w:t xml:space="preserve">من أنّ هيئات الجمل التامّة تدلّ على تحقّق النسب، فالحروف وضعت للإضافات التصوّرية، وهيئات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مقابلة بين المعنى الإخطاري والإيجادي كما ذكره، بل إيجاديتها ملازمة لإخطاريتها؛ بمعنى أنّ ألفاظ الحروف المستعملة في معانيها موقعة للربط بين أجزاء الكلام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المتكلّم إذا أراد الحكاية عن الواقع على ما هو عليه من ربط الأعراض بالجواهر، وجعل كلامه حاكياً عنه، يصير أجزاء كلامه مرتبطة، وهذا واضح لمن راجع وجدانه، فالإخطارية والإيجادية بهذا المعنى غير متقابلتين، كما أنّ الإيجادية بالمعنى المتقدّم لا تقابل الإخطارية بمعنى إخطار المعنى في الذهن؛ فإنّ ألفاظ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حاكيات عن الواقع المقرّر حكاية تصوّرية مع قطع النظر عن الاستعمال، أو كانت موجدة لمعانيها كحروف القسم والنداء والتحضيض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إخطارية موجبة 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اللفظ إلى المعنى</w:t>
      </w:r>
      <w:r>
        <w:rPr>
          <w:rFonts w:eastAsia="Amiri" w:cs="Amiri" w:ascii="Amiri" w:hAnsi="Amiri"/>
          <w:color w:val="111111"/>
          <w:sz w:val="28"/>
          <w:szCs w:val="28"/>
          <w:rtl w:val="true"/>
          <w:lang w:bidi="ar-SA"/>
        </w:rPr>
        <w:t xml:space="preserve">. </w:t>
      </w:r>
      <w:bookmarkStart w:id="94" w:name="pg15283_146179"/>
    </w:p>
    <w:p>
      <w:pPr>
        <w:pStyle w:val="Heading3"/>
        <w:numPr>
          <w:ilvl w:val="2"/>
          <w:numId w:val="1"/>
        </w:numPr>
        <w:rPr/>
      </w:pPr>
      <w:bookmarkStart w:id="95" w:name="__RefHeading___Toc4563135_2142443653"/>
      <w:bookmarkStart w:id="96" w:name="_Toc33"/>
      <w:bookmarkEnd w:id="94"/>
      <w:bookmarkEnd w:id="95"/>
      <w:r>
        <w:rPr>
          <w:rtl w:val="true"/>
        </w:rPr>
        <w:t>في كلام بعض المحقّقين</w:t>
      </w:r>
      <w:bookmarkEnd w:id="96"/>
    </w:p>
    <w:p>
      <w:pPr>
        <w:pStyle w:val="BookText"/>
        <w:rPr/>
      </w:pPr>
      <w:r>
        <w:rPr>
          <w:rFonts w:ascii="Amiri" w:hAnsi="Amiri" w:eastAsia="Amiri" w:cs="Amiri"/>
          <w:color w:val="111111"/>
          <w:sz w:val="28"/>
          <w:sz w:val="28"/>
          <w:szCs w:val="28"/>
          <w:rtl w:val="true"/>
          <w:lang w:bidi="ar-SA"/>
        </w:rPr>
        <w:t>ثمّ إنّ بعض المحقّقين بعد تسليم إيجادية بعض الحروف أنكر كون الفرد الموجود به معناه الموضوع له، واستدلّ عليه بوجوه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اللفظ ومدلوله بالذات هو ما يحضر في الذهن عند سماع اللفظ الموضوع له، ولا ريب أنّ الموجود الخارجي لا يمكن أن يحضر في الذهن، فالخارج هو المدلول عليه بالعرض؛ لفناء المدلول عليه بالذات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منقوض بالأعلام الشخصية، بناءً على أنّها من قبيل خصوص الوضع والموضوع له كما هو المشهور، واعترف به، ولو أنكر أحد كون الموضوع له فيها هو الوجود الخارجي، فلا ريب في إمكان الوضع للموجود المتشخّص في الخارج من غير لزوم محال أو اختلال في المحاورة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معنى اللفظ هو ما يحضر في الذهن بالذات عند سماعه؛ أي المعلوم بالذات هو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من غير إشفاعه بالدليل، والقائل بأنّ بعض الألفاظ موضوعة للموجود الخارجي ينكر ذلك، ويدّعي أنّ الموضوع له فيه هو المعلوم بالعرض، والألفاظ وضعت للإفادة والاستفادة بإحضار المعاني في الذهن، سواء في ذلك العرضية والذاتية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له في كافّة الأوضاع هو غير ما يحضر في الذهن </w:t>
      </w:r>
    </w:p>
    <w:p>
      <w:pPr>
        <w:pStyle w:val="BookText"/>
        <w:rPr/>
      </w:pPr>
      <w:r>
        <w:rPr>
          <w:rFonts w:ascii="Amiri" w:hAnsi="Amiri" w:eastAsia="Amiri" w:cs="Amiri"/>
          <w:color w:val="111111"/>
          <w:sz w:val="28"/>
          <w:sz w:val="28"/>
          <w:szCs w:val="28"/>
          <w:rtl w:val="true"/>
          <w:lang w:bidi="ar-SA"/>
        </w:rPr>
        <w:t>بالذات، بل هو ما يفهم من اللفظ ويتوجّه السامع إليه عند سماع اللفظ، ولا ريب أنّ الصورة الحاضرة في الذهن بالذات مغفول عنها عند سماع اللفظ، وليست ما يفهم منه، بل تكون مرآة للمعنى المفهوم الذي هو الموضوع له، وأنت إذا راجعت وجدانك ترى أنّه عند سماع اللفظ تنتقل إلى المعاني النفس الأمرية، لا الموجودة في ذهنك أو ذهن المتكلّم، سواء في ذلك الأعلام الشخصية، وأسماء الأجناس، وغيرها، فلفظ الإنسان يدلّ على نفس الطبيعة لا الموجودة في الذهن، نعم ينتقل السامع إلى المعنى الموضوع له بتوسّط الصورة الحاضرة في الذهن التي تكون مرآة له، ومغفولاً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بالحمل الشائع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في الخارج إلاّ بنفس الاستعمال، فيكون متأخّراً عنه تأخّر المعلول عن علّته، ولا ريب في أنّ المستعمل فيه متقدّم على الاستعمال بالطبع، فإذا كان هذا الوجود هو المستعمل فيه يلزم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بكون الألفاظ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إيجادية وحاكية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بلزوم تقدّم المستعمل فيه على الاستعمال؛ إذ ليس معنى الاستعمال إلاّ ذكر اللفظ لإفهام المعنى وطلب عمل اللفظ في المعنى من غير لزوم التقدّم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أخذ بظاهر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الظرفية، فتوهّم أنّ استعمال شيء في شيء يتوقّف على وجود الظرف قضاءً لحقّ الظرفية، وإلاّ فأيّ دليل على تقدّم المستعمل فيه على الاستعمال؟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الألفاظ قد تكون حاكيات عن المعاني المقرّرة في نفس الأمر، فيكون التكلّم بها موجباً لإخطار معانيها في الذهن، وقد تكون موجدة لمعانيها </w:t>
      </w:r>
    </w:p>
    <w:p>
      <w:pPr>
        <w:pStyle w:val="BookText"/>
        <w:rPr/>
      </w:pPr>
      <w:r>
        <w:rPr>
          <w:rFonts w:ascii="Amiri" w:hAnsi="Amiri" w:eastAsia="Amiri" w:cs="Amiri"/>
          <w:color w:val="111111"/>
          <w:sz w:val="28"/>
          <w:sz w:val="28"/>
          <w:szCs w:val="28"/>
          <w:rtl w:val="true"/>
          <w:lang w:bidi="ar-SA"/>
        </w:rPr>
        <w:t>في الوعاء المناسب لها، ومع ذلك موجبة لإخطار معانيها في الذهن ولو بالعرض، ولا يكون لها واقع تطابقه أو لا تطابقه، فالمستعمل فيه لا يكون مقدّماً على الاستعمال تقدّماً بالطبع حتّى في الحاكيات؛ لعدم ملاك التقدّم، والتقدّم في بعضها اتّفاقي، لا طبعي بملاكه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استعمال أدوات النداء والتشبيه والتمنّي والترجّي والطلب في غير ما يكون كذلك بالحمل الشائع، بل تستعمل هذه الألفاظ بداعي التشوّق أو السخرية أو التعجيز وأمثالها، ولا ريب في أنّ الموجود بهذا الاستعمال لا يكون بالحمل الشائع نداءً وتشبيهاً وطلباً، بل يكون تشوّقاً وتعجيزاً إلى غير ذلك بهذا الحمل، فلا بدّ إمّا من الالتزام بالمجازية، وهو ممّا</w:t>
      </w:r>
    </w:p>
    <w:p>
      <w:pPr>
        <w:pStyle w:val="BookText"/>
        <w:rPr/>
      </w:pPr>
      <w:r>
        <w:rPr>
          <w:rFonts w:ascii="Amiri" w:hAnsi="Amiri" w:eastAsia="Amiri" w:cs="Amiri"/>
          <w:color w:val="111111"/>
          <w:sz w:val="28"/>
          <w:sz w:val="28"/>
          <w:szCs w:val="28"/>
          <w:rtl w:val="true"/>
          <w:lang w:bidi="ar-SA"/>
        </w:rPr>
        <w:t>لا يقول به المفصّل، وإمّا أن تكون مستعملة في معانيها الحقيقية بداعي ما ذكر، فما تكون مستعملة فيه هو معانيها الحقيقية فيما إذا استعملت بداعي إفادة ما وضعت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العارف بموارد الاستعمالات ومحاسن الكلام يعلم أنّ هذه الألفاظ في أمثال الموارد المتقدّمة تستعمل استعمالاً إيجادياً، لكن بدواعٍ اُخر، فالقائل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كوكباً ما كانَ أقصرَ عمرَهُ</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فرداً من النداء بالحمل الشائع، لكن بداعٍ آخر، ويكون الاستعمال فيما وضع له، وإنّما الجدّ بخلافه، وإلاّ لصار الكلام خلواً عن الحسن ومبتذلاً، وكذا </w:t>
      </w:r>
      <w:bookmarkStart w:id="97" w:name="pg15283_146182"/>
    </w:p>
    <w:p>
      <w:pPr>
        <w:pStyle w:val="BookText"/>
        <w:rPr/>
      </w:pPr>
      <w:bookmarkEnd w:id="97"/>
      <w:r>
        <w:rPr>
          <w:rFonts w:ascii="Amiri" w:hAnsi="Amiri" w:eastAsia="Amiri" w:cs="Amiri"/>
          <w:color w:val="111111"/>
          <w:sz w:val="28"/>
          <w:sz w:val="28"/>
          <w:szCs w:val="28"/>
          <w:rtl w:val="true"/>
          <w:lang w:bidi="ar-SA"/>
        </w:rPr>
        <w:t xml:space="preserve">غيره من الأمثلة، فما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كونها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لكن في مطلق المجازات تستعمل الألفاظ في معانيها الحقيقية، لكن بداعي التجاوز عنها إلى غيرها، وسيأتي تحقيق ذلك في محلّه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4563137_2142443653"/>
      <w:bookmarkStart w:id="99" w:name="_Toc34"/>
      <w:bookmarkEnd w:id="98"/>
      <w:r>
        <w:rPr>
          <w:rtl w:val="true"/>
        </w:rPr>
        <w:t>دفع وهم</w:t>
      </w:r>
      <w:r>
        <w:rPr>
          <w:rtl w:val="true"/>
        </w:rPr>
        <w:t xml:space="preserve">: </w:t>
      </w:r>
      <w:r>
        <w:rPr>
          <w:rtl w:val="true"/>
        </w:rPr>
        <w:t>ردّ مقالة المحقّق العراقي في مدلول الحروف</w:t>
      </w:r>
      <w:bookmarkEnd w:id="99"/>
    </w:p>
    <w:p>
      <w:pPr>
        <w:pStyle w:val="BookText"/>
        <w:rPr/>
      </w:pPr>
      <w:r>
        <w:rPr>
          <w:rFonts w:ascii="Amiri" w:hAnsi="Amiri" w:eastAsia="Amiri" w:cs="Amiri"/>
          <w:color w:val="111111"/>
          <w:sz w:val="28"/>
          <w:sz w:val="28"/>
          <w:szCs w:val="28"/>
          <w:rtl w:val="true"/>
          <w:lang w:bidi="ar-SA"/>
        </w:rPr>
        <w:t xml:space="preserve">قد ذهب بعض المحقّقين إلى أنّ مدلول الحروف قسم من الأعراض النسبية المعبّر عن وجودها ووجود بقيّة الأعراض بالوجود الرابطي، ومداليل الهيئات هي الوجود الرابط، ففي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مقولة الأين، والهيئة على ربطها بالموضوع؛ ضرورة دلالته على مقولة الأين، ولا دالّ عليها إلاّ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التكرار في الدلالة على الانتساب؛ لدلالة الحروف الدالّة على المقولة عليه، ولو دلّت الهيئة عليه لزم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 نّه من قبيل</w:t>
      </w:r>
    </w:p>
    <w:p>
      <w:pPr>
        <w:pStyle w:val="BookText"/>
        <w:rPr/>
      </w:pPr>
      <w:r>
        <w:rPr>
          <w:rFonts w:ascii="Amiri" w:hAnsi="Amiri" w:eastAsia="Amiri" w:cs="Amiri"/>
          <w:color w:val="111111"/>
          <w:sz w:val="28"/>
          <w:sz w:val="28"/>
          <w:szCs w:val="28"/>
          <w:rtl w:val="true"/>
          <w:lang w:bidi="ar-SA"/>
        </w:rPr>
        <w:t>الإجمال والتفصيل؛ لدلالة الحرف على العرض المنتسب لموضوع ما، والهيئة على ربطه بموضوع معيّن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الإذعان بأنّ الأعراض النسبية من قبيل الوجود الرابطي وتقع طرف الربط، لا مجال لجعلها مدلولاً عليها بالحروف؛ للزوم كون معاني الحروف مستقلاّت بالمفهومية وصيرورتها محكوماً بها؛ فإنّ الوجود الرابطي هو المحمولي، ومعاني الحروف غير مستقلّة بالمفهومية ولا يمكن جعلها طرف الربط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له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له طول وعرض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طرف الإضافة غير الأعراض النسبية، ليس المدلول عليه بالحرف إلاّ نفس الربط،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ما ذكر تدلّ على عرض نسبي، أو استعملت في غيرما وضعت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تفيد الإضافة بينهما، والهيئة تدلّ على الوجود الرابط، وكذا حال سائر الحروف الحاكية؛ فإنّها بإزاء الإضافات والروابط، وسيأتي الكلام في الهيئات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الحروف الإيجادية بالمعنى الذي ذكرناه، كحروف النداء والقسم والردع، لا يكون لها واقع مقرّر محكيّ بها؛ ضرورة أنّ حروف النداء لا تحكي عن نداء خارجي أو ذهني، ولا تستعمل في مفهومه، بل يوجد بها النداء، فلا يعقل حكايتها عن عرض نسبي، وكذا حروف القسم؛ فإنّها آلة إيجاده، ولا يكون القسم من الأعراض النسبية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الحروف كلّها حاكيات عن الأعراض النسبية،</w:t>
      </w:r>
    </w:p>
    <w:p>
      <w:pPr>
        <w:pStyle w:val="BookText"/>
        <w:rPr/>
      </w:pPr>
      <w:r>
        <w:rPr>
          <w:rFonts w:ascii="Amiri" w:hAnsi="Amiri" w:eastAsia="Amiri" w:cs="Amiri"/>
          <w:color w:val="111111"/>
          <w:sz w:val="28"/>
          <w:sz w:val="28"/>
          <w:szCs w:val="28"/>
          <w:rtl w:val="true"/>
          <w:lang w:bidi="ar-SA"/>
        </w:rPr>
        <w:t>ولا يهمّنا تشخيص كونها من أيّ الأعراض</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دعوى هذه الكلّية بمكان من الفساد</w:t>
      </w:r>
      <w:r>
        <w:rPr>
          <w:rFonts w:eastAsia="Amiri" w:cs="Amiri" w:ascii="Amiri" w:hAnsi="Amiri"/>
          <w:color w:val="111111"/>
          <w:sz w:val="28"/>
          <w:szCs w:val="28"/>
          <w:rtl w:val="true"/>
          <w:lang w:bidi="ar-SA"/>
        </w:rPr>
        <w:t xml:space="preserve">. </w:t>
      </w:r>
      <w:bookmarkStart w:id="100" w:name="pg15283_146184"/>
    </w:p>
    <w:p>
      <w:pPr>
        <w:pStyle w:val="Heading3"/>
        <w:numPr>
          <w:ilvl w:val="2"/>
          <w:numId w:val="1"/>
        </w:numPr>
        <w:rPr/>
      </w:pPr>
      <w:bookmarkStart w:id="101" w:name="__RefHeading___Toc4563139_2142443653"/>
      <w:bookmarkStart w:id="102" w:name="_Toc35"/>
      <w:bookmarkEnd w:id="100"/>
      <w:bookmarkEnd w:id="101"/>
      <w:r>
        <w:rPr>
          <w:rtl w:val="true"/>
        </w:rPr>
        <w:t xml:space="preserve">تكميل </w:t>
      </w:r>
      <w:r>
        <w:rPr>
          <w:rtl w:val="true"/>
        </w:rPr>
        <w:t xml:space="preserve">: </w:t>
      </w:r>
      <w:r>
        <w:rPr>
          <w:rtl w:val="true"/>
        </w:rPr>
        <w:t>في أنّ الوضع في الحروف عامّ والموضوع له خاصّ</w:t>
      </w:r>
      <w:bookmarkEnd w:id="102"/>
    </w:p>
    <w:p>
      <w:pPr>
        <w:pStyle w:val="BookText"/>
        <w:rPr/>
      </w:pPr>
      <w:r>
        <w:rPr>
          <w:rFonts w:ascii="Amiri" w:hAnsi="Amiri" w:eastAsia="Amiri" w:cs="Amiri"/>
          <w:color w:val="111111"/>
          <w:sz w:val="28"/>
          <w:sz w:val="28"/>
          <w:szCs w:val="28"/>
          <w:rtl w:val="true"/>
          <w:lang w:bidi="ar-SA"/>
        </w:rPr>
        <w:t xml:space="preserve">التحقيق في وضع الحروف عموم الوضع وخصوص الموضوع له، وهذه الدعوى وإن كانت بيّنة بعد التأمّل في معاني الحروف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تعقّل حصول الربط بالمفاهيم الكلّية، وعدم تعقّل جامع ماهوي بينها كما تقدّم</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اللازم إبطال الدعاوى الاُخر حتّى تدفع المغالطات الواقعة في المقام</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4563141_2142443653"/>
      <w:bookmarkStart w:id="104" w:name="_Toc36"/>
      <w:bookmarkEnd w:id="103"/>
      <w:r>
        <w:rPr>
          <w:rtl w:val="true"/>
        </w:rPr>
        <w:t>نقل كلمات الأعلام في وضع الحروف ونقدها</w:t>
      </w:r>
      <w:bookmarkEnd w:id="10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الوضع والموضوع له والمستعمل فيه، كما ذهب إليه المحقّق الخراساني رحمه الله علیه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الخصوصية المتوهّمة لا يمكن أن تكون قيداً للموضوع له ولا المستعمل فيه، سواء كانت خارجية أو ذهنية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اختلاف معاني الأسماء والحروف ذاتاً وتعقّلاً ودلالةً، وسيأتي</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بيان أنّ الموضوع له هو الخاصّ حتّى في مورد نقضه من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يتوهّم استعمالها كلّياً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تقريرات بعض أعاظم العصر رحمه الله علیه ؛ من عموم الوضع والموضوع</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لا بالمعنى الذي في الأسماء، بل بمعنى أنّ الموجَد في الحروف في جميع </w:t>
      </w:r>
    </w:p>
    <w:p>
      <w:pPr>
        <w:pStyle w:val="BookText"/>
        <w:rPr/>
      </w:pPr>
      <w:r>
        <w:rPr>
          <w:rFonts w:ascii="Amiri" w:hAnsi="Amiri" w:eastAsia="Amiri" w:cs="Amiri"/>
          <w:color w:val="111111"/>
          <w:sz w:val="28"/>
          <w:sz w:val="28"/>
          <w:szCs w:val="28"/>
          <w:rtl w:val="true"/>
          <w:lang w:bidi="ar-SA"/>
        </w:rPr>
        <w:t>مواطن الاستعمالات شيء واحد بالهوية، وأنّ الخصوصيات اللاحقة لها خارجة عن الموضوع له ولازمة لوجوده، كالأعراض المحتاجة في الوجود إلى المحلّ، مع أنّه خارج عن هوية ذاتها، من غير أن يكون الموضوع له معنىً كلّياً قابلاً للصدق على الكثيرين كالكلّية في الأسماء، فالاحتياج إلى الخصوصيات في موطن الاستعمال لا يوجب الجزئية، كما أنّ كونها إيجادية وموضوعة لإيجاد الربط لا يوجبها، بعد البناء على وجود الكلّي الطبيعي، وأنّ التشخّص والوجود يعرضان له دفعة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الهوية الواحدة التي ذكرها إن كانت شيئاً في قبال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قابلها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وجود المعنى الحرفي خارجاً يتقوّم بالغير، لا هويته وحقيقته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قبال الماهية القابلة للصدق على الكثيرين، ومع ذلك تكون أمراً واحداً موجداً للربط، فهو كما ترى لا يستأهل جواباً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وجوداً سعيّاً مشتركاً بين الروابط، أو ماهية كذلك لكن بنعت الوحدة الخارجية، فهو فاسد؛ لعدم الجامع الخارجي بنعت الوحدة بين الوجودات، لا من سنخ الوجود، ولا من سنخ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سنخ الوجود فواضح؛ للزوم وحدة الروابط وجوداً في جميع القضايا، وأمّا الماهية فلما حقّق في محلّه وأشرنا إليه سابقاً من أنّ الماهية في الخارج موجودة بنعت الكثرة، ولا جامع اشتراك خارجي بنعت الوحدة بين الأفراد؛ فإنّ الوحدة تساوق الوجود، فلزم موجوديتها بوجود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تنظيره بالأعراض فمناقض لقوله؛ </w:t>
      </w:r>
    </w:p>
    <w:p>
      <w:pPr>
        <w:pStyle w:val="BookText"/>
        <w:rPr/>
      </w:pPr>
      <w:r>
        <w:rPr>
          <w:rFonts w:ascii="Amiri" w:hAnsi="Amiri" w:eastAsia="Amiri" w:cs="Amiri"/>
          <w:color w:val="111111"/>
          <w:sz w:val="28"/>
          <w:sz w:val="28"/>
          <w:szCs w:val="28"/>
          <w:rtl w:val="true"/>
          <w:lang w:bidi="ar-SA"/>
        </w:rPr>
        <w:t>لأنّ للأعراض ماهية مستقلّة مقولة على الكثيرين محمولة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ابتناء وجود معاني الحروف على القول بوجود الكلّي الطبيعي يناقض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الكلّية في معانيها ليست كالأسماء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نسبة المعاني الحرفية إلى وجوداتها إن كانت كالطبيعي إلى أفراده فتكون قابلة للصدق على الكثيرين، وإلاّ فلا معنى لابتناء وجودها على وجود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عرفت من الإشكال في مبناه في باب معاني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بعض المحقّقين؛ من عموم الموضوع له، لكن لا بالمعنى المشهور بل بالذي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بطلان مبناه</w:t>
      </w:r>
      <w:r>
        <w:rPr>
          <w:rStyle w:val="FootnoteAnchor"/>
          <w:rtl w:val="true"/>
        </w:rPr>
        <w:footnoteReference w:id="64"/>
      </w:r>
      <w:r>
        <w:rPr>
          <w:rFonts w:ascii="Amiri" w:hAnsi="Amiri" w:eastAsia="Amiri" w:cs="Amiri"/>
          <w:color w:val="111111"/>
          <w:sz w:val="28"/>
          <w:sz w:val="28"/>
          <w:szCs w:val="28"/>
          <w:rtl w:val="true"/>
          <w:lang w:bidi="ar-SA"/>
        </w:rPr>
        <w:t>أي وجود الجامع بين الموجودات الخارجية، مضافاً إلى ما عرفت من بطلان مختاره في باب معاني الحروف</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بعض الفحول؛ من كون معانيها جزئياً إضافياً</w:t>
      </w:r>
      <w:r>
        <w:rPr>
          <w:rStyle w:val="FootnoteAnchor"/>
          <w:rtl w:val="true"/>
        </w:rPr>
        <w:footnoteReference w:id="66"/>
      </w:r>
      <w:r>
        <w:rPr>
          <w:rFonts w:ascii="Amiri" w:hAnsi="Amiri" w:eastAsia="Amiri" w:cs="Amiri"/>
          <w:color w:val="111111"/>
          <w:sz w:val="28"/>
          <w:sz w:val="28"/>
          <w:szCs w:val="28"/>
          <w:rtl w:val="true"/>
          <w:lang w:bidi="ar-SA"/>
        </w:rPr>
        <w:t>، وألجأه إليه توهّم استعمالها كلّياً فيمثل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عالم في الدار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التجأ بعضهم إلى اختيار كونها موضوعة للأخصّ من المعنى الملحوظ حال الوضع،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بوضعها للجزئي الحقيقي خارجاً أو ذهناً من قبيل إلزام ما لا يلزم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وبعض آخر إلى أنّ الكلّية والجزئية فيها تبع لكلّية الطرفين وجزئيتهما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الآراء مستلزمة لتصوّر الكلّية القابلة للصدق على الكثيرين في معانيها، مع أنّها مخالفة لحرفية المعاني وعدم استقلالها في المفهومية والمعقولية والوجود، مضافاً إلى أنّ كلّ ذلك من باب الإلجاء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والموضوع له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الحروف التي وضعت لإيجاد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كحروف النداء، والقسم، والتنبيه، والردع، والتحضيض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توهّم عموم الموضوع له فيها؛ ضرورة عدم معنىً لوضعها للكلّي واستعمالها فيه؛ فإنّ مثلها آلات لإيجاد المعاني، والوجود الإيقاعي متشخّص جزئي،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النداء بالحمل الشائع، كان المنادى واحداً أو كثيراً،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واحد شخصي نادى به جميع الناس، وكذا الحال في سائرها، فحروف القسم وضعت لإيقاع القَسم بالحمل الشائع، كان المُقسم به واحداً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الحروف ممّا يتوهّم استعمالها في المعنى الكلّي؛ فلأ نّه بعد عدم تصوّر جامع ذهني أو خارجي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بعض العناوين الاسمية التي لا تكون جامعاً ذاتياً لها، ولا يمكن إيقاع الربط بها؛ كمفهوم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ممّا لا تكون من سنخ المعاني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الالتزام فيها بعموم الموضوع له بأيّ نحو من الأنحاء المتقدّمة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الحروف لمّا كانت تابعة للأسماء في التحقّق </w:t>
      </w:r>
    </w:p>
    <w:p>
      <w:pPr>
        <w:pStyle w:val="BookText"/>
        <w:rPr/>
      </w:pPr>
      <w:r>
        <w:rPr>
          <w:rFonts w:ascii="Amiri" w:hAnsi="Amiri" w:eastAsia="Amiri" w:cs="Amiri"/>
          <w:color w:val="111111"/>
          <w:sz w:val="28"/>
          <w:sz w:val="28"/>
          <w:szCs w:val="28"/>
          <w:rtl w:val="true"/>
          <w:lang w:bidi="ar-SA"/>
        </w:rPr>
        <w:t>الخارجي والذهني وفي أصل الدلالة على معانيها، كانت تابعة لها في كيفية الدلالة؛ أي الدلالة على الواحد والكثير، فتكون دالّة على واحد عند كون الأطراف كذلك، وعلى الكثير إذا كانت الأطراف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عالم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العالم دالاًّ على عنوان المتلبّس بالعلم، والكلّ على أفراده،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الروابط الحاصلة بينها وبين الدار، فيكون من قبيل استعمال اللفظ في المعاني الكثيرة، لا استعماله في كلّي منطبق على الكثيرين؛ لعدم تعقّل ذلك، وإمكان ما ذكرنا بل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الاستعمال في الكثير كالوضع له والحكاية عنه ممّا لا مانع منه، ولو كان المستعمل فيه غير متناهٍ؛ لأنّ تكثير الدلالة والاستعمال تبعي، فلا محذور فيه ولو قلنا بعدم جواز استعمال اللفظ في أكثر من معنىً في الأسماء؛ لعدم جريان البرهان المتوهّم</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في الحروف؛ لما عرفت</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من أنّ استعمالها ودلالتها وتعقّلها وتحقّقها تبعية غير مستقلّة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عالم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الكثرة التفصيلية،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انتساب كلّ فرد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بالاستعمال في طبيعة كلّية، وكذا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نسبتي الابتدائية والانتهائية بين طبيعة السير المقتطع من الطرفين، دلالة تصوّرية مع قطع النظر عن ورود هيئة الأمر، من غير تكثير في محكيّهما، فإذا دلّت الهيئة على البعث إلى السير المقتطع بالبصرة والكوفة من غير بعث استقلالي إلى </w:t>
      </w:r>
      <w:bookmarkStart w:id="105" w:name="pg15283_146189"/>
    </w:p>
    <w:p>
      <w:pPr>
        <w:pStyle w:val="BookText"/>
        <w:rPr/>
      </w:pPr>
      <w:bookmarkEnd w:id="105"/>
      <w:r>
        <w:rPr>
          <w:rFonts w:ascii="Amiri" w:hAnsi="Amiri" w:eastAsia="Amiri" w:cs="Amiri"/>
          <w:color w:val="111111"/>
          <w:sz w:val="28"/>
          <w:sz w:val="28"/>
          <w:szCs w:val="28"/>
          <w:rtl w:val="true"/>
          <w:lang w:bidi="ar-SA"/>
        </w:rPr>
        <w:t xml:space="preserve">الابتداء والانتهاء، وانطبق السير المحدود على المتكثّر، صارت الحدود متكثّرة بالتبع، ولفظتا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حاكيتان عنهما حكاية الواحد عن الكثير، لا عن الواحد المنطبق عليه؛ ضرورة عدم تعقّل واحد قابل للانطباق على محكيّهما ذهناً أو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أنكرت جواز استعمال اللفظ في أكثر من معنىً، أو أنكرت كون المقام من قبيله، فلنا أن نقول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عالم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مستعمل في ربط جزئي يحلّله العرف إلى الروابط، لا كلّي قابل للصدق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تأمّلت فيما ذكرنا من أوّل البحث إلى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امتناع تصوّر جامع ذاتي فيها، واختلاف معانيها مع الأسماء في جميع الشؤون، وتبعيتها لها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لك تصديق ما ذكرنا مع مساعدة الوجدان والبرهان عليه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4563143_2142443653"/>
      <w:bookmarkStart w:id="107" w:name="_Toc37"/>
      <w:bookmarkEnd w:id="106"/>
      <w:r>
        <w:rPr>
          <w:rtl w:val="true"/>
        </w:rPr>
        <w:t xml:space="preserve">القول </w:t>
      </w:r>
      <w:r>
        <w:rPr>
          <w:rtl w:val="true"/>
        </w:rPr>
        <w:t xml:space="preserve">: </w:t>
      </w:r>
      <w:r>
        <w:rPr>
          <w:rtl w:val="true"/>
        </w:rPr>
        <w:t>في معاني الهيئات</w:t>
      </w:r>
      <w:bookmarkEnd w:id="107"/>
    </w:p>
    <w:p>
      <w:pPr>
        <w:pStyle w:val="BookText"/>
        <w:rPr/>
      </w:pPr>
      <w:r>
        <w:rPr>
          <w:rFonts w:ascii="Amiri" w:hAnsi="Amiri" w:eastAsia="Amiri" w:cs="Amiri"/>
          <w:color w:val="111111"/>
          <w:sz w:val="28"/>
          <w:sz w:val="28"/>
          <w:szCs w:val="28"/>
          <w:rtl w:val="true"/>
          <w:lang w:bidi="ar-SA"/>
        </w:rPr>
        <w:t xml:space="preserve">ليس للهيئات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كلّي وضابطة واحدة كما سيتّضح لك، فلا بدّ من البحث عن مهمّاتها وتميّز حال بعضها عن بعض</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القضيّة الخبرية الحملية التي لا يتخلّلها الحروف،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فالهيئة فيها وضعت للدلالة على الهوهوية التصديقية، ومفادها أنّ المحمول موضوع من غير دلالة على إضافة أو نسبة مطلقاً، لا في الشائعات من الحمل، ولا في </w:t>
      </w:r>
    </w:p>
    <w:p>
      <w:pPr>
        <w:pStyle w:val="BookText"/>
        <w:rPr/>
      </w:pPr>
      <w:r>
        <w:rPr>
          <w:rFonts w:ascii="Amiri" w:hAnsi="Amiri" w:eastAsia="Amiri" w:cs="Amiri"/>
          <w:color w:val="111111"/>
          <w:sz w:val="28"/>
          <w:sz w:val="28"/>
          <w:szCs w:val="28"/>
          <w:rtl w:val="true"/>
          <w:lang w:bidi="ar-SA"/>
        </w:rPr>
        <w:t>الأوّليات منه، ولا في البسائط، ولا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الأوّليات والبسائط فواضح؛ لأنّ النسبة بين المحمول والموضوع فيهما غير معقولة بحسب نفس الأمر؛ فإنّ الحدّ عين المحدود، وإنّما هو تفصيل نفس حقيقة المحدود، فلا يعقل إضافة واقعية بينهما في اعتبار تقرّر الماهية، وكذا في الهليات البسيطة لا يمكن تحقّق الإضافة بين موضوعها ومحمولها، وإلاّ يلزم زيادة الوجود على الماهية في الخارج، وكذا في حمل الشيء على نفسه،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إذا حمل الشيء على مصداقه الذاتي،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البياض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كمصداقه الذاتي،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شيء ممّا ذكر لا يتعقّل نسبة وإضافة بحسب نفس الأمر والخارج</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القضيّة اللفظية بما أنّها حاكية عن الواقع وتامّة الانطباق عليه، فلا يمكن أن تشتمل على شيء زائد عن الواقع أو ناقص عنه ومع ذلك تكون منطبقة عليه، فإذا اشتملت على الدالّ على الإضافة والنسبة بين الموضوع والمحمول، فلا بدّ وأن يكون محكيّها كذلك، مع أنّ الواقع خلاف ذلك، ولا معنى لتحقّق إضافة في الكلام من غير حكاية عن الواقع، فالهيئة الحملية في مثل تلك القضايا تحكي عن الهوهوية وعينية الموضوع للمحمول، فلا يعقل أن تشتمل على النسبة؛ لمنافاة الهوهوية مع النسبة والإضافة، وأمّا المعنى المفهوم من القضيّة فلا يعقل أن يكون أمراً زائداً عمّا اشتملت عليه القضيّة اللفظية، فالقضيّة اللفظية موجبة لإحضار مفادها في الذهن، وكذا المعقول من نفس الأمر لا يمكن أن يكون زائداً على ما فيه، فلا تكون للنسبة واقعية في تلك </w:t>
      </w:r>
    </w:p>
    <w:p>
      <w:pPr>
        <w:pStyle w:val="BookText"/>
        <w:rPr/>
      </w:pPr>
      <w:r>
        <w:rPr>
          <w:rFonts w:ascii="Amiri" w:hAnsi="Amiri" w:eastAsia="Amiri" w:cs="Amiri"/>
          <w:color w:val="111111"/>
          <w:sz w:val="28"/>
          <w:sz w:val="28"/>
          <w:szCs w:val="28"/>
          <w:rtl w:val="true"/>
          <w:lang w:bidi="ar-SA"/>
        </w:rPr>
        <w:t>القضايا، لا في الخارج ونفس الأمر، ولا في القضيّة اللفظية، ولا المعقول من الواقع، ولا المفهوم من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تقوّم القضيّة بالنسبة، وأنّ الخبر ما كان لنسبته واقع تطابقه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تطابقه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المشهورات</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التي لا أصل لها، وسنشير</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إلى ميزان قبول القضيّة لاحتمال 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الشائعات من الحمل التي لا يحمل فيها المحمول على مصداقه الذاتي،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الهيئة فيها أيضاً على الهوهوية،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الذات مأخوذة في المشتقّ فتكون حالها كالحمل الشائع بالذات؛ لعدم تعقّل النسبة بين الذات والشيء وبين الموضوع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ببساطة المشتقّ، وأنّ الفرق بينه وبين المبدأ باللا بشرطية والبشرط لائية، فبلحاظ أنّ اللا بشرط لا يأبى عن الاتّحاد مع غيره، يكون الموضوع متّحداً مع المحمول وتكون الهوهوية متحقّقة فيها والقضيّة حاكية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عرضية الحمل إنّما هي بالنظر الدقيق البرهاني كموجودية الماهية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القضايا الحملية بجميع أقسامها حاكية عن الهوهوية، وهيئتها وضعت للدلالة عليها بحكم التبادر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القضيّة الخبرية التي تتخلّلها الأداة،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له 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القضايا ليست حملية، لكن </w:t>
      </w:r>
    </w:p>
    <w:p>
      <w:pPr>
        <w:pStyle w:val="BookText"/>
        <w:rPr/>
      </w:pPr>
      <w:r>
        <w:rPr>
          <w:rFonts w:ascii="Amiri" w:hAnsi="Amiri" w:eastAsia="Amiri" w:cs="Amiri"/>
          <w:color w:val="111111"/>
          <w:sz w:val="28"/>
          <w:sz w:val="28"/>
          <w:szCs w:val="28"/>
          <w:rtl w:val="true"/>
          <w:lang w:bidi="ar-SA"/>
        </w:rPr>
        <w:t>تؤول إليها؛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 إلى زيد حاصل أو كائن أو مستقرّ فيها؛ ولهذا يقال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القضايا تحكي عن النسبة بين الجواهر والأعراض والموضوع والمحمول،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له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اللام عن نحو إضافة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والهيئة تدلّ على تحقّق هذه الإضافة دلالة تصديقية، ولهذا ترى أنّ في القضيّة السالبة المحصّلة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ليس له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اللام على الإضافة، وحرف السلب على سلب تحقّقها، فورود حرف السلب عليها يدلّ على أنّها لنفس الإضافة، لكن لا بمعنى كونها ماهية كلّية، بل بمعنى نفس الإضافة الجزئية بين الشيئين، فحرف السلب يرد على الكون الرابط، فإذا سلبه صارت الإضافة مسلوبة بالتبع، فأداة الإضافة والنسبة تدلّ على معانيها في القضايا السالبة والموجبة على السواء، لكن القضايا الموجبة تدلّ على تحقّقها دلالة تصديقية، والسالبة على سلبه كذلك، وفي كلتيهما تكون الدلالة التصديقية لهيئة الجمل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يتّضح حال السوالب؛ فإنّ في حمليتها يدلّ حرف السلب على سلب الهوهوية، فيرد على الحمل، فيكون مفاد السوالب سلب الحمل، لا حمل السلب أو حمل هو السلب كما يتوهّم،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يدلّ على الهوهوية،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ليس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حمل يدلّ على نفي الهوهوية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السوالب الحملية بالتأويل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ليس له 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فحرف السلب يرد على الكون الرابط، فيسلب به الكينونة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الجمل الفعلية فسيأتي الكلام فيها في المشتقّ</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الخبر ما كان لنسبته خارج تطابقه أو لا تطابقه</w:t>
      </w:r>
      <w:r>
        <w:rPr>
          <w:rStyle w:val="FootnoteAnchor"/>
          <w:rtl w:val="true"/>
        </w:rPr>
        <w:footnoteReference w:id="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فاسد في الحمليات التي لا تتخلّلها الأداة؛ لعدم تعقّل نسبة واقعية لجلّها؛ للزوم التوالي الفاسدة مع تحقّق النسبة؛ من تخلّل الإضافة بين الشيء ونفسه، وبين الماهية والوجود، وبين الشيء ومصداقه الذاتي، ولزوم كون الوجود زائداً على الماهية في الخارج، وكون الإمكان والشيئية من الاُمور العامّة زائدين على الموضوعات في الخارج، إلى غير ذلك ممّا برهن على امتناعه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يتصوّر فيه النسبة كالهليات المركّبة؛ فلأنّ القضيّة لا تحكي عن النسبة بل عن الهوهوية، ويكون الحمل في لحاظ الوحدة، لا العروض واعتبار النسبة بين الموضوع والمحمول، وسيأتي في المشتقّ</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ما يوضّح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ذكر فاسد في السوالب المحصّلة مطلقاً؛ لأنّ حرف السلب فيها آلة لسلب الهوهوية في الحمليات الصريحة، ولسلب الكون الرابط في الحمليات المؤوّلة، فلا يكون للسوالب نسبة بين الموضوع والمحمول بحسب الواقع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أنّ ما اشتهر</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متقوّمة بالنسبة، وأنّ التصديق هو الإذعان بالنسبة، وأنّ المحمول متأخّر عن الموضوع، ممّا لا أصل لها</w:t>
      </w:r>
      <w:r>
        <w:rPr>
          <w:rFonts w:eastAsia="Amiri" w:cs="Amiri" w:ascii="Amiri" w:hAnsi="Amiri"/>
          <w:color w:val="111111"/>
          <w:sz w:val="28"/>
          <w:szCs w:val="28"/>
          <w:rtl w:val="true"/>
          <w:lang w:bidi="ar-SA"/>
        </w:rPr>
        <w:t xml:space="preserve">. </w:t>
      </w:r>
      <w:bookmarkStart w:id="108" w:name="pg15283_146194"/>
    </w:p>
    <w:p>
      <w:pPr>
        <w:pStyle w:val="Heading3"/>
        <w:numPr>
          <w:ilvl w:val="2"/>
          <w:numId w:val="1"/>
        </w:numPr>
        <w:rPr/>
      </w:pPr>
      <w:bookmarkStart w:id="109" w:name="__RefHeading___Toc4563145_2142443653"/>
      <w:bookmarkStart w:id="110" w:name="_Toc38"/>
      <w:bookmarkEnd w:id="108"/>
      <w:bookmarkEnd w:id="109"/>
      <w:r>
        <w:rPr>
          <w:rtl w:val="true"/>
        </w:rPr>
        <w:t>تنبيه</w:t>
      </w:r>
      <w:r>
        <w:rPr>
          <w:rtl w:val="true"/>
        </w:rPr>
        <w:t xml:space="preserve">: </w:t>
      </w:r>
      <w:r>
        <w:rPr>
          <w:rtl w:val="true"/>
        </w:rPr>
        <w:t>في الجمل التامّة وغير التامّة</w:t>
      </w:r>
      <w:bookmarkEnd w:id="110"/>
    </w:p>
    <w:p>
      <w:pPr>
        <w:pStyle w:val="BookText"/>
        <w:rPr/>
      </w:pPr>
      <w:r>
        <w:rPr>
          <w:rFonts w:ascii="Amiri" w:hAnsi="Amiri" w:eastAsia="Amiri" w:cs="Amiri"/>
          <w:color w:val="111111"/>
          <w:sz w:val="28"/>
          <w:sz w:val="28"/>
          <w:szCs w:val="28"/>
          <w:rtl w:val="true"/>
          <w:lang w:bidi="ar-SA"/>
        </w:rPr>
        <w:t>إنّ الجمل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تامّة،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غير تامّة، والتامّة،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محتملة للصدق والكذب،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الجمل الغير التامّة فهي التي تحكي عن مفادها حكاية تصوّرية، ويكون حالها حال المفردات من هذه الجهة؛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الهيئة على نفس الربط بين الغلام وزيد لا تحقّقه، وهو معنىً تصوّري لا يتّصف بالصدق والكذب ولا يحتملهما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التامّة الخبرية فهي حاكية عن نفسِ الأمر حكاية تصديقية؛ أي حكاية تحقّق شيء أو لا تحقّقه، أو كونِ شيء شيئاً أو لا كونه حكاية تصديقية، فيتّصف بالصدق والكذب،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له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بهيئته على أنّ القيام حاصل له بحسب الواقع، وقيام زيد دالّ على إضافة القيام إليه من غير حكاية عن تحقّقها، فهو معنىً تصوّري للانتساب بين الطرفين، والأوّل معنىً تصديقي إخباري عن حصوله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الجمل الغير التامّة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الانتساب والإضافة التصوّرية، كجملة المضاف والمضاف إليه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الهوهوية التصوّرية، كجملة الصفة والموصوف،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الاتّحاد بينهما دلالة تصوّرية غير محتملة للصدق والكذب، ولا يحكي عن الإضافة؛ لعدم الإضافة بينهما؛ ولهذا ترى </w:t>
      </w:r>
    </w:p>
    <w:p>
      <w:pPr>
        <w:pStyle w:val="BookText"/>
        <w:rPr/>
      </w:pPr>
      <w:r>
        <w:rPr>
          <w:rFonts w:ascii="Amiri" w:hAnsi="Amiri" w:eastAsia="Amiri" w:cs="Amiri"/>
          <w:color w:val="111111"/>
          <w:sz w:val="28"/>
          <w:sz w:val="28"/>
          <w:szCs w:val="28"/>
          <w:rtl w:val="true"/>
          <w:lang w:bidi="ar-SA"/>
        </w:rPr>
        <w:t xml:space="preserve">أنّ ما جعل صفة يمكن أن يحمل على الموصوف من غير تخلّل حروف دالّة على الإضافة، فيقال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جملة المضاف والمضاف إليه؛ حيث لا بدّ من تخلّل الأداة بينهما، فيقال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له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حتّى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الإضافة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 ما في كلام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مدلول الهيئة ربط العرض بموضوعه، وذلك هو المعبّر عنه بالوجود الرابط</w:t>
      </w:r>
      <w:r>
        <w:rPr>
          <w:rStyle w:val="FootnoteAnchor"/>
          <w:rtl w:val="true"/>
        </w:rPr>
        <w:footnoteReference w:id="77"/>
      </w:r>
      <w:r>
        <w:rPr>
          <w:rFonts w:ascii="Amiri" w:hAnsi="Amiri" w:eastAsia="Amiri" w:cs="Amiri"/>
          <w:color w:val="111111"/>
          <w:sz w:val="28"/>
          <w:sz w:val="28"/>
          <w:szCs w:val="28"/>
          <w:rtl w:val="true"/>
          <w:lang w:bidi="ar-SA"/>
        </w:rPr>
        <w:t>فإنّ فيه وجوهاً من الخلط تظهر بعد التأمّل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النظر فيما ذكر في وجه افتراق المركّبات الناقصة عن التامّة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الاُولى تحكي عن النسبة الثابتة التي تعتبر قيداً مقوّماً للموضوع أو المحمول، والثانية تحكي عن إيقاع النسبة؛ فإنّ المتكلّم وجداناً يرى الموضوع عارياً عن النسبة التي يريد إثباتها، وهو بالحمل أو الإنشاء يوقعها بين الموضوع والمحمول؛ ولهذا يكون مفاد التركيب الأوّل متأخّراً عن الثاني تأخّر الوقوع عن الإيقاع</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المراد من النسبة الثابتة إن كان النسبة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مقابلتها لإيقاع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أنّ المركّبات الناقصة لا تحكي عنها؛ </w:t>
      </w:r>
    </w:p>
    <w:p>
      <w:pPr>
        <w:pStyle w:val="BookText"/>
        <w:rPr/>
      </w:pPr>
      <w:r>
        <w:rPr>
          <w:rFonts w:ascii="Amiri" w:hAnsi="Amiri" w:eastAsia="Amiri" w:cs="Amiri"/>
          <w:color w:val="111111"/>
          <w:sz w:val="28"/>
          <w:sz w:val="28"/>
          <w:szCs w:val="28"/>
          <w:rtl w:val="true"/>
          <w:lang w:bidi="ar-SA"/>
        </w:rPr>
        <w:t>فإنّ الحكاية عن الواقع تصديقية لا تصوّرية، وهي شأن المركّبات التامّة الإخبارية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المركّبات التامّة الإخبارية لا تحكي عن إيقاع المتكلّم النسبة ذهناً أو لفظاً كما ذكره، ولهذا لا ينتقل السامع إلاّ إلى الثبوت الواقعي، والإيقاع</w:t>
      </w:r>
    </w:p>
    <w:p>
      <w:pPr>
        <w:pStyle w:val="BookText"/>
        <w:rPr/>
      </w:pPr>
      <w:r>
        <w:rPr>
          <w:rFonts w:ascii="Amiri" w:hAnsi="Amiri" w:eastAsia="Amiri" w:cs="Amiri"/>
          <w:color w:val="111111"/>
          <w:sz w:val="28"/>
          <w:sz w:val="28"/>
          <w:szCs w:val="28"/>
          <w:rtl w:val="true"/>
          <w:lang w:bidi="ar-SA"/>
        </w:rPr>
        <w:t>مغفول عنه إلاّ باللحظ الثاني، وسيأتي حال الإنشائيات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الجمل الناقصة والتامّة تكون النسبة بإيقاع المتكلّم بوجه؛ فإنّ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بالعالم في الجمل الناقصة إنّما هو بفعل المتكلّم، فلا تكون النسبة ثابتة في الكلام قبل إيقاعه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تأخّر الوقوع عن الإيقاع إنّما هو فيما إذا كان الأوّل معلول الثاني لا مطلقاً، وليست النسبة في الجمل الناقصة معلولة لإيقاع النسبة في التامّة، فلا وجه للتأخّر مع فقدان مناطه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إيقاع النسبة في القضيّة اللفظية متوقّف على تصوّر الموضوع استقلالاً، مع أنّ القضيّة اللفظية مرآة الواقع، والعناوين المأخوذة فيها لا تكون ملحوظة بالاستقلال حتّى يرى خلوّها منها ويمكن إيقاع النسبة بينها، وما ذكرنا من إيقاعها بوجه إنّما هو بنحو الاستجرار تبعاً للإخبار عن الواقع على ما هو عليه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مراده ذلك، لكنّه خلاف ظاهر كلامه أو نصّه؛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المتكلّم يرى الموضوع عارياً عن النسبة فيوقعها</w:t>
      </w:r>
      <w:r>
        <w:rPr>
          <w:rFonts w:eastAsia="Amiri" w:cs="Amiri" w:ascii="Amiri" w:hAnsi="Amiri"/>
          <w:color w:val="111111"/>
          <w:sz w:val="28"/>
          <w:szCs w:val="28"/>
          <w:rtl w:val="true"/>
          <w:lang w:bidi="ar-SA"/>
        </w:rPr>
        <w:t xml:space="preserve">». </w:t>
      </w:r>
      <w:bookmarkStart w:id="111" w:name="pg15283_146197"/>
    </w:p>
    <w:p>
      <w:pPr>
        <w:pStyle w:val="Heading3"/>
        <w:numPr>
          <w:ilvl w:val="2"/>
          <w:numId w:val="1"/>
        </w:numPr>
        <w:rPr/>
      </w:pPr>
      <w:bookmarkStart w:id="112" w:name="__RefHeading___Toc4563147_2142443653"/>
      <w:bookmarkStart w:id="113" w:name="_Toc39"/>
      <w:bookmarkEnd w:id="111"/>
      <w:bookmarkEnd w:id="112"/>
      <w:r>
        <w:rPr>
          <w:rtl w:val="true"/>
        </w:rPr>
        <w:t>الكلام في الإنشاء والإخبار</w:t>
      </w:r>
      <w:bookmarkEnd w:id="113"/>
    </w:p>
    <w:p>
      <w:pPr>
        <w:pStyle w:val="BookText"/>
        <w:rPr/>
      </w:pPr>
      <w:r>
        <w:rPr>
          <w:rFonts w:ascii="Amiri" w:hAnsi="Amiri" w:eastAsia="Amiri" w:cs="Amiri"/>
          <w:color w:val="111111"/>
          <w:sz w:val="28"/>
          <w:sz w:val="28"/>
          <w:szCs w:val="28"/>
          <w:rtl w:val="true"/>
          <w:lang w:bidi="ar-SA"/>
        </w:rPr>
        <w:t xml:space="preserve">أمّا الجمل الإنشائية في باب العقود والإيقاعات، فهيئاتها تكون آلة لإيجاد شيء من الاعتباريات التي يحتاج إليها البشر،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الإنشائي بهيئته آلة إيجاد مادّتها؛ أي حقيقة البيع التي تكون من الحقائق الاسمية ذات الإضافة إلى الثمن والمثمن والبائع والمشتري، والتاء تدلّ على كون الصدور منتسباً إلى المتكلّم أو الانتساب الصدوري إليه، فيكون معنى الهيئة نفس الإيجاد الذي هو صرف التعلّق بالفاعل ومحض الإضافة بينه وبين الفعل بإزاء الإيجاد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 تحكي عن نفس هذا الإيجاد، كهيئة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الحاكية عن الإيجاد التكويني، فهيئة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الإنشائي موجدة للبيع، وهيئة الإخباري تحكي عن هذا الإيجاد، وكلتاهما معنىً حرفي غير مستقلّ بالمفهومية ولا بالموجودية، وكذا حال جميع الهيئات في أبواب العقود والإيقاعات</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4563149_2142443653"/>
      <w:bookmarkStart w:id="115" w:name="_Toc40"/>
      <w:bookmarkEnd w:id="114"/>
      <w:r>
        <w:rPr>
          <w:rtl w:val="true"/>
        </w:rPr>
        <w:t>في أنحاء الإنشاء</w:t>
      </w:r>
      <w:bookmarkEnd w:id="11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الهيئات الإنشائية مختلفة، كاختلاف الهيئات في الجمل الإخبارية كما تقدّم، فقد ينشئ المتكلّم الهوهوية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الإنشاء، فإنّ الاعتبار في أمثالها هو إنشاء الهوهوية وجعل الموضوع مصداق المحمول في وعاء الاعتبار، فيصير بهذا الجعل مصداقاً للمحمول لدى العقلاء، فتترتّب الآثار عليها</w:t>
      </w:r>
      <w:r>
        <w:rPr>
          <w:rFonts w:eastAsia="Amiri" w:cs="Amiri" w:ascii="Amiri" w:hAnsi="Amiri"/>
          <w:color w:val="111111"/>
          <w:sz w:val="28"/>
          <w:szCs w:val="28"/>
          <w:rtl w:val="true"/>
          <w:lang w:bidi="ar-SA"/>
        </w:rPr>
        <w:t xml:space="preserve">. </w:t>
      </w:r>
      <w:bookmarkStart w:id="116" w:name="pg15283_146198"/>
    </w:p>
    <w:p>
      <w:pPr>
        <w:pStyle w:val="BookText"/>
        <w:rPr/>
      </w:pPr>
      <w:bookmarkEnd w:id="116"/>
      <w:r>
        <w:rPr>
          <w:rFonts w:ascii="Amiri" w:hAnsi="Amiri" w:eastAsia="Amiri" w:cs="Amiri"/>
          <w:color w:val="111111"/>
          <w:sz w:val="28"/>
          <w:sz w:val="28"/>
          <w:szCs w:val="28"/>
          <w:rtl w:val="true"/>
          <w:lang w:bidi="ar-SA"/>
        </w:rPr>
        <w:t>وقد ينشئ الإضافة والكون الرابط،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ضالّتي فله هذا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معيّن، فينشئ كون الدينار له، وقد ينشئ كون شيء على عهدته لشخصٍ، كمن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ضالّتي فله عليّ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فيجعل على عهدته شيئاً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ينشئ ماهية اعتبارية ذات إضافة كنوع العقود،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الاعتبار فيه هو إيجاد نفس الطبيعة الاعتبارية مضافة إلى مضايفاتها، فالمؤجر يوجد بآلية الهيئة إجارة البيت في مقابل شيء من شخص، إلى غير ذلك من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أنحاء الإنشاءات وإن كان تحقّق ما يحتاج إليه من الأمر الاعتباري ممّا يترتّب عليه أثر عند العقلاء، لكن إنشاء الهوهوية يغاير إنشاء الإضافة، وهما يغايران إنشاء الماهية ذات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الجمل الإنشائية المستعملة في أبواب المعاملات، وأمّا هيئة الأمر والنهي وسائر المشتقّات فسيأتي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 محلّه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4563151_2142443653"/>
      <w:bookmarkStart w:id="118" w:name="_Toc41"/>
      <w:bookmarkEnd w:id="117"/>
      <w:r>
        <w:rPr>
          <w:rtl w:val="true"/>
        </w:rPr>
        <w:t>الكلام في ألفاظ الإشارات وأخواتها</w:t>
      </w:r>
      <w:bookmarkEnd w:id="118"/>
    </w:p>
    <w:p>
      <w:pPr>
        <w:pStyle w:val="BookText"/>
        <w:rPr/>
      </w:pPr>
      <w:r>
        <w:rPr>
          <w:rFonts w:ascii="Amiri" w:hAnsi="Amiri" w:eastAsia="Amiri" w:cs="Amiri"/>
          <w:color w:val="111111"/>
          <w:sz w:val="28"/>
          <w:sz w:val="28"/>
          <w:szCs w:val="28"/>
          <w:rtl w:val="true"/>
          <w:lang w:bidi="ar-SA"/>
        </w:rPr>
        <w:t>أمّا ألفاظ الإشارة وضمائر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موضوعة لإيجاد الإشارة، إلاّ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الاُولى وضعت لإيجاد الإشارة إلى الحاضر وما هو بمنزلته، والثانية إلى الغائب وما هو بمنزلته،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 كإصبع الأخرس، فكما أنّه آلة لإيجاد الإشارة إلى مطلوبه فهي كذلك وضعاً، من غير فرق بينهما من هذه الجهة، </w:t>
      </w:r>
    </w:p>
    <w:p>
      <w:pPr>
        <w:pStyle w:val="BookText"/>
        <w:rPr/>
      </w:pPr>
      <w:r>
        <w:rPr>
          <w:rFonts w:ascii="Amiri" w:hAnsi="Amiri" w:eastAsia="Amiri" w:cs="Amiri"/>
          <w:color w:val="111111"/>
          <w:sz w:val="28"/>
          <w:sz w:val="28"/>
          <w:szCs w:val="28"/>
          <w:rtl w:val="true"/>
          <w:lang w:bidi="ar-SA"/>
        </w:rPr>
        <w:t>ولا يكون المشار إليه بها داخلاً في معناها، بل معناها نفس الإشارة وإحضار المشار إليه في ذهن السامع ليس إلاّ، كإحضار إشارة الأخرس المشار إليه في ذهنه من غير أن تكون موضوعة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ضمائر الغيبة؛ فإنّها موضوعة للإشارة إلى الغائب، ولهذا يشترط فيها أن يكون مرجعها مذكوراً أو معهوداً لتصحّ الإشارة إليه، ومرجع الضمير هو المشار إليه، ونسبته إليه كنسبة المشار إليه إلى اسم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الألفاظ وضعت لنفس الإشارة، ولازمها إحضار المشار إليه في ذهن السامع؛ ولهذا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تلك الألفاظ بما لها من المعنى محكوماً بها ولا عليها كسائر المعاني الحرفية، بل المحكوم به وعليه هو المشار إليه بها،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المحكوم عليه والمخبر عنه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المشار إليه بهما، كما أنّ الواقع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زيداً يحكي عن المحكوم عليه حكاية اللفظ عن معناه الموضوع له، بخلافهما؛ فإنّهما يحضران المحكوم عليه في ذهن السامع إحضار الإشارة بالإصبع إيّاه في ذهنه، من غير أن تكون موضوعة له، ومن دون أن تكون حكاية اللفظ عن معناه؛ ولهذا أدرجناها في الحروف؛ لأنّ الميزان في حرفية الألفاظ كون معانيها غير مستقلّة بالمفهومية والموجودية، وهي كذلك؛ فإنّ نفس الإشارة بالحمل الشائع ممّا يتحصّل ويتقوّم بالمشير والمشار إليه، ولا يمكن تعقّلها بذاتها ولا إحضارها في ذهن السامع ولا وجودها في الخارج كذلك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ألفاظ الإشارات وضمائر الغيبة من سنخ واحد، والفرق </w:t>
      </w:r>
    </w:p>
    <w:p>
      <w:pPr>
        <w:pStyle w:val="BookText"/>
        <w:rPr/>
      </w:pPr>
      <w:r>
        <w:rPr>
          <w:rFonts w:ascii="Amiri" w:hAnsi="Amiri" w:eastAsia="Amiri" w:cs="Amiri"/>
          <w:color w:val="111111"/>
          <w:sz w:val="28"/>
          <w:sz w:val="28"/>
          <w:szCs w:val="28"/>
          <w:rtl w:val="true"/>
          <w:lang w:bidi="ar-SA"/>
        </w:rPr>
        <w:t xml:space="preserve">بينهما بالحضور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بحكم التبادر؛ فإنّك إذا راجعت وجدانك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ومرادفهما في لسان الفرس؛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ما ذكرنا موافق لوجدانك، ولا يتبادر منهما إلاّ ما ذكرنا، وهو أصدق شاهد في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الموصولات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تكون موضوعة لإيجاد الإشارة إلى مبهم متوقّع رفع إبهامه؛ بحيث يكون عملها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أصل الإشارة، وثانيهما إفهام المشار إليه المتوقّع للتوصيف لا بما أنّه 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موضوعة لنفس الإشارة إلى المبهم الكذائي حتّى تكون كأسماء الإشارة، وتفترق عنها بالمشار إليه، كما تفترق أسماء الإشارة عن ضمائر الغيبة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الأوّل متبادراً وإن كان تصوّره لا يخلو من صعوبة، لكنّه غير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ضمائر المخاطب والمتكلّم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سنخها يغاير ألفاظ الإشارة</w:t>
      </w:r>
    </w:p>
    <w:p>
      <w:pPr>
        <w:pStyle w:val="BookText"/>
        <w:rPr/>
      </w:pPr>
      <w:r>
        <w:rPr>
          <w:rFonts w:ascii="Amiri" w:hAnsi="Amiri" w:eastAsia="Amiri" w:cs="Amiri"/>
          <w:color w:val="111111"/>
          <w:sz w:val="28"/>
          <w:sz w:val="28"/>
          <w:szCs w:val="28"/>
          <w:rtl w:val="true"/>
          <w:lang w:bidi="ar-SA"/>
        </w:rPr>
        <w:t xml:space="preserve">وضمائر الغيبة؛ فإنّ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المتّصل منه ليس للإشارة جزماً، بل ضمير المتكلّم موضوع لنفس المتكلّم بهويته الجزئية، وضمير المخاطب للمخاطب الجزئي كذلك، كما هو المتبادر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معاني ما تقدّم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الوضع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عامّاً والموضوع له خاصّاً، أمّا فيما يكون معانيها من سنخ الحروف فلما ذكرنا فيها</w:t>
      </w:r>
      <w:r>
        <w:rPr>
          <w:rStyle w:val="FootnoteAnchor"/>
          <w:rtl w:val="true"/>
        </w:rPr>
        <w:footnoteReference w:id="79"/>
      </w:r>
      <w:r>
        <w:rPr>
          <w:rFonts w:ascii="Amiri" w:hAnsi="Amiri" w:eastAsia="Amiri" w:cs="Amiri"/>
          <w:color w:val="111111"/>
          <w:sz w:val="28"/>
          <w:sz w:val="28"/>
          <w:szCs w:val="28"/>
          <w:rtl w:val="true"/>
          <w:lang w:bidi="ar-SA"/>
        </w:rPr>
        <w:t xml:space="preserve">من عدم تصوّر جامعٍ حرفي بينها لا ذهناً </w:t>
      </w:r>
      <w:bookmarkStart w:id="119" w:name="pg15283_146201"/>
    </w:p>
    <w:p>
      <w:pPr>
        <w:pStyle w:val="BookText"/>
        <w:rPr/>
      </w:pPr>
      <w:bookmarkEnd w:id="119"/>
      <w:r>
        <w:rPr>
          <w:rFonts w:ascii="Amiri" w:hAnsi="Amiri" w:eastAsia="Amiri" w:cs="Amiri"/>
          <w:color w:val="111111"/>
          <w:sz w:val="28"/>
          <w:sz w:val="28"/>
          <w:szCs w:val="28"/>
          <w:rtl w:val="true"/>
          <w:lang w:bidi="ar-SA"/>
        </w:rPr>
        <w:t>ولا خارجاً، والعنوان الاسمي الحاكي عنها بنحو من الحكاية متصوّر لكن لا يمكن أن يعمل عمل الحروف في الحكاية عن الروابط والإضافات والإيجادات، فالحروف كالهيئات في القضايا مطلقاً لا يعقل فيها عموم الموضوع له، فيتطابق فيها البرهان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الإشارات وضمائر الغيبة والموصولات، سواء قلنا في الأخيرة بتضمّنها معنى الحرف أو بكونها كأسماء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ضمير المتكلّم والمخاطب ممّا لم تكن معانيها حرفية،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يمكن فيهما عمومه، لكن التبادر على خلافه؛ ضرورة فهم نفس المخاطب والمتكلّم بهويتهما الشخصية من حاقّ اللفظ، ولا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مرادفاً لمفهوم المخاطب المذكّر،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لمفهوم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وهو واضح لمن راجع وجدانه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4563153_2142443653"/>
      <w:bookmarkStart w:id="121" w:name="_Toc42"/>
      <w:bookmarkEnd w:id="120"/>
      <w:r>
        <w:rPr>
          <w:rtl w:val="true"/>
        </w:rPr>
        <w:t xml:space="preserve">تنبيه </w:t>
      </w:r>
      <w:r>
        <w:rPr>
          <w:rtl w:val="true"/>
        </w:rPr>
        <w:t xml:space="preserve">: </w:t>
      </w:r>
      <w:r>
        <w:rPr>
          <w:rtl w:val="true"/>
        </w:rPr>
        <w:t>في أنّ معاني الحروف ليست مغفولاً عنها</w:t>
      </w:r>
      <w:bookmarkEnd w:id="121"/>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ما اشتهر بينهم من أنّ الحروف آلات لملاحظة حال الغير، وأنّ معانيها مغفول عنها؛ ولذا لا يخبر عنها وبها</w:t>
      </w:r>
      <w:r>
        <w:rPr>
          <w:rStyle w:val="FootnoteAnchor"/>
          <w:rtl w:val="true"/>
        </w:rPr>
        <w:footnoteReference w:id="80"/>
      </w:r>
      <w:r>
        <w:rPr>
          <w:rFonts w:ascii="Amiri" w:hAnsi="Amiri" w:eastAsia="Amiri" w:cs="Amiri"/>
          <w:color w:val="111111"/>
          <w:sz w:val="28"/>
          <w:sz w:val="28"/>
          <w:szCs w:val="28"/>
          <w:rtl w:val="true"/>
          <w:lang w:bidi="ar-SA"/>
        </w:rPr>
        <w:t>، ليس على ما ينبغي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دعوى كونها آلة ومغفولاً عنها فواضحة الفساد بعد أدنى تأمّل في التراكيب الكلامية؛ ضرورة أنّ عمدة مقاصد المتخاطبين تفهيم المعاني الحرفية </w:t>
      </w:r>
    </w:p>
    <w:p>
      <w:pPr>
        <w:pStyle w:val="BookText"/>
        <w:rPr/>
      </w:pPr>
      <w:r>
        <w:rPr>
          <w:rFonts w:ascii="Amiri" w:hAnsi="Amiri" w:eastAsia="Amiri" w:cs="Amiri"/>
          <w:color w:val="111111"/>
          <w:sz w:val="28"/>
          <w:sz w:val="28"/>
          <w:szCs w:val="28"/>
          <w:rtl w:val="true"/>
          <w:lang w:bidi="ar-SA"/>
        </w:rPr>
        <w:t>وتفهّمها، وقلّما يتعلّق الغرض بغير ذلك؛ فإنّ القضايا على أنواعها إمّا تفيد الهوهوية، أو الكون الرابط، أو الإضافات والانتسابات بين المعاني الاسمية، فيكون غرض المتكلّم والمخاطب متعلّقاً بها، لا بالموضوع والمحمول،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الغرض إفهام زيد ولا مفهوم الموجود، بل إفهام كون زيد موجوداً؛ أي الهوهوية المفهمة بالهيئة،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الغرض إفهام الكون الرابط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المعاني الحرفية هي المهمّ في التفهيم والتفهّم لا معنى لكونها مغفولاً عنها وآلة للحاظ غيرها، بل هي منظور فيها وألفاظها آلات للحاظ معانيها كالأسماء، لكن لمّا كانت معانيها على نحو لا يمكن أن تتعقّل إلاّ بتبع الغير يكون إفهامها تبعياً لا استقلالياً، وفرق واضح بين تبعية شيء لشيء في التعقّل والتحقّق وكونه مغفولاً عنه وآلة للحاظ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ذكرنا يتّضح ما في دعوى عدم الإخبار عنها وبها؛ فإنّ المراد به إن كان عدم الإخبار عنها وبها على وزان المعاني الاسمية؛ بحيث تقع مبتدأً مستقلاًّ وخبراً كذلك، فلا شبهة فيه، لكنّ الإخبار عن الشيء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عدم الإخبار بقول مطلق،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المعدوم المطلق لا يخبر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واضح الفساد؛ ضرورة عدم المانع العقلي عنه، وشهادة الوجدان بالخبر عنها وبها في التراكيب الكلامية، لكن تبعاً للمعاني الاسمية،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في الدار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لعمرو مولود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إفهام حدوث الضرب منه في محلّ كذا ويوم كذا، </w:t>
      </w:r>
    </w:p>
    <w:p>
      <w:pPr>
        <w:pStyle w:val="BookText"/>
        <w:rPr/>
      </w:pPr>
      <w:r>
        <w:rPr>
          <w:rFonts w:ascii="Amiri" w:hAnsi="Amiri" w:eastAsia="Amiri" w:cs="Amiri"/>
          <w:color w:val="111111"/>
          <w:sz w:val="28"/>
          <w:sz w:val="28"/>
          <w:szCs w:val="28"/>
          <w:rtl w:val="true"/>
          <w:lang w:bidi="ar-SA"/>
        </w:rPr>
        <w:t xml:space="preserve">وحدوث ولادة ابن عمرو ساعة كذا، ويفهم من مثلهما هذا الغرض، ولا يكون إلاّ لكون الحدوث بالمعنى الحرفي يمكن أن يخبر عنه وبه، فيصحّ تقييد المعاني الحرفية وتعليقها واشتراطها، فإنكار الواجب المشروط ومفهوم الشرط وإرجاع القيود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الرجوع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المادّة بدعوى عدم الإمكان</w:t>
      </w:r>
      <w:r>
        <w:rPr>
          <w:rStyle w:val="FootnoteAnchor"/>
          <w:rtl w:val="true"/>
        </w:rPr>
        <w:footnoteReference w:id="8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ينبغي أن يصغى إليه</w:t>
      </w:r>
      <w:r>
        <w:rPr>
          <w:rFonts w:eastAsia="Amiri" w:cs="Amiri" w:ascii="Amiri" w:hAnsi="Amiri"/>
          <w:color w:val="111111"/>
          <w:sz w:val="28"/>
          <w:szCs w:val="28"/>
          <w:rtl w:val="true"/>
          <w:lang w:bidi="ar-SA"/>
        </w:rPr>
        <w:t xml:space="preserve">. </w:t>
      </w:r>
      <w:bookmarkStart w:id="122" w:name="pg15283_146204"/>
    </w:p>
    <w:p>
      <w:pPr>
        <w:pStyle w:val="Heading2"/>
        <w:numPr>
          <w:ilvl w:val="1"/>
          <w:numId w:val="1"/>
        </w:numPr>
        <w:rPr/>
      </w:pPr>
      <w:bookmarkStart w:id="123" w:name="__RefHeading___Toc4563155_2142443653"/>
      <w:bookmarkStart w:id="124" w:name="_Toc43"/>
      <w:bookmarkEnd w:id="122"/>
      <w:bookmarkEnd w:id="123"/>
      <w:r>
        <w:rPr>
          <w:rtl w:val="true"/>
        </w:rPr>
        <w:t xml:space="preserve">الأمر الخامس </w:t>
      </w:r>
      <w:r>
        <w:rPr>
          <w:rtl w:val="true"/>
        </w:rPr>
        <w:t xml:space="preserve">: </w:t>
      </w:r>
      <w:r>
        <w:rPr>
          <w:rtl w:val="true"/>
        </w:rPr>
        <w:t>في المجاز</w:t>
      </w:r>
      <w:bookmarkEnd w:id="124"/>
    </w:p>
    <w:p>
      <w:pPr>
        <w:pStyle w:val="Heading3"/>
        <w:numPr>
          <w:ilvl w:val="2"/>
          <w:numId w:val="1"/>
        </w:numPr>
        <w:rPr/>
      </w:pPr>
      <w:bookmarkStart w:id="125" w:name="__RefHeading___Toc4563157_2142443653"/>
      <w:bookmarkStart w:id="126" w:name="_Toc44"/>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قد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هو استعمال اللفظ في غير ما وضع له بعلاقة معتبرة مع قرينة معاندة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وخالفهم السكّاكي في الاستعارة على ما هو المشهور من مذهبه من كون المجاز عقلياً فيها مبنيّاً على ادّعاء فردية المشبّه للماهية المشبّه بها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الادّعاء لا يخرج الكلام عن المجاز اللغوي؛ لأنّ اللفظ استعمل في غير ما وضع له على الفرض</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استعمال اللفظ الموضوع للطبيعة في مصاديقها الواقعية أيضاً مجاز، فضلاً عن المصداق الادّعائي، وأمّا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يستعمل الإنسان إلاّ في نفس الطبيعة، والحمل يفيد اتّحادها معه </w:t>
      </w:r>
    </w:p>
    <w:p>
      <w:pPr>
        <w:pStyle w:val="BookText"/>
        <w:rPr/>
      </w:pPr>
      <w:r>
        <w:rPr>
          <w:rFonts w:ascii="Amiri" w:hAnsi="Amiri" w:eastAsia="Amiri" w:cs="Amiri"/>
          <w:color w:val="111111"/>
          <w:sz w:val="28"/>
          <w:sz w:val="28"/>
          <w:szCs w:val="28"/>
          <w:rtl w:val="true"/>
          <w:lang w:bidi="ar-SA"/>
        </w:rPr>
        <w:t>خارجاً ولم يستعمل في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لا يجري في الأعلام الشخصية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بتأويل بارد مقطوع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وإن كان أقرب إلى الذوق السليم ممّا هو المشهور؛ لما قال في وجهه</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التعجّب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تظلِّلُني من الشمس</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والنهي عنه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تعجَبوا من بِلى غِلالتِهِ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 إِنْ هَذَا إِلاَّ مَلَكٌ كَرِيمٌ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حيث نفى البشرية وأثبت الملَكية، وهو لا يستقيم إلاّ مع ادّعاء كونه مَلَكاً، لا إعارة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في ردّ السكّاكي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التعجّب والنهي عنه فللبناء على تناسي التشبيه؛ قضاءً لحقّ المبالغة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تناسي التشبيه وقضاء حقّ المبالغة يقتضيان ما ذكره من الادّعاء، ومع عدمه لا التشبيه صار منسيّاً، ولا حقّ المبالغة مقضيّاً</w:t>
      </w:r>
      <w:r>
        <w:rPr>
          <w:rFonts w:eastAsia="Amiri" w:cs="Amiri" w:ascii="Amiri" w:hAnsi="Amiri"/>
          <w:color w:val="111111"/>
          <w:sz w:val="28"/>
          <w:szCs w:val="28"/>
          <w:rtl w:val="true"/>
          <w:lang w:bidi="ar-SA"/>
        </w:rPr>
        <w:t xml:space="preserve">. </w:t>
      </w:r>
      <w:bookmarkStart w:id="127" w:name="pg15283_146206"/>
    </w:p>
    <w:p>
      <w:pPr>
        <w:pStyle w:val="BookText"/>
        <w:rPr/>
      </w:pPr>
      <w:bookmarkEnd w:id="127"/>
      <w:r>
        <w:rPr>
          <w:rFonts w:ascii="Amiri" w:hAnsi="Amiri" w:eastAsia="Amiri" w:cs="Amiri"/>
          <w:color w:val="111111"/>
          <w:sz w:val="28"/>
          <w:sz w:val="28"/>
          <w:szCs w:val="28"/>
          <w:rtl w:val="true"/>
          <w:lang w:bidi="ar-SA"/>
        </w:rPr>
        <w:t>وأنت إذا كنت ذا طبع سليم، وتصفّحت كلام خطباء العرب والفرس وشعرائهم، لا تشكّ في عدم صحّة 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ذهب إليه السكّاكي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4563159_2142443653"/>
      <w:bookmarkStart w:id="129" w:name="_Toc45"/>
      <w:bookmarkEnd w:id="128"/>
      <w:r>
        <w:rPr>
          <w:rtl w:val="true"/>
        </w:rPr>
        <w:t>التحقيق في المجاز</w:t>
      </w:r>
      <w:bookmarkEnd w:id="129"/>
    </w:p>
    <w:p>
      <w:pPr>
        <w:pStyle w:val="BookText"/>
        <w:rPr/>
      </w:pPr>
      <w:r>
        <w:rPr>
          <w:rFonts w:ascii="IRNazanin" w:hAnsi="IRNazanin" w:eastAsia="IRNazanin"/>
          <w:color w:val="111111"/>
          <w:sz w:val="28"/>
          <w:sz w:val="28"/>
          <w:szCs w:val="28"/>
          <w:rtl w:val="true"/>
          <w:lang w:bidi="fa-IR"/>
        </w:rPr>
        <w:t>والحقّ الحقيق بالتصديق هو ما اختاره بعض أجلّة العصر رحمه الله علیه  في وقايته</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وتبعه غيره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اللفظ في مطلق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كان أو استعارة أو مجازاً في الحذف، مفرداً كان أو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الكناية، مستعمل فيما وضع له لا غير، لكن يكون جدّه على خلاف استعماله، وإنّما يكون تطبيق المعنى الموضوع له على ما أراده جدّاً؛ بادّعاء كونه مصداقه كما في الكلّيات، وعينه كما في الأعلام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 إِنْ هَذَا إِلاَّ مَلَكٌ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الماهية المعهودة من الروحانيين، وإنّما حملها عليه بادّعاء كونه من مصاديقها، فالادّعاء على مذهب السكّاكي وقع قبل الإطلاق، فاُطلق اللفظ على المصداق الادّعائي، دون هذا؛ فإنّ الادّعاء بناءً عليه وقع بعد الاستعمال وحين إجراء الطبيعة الموضوع لها اللفظ على المصداق الادّعائي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الشخص المعروف وادّعي أنّ فلاناً هو هو، فالادّعاء لتصحيح إجراء المعنى على المعنى، فحسن </w:t>
      </w:r>
    </w:p>
    <w:p>
      <w:pPr>
        <w:pStyle w:val="BookText"/>
        <w:rPr/>
      </w:pPr>
      <w:r>
        <w:rPr>
          <w:rFonts w:ascii="Amiri" w:hAnsi="Amiri" w:eastAsia="Amiri" w:cs="Amiri"/>
          <w:color w:val="111111"/>
          <w:sz w:val="28"/>
          <w:sz w:val="28"/>
          <w:szCs w:val="28"/>
          <w:rtl w:val="true"/>
          <w:lang w:bidi="ar-SA"/>
        </w:rPr>
        <w:t>الكلام في باب المجازات إنّما هو بتبادل المعاني والتلاعب بها، لا بعارية الألفاظ وتبادلها، والشاهد على صحّة هذا المذهب هو الطبع السليم والذوق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وجه لتخصيص ما ذكر بالاستعارة، بل هو جارٍ في المجاز المرسل أيضاً، فلا يطلق العين على الربيئة إلاّ بدعوى كونه نفس العين؛ لكمال مراقبته، لا بعلاقة الجزئية والكلّية، ولا الميّت على المريض المشرف على الهلاك إلاّ بدعوى كونه ميّتاً، والمصحّح للدعوى إشرافه عليه وانقطاع أسباب الصحّة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إلى آخره، يدّعى كون القضيّة بمثابة تجيب عنها القرية والعير، وتقدير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يحطّ الكلام من ذروة البلاغة والحسن إلى حضيض البرودة والسوقية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المجاز المركّب،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تُقدّم رِجلاً وتُؤخّر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للمتحيّر والمتردّد، لم تستعمل الألفاظ المفردة إلاّ في معانيها الحقيقية، لكن ادّعي كون المتردّد والمتحيّر شخصاً متمثّلاً كذلك، وليس للمركّب وضع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كانت أجزاؤه بمنزلة حروف الهجاء في المفردات بالضرورة، ولعدم الاحتياج إليه ولغويته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الموضوع لمعنىً استعمل في غيره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أقوى شاهد على ما قضى به الوجدان من أنّ حال المجازات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بالتأمّل والتدبّر والفحص في لطائف محاورات الخطباء والشعراء حتّى </w:t>
      </w:r>
      <w:bookmarkStart w:id="130" w:name="pg15283_146208"/>
    </w:p>
    <w:p>
      <w:pPr>
        <w:pStyle w:val="BookText"/>
        <w:rPr/>
      </w:pPr>
      <w:bookmarkEnd w:id="130"/>
      <w:r>
        <w:rPr>
          <w:rFonts w:ascii="Amiri" w:hAnsi="Amiri" w:eastAsia="Amiri" w:cs="Amiri"/>
          <w:color w:val="111111"/>
          <w:sz w:val="28"/>
          <w:sz w:val="28"/>
          <w:szCs w:val="28"/>
          <w:rtl w:val="true"/>
          <w:lang w:bidi="ar-SA"/>
        </w:rPr>
        <w:t>تؤمن بما ذكر، فحينئذٍ يسقط البحث عن أنّ المجاز هل يحتاج إلى رخصة الواضع أم لا؟ وأنّ العلاقات موضوعة بالوضع الشخصي أو النوعي؟ ممّا يعلم فساده؛ لعدم استعمال اللفظ إلاّ فيما وضع له، فتدبّر جيّداً</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563161_2142443653"/>
      <w:bookmarkStart w:id="132" w:name="_Toc46"/>
      <w:bookmarkEnd w:id="131"/>
      <w:r>
        <w:rPr>
          <w:rtl w:val="true"/>
        </w:rPr>
        <w:t>استعمال اللفظ في اللفظ</w:t>
      </w:r>
      <w:bookmarkEnd w:id="132"/>
    </w:p>
    <w:p>
      <w:pPr>
        <w:pStyle w:val="BookText"/>
        <w:rPr/>
      </w:pPr>
      <w:r>
        <w:rPr>
          <w:rFonts w:ascii="Amiri" w:hAnsi="Amiri" w:eastAsia="Amiri" w:cs="Amiri"/>
          <w:color w:val="111111"/>
          <w:sz w:val="28"/>
          <w:sz w:val="28"/>
          <w:szCs w:val="28"/>
          <w:rtl w:val="true"/>
          <w:lang w:bidi="ar-SA"/>
        </w:rPr>
        <w:t>لا شبهة في وقوع إطلاق اللفظ وإرادة شخصه ومثله ونوعه وصنفه، كما أنّه لا شبهة في عدم كونه من قبيل استعماله فيما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كيفية إطلاقه فيها، وأنّه في الجميع على منوال واحد أو لا؟</w:t>
      </w:r>
    </w:p>
    <w:p>
      <w:pPr>
        <w:pStyle w:val="BookText"/>
        <w:rPr/>
      </w:pPr>
      <w:r>
        <w:rPr>
          <w:rFonts w:ascii="Amiri" w:hAnsi="Amiri" w:eastAsia="Amiri" w:cs="Amiri"/>
          <w:color w:val="111111"/>
          <w:sz w:val="28"/>
          <w:sz w:val="28"/>
          <w:szCs w:val="28"/>
          <w:rtl w:val="true"/>
          <w:lang w:bidi="ar-SA"/>
        </w:rPr>
        <w:t>فلا بدّ من البحث عن كلّ واحد حتّى يتّضح الأمر</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4563163_2142443653"/>
      <w:bookmarkStart w:id="134" w:name="_Toc47"/>
      <w:bookmarkEnd w:id="133"/>
      <w:r>
        <w:rPr>
          <w:rtl w:val="true"/>
        </w:rPr>
        <w:t>إطلاق اللفظ وإرادة شخصه</w:t>
      </w:r>
      <w:bookmarkEnd w:id="134"/>
    </w:p>
    <w:p>
      <w:pPr>
        <w:pStyle w:val="BookText"/>
        <w:rPr/>
      </w:pPr>
      <w:r>
        <w:rPr>
          <w:rFonts w:ascii="Amiri" w:hAnsi="Amiri" w:eastAsia="Amiri" w:cs="Amiri"/>
          <w:color w:val="111111"/>
          <w:sz w:val="28"/>
          <w:sz w:val="28"/>
          <w:szCs w:val="28"/>
          <w:rtl w:val="true"/>
          <w:lang w:bidi="ar-SA"/>
        </w:rPr>
        <w:t>أمّا إطلاقه وإرادة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صحّته، لكن لا بمعنى كون اللفظ دالاًّ على نفسه ولا مستعملاً في نفسه؛ لامتناع اتّحاد الدالّ والمدلول، ولا يجدي التعدّد الاعتباري المتأخّر عن الاستعمال في صحّته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أشار</w:t>
      </w:r>
    </w:p>
    <w:p>
      <w:pPr>
        <w:pStyle w:val="BookText"/>
        <w:rPr/>
      </w:pPr>
      <w:r>
        <w:rPr>
          <w:rFonts w:ascii="Amiri" w:hAnsi="Amiri" w:eastAsia="Amiri" w:cs="Amiri"/>
          <w:color w:val="111111"/>
          <w:sz w:val="28"/>
          <w:sz w:val="28"/>
          <w:szCs w:val="28"/>
          <w:rtl w:val="true"/>
          <w:lang w:bidi="ar-SA"/>
        </w:rPr>
        <w:t>المصنّف قدس‌سره في الهامش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بايد تأمّل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لزوم التأمّل في المطلب ابتداءً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المغفول عنه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كونه صادراً مغفول عنه حين الاستعمال، مع أنّه لا بدّ فيه من لحاظ اللفظ المستعمل ولو آلياً، فيلزم كون المغفول عنه غير مغفول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يلزم الجمع بين اللحاظ الآلي والاستقلالي في الشيء الواحد؛ ضرورة أنّ اللفظ في الاستعمال ملحوظ آلياً والمعنى المراد استقلالياً، فلا يمكن أن يكون هذا الإطلاق من قبيل استعمال اللفظ وإرادة المعنى، ولا من قبيل إلقاء الموضوع في ذهن السامع؛ ضرورة أنّ الموضوع المتعلّق للحكم فيما إذا اُريد شخص اللفظ هو الذي صدر من المتكلّم، وهو الموجود الخارجي، ولا يمكن إلقاؤه في ذهن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المتكلّم الذي بصدد الإخبار عن شخص اللفظ الصادر منه، يتلفّظ به حتّى يسمع المخاطب ويتصوّره، فإذا حمل عليه ما يكون من خواصّ هذا اللفظ أو أقام قرينة عليه، يرجع ذهن السامع من الصورة المتصوّرة بالذات إلى اللفظ الصادر من المتكلّم، فاللفظ الصادر منه موجد في نفس السامع ما يصير في الآن المتأخّر حاكياً وكاشفاً عن لفظه، لا كحكاية اللفظ عن المعنى الموضوع له أو غير الموضوع له؛ ضرورة أنّ الصورة الذهنية لم تكن لفظاً ولا موضوعاً، فاللفظ في هذا الإطلاق موجد لكاشفه في 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ويصير منكشفاً في الآن المتأخّر، فلا يكون هذا الانكشاف من قبيل الدلالة الوضعية، ولا من قبيل إلقاء الموضوع في ذهن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للكشف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حتّى يكون اللفظ دالاًّ بواسطة إيجاد كاشفه، ومدلولاً في الآن المتأخّر لانكشافه به؛ فلا مانع منه ولا مشاحّة في الاصطلاح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اُطلق عليه الإلقاء ببعض الاعتبارات فلا مانع منه أيضاً بعد وضوح الحقيقة</w:t>
      </w:r>
      <w:r>
        <w:rPr>
          <w:rFonts w:eastAsia="Amiri" w:cs="Amiri" w:ascii="Amiri" w:hAnsi="Amiri"/>
          <w:color w:val="111111"/>
          <w:sz w:val="28"/>
          <w:szCs w:val="28"/>
          <w:rtl w:val="true"/>
          <w:lang w:bidi="ar-SA"/>
        </w:rPr>
        <w:t xml:space="preserve">. </w:t>
      </w:r>
      <w:bookmarkStart w:id="135" w:name="pg15283_146210"/>
    </w:p>
    <w:p>
      <w:pPr>
        <w:pStyle w:val="Heading3"/>
        <w:numPr>
          <w:ilvl w:val="2"/>
          <w:numId w:val="1"/>
        </w:numPr>
        <w:rPr/>
      </w:pPr>
      <w:bookmarkStart w:id="136" w:name="__RefHeading___Toc4563165_2142443653"/>
      <w:bookmarkStart w:id="137" w:name="_Toc48"/>
      <w:bookmarkEnd w:id="135"/>
      <w:bookmarkEnd w:id="136"/>
      <w:r>
        <w:rPr>
          <w:rtl w:val="true"/>
        </w:rPr>
        <w:t>إطلاق اللفظ وإرادة مثله</w:t>
      </w:r>
      <w:bookmarkEnd w:id="137"/>
    </w:p>
    <w:p>
      <w:pPr>
        <w:pStyle w:val="BookText"/>
        <w:rPr/>
      </w:pPr>
      <w:r>
        <w:rPr>
          <w:rFonts w:ascii="Amiri" w:hAnsi="Amiri" w:eastAsia="Amiri" w:cs="Amiri"/>
          <w:color w:val="111111"/>
          <w:sz w:val="28"/>
          <w:sz w:val="28"/>
          <w:szCs w:val="28"/>
          <w:rtl w:val="true"/>
          <w:lang w:bidi="ar-SA"/>
        </w:rPr>
        <w:t>وأمّا فيما إذا اُريد مثله؛ فإن اُريد منه لفظ آخر في كلامه أو كلام غيره؛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قولي هذا أو مكتوبي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يعقل فيه إلاّ استعمال لفظه في المماثل؛ فإنّ المفروض أنّ الحكم له لا للّفظ الصادر منه، فيكون اللفظ الصادر آلة للحاظ مماثله ووسيلة لتصوّره بالعرض بواسطة الصورة الذهنية الحاصلة بإيجاد اللفظ، كدلالة اللفظ على معناه من هذه الجهة، وإن كان مفترقاً عنها باستعماله في غير ما وضع له، ولا يعقل فيه الإلقاء؛ لأنّ الموضوع الخارجي المحكوم بالحكم لا يمكن إحضاره في النفس بذاته، وما يحضر هو صورته بآلية اللفظ المستعمل، فالانتقال منه إليه بآليته كالانتقال في سائر الاستعمالات، وما أوجد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اللفظ الصادر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موضوع الحكم، كما في إطلاقه وإرادة شخصه، فلا يكون هذا الإطلاق إلاّ استعمالاً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يريد إثبات حكم للصورة الحاصلة في ذهن المخاطب،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في ذهنك الآن بقولي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معلومك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مثله يكون تحقّق الموضوع في ذهنه بالإيجاد، فالاستعمال إيجادي لا لمعنى اللفظ بل لصورته، وبهذا يفترق عن الاستعمالات الإيجادية التي مرّت في باب الحروف، ولو سمّي هذا إلقاء فلا مانع منه بعد وضوح الأمر</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563167_2142443653"/>
      <w:bookmarkStart w:id="139" w:name="_Toc49"/>
      <w:bookmarkEnd w:id="138"/>
      <w:r>
        <w:rPr>
          <w:rtl w:val="true"/>
        </w:rPr>
        <w:t>إطلاق اللفظ وإرادة نوعه</w:t>
      </w:r>
      <w:bookmarkEnd w:id="13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إطلاق اللفظ وإرادة نوعه وصنفه فهو أيضاً من قبيل الاستعمال في المعنى غير الموضوع له، فيكون اللفظ الصادر من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القرينة أو </w:t>
      </w:r>
    </w:p>
    <w:p>
      <w:pPr>
        <w:pStyle w:val="BookText"/>
        <w:rPr/>
      </w:pPr>
      <w:r>
        <w:rPr>
          <w:rFonts w:ascii="Amiri" w:hAnsi="Amiri" w:eastAsia="Amiri" w:cs="Amiri"/>
          <w:color w:val="111111"/>
          <w:sz w:val="28"/>
          <w:sz w:val="28"/>
          <w:szCs w:val="28"/>
          <w:rtl w:val="true"/>
          <w:lang w:bidi="ar-SA"/>
        </w:rPr>
        <w:t xml:space="preserve">المناسبة بين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نوعه وصنفه ودالاًّ عليهما؛ إذ ليس معنى الدلالة والحكاية إلاّ كون الشيء بحيث يفهم منه المعنى، فاللفظ آلة للتوسّل إلى إفهام نفس الطبيعة أو صنف منها بتوسّط إيجاد الصورة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المخاطب من لفظه المتصوّر بتبع صورته إلى طبيعي اللفظ، وليس هذا إلاّ استعمال اللفظ في المعنى، لكن المعنى ليس الموضوع له بل طبيعي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قبيل الإلقاء لا الاستعمال؛ فإنّ السامع لمّا كان حين سماعه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في ذهنه صورة مع الغفلة عن تشخّصاتها الزمانية والمكانية والصدورية وغيرها، فتكون كلّية، فإذا بقيت الصورة على حالها تكون من قبيل إلقاء الكلّي الطبيعى، وإذا قيّدها بدالّ آخر ويحكم على صنفه يكون من إلقاء الصنف،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بعد إلقائه الكلّي في ذهن السامع بواسطة تذكار بعض التشخّصات يتشخّص الكلّي بوجود مثله، فيكون حال إطلاق اللفظ وإرادة المثل حالهما؛ أي يكون من قبيل الإلقاء لا الاستعمال</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الكلّي المذكور إن كان الصورة الحاصلة في ذهن السامع بإيجاد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المعلوم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أنّه جزئي حقيقي، والغفلة عن التشخّصات لا توجب كلّية ما هو متشخّص واقعاً، وإن كان المراد أنّ المتكلّم بواسطة هذه الصورة والغفلة عن خصوصيتها يفهم بنحو نفس الطبيعة </w:t>
      </w:r>
    </w:p>
    <w:p>
      <w:pPr>
        <w:pStyle w:val="BookText"/>
        <w:rPr/>
      </w:pPr>
      <w:r>
        <w:rPr>
          <w:rFonts w:ascii="Amiri" w:hAnsi="Amiri" w:eastAsia="Amiri" w:cs="Amiri"/>
          <w:color w:val="111111"/>
          <w:sz w:val="28"/>
          <w:sz w:val="28"/>
          <w:szCs w:val="28"/>
          <w:rtl w:val="true"/>
          <w:lang w:bidi="ar-SA"/>
        </w:rPr>
        <w:t>بالعرض، فهو حقّ، لكن لا يكون ذلك من قبيل الإلقاء، بل من قبيل الدلالة كسائر الدلالات، فاللفظ الصادر من المتكلّم يكون آلة لإيجاد الصورة في الذهن، ووسيلة لانتقال المخاطب إلى ما هو المراد؛ أي نفس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استعمال اللفظ في نوعه اتحاد الدالّ والمدلول؛ لأنّ اللفظ المستعمل في نوعه إمّا أن يكون طبيعي اللفظ أو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لزوم اتّحادهما واضح، وعلى الثاني يلزم ذلك فيما إذا كان الحكم شاملاً لموضوع القضيّة الملفوظة، مضافاً إلى تباين الشخص مع الطبيعي؛ لأ نّه مركّب منه ومن التشخّص، والمركّب من المباين مباين، فعلى فرض الإمكان لا يصحّ الاستعمال؛ للمباينة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لا يمكن أن يكون طبيعيّه في مقابل الشخص بل هو شخصه، ولا يلزم اتّحاد الدالّ والمدلول؛ لأنّ الدالّ هو الشخص والمدلول هو نفس الطبيعي، لا الأشخاص المنطبق عليها، فلا تكثّر في المدلول بوجه حتّى يلزم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قضيّة المباينة وعدم صحّة الاستعمال لأجلها ففيها غرابة؛ ضرورة أنّ المصحّح للاستعمال هو المناسبة ولو بوجه، وهي حاصلة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استعمال اللفظ في نوعه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استعمالاً حقيقياً، وهو واضح، ولا من قبيل المجاز المتعارف؛ لما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المجاز استعمال اللفظ فيما وضع له وتطبيق المعنى على المصداق الادّعائي، وفي هذا الاستعمال ليس كذلك، فهو استعمال في غير ما وضع له من غير ادّعاء </w:t>
      </w:r>
    </w:p>
    <w:p>
      <w:pPr>
        <w:pStyle w:val="BookText"/>
        <w:rPr/>
      </w:pPr>
      <w:r>
        <w:rPr>
          <w:rFonts w:ascii="Amiri" w:hAnsi="Amiri" w:eastAsia="Amiri" w:cs="Amiri"/>
          <w:color w:val="111111"/>
          <w:sz w:val="28"/>
          <w:sz w:val="28"/>
          <w:szCs w:val="28"/>
          <w:rtl w:val="true"/>
          <w:lang w:bidi="ar-SA"/>
        </w:rPr>
        <w:t>ولا تأوّل، ولا اختلاف في الإرادة الجدّية والاستعمالية، بل المناسبة بين اللفظ ونوعه وصنفه، ومثله توجب إحضار المستعمل فيه في ذهن السامع، ولا يريد المتكلّم غير ذلك، من غير أن يكون بصدد حسن الكلام وبلاغته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بنينا على أنّ المجاز استعمال في غير ما وضع له بمناسبة وعلاقة ولو ذوقية طبعية، لا يكون استعمال اللفظ في نوعه وصنفه ومثله مجازاً؛ لأنّ المناسبة هاهنا هي المشابهة الصورية بينها وبينه، فتكون العلاقة هي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غيرمنظورة للمستعمل؛ بداهة أنّ القائل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يخطر بباله تلك العلاقة</w:t>
      </w:r>
      <w:r>
        <w:rPr>
          <w:rFonts w:eastAsia="Amiri" w:cs="Amiri" w:ascii="Amiri" w:hAnsi="Amiri"/>
          <w:color w:val="111111"/>
          <w:sz w:val="28"/>
          <w:szCs w:val="28"/>
          <w:rtl w:val="true"/>
          <w:lang w:bidi="ar-SA"/>
        </w:rPr>
        <w:t xml:space="preserve">. </w:t>
      </w:r>
      <w:bookmarkStart w:id="140" w:name="pg15283_146214"/>
    </w:p>
    <w:p>
      <w:pPr>
        <w:pStyle w:val="Heading2"/>
        <w:numPr>
          <w:ilvl w:val="1"/>
          <w:numId w:val="1"/>
        </w:numPr>
        <w:rPr/>
      </w:pPr>
      <w:bookmarkStart w:id="141" w:name="__RefHeading___Toc4563169_2142443653"/>
      <w:bookmarkStart w:id="142" w:name="_Toc50"/>
      <w:bookmarkEnd w:id="140"/>
      <w:bookmarkEnd w:id="141"/>
      <w:r>
        <w:rPr>
          <w:rtl w:val="true"/>
        </w:rPr>
        <w:t xml:space="preserve">الأمر السادس </w:t>
      </w:r>
      <w:r>
        <w:rPr>
          <w:rtl w:val="true"/>
        </w:rPr>
        <w:t xml:space="preserve">: </w:t>
      </w:r>
      <w:r>
        <w:rPr>
          <w:rtl w:val="true"/>
        </w:rPr>
        <w:t>في أنّ الألفاظ موضوعة لذات المعاني</w:t>
      </w:r>
      <w:bookmarkEnd w:id="142"/>
    </w:p>
    <w:p>
      <w:pPr>
        <w:pStyle w:val="BookText"/>
        <w:rPr/>
      </w:pPr>
      <w:r>
        <w:rPr>
          <w:rFonts w:ascii="Amiri" w:hAnsi="Amiri" w:eastAsia="Amiri" w:cs="Amiri"/>
          <w:color w:val="111111"/>
          <w:sz w:val="28"/>
          <w:sz w:val="28"/>
          <w:szCs w:val="28"/>
          <w:rtl w:val="true"/>
          <w:lang w:bidi="ar-SA"/>
        </w:rPr>
        <w:t>الحقّ أنّ الألفاظ موضوعة لذوات المعاني لا بما أنّها مرادة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اُريد به تقيّدها بها بالذات أو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اُريد أنّها موضوعة للمرادة بالذات أو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تقيّداً اسمياً؛ لأنّ الإرادة لمّا كانت من شؤون النفس لا يمكن أن تتعلّق بالذات بما هو خارج عن حيطتها، فما تتعلّق به بالذات هو الصورة القائمة بالنفس صدورياً</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أو حلولياً</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على المشربين، وأمّا الخارج فهو المراد بالعرض كما أنّه المعلوم بالعرض، وإن كان الخارج بوجه هو المطلوب والمراد، والصورة فانية فيه وتكون ما بها ينظر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وضعت للمراد بالذات يلزم منه عدم انطباقها على الخارج حتّى مع التجريد، مضافاً إلى ورود ما يرد على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الوضع للمراد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وضعت للمراد بالعرض يلزم منه عدم صحّة الحمل إلاّ مع التجريد، مع صحّته بدونه بالضرورة، مع لزوم كون الوضع عامّاً والموضوع له خاصّاً في جميع الأوضاع، إلاّ أن يقال بتقيّدها بمفهوم الإرادة، وهو مقطوع الفساد، ولم يقل به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Style w:val="FootnoteAnchor"/>
          <w:rtl w:val="true"/>
        </w:rPr>
        <w:footnoteReference w:id="98"/>
      </w:r>
      <w:r>
        <w:rPr>
          <w:rFonts w:ascii="Amiri" w:hAnsi="Amiri" w:eastAsia="Amiri" w:cs="Amiri"/>
          <w:color w:val="111111"/>
          <w:sz w:val="28"/>
          <w:sz w:val="28"/>
          <w:szCs w:val="28"/>
          <w:rtl w:val="true"/>
          <w:lang w:bidi="ar-SA"/>
        </w:rPr>
        <w:t>اُريد وضعها لذات المعنى المراد، لا بما أنّها مرادة وملحوظة فيها الإرادة، بل لذات ما تتعلّق به من غير تقيّد بها، بل للمتضيّق بواسطة تعلّقها به، سواء اُريد أيضاً ذات ما تعلّق بها الإرادة بالذات أو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فلورود بعض الإشكالات المتقدّمة كعدم صحّة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سلم عن الإشكالات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لزوم خصوص الموضوع له؛ لأنّ التخصّص بالعرض لا يوجب جزئية ما هو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التبادر والوجدان، ورفع اليد عنه يحتاج إلى دليل،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اللفظ للمعنى بما أنّه فعل اختياري لا بدّ له من غاية، وهي إظهار مرادات المتكلّمين، فلا محيص إلاّ أن يكون موضوعاً للمعنى المراد؛ لأنّ الغاية علّة فاعلية الفاعل، ولمّا كانت الغاية إظهار المرادات تحرّك الواضع إلى وضعه للمعنى المراد لا مطلقاً؛ لأنّ المعلول يتضيّق بتضيّق علّته من غير تقيّد، ولا يمكن أوسعية المعلول من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لزوم اللغوية إذا وضع لذات المعنى بعد كون الداعي إفادة المراد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الغائية للوضع إفادة المرادات، لكن لا بما أنّها مرادات، بل </w:t>
      </w:r>
    </w:p>
    <w:p>
      <w:pPr>
        <w:pStyle w:val="BookText"/>
        <w:rPr/>
      </w:pPr>
      <w:r>
        <w:rPr>
          <w:rFonts w:ascii="Amiri" w:hAnsi="Amiri" w:eastAsia="Amiri" w:cs="Amiri"/>
          <w:color w:val="111111"/>
          <w:sz w:val="28"/>
          <w:sz w:val="28"/>
          <w:szCs w:val="28"/>
          <w:rtl w:val="true"/>
          <w:lang w:bidi="ar-SA"/>
        </w:rPr>
        <w:t>بما هي نفس الحقائق؛ لأنّ المتكلّم بالألفاظ يريد إفادة نفس المعاني لا بما أنّها مرادة، والواضع وضع اللفظ لذلك، وأمّا كون المعاني مرادة فهو مغفول عنه عند السامع والمتكلّم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كون الغاية إفهام المرادات بما هي كذلك فاسدة، بل الغاية إفهام نفس المعاني، وكونها مرادة إنّما هو حين الاستعمال أو من مقدّماته، ولا ربط له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النظر في الكلام المنسوب إلى العَلَمين</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لأنّ لازم كون الدلالة الوضعية تابعة للإرادة أن تكون الألفاظ موضوعة للمعاني المرادة، ولمّا كان الوضع للمتقيّد بها ظاهر البطلان لا بدّ من صرف كلامهما إلى ما ذكر أخيراً من كون الوضع لذات المراد من غير 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توجيه المحقّق الخراساني رحمه الله علیه  من الصرف إلى الدلالة التصديقية؛ أي دلالتها على كونها مرادة للافظها تتبع إرادتها تبعية مقام الإثبات للثبوت</w:t>
      </w:r>
      <w:r>
        <w:rPr>
          <w:rStyle w:val="FootnoteAnchor"/>
          <w:rtl w:val="true"/>
        </w:rPr>
        <w:footnoteReference w:id="1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يناسب ما نقل</w:t>
      </w:r>
      <w:r>
        <w:rPr>
          <w:rStyle w:val="FootnoteAnchor"/>
          <w:rtl w:val="true"/>
        </w:rPr>
        <w:footnoteReference w:id="10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المحقّق الطوسي قدّس سرّه ؛ فإنّه صريح في الدلالة اللفظية الوضعية، وأنّ الجريان على قانون الوضع يقتضي أن تكون دلالة اللفظ على معناه تابعة لإرادة المتكلّم،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حمل كلامهما على ما ذكر حمل على معنىً مبتذل لا يناسب مقامهما</w:t>
      </w:r>
      <w:r>
        <w:rPr>
          <w:rFonts w:eastAsia="Amiri" w:cs="Amiri" w:ascii="Amiri" w:hAnsi="Amiri"/>
          <w:color w:val="111111"/>
          <w:sz w:val="28"/>
          <w:szCs w:val="28"/>
          <w:rtl w:val="true"/>
          <w:lang w:bidi="ar-SA"/>
        </w:rPr>
        <w:t xml:space="preserve">. </w:t>
      </w:r>
      <w:bookmarkStart w:id="143" w:name="pg15283_146217"/>
    </w:p>
    <w:p>
      <w:pPr>
        <w:pStyle w:val="Heading2"/>
        <w:numPr>
          <w:ilvl w:val="1"/>
          <w:numId w:val="1"/>
        </w:numPr>
        <w:rPr/>
      </w:pPr>
      <w:bookmarkStart w:id="144" w:name="__RefHeading___Toc4563171_2142443653"/>
      <w:bookmarkStart w:id="145" w:name="_Toc51"/>
      <w:bookmarkEnd w:id="143"/>
      <w:bookmarkEnd w:id="144"/>
      <w:r>
        <w:rPr>
          <w:rtl w:val="true"/>
        </w:rPr>
        <w:t xml:space="preserve">الأمر السابع </w:t>
      </w:r>
      <w:r>
        <w:rPr>
          <w:rtl w:val="true"/>
        </w:rPr>
        <w:t xml:space="preserve">: </w:t>
      </w:r>
      <w:r>
        <w:rPr>
          <w:rtl w:val="true"/>
        </w:rPr>
        <w:t>في الهيئات</w:t>
      </w:r>
      <w:bookmarkEnd w:id="145"/>
    </w:p>
    <w:p>
      <w:pPr>
        <w:pStyle w:val="Heading3"/>
        <w:numPr>
          <w:ilvl w:val="2"/>
          <w:numId w:val="1"/>
        </w:numPr>
        <w:rPr/>
      </w:pPr>
      <w:bookmarkStart w:id="146" w:name="__RefHeading___Toc4563173_2142443653"/>
      <w:bookmarkStart w:id="147" w:name="_Toc52"/>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لا إشكال في أنّ اللغات الراقية المتداولة كافلة لكافّة احتياج البشر في الإفادة والاستفادة، وممّا يحتاج إليه احتياجاً مبرماً إفهام المعاني التصديقية وما</w:t>
      </w:r>
    </w:p>
    <w:p>
      <w:pPr>
        <w:pStyle w:val="BookText"/>
        <w:rPr/>
      </w:pPr>
      <w:r>
        <w:rPr>
          <w:rFonts w:ascii="Amiri" w:hAnsi="Amiri" w:eastAsia="Amiri" w:cs="Amiri"/>
          <w:color w:val="111111"/>
          <w:sz w:val="28"/>
          <w:sz w:val="28"/>
          <w:szCs w:val="28"/>
          <w:rtl w:val="true"/>
          <w:lang w:bidi="ar-SA"/>
        </w:rPr>
        <w:t>هو من شؤونها، بل أغراض المتكلّمين تحوم نوعاً حول إفادتها، فلا يمكن إهمال ذلك في اللغات، ولم تكن تلك الدلالة إلاّ بالجعل والمواضعة، وإنّما الكلام في الدالّ عليها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 أنّ هيئات الكلام متكفّلة بذلك</w:t>
      </w:r>
      <w:r>
        <w:rPr>
          <w:rStyle w:val="FootnoteAnchor"/>
          <w:rtl w:val="true"/>
        </w:rPr>
        <w:footnoteReference w:id="103"/>
      </w:r>
      <w:r>
        <w:rPr>
          <w:rFonts w:ascii="Amiri" w:hAnsi="Amiri" w:eastAsia="Amiri" w:cs="Amiri"/>
          <w:color w:val="111111"/>
          <w:sz w:val="28"/>
          <w:sz w:val="28"/>
          <w:szCs w:val="28"/>
          <w:rtl w:val="true"/>
          <w:lang w:bidi="ar-SA"/>
        </w:rPr>
        <w:t>، فهيئة</w:t>
      </w:r>
      <w:r>
        <w:rPr>
          <w:rStyle w:val="FootnoteAnchor"/>
          <w:rtl w:val="true"/>
        </w:rPr>
        <w:footnoteReference w:id="104"/>
      </w:r>
      <w:r>
        <w:rPr>
          <w:rFonts w:ascii="Amiri" w:hAnsi="Amiri" w:eastAsia="Amiri" w:cs="Amiri"/>
          <w:color w:val="111111"/>
          <w:sz w:val="28"/>
          <w:sz w:val="28"/>
          <w:szCs w:val="28"/>
          <w:rtl w:val="true"/>
          <w:lang w:bidi="ar-SA"/>
        </w:rPr>
        <w:t xml:space="preserve">الجملة الحملية تدلّ على الهوهوية التصديقية، وهيئة الجملة الحملية بالتأويل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منّا</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تحقّق الروابط وعلى الأكوان الرابطة، فللهيئات شأن عظيم في الإفادة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وأظنّ أنّ القول المقابل للمشهور هو وضع مجموع الجملة لإفادة المعاني التصديقية بأقسامها وخصوصياتها،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لإفادة الهوهوية التصديقية، كما أنّ مفرداتها وضعت للمعاني التصوّرية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فالاختلاف بين المشهور وغيره في أنّ الدالّ على المعاني التصديقية هل هي الهيئات أو مجموع الجملة، كما يشهد به كلام ابن مالك الآتي؟</w:t>
      </w:r>
    </w:p>
    <w:p>
      <w:pPr>
        <w:pStyle w:val="BookText"/>
        <w:rPr/>
      </w:pPr>
      <w:r>
        <w:rPr>
          <w:rFonts w:ascii="Amiri" w:hAnsi="Amiri" w:eastAsia="Amiri" w:cs="Amiri"/>
          <w:color w:val="111111"/>
          <w:sz w:val="28"/>
          <w:sz w:val="28"/>
          <w:szCs w:val="28"/>
          <w:rtl w:val="true"/>
          <w:lang w:bidi="ar-SA"/>
        </w:rPr>
        <w:t>ولا أظنّ أن يكون مراد القائل بالوضع للمجموع هو ما نسب إليه المتأخّرون من وضع جديد له من غير إفادة شيء</w:t>
      </w:r>
      <w:r>
        <w:rPr>
          <w:rStyle w:val="FootnoteAnchor"/>
          <w:rtl w:val="true"/>
        </w:rPr>
        <w:footnoteReference w:id="1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ممّا هو واضح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هنا احتمال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المجموع موضوعاً لإفادة ما تفيد الهيئة على سبيل الترادف، ولا يرد على ما ذكرنا شيء ممّا ذكروا إلاّ ما نقل عن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المركّبات لو كان لها وضع لما كان لنا أن نتكلّم بكلام لم نسبق إليه؛ إذ المركّب الذي أحدثناه لم يسبق إليه أحد، فكيف وضعه الواضع؟</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إشكال متين؛ لأنّ الالتزام بالوضع لمجموع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ومادّة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للالتزام بوضع كلّ جملة جملة على حدة بالوضع الشخصي؛ لعدم تصوّر الوضع النوعي إلاّ لهيئات الجمل، لا لمجموع المادّة والهيئة،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مشتركان في الهيئة لا المادّة، فلا يمكن الوضع النوعي للمجموع، فلا محيص عن الالتزام بأنّ الجمل التي أحدثها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تكون </w:t>
      </w:r>
      <w:bookmarkStart w:id="148" w:name="pg15283_146219"/>
    </w:p>
    <w:p>
      <w:pPr>
        <w:pStyle w:val="BookText"/>
        <w:rPr/>
      </w:pPr>
      <w:bookmarkEnd w:id="148"/>
      <w:r>
        <w:rPr>
          <w:rFonts w:ascii="Amiri" w:hAnsi="Amiri" w:eastAsia="Amiri" w:cs="Amiri"/>
          <w:color w:val="111111"/>
          <w:sz w:val="28"/>
          <w:sz w:val="28"/>
          <w:szCs w:val="28"/>
          <w:rtl w:val="true"/>
          <w:lang w:bidi="ar-SA"/>
        </w:rPr>
        <w:t xml:space="preserve">موادّها مختلفة عن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موضوعة، وهو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ما عليه المشهور من أنّ الدالّ على المعاني التصديقية هي الهيئات، ولا وضع لمجموع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ينقضي تعجّبي من بعض المدقّقين من المحشّين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ادّعى أنّ كلام ابن مالك ظاهر في أنّ محلّ النزاع هذا الأمر البديهي البطلان،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يخفى على مثل ابن مالك أنّ الوضع نوعي لا شخصي</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أدري أنّه ما فهم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موضع دلالته على أنّ النزاع فيه؟</w:t>
      </w:r>
    </w:p>
    <w:p>
      <w:pPr>
        <w:pStyle w:val="Heading3"/>
        <w:numPr>
          <w:ilvl w:val="2"/>
          <w:numId w:val="1"/>
        </w:numPr>
        <w:rPr/>
      </w:pPr>
      <w:bookmarkStart w:id="149" w:name="__RefHeading___Toc4563175_2142443653"/>
      <w:bookmarkStart w:id="150" w:name="_Toc53"/>
      <w:bookmarkEnd w:id="149"/>
      <w:r>
        <w:rPr>
          <w:rtl w:val="true"/>
        </w:rPr>
        <w:t>تنبيه</w:t>
      </w:r>
      <w:r>
        <w:rPr>
          <w:rtl w:val="true"/>
        </w:rPr>
        <w:t xml:space="preserve">: </w:t>
      </w:r>
      <w:r>
        <w:rPr>
          <w:rtl w:val="true"/>
        </w:rPr>
        <w:t>في الموضوع له في الهيئات</w:t>
      </w:r>
      <w:bookmarkEnd w:id="150"/>
    </w:p>
    <w:p>
      <w:pPr>
        <w:pStyle w:val="BookText"/>
        <w:rPr/>
      </w:pPr>
      <w:r>
        <w:rPr>
          <w:rFonts w:ascii="Amiri" w:hAnsi="Amiri" w:eastAsia="Amiri" w:cs="Amiri"/>
          <w:color w:val="111111"/>
          <w:sz w:val="28"/>
          <w:sz w:val="28"/>
          <w:szCs w:val="28"/>
          <w:rtl w:val="true"/>
          <w:lang w:bidi="ar-SA"/>
        </w:rPr>
        <w:t>الحقّ أنّ هيئات الجمل الخبرية وضعت للهوهوية الواقعية إن كانت حملية،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وللأكوان الرابطة النفس الأمرية إن كانت حملية مؤوّلة،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للنسب الذهنية من حيث كشفها عن الواقع 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ضرورة أنّه لا فرق بينها وبين الألفاظ الموضوعة للمعاني النفس 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وضع جميع الألفاظ حتّى الأعلام الشخصية للصور الذهنية الحاكية كما ترى؛ فإنّ تبادر نفس المعاني من الألفاظ من غير خطور الصور الذهنية الحاصلة للمتكلّم أقوى شاهد على المدّعى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إلى أنّ الغرض من الوضع هو إفهام نفس الحقائق، فلا معنى </w:t>
      </w:r>
    </w:p>
    <w:p>
      <w:pPr>
        <w:pStyle w:val="BookText"/>
        <w:rPr/>
      </w:pPr>
      <w:r>
        <w:rPr>
          <w:rFonts w:ascii="Amiri" w:hAnsi="Amiri" w:eastAsia="Amiri" w:cs="Amiri"/>
          <w:color w:val="111111"/>
          <w:sz w:val="28"/>
          <w:sz w:val="28"/>
          <w:szCs w:val="28"/>
          <w:rtl w:val="true"/>
          <w:lang w:bidi="ar-SA"/>
        </w:rPr>
        <w:t>لجعل الألفاظ إلاّ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إفهامها يحتاج إلى التصوّر، وهذا غير كون الموضوع له هو المتصوّر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تبادر الصور الذهنية الحاكية في الجمل الخبرية</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ممنوعة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ما دعاه إلى الالتزام بذلك هو الإشكال المتراءى وروده على وضعها للنسبة النفس الأمرية من لزوم أن لا يكون لها معنىً في الأخبار الكاذبة؛ لانتفاء النسبة الواقعية فيها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وضعها بإزاء النسبة الذهنية الكاشفة عن الواقع؛ ضرورة أنّ الكواذب لا تحقّق لنسبها حتّى تكشف الصور الذهنية عنها، ولو قيل من حيث صلاحيتها للكشف، فلا بدّ من الالتزام بوضعها للنسبة الذهنية من حيث هي؛ فإنّها صالحة له، وهو مقطوع الفساد، ولا يلتزم به القائل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وضعت للواقعيات، والإشكال مدفوع بأنّ الاستعمال ليس إلاّ طلب عمل اللفظ في المعنى؛ بمعنى جعل اللفظ وسيلة لانتقال ذهن السامع إلى المعنى انتقالاً بالعرض لا بالذات، وفي هذا الانتقال بالعرض لا يلزم أن يكون المعنى محقّقاً في الخارج، كما أنّ الأمر كذلك في الإخبار عن المعدوم المطلق بأ نّه لا يخبر عنه، وعن شريك الباري بأ نّه ممتنع، فالمشرك المعتقد للشريك إذا أخبر عن معتقده يخبر عن الواقع لا الشريك الذهني، ولهذا يكون مخطئاً، والمخبر بأنّ زيداً قائم يخبر عن الواقع ويريد أن يلقي في ذهن </w:t>
      </w:r>
      <w:bookmarkStart w:id="151" w:name="pg15283_146221"/>
    </w:p>
    <w:p>
      <w:pPr>
        <w:pStyle w:val="BookText"/>
        <w:rPr/>
      </w:pPr>
      <w:bookmarkEnd w:id="151"/>
      <w:r>
        <w:rPr>
          <w:rFonts w:ascii="Amiri" w:hAnsi="Amiri" w:eastAsia="Amiri" w:cs="Amiri"/>
          <w:color w:val="111111"/>
          <w:sz w:val="28"/>
          <w:sz w:val="28"/>
          <w:szCs w:val="28"/>
          <w:rtl w:val="true"/>
          <w:lang w:bidi="ar-SA"/>
        </w:rPr>
        <w:t>المخاطب قيامه واقعاً، وهو لا يحصل إلاّ بالاستعمال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اللفظ في المعنى لا يتوقّف على تحقّق المعنى، بل يتوقّف على تصوّره بالعرض، وهو لا يتوقّف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هيئات القضايا موضوعة لنفس الهوهويات أو الأكوان الرابطة النفس الأمرية، وتكون آلة لإحضار معانيها في ذهن السامع بالعرض، وقضيّة مطابقة الإخبار للواقع وعدمها أمر خارج عن حريم الوضع والدلالة، كما أنّ إرادة المتكلّم وانفهام المعنى وفهم السامع كلّها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قلنا بأنّ الموضوع له في الهيئات خاصّ كما هو التحقيق، وأمّا مع اختيار عمومه فالأمر أوضح؛ لأ نّها دائماً مستعملة في المعنى الكلّي، والتطبيق على الجزئيات إنّما هو بدالّ آخر</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4563177_2142443653"/>
      <w:bookmarkStart w:id="153" w:name="_Toc54"/>
      <w:bookmarkEnd w:id="152"/>
      <w:r>
        <w:rPr>
          <w:rtl w:val="true"/>
        </w:rPr>
        <w:t>تتميم</w:t>
      </w:r>
      <w:r>
        <w:rPr>
          <w:rtl w:val="true"/>
        </w:rPr>
        <w:t xml:space="preserve">: </w:t>
      </w:r>
      <w:r>
        <w:rPr>
          <w:rtl w:val="true"/>
        </w:rPr>
        <w:t>في تقسيم اللفظ إلى المفرد والمركّب</w:t>
      </w:r>
      <w:bookmarkEnd w:id="15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إمّا مفرد أو مركّب، والثاني ما دلّ جزء لفظه على جزء معناه، أو ما قصد بجزء لفظه الدلالة كذلك، والأوّل بخلافه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اللفظ بمعنى الرمي، وإطلاقه على ما خرج من الفم معتمداً على أحد المخارج باعتبار رميه منه، لم يكن تقسيم اللفظ إلى المفرد والمركّب صحيحاً؛ لأنّ اللفظ مفرداً كان أو مركّباً لم يكن شيئاً خارجاً من الفم، فإنّ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حروف، وكلّ حرف لفظ وملفوظ، والتركيب </w:t>
      </w:r>
    </w:p>
    <w:p>
      <w:pPr>
        <w:pStyle w:val="BookText"/>
        <w:rPr/>
      </w:pPr>
      <w:r>
        <w:rPr>
          <w:rFonts w:ascii="Amiri" w:hAnsi="Amiri" w:eastAsia="Amiri" w:cs="Amiri"/>
          <w:color w:val="111111"/>
          <w:sz w:val="28"/>
          <w:sz w:val="28"/>
          <w:szCs w:val="28"/>
          <w:rtl w:val="true"/>
          <w:lang w:bidi="ar-SA"/>
        </w:rPr>
        <w:t>منها اعتباري، فلم يكن المجموع لفظاً ولا موجوداً إلاّ في الاعتبار، فما وضع للمعاني ليس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لا جزء له كهمزة الاستفهام وكاف التشبيه لفظ موضوع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اللفظ موضوعاً للكلمة أو منقولاً إليها فتقسيمه إليهما أيضاً ليس بصحيح؛ لأنّ المركّب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بلفظ، بل لفظان موضوعان لمعنيين، والمجموع ليس لفظاً، والأمر سهل</w:t>
      </w:r>
      <w:r>
        <w:rPr>
          <w:rFonts w:eastAsia="Amiri" w:cs="Amiri" w:ascii="Amiri" w:hAnsi="Amiri"/>
          <w:color w:val="111111"/>
          <w:sz w:val="28"/>
          <w:szCs w:val="28"/>
          <w:rtl w:val="true"/>
          <w:lang w:bidi="ar-SA"/>
        </w:rPr>
        <w:t xml:space="preserve">. </w:t>
      </w:r>
      <w:bookmarkStart w:id="154" w:name="pg15283_146223"/>
    </w:p>
    <w:p>
      <w:pPr>
        <w:pStyle w:val="Heading2"/>
        <w:numPr>
          <w:ilvl w:val="1"/>
          <w:numId w:val="1"/>
        </w:numPr>
        <w:rPr/>
      </w:pPr>
      <w:bookmarkStart w:id="155" w:name="__RefHeading___Toc4563179_2142443653"/>
      <w:bookmarkStart w:id="156" w:name="_Toc55"/>
      <w:bookmarkEnd w:id="154"/>
      <w:bookmarkEnd w:id="155"/>
      <w:r>
        <w:rPr>
          <w:rtl w:val="true"/>
        </w:rPr>
        <w:t xml:space="preserve">الأمر الثامن </w:t>
      </w:r>
      <w:r>
        <w:rPr>
          <w:rtl w:val="true"/>
        </w:rPr>
        <w:t xml:space="preserve">: </w:t>
      </w:r>
      <w:r>
        <w:rPr>
          <w:rtl w:val="true"/>
        </w:rPr>
        <w:t>في العلائم التي يمتاز بها المعنى الحقيقي من غيره</w:t>
      </w:r>
      <w:bookmarkEnd w:id="156"/>
    </w:p>
    <w:p>
      <w:pPr>
        <w:pStyle w:val="Heading3"/>
        <w:numPr>
          <w:ilvl w:val="2"/>
          <w:numId w:val="1"/>
        </w:numPr>
        <w:rPr/>
      </w:pPr>
      <w:bookmarkStart w:id="157" w:name="__RefHeading___Toc4563181_2142443653"/>
      <w:bookmarkStart w:id="158" w:name="_Toc56"/>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وليس الكلام مقصوراً على تشخيص المعنى الحقيقي من المجازي في موارد الاستعمال إذا علم مراد المتكلّم وشكّ فيهما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 في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سلف</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في معناه الحقيقي، فالسامع إذا استقرّ ذهنه على المعنى المراد ولم يتجاوز منه إلى غيره، حكم بأ نّه حقيقة، وإن تجاوز إلى غيره حكم بأنّ ذلك الغير مجاز كما قيل</w:t>
      </w:r>
      <w:r>
        <w:rPr>
          <w:rStyle w:val="FootnoteAnchor"/>
          <w:rtl w:val="true"/>
        </w:rPr>
        <w:footnoteReference w:id="1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من تلك العلامات أو غالبها عرفنا المعنى الحقيقي ولو لم يكن استعمال أو لم نكن بصدد تشخيص استعمال اللفظ في المعنى الحقيقي أو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شككنا في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لهذا الجسم السيّال المعهود، يكون التبادر طريقاً لإثباته استعمل أو لا، بل ربّما يكون الاستعمال مردّداً بين الحقيقة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والغلط لا المجاز</w:t>
      </w:r>
      <w:r>
        <w:rPr>
          <w:rFonts w:eastAsia="IRNazanin" w:cs="IRNazanin"/>
          <w:color w:val="111111"/>
          <w:sz w:val="28"/>
          <w:szCs w:val="28"/>
          <w:rtl w:val="true"/>
          <w:lang w:bidi="fa-IR"/>
        </w:rPr>
        <w:t xml:space="preserve">. </w:t>
      </w:r>
      <w:bookmarkStart w:id="159" w:name="pg15283_146224"/>
    </w:p>
    <w:p>
      <w:pPr>
        <w:pStyle w:val="BookText"/>
        <w:rPr/>
      </w:pPr>
      <w:bookmarkEnd w:id="159"/>
      <w:r>
        <w:rPr>
          <w:rFonts w:ascii="Amiri" w:hAnsi="Amiri" w:eastAsia="Amiri" w:cs="Amiri"/>
          <w:color w:val="111111"/>
          <w:sz w:val="28"/>
          <w:sz w:val="28"/>
          <w:szCs w:val="28"/>
          <w:rtl w:val="true"/>
          <w:lang w:bidi="ar-SA"/>
        </w:rPr>
        <w:t>ثمّ إنّ هذه العلائم ليست علائم للوضع؛ لما قدّمنا</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من أنّ الرابطة الحاصلة بين اللفظ والمعنى بكثرة الاستعمال حتّى صار حقيقة فيه ليست وضعاً، فتلك العلائم للربط الخاصّ بينهما أعمّ من كونه حاصلاً بالوضع أو بكثرة الاستعمال</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563183_2142443653"/>
      <w:bookmarkStart w:id="161" w:name="_Toc57"/>
      <w:bookmarkEnd w:id="160"/>
      <w:r>
        <w:rPr>
          <w:rtl w:val="true"/>
        </w:rPr>
        <w:t>التبادر</w:t>
      </w:r>
      <w:bookmarkEnd w:id="161"/>
    </w:p>
    <w:p>
      <w:pPr>
        <w:pStyle w:val="BookText"/>
        <w:rPr/>
      </w:pPr>
      <w:r>
        <w:rPr>
          <w:rFonts w:ascii="Amiri" w:hAnsi="Amiri" w:eastAsia="Amiri" w:cs="Amiri"/>
          <w:color w:val="111111"/>
          <w:sz w:val="28"/>
          <w:sz w:val="28"/>
          <w:szCs w:val="28"/>
          <w:rtl w:val="true"/>
          <w:lang w:bidi="ar-SA"/>
        </w:rPr>
        <w:t xml:space="preserve">ليس المراد منه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لفظه؛ أي سبق المعنى بالنسبة إلى معنىً آخر في الذهن أو سرعة حصوله فيه</w:t>
      </w:r>
      <w:r>
        <w:rPr>
          <w:rStyle w:val="FootnoteAnchor"/>
          <w:rtl w:val="true"/>
        </w:rPr>
        <w:footnoteReference w:id="1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المراد منه هو حصول المعنى من اللفظ في الذهن وظهور اللفظ بنفسه فيه من غير قرينة، وهو من علائم الربط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عليه بوجوه، عمدتها الدور المعروف</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عنه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لاوجه للإشكال بالدور؛ فإنّ العلم</w:t>
      </w:r>
    </w:p>
    <w:p>
      <w:pPr>
        <w:pStyle w:val="BookText"/>
        <w:rPr/>
      </w:pPr>
      <w:r>
        <w:rPr>
          <w:rFonts w:ascii="Amiri" w:hAnsi="Amiri" w:eastAsia="Amiri" w:cs="Amiri"/>
          <w:color w:val="111111"/>
          <w:sz w:val="28"/>
          <w:sz w:val="28"/>
          <w:szCs w:val="28"/>
          <w:rtl w:val="true"/>
          <w:lang w:bidi="ar-SA"/>
        </w:rPr>
        <w:t>المستفاد بالتبادر غير العلم الذي يتوقّف عليه التبادر حتّى لو قلنا بتوقّفه على العلم التفصيلي؛ لاختلاف الموقوف والموقوف عليه بالشخص، وهو يكفي في رفع الدور، ولا شبهة في مغايرة العلم الشخصي الحاصل بالتبادر مع العلم الشخصي الذي يتوقّف عليه التبادر</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لأنّ العلم بالشيء هو الكشف عنه، ولا يعقل الكشف </w:t>
      </w:r>
      <w:bookmarkStart w:id="162" w:name="pg15283_146225"/>
    </w:p>
    <w:p>
      <w:pPr>
        <w:pStyle w:val="BookText"/>
        <w:rPr/>
      </w:pPr>
      <w:bookmarkEnd w:id="162"/>
      <w:r>
        <w:rPr>
          <w:rFonts w:ascii="Amiri" w:hAnsi="Amiri" w:eastAsia="Amiri" w:cs="Amiri"/>
          <w:color w:val="111111"/>
          <w:sz w:val="28"/>
          <w:sz w:val="28"/>
          <w:szCs w:val="28"/>
          <w:rtl w:val="true"/>
          <w:lang w:bidi="ar-SA"/>
        </w:rPr>
        <w:t xml:space="preserve">التفصيلي في حال واحد عن شيء واحد مرّتين، فمع العلم التفصيلي بأنّ اللفظ الكذائي معناه كذا لا يعقل أن يكون التبادر موجباً لحصول مصداق آخر منه في هذا الحال كما هو المفروض، ومع الذهول عن التفصيل يرجع إلى الارتكاز، والظاهر وقوع الخلط بين الصور الحاصلة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المعلوم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الكشف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المعلوم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يتكرّر هو الأوّل، وما يتوقّف عليه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عن الدور 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التصديقي التفصيلي بأنّ هذا اللفظ وضع لهذا المعنى يتوقّف على التبادر، وهو لا يتوقّف على هذا العلم التصديقي المحتاج إلى تصوّر الموضوع والمحمول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4563185_2142443653"/>
      <w:bookmarkStart w:id="164" w:name="_Toc58"/>
      <w:bookmarkEnd w:id="163"/>
      <w:r>
        <w:rPr>
          <w:rtl w:val="true"/>
        </w:rPr>
        <w:t>في طرق إحراز كون التبادر من حاقّ اللفظ</w:t>
      </w:r>
      <w:bookmarkEnd w:id="164"/>
    </w:p>
    <w:p>
      <w:pPr>
        <w:pStyle w:val="BookText"/>
        <w:rPr/>
      </w:pPr>
      <w:r>
        <w:rPr>
          <w:rFonts w:ascii="Amiri" w:hAnsi="Amiri" w:eastAsia="Amiri" w:cs="Amiri"/>
          <w:color w:val="111111"/>
          <w:sz w:val="28"/>
          <w:sz w:val="28"/>
          <w:szCs w:val="28"/>
          <w:rtl w:val="true"/>
          <w:lang w:bidi="ar-SA"/>
        </w:rPr>
        <w:t>ثمّ إنّه إذا علم أنّ التبادر كان من نفس اللفظ من غير قرينة فهو، وإلاّ فهل لإثباته طريق يمكن أن يتّكل عليه؟</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الاطّراد طريق تشخيص نحو الانسباق وإحرازه، فإن كان انسباق المعنى مطّرداً أحرزنا كونه مستنداً إلى الوضع</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منه أنّ الاطّراد يوجب العلم بذلك، فمع ممنوعيته خروج عن محطّ البحث، وإن اُريد أنّه مع عدم العلم منه يكون طريقاً شرعياً أو عقلائياً عليه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الشرعي فواضح، وأمّا العقلائي فهو </w:t>
      </w:r>
      <w:bookmarkStart w:id="165" w:name="pg15283_146226"/>
    </w:p>
    <w:p>
      <w:pPr>
        <w:pStyle w:val="BookText"/>
        <w:rPr/>
      </w:pPr>
      <w:bookmarkEnd w:id="165"/>
      <w:r>
        <w:rPr>
          <w:rFonts w:ascii="Amiri" w:hAnsi="Amiri" w:eastAsia="Amiri" w:cs="Amiri"/>
          <w:color w:val="111111"/>
          <w:sz w:val="28"/>
          <w:sz w:val="28"/>
          <w:szCs w:val="28"/>
          <w:rtl w:val="true"/>
          <w:lang w:bidi="ar-SA"/>
        </w:rPr>
        <w:t>كذلك؛ لعدم بناء العقلاء على إثبات الوضع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فالتبادر مع اطّراده في صورة الشكّ في كونه لقرينة مشهورة عامّة بين المتخاطبين لا يثبت به الربط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أصالة عدم القرينة الراجعة إلى عدم اعتناء العقلاء باحتمالها حجّة عقلائية على المراد بعد العلم بالمعنى الحقيقي، لا على إحرازه مع الشكّ فيه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4563187_2142443653"/>
      <w:bookmarkStart w:id="167" w:name="_Toc59"/>
      <w:bookmarkEnd w:id="166"/>
      <w:r>
        <w:rPr>
          <w:rtl w:val="true"/>
        </w:rPr>
        <w:t>صحّة الحمل</w:t>
      </w:r>
      <w:bookmarkEnd w:id="167"/>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الحمل لا تكون علامة، لا الأوّلي منه ولا الشائع؛ لأنّ الاستشهاد إمّا أن يكون بصحّته عنده أو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التصديق بصحّة الحمل على التصديق بكون اللفظ بما له من المعنى الارتكازي متّحداً مع المعنى المشكوك فيه، ومع هذا لا يبقى شكّ حتّى يرفع بصحّة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التصديق بصحّة الحمل الأوّلي يتوقّف على العلم باتّحاد المعنى مع اللفظ بما له من المعنى الارتكازي مفهوماً، وهذا عين التصديق بوضع اللفظ للمعنى، فلا مجال لتأثير صحّة الحمل في رفع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الكشف عن كونه حملاً أوّلياً إلاّ مع تصريح الغير به، فيرجع إلى تنصيص أهل اللسان، لا صحّة الحمل أو العلم بوحدة المفهومين، فعاد المحذور السابق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الحمل الشائع فلمّا كان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وبالعرض، فمع الترديد </w:t>
      </w:r>
      <w:bookmarkStart w:id="168" w:name="pg15283_146227"/>
    </w:p>
    <w:p>
      <w:pPr>
        <w:pStyle w:val="BookText"/>
        <w:rPr/>
      </w:pPr>
      <w:bookmarkEnd w:id="168"/>
      <w:r>
        <w:rPr>
          <w:rFonts w:ascii="Amiri" w:hAnsi="Amiri" w:eastAsia="Amiri" w:cs="Amiri"/>
          <w:color w:val="111111"/>
          <w:sz w:val="28"/>
          <w:sz w:val="28"/>
          <w:szCs w:val="28"/>
          <w:rtl w:val="true"/>
          <w:lang w:bidi="ar-SA"/>
        </w:rPr>
        <w:t>بينهما لا يمكن الكشف، ومع التميّز عاد المحذور المتقدّم؛ فإنّ العالم بأنّ الحمل بالذات عالم بالوضع للطبيعة المحمولة قبل الحمل</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4563189_2142443653"/>
      <w:bookmarkStart w:id="170" w:name="_Toc60"/>
      <w:bookmarkEnd w:id="169"/>
      <w:r>
        <w:rPr>
          <w:rtl w:val="true"/>
        </w:rPr>
        <w:t>صحّة السلب</w:t>
      </w:r>
      <w:bookmarkEnd w:id="170"/>
    </w:p>
    <w:p>
      <w:pPr>
        <w:pStyle w:val="BookText"/>
        <w:rPr/>
      </w:pPr>
      <w:r>
        <w:rPr>
          <w:rFonts w:ascii="Amiri" w:hAnsi="Amiri" w:eastAsia="Amiri" w:cs="Amiri"/>
          <w:color w:val="111111"/>
          <w:sz w:val="28"/>
          <w:sz w:val="28"/>
          <w:szCs w:val="28"/>
          <w:rtl w:val="true"/>
          <w:lang w:bidi="ar-SA"/>
        </w:rPr>
        <w:t>وممّا ذكرنا يعرف حال صحّة السلب؛ فإنّ العلم بصحّته يتوقّف على العلم باختلافهما؛ ومعه لا شكّ حتّى يرفع، والأمر كذلك في عدم 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صحّة الحمل والسلب الارتكازيين موجبة للعلم التفصيلي كما في التبادر</w:t>
      </w:r>
      <w:r>
        <w:rPr>
          <w:rStyle w:val="FootnoteAnchor"/>
          <w:rtl w:val="true"/>
        </w:rPr>
        <w:footnoteReference w:id="122"/>
      </w:r>
      <w:r>
        <w:rPr>
          <w:rFonts w:ascii="Amiri" w:hAnsi="Amiri" w:eastAsia="Amiri" w:cs="Amiri"/>
          <w:color w:val="111111"/>
          <w:sz w:val="28"/>
          <w:sz w:val="28"/>
          <w:szCs w:val="28"/>
          <w:rtl w:val="true"/>
          <w:lang w:bidi="ar-SA"/>
        </w:rPr>
        <w:t xml:space="preserve">، ليس بشيء؛ لأنّ الملتفت إلى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بصحّة الحمل أو السلب للوضع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غافلاً عن مقصده، ومع توجّهه إليه يفصّل الأمر لديه قبل تصديق صحّة الحمل والسلب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بين الحمل المتداول بين اللغويين، كحمل أحد اللفظين المترادفين بما له من المعنى على الآخر، وبين الحمل المستعمل في الحدود، كحمل الإنسان على الحيوان الناطق،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الاستكشاف لا يمكن في الثاني؛ لامتناع أن يكون المفهوم المركّب المفصّل هو مفهوم لفظ مفرد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المفصّل حاكٍ عن الماهية البسيطة، والشكّ في وضع اللفظ لها لا له، والتفصيل في الحدّ لا المحدود، والشكّ في المحدود لا الحدّ، فلا إشكال من هذه الجهة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في المقام إنّما هي صحّة السلب وعدمها، لا بمعنى </w:t>
      </w:r>
      <w:bookmarkStart w:id="171" w:name="pg15283_146228"/>
    </w:p>
    <w:p>
      <w:pPr>
        <w:pStyle w:val="BookText"/>
        <w:rPr/>
      </w:pPr>
      <w:bookmarkEnd w:id="171"/>
      <w:r>
        <w:rPr>
          <w:rFonts w:ascii="Amiri" w:hAnsi="Amiri" w:eastAsia="Amiri" w:cs="Amiri"/>
          <w:color w:val="111111"/>
          <w:sz w:val="28"/>
          <w:sz w:val="28"/>
          <w:szCs w:val="28"/>
          <w:rtl w:val="true"/>
          <w:lang w:bidi="ar-SA"/>
        </w:rPr>
        <w:t>صحّة سلب اللفظ بما له من المعنى، بل المراد صحّة سلب المعنى عن اللفظ بما هو لفظ وعدمها؛ فإنّ اللفظ لمّا كان فانياً في المعنى وصار وجوداً لفظياً له تنفر الطباع عن سلبه عنه، بل تراه كسلب الشيء عن نفسه، ولا تنفر عن سلبه عن غير معناه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بما فيه من الخلط؛ فإنّ اللفظ بما أنّه لفظ يصحّ سلبه عن معناه،</w:t>
      </w:r>
    </w:p>
    <w:p>
      <w:pPr>
        <w:pStyle w:val="BookText"/>
        <w:rPr/>
      </w:pPr>
      <w:r>
        <w:rPr>
          <w:rFonts w:ascii="Amiri" w:hAnsi="Amiri" w:eastAsia="Amiri" w:cs="Amiri"/>
          <w:color w:val="111111"/>
          <w:sz w:val="28"/>
          <w:sz w:val="28"/>
          <w:szCs w:val="28"/>
          <w:rtl w:val="true"/>
          <w:lang w:bidi="ar-SA"/>
        </w:rPr>
        <w:t>وما لا يصحّ سلبه عنه وينفر الطبع منه هو اللفظ بما هو مرآة المعنى؛ أي بما له من المعنى، فعاد المحذور السابق</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4563191_2142443653"/>
      <w:bookmarkStart w:id="173" w:name="_Toc61"/>
      <w:bookmarkEnd w:id="172"/>
      <w:r>
        <w:rPr>
          <w:rtl w:val="true"/>
        </w:rPr>
        <w:t>الاطّراد وعدمه</w:t>
      </w:r>
      <w:bookmarkEnd w:id="173"/>
    </w:p>
    <w:p>
      <w:pPr>
        <w:pStyle w:val="BookText"/>
        <w:rPr/>
      </w:pPr>
      <w:r>
        <w:rPr>
          <w:rFonts w:ascii="Amiri" w:hAnsi="Amiri" w:eastAsia="Amiri" w:cs="Amiri"/>
          <w:color w:val="111111"/>
          <w:sz w:val="28"/>
          <w:sz w:val="28"/>
          <w:szCs w:val="28"/>
          <w:rtl w:val="true"/>
          <w:lang w:bidi="ar-SA"/>
        </w:rPr>
        <w:t>وفي تقريرهما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اطّرد إطلاق لفظ على أفراد كلّي يكشف ذلك عن علاقة الوضع بينه وبين الكلّي؛ لعدم الاطّراد في علائق المجاز، كما أنّ عدمه يكشف عن عدمها؛ إذ معها يطّرد، وإلاّ يلزم تخلّف المعلول عن علّته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المتقدّم في صحّة السلب والحمل وارد عليه؛ لأنّ المراد باطّراد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الاستعمال في الأفراد بخصوصياتها، فهو مع العلاقة مجاز، ومع عدمها غير صحيح</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منه صحّة تطبيق المعنى المستفاد من اللفظ ارتكازاً على الأفراد فيرجع إلى صحّة الحمل وما بحكمه، فلا بدّ من تقدّم العلم بأنّ اللفظ </w:t>
      </w:r>
    </w:p>
    <w:p>
      <w:pPr>
        <w:pStyle w:val="BookText"/>
        <w:rPr/>
      </w:pPr>
      <w:r>
        <w:rPr>
          <w:rFonts w:ascii="Amiri" w:hAnsi="Amiri" w:eastAsia="Amiri" w:cs="Amiri"/>
          <w:color w:val="111111"/>
          <w:sz w:val="28"/>
          <w:sz w:val="28"/>
          <w:szCs w:val="28"/>
          <w:rtl w:val="true"/>
          <w:lang w:bidi="ar-SA"/>
        </w:rPr>
        <w:t>بما له من المعنى قابل للانطباق على الأفراد، وهو لا يحصل إلاّ بالتبادر، وكذا في عدم 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المجاز من مصحّح الادّعاء، ومن حسنه بعد استعمال اللفظ فيما وضع له، كما تقدّم في المجاز</w:t>
      </w:r>
      <w:r>
        <w:rPr>
          <w:rStyle w:val="FootnoteAnchor"/>
          <w:rtl w:val="true"/>
        </w:rPr>
        <w:footnoteReference w:id="126"/>
      </w:r>
      <w:r>
        <w:rPr>
          <w:rFonts w:ascii="Amiri" w:hAnsi="Amiri" w:eastAsia="Amiri" w:cs="Amiri"/>
          <w:color w:val="111111"/>
          <w:sz w:val="28"/>
          <w:sz w:val="28"/>
          <w:szCs w:val="28"/>
          <w:rtl w:val="true"/>
          <w:lang w:bidi="ar-SA"/>
        </w:rPr>
        <w:t>، وحسن الادّعاء ومصحّحه لا يطّردان حتّى في صنف العلائق، وأمّا الحقيقة فتطّرد؛ لتوقّفها على مجرّد الوضع، فالأوّل علامة المجاز، والثاني علامة الحقيقة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بحسن الادّعاء ومصحّحه، والعلم بصحّة الاستعمال مطّرداً، متوقّفان على فهم المعنى الموضوع له وغيره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غير التبادر علامة للوضع، وغيرها يرجع إليه أو مسبوق به، كما يظهر بالتأمّل</w:t>
      </w:r>
      <w:r>
        <w:rPr>
          <w:rFonts w:eastAsia="Amiri" w:cs="Amiri" w:ascii="Amiri" w:hAnsi="Amiri"/>
          <w:color w:val="111111"/>
          <w:sz w:val="28"/>
          <w:szCs w:val="28"/>
          <w:rtl w:val="true"/>
          <w:lang w:bidi="ar-SA"/>
        </w:rPr>
        <w:t xml:space="preserve">. </w:t>
      </w:r>
      <w:bookmarkStart w:id="174" w:name="pg15283_146230"/>
    </w:p>
    <w:p>
      <w:pPr>
        <w:pStyle w:val="Heading2"/>
        <w:numPr>
          <w:ilvl w:val="1"/>
          <w:numId w:val="1"/>
        </w:numPr>
        <w:rPr/>
      </w:pPr>
      <w:bookmarkStart w:id="175" w:name="__RefHeading___Toc4563193_2142443653"/>
      <w:bookmarkStart w:id="176" w:name="_Toc62"/>
      <w:bookmarkEnd w:id="174"/>
      <w:bookmarkEnd w:id="175"/>
      <w:r>
        <w:rPr>
          <w:rtl w:val="true"/>
        </w:rPr>
        <w:t xml:space="preserve">الأمر التاسع </w:t>
      </w:r>
      <w:r>
        <w:rPr>
          <w:rtl w:val="true"/>
        </w:rPr>
        <w:t xml:space="preserve">: </w:t>
      </w:r>
      <w:r>
        <w:rPr>
          <w:rtl w:val="true"/>
        </w:rPr>
        <w:t>في تعارض الأحوال</w:t>
      </w:r>
      <w:bookmarkEnd w:id="176"/>
    </w:p>
    <w:p>
      <w:pPr>
        <w:pStyle w:val="Heading3"/>
        <w:numPr>
          <w:ilvl w:val="2"/>
          <w:numId w:val="1"/>
        </w:numPr>
        <w:rPr/>
      </w:pPr>
      <w:bookmarkStart w:id="177" w:name="__RefHeading___Toc4563195_2142443653"/>
      <w:bookmarkStart w:id="178" w:name="_Toc63"/>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قد ذكر في باب تعارض الأحوال</w:t>
      </w:r>
      <w:r>
        <w:rPr>
          <w:rStyle w:val="FootnoteAnchor"/>
          <w:rtl w:val="true"/>
        </w:rPr>
        <w:footnoteReference w:id="128"/>
      </w:r>
      <w:r>
        <w:rPr>
          <w:rFonts w:ascii="Amiri" w:hAnsi="Amiri" w:eastAsia="Amiri" w:cs="Amiri"/>
          <w:color w:val="111111"/>
          <w:sz w:val="28"/>
          <w:sz w:val="28"/>
          <w:szCs w:val="28"/>
          <w:rtl w:val="true"/>
          <w:lang w:bidi="ar-SA"/>
        </w:rPr>
        <w:t>مرجّحات ظنّية لا دليل على اعتبارها، والمتّبع لدى العقلاء هو الظهور، فإن حصل للّفظ فهو، وإلاّ فلا يتّبع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يقع الكلام في أنّ ما لدى العقلاء هو أصالة الظهور، أو أصالة عدم القرينة، أو 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بنينا على الاُولى لاتّبعنا الظهور ولو كان في الكلام ما يحتمل القرينية، لكن لا يكون بحيث يصادم ظهور ذي القرينة بخلاف ما لو صادم، ولو بنينا على أصالة الحقيقة تعبّداً لحمل على الحقيقة معه أيضاً، ولو بنينا على أصالة عدم القرينة لم يكن حجّة؛ لعدم جريانها لدفع احتمال قرينية الموجود، والتفصيل في محلّه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79" w:name="pg15283_146231"/>
    </w:p>
    <w:p>
      <w:pPr>
        <w:pStyle w:val="Heading3"/>
        <w:numPr>
          <w:ilvl w:val="2"/>
          <w:numId w:val="1"/>
        </w:numPr>
        <w:rPr/>
      </w:pPr>
      <w:bookmarkStart w:id="180" w:name="__RefHeading___Toc4563197_2142443653"/>
      <w:bookmarkStart w:id="181" w:name="_Toc64"/>
      <w:bookmarkEnd w:id="179"/>
      <w:bookmarkEnd w:id="180"/>
      <w:r>
        <w:rPr>
          <w:rtl w:val="true"/>
        </w:rPr>
        <w:t>الأصل في صورة دوران الأمر بين النقل وغيره</w:t>
      </w:r>
      <w:bookmarkEnd w:id="181"/>
    </w:p>
    <w:p>
      <w:pPr>
        <w:pStyle w:val="BookText"/>
        <w:rPr/>
      </w:pPr>
      <w:r>
        <w:rPr>
          <w:rFonts w:ascii="Amiri" w:hAnsi="Amiri" w:eastAsia="Amiri" w:cs="Amiri"/>
          <w:color w:val="111111"/>
          <w:sz w:val="28"/>
          <w:sz w:val="28"/>
          <w:szCs w:val="28"/>
          <w:rtl w:val="true"/>
          <w:lang w:bidi="ar-SA"/>
        </w:rPr>
        <w:t xml:space="preserve">ثمّ إنّه قد ذكر في دوران الأمر بين النقل وغيره أنّ المعوّل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عدمه، وهي أصل عقلائي حجّة مع مثبتاته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بناء العقلاء هو عدم الاعتناء بالشكّ في أصل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المعوّل عليه عندهم هو الاستصحاب العقلائي، أو عدم رفع اليد عن الظهور الثابت بمجرّد الاحتمال؟</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أوجههما الثاني؛ لعدم التفات العقلاء إلى جرّ العدم، مع أنّ الاستصحاب العقلائي مطلقاً ممّا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الشيء بحيث تطمئنّ النفس ببقائه، ويكون الاحتمال المخالف لضعفه غير معتدّ به، وهو غير الاستصحاب، ولو اُريد به ذلك فلا مشاحّة فيه</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4563199_2142443653"/>
      <w:bookmarkStart w:id="183" w:name="_Toc65"/>
      <w:bookmarkEnd w:id="182"/>
      <w:r>
        <w:rPr>
          <w:rtl w:val="true"/>
        </w:rPr>
        <w:t>الأصل في صورة الشكّ في تقدّم النقل على الاستعمال وتأخّره عنه</w:t>
      </w:r>
      <w:bookmarkEnd w:id="183"/>
    </w:p>
    <w:p>
      <w:pPr>
        <w:pStyle w:val="BookText"/>
        <w:rPr/>
      </w:pPr>
      <w:r>
        <w:rPr>
          <w:rFonts w:ascii="Amiri" w:hAnsi="Amiri" w:eastAsia="Amiri" w:cs="Amiri"/>
          <w:color w:val="111111"/>
          <w:sz w:val="28"/>
          <w:sz w:val="28"/>
          <w:szCs w:val="28"/>
          <w:rtl w:val="true"/>
          <w:lang w:bidi="ar-SA"/>
        </w:rPr>
        <w:t>هذا، وأمّا مع العلم بالنقل والشكّ في تقدّمه على الاستعمال وتأخّره عنه، فالظاهر عدم بناء العقلاء على التعويل على أصالة عدم النقل ولو مع العلم بتأريخ الاستعمال، ولا أقلّ من عدم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الوضع السابق عندهم حجّة، فلا يرفعون اليد عنها إلاّ بعد العلم بالوضع الثاني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بما هو ليس بحجّة بل الظهور حجّة، ومع العلم بالوضع </w:t>
      </w:r>
    </w:p>
    <w:p>
      <w:pPr>
        <w:pStyle w:val="BookText"/>
        <w:rPr/>
      </w:pPr>
      <w:r>
        <w:rPr>
          <w:rFonts w:ascii="Amiri" w:hAnsi="Amiri" w:eastAsia="Amiri" w:cs="Amiri"/>
          <w:color w:val="111111"/>
          <w:sz w:val="28"/>
          <w:sz w:val="28"/>
          <w:szCs w:val="28"/>
          <w:rtl w:val="true"/>
          <w:lang w:bidi="ar-SA"/>
        </w:rPr>
        <w:t>الثاني والشكّ في التقدّم والتأخّر لا ينعقد للكلام ظهور، والأصل المذكور لا يوجب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لازم ما ذكر عدم رفع اليد عن الوضع الأوّل إلاّ مع العلم بتأخّر الاستعمال عن الوضع الثاني، لا مع العلم بالوضع، وإلاّ فهو حاصل، فحينئذٍ لا معنى للفرق بين أقسام مجهول التأريخ؛ لعدم العلم بنقض الوضع الثاني للوضع الأوّل حال 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ذكرنا يظهر النظر في كلام بعض أجلّة العصر رحمه الله علیه  حيث تشبّث بأصالة عدم النقل في ظرف الاستعمال مع العلم بتأريخه لإحراز استعمال اللفظ في المعنى الأوّل؛ لحجّية مثبتاتها، وحكم بلزوم التوقّف فيما علم تأريخ النقل وجهل تأريخ الاستعمال؛ فإنّه ليس للعقلاء بناء عملي على عدم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مجهولي التأريخ؛ لعدم جريان الأصلين؛ لأنّ المانع في جميع صور مجهولي التأريخ هو عدم إمكان إحراز موضوع الأثر بالأصل؛ لأنّ أصل العدم مطلقاً مفاده جرّ العدم في أجزاء الزمان، لا إثباته بالإضافة إلى أمر آخر، وعليه لا يمكن إثبات عدم الوضع في حال الاستعمال بالأصل وإن كان عقلائياً؛ لأنّ نفس القيد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مشكوك فيه، فلا يمكن إحراز موضوع الأثر بالأصل وإن أمكن إحراز التقيّد والمقارنة به، وإنّما بنينا على صحّة الأصل مع كون الاستعمال معلوم التأريخ؛ إذ بالأصل والوجدان يتحقّق موضوع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مفاد الأصل جرّ العدم بالإضافة إلى أمر آخر لأمكن إحراز الموضوع في المقام، لكنّه خلاف التحقيق</w:t>
      </w:r>
      <w:r>
        <w:rPr>
          <w:rStyle w:val="FootnoteAnchor"/>
          <w:rtl w:val="true"/>
        </w:rPr>
        <w:footnoteReference w:id="131"/>
      </w:r>
      <w:r>
        <w:rPr>
          <w:rFonts w:ascii="IRNazanin" w:hAnsi="IRNazanin" w:eastAsia="IRNazanin"/>
          <w:color w:val="111111"/>
          <w:sz w:val="28"/>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وجوه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عدم النقل إن كان الاستصحاب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فأركانه موجودة في جميع الصور، فمع الشكّ في تأخّر الاستعمال مع العلم بتأريخ الوضع يستصحب عدم الاستعمال إلى حال الوضع، وبما أنّه أصل عقلائي أمارة على الواقع يثبت به تأخّر الاستعمال عن الوضع، ويحرز كون الاستعمال في المنقول إليه مع العلم بهجر الوضع الأوّل في حال الوضع الثاني؛ للّزوم العقلي بعد الدوران بينهما، وكذا الحال في مجهولي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بناء عملي على عدم الاستعمال، كدعوى عدم إمكان إحراز موضوع الأثر، كما ترى بعد تمامية أركان الاستصحاب وكونه أمارة أو مثلها في إثبات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النقل لندرته يجري فيه الأصل دون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البطلان؛ لأنّ النادر أصل النقل لو سلّم، والكلام في تقدّمه وتأخّره بعد العلم بتحقّقه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أصالة العدم في عمود الزمان؛ إن لم يثبت نفس الاستعمال لا يثبت استعمال اللفظ في المعنى الأوّل أيضاً؛ فإنّه أمر حادث بمنزلة نفس القيد، وما يكون محرزاً بالوجدان أصل الاستعمال، لا الاستعمال في المعنى الأوّل، فإن يثبت به ذاك يثبت ذلك أيضاً، كما هو الحقّ على فرض جريانها؛ لأ نّه من اللوازم العقلية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أصل الاستعمال وجداني في كلتا الصورتين، والمستعمل فيه </w:t>
      </w:r>
    </w:p>
    <w:p>
      <w:pPr>
        <w:pStyle w:val="BookText"/>
        <w:rPr/>
      </w:pPr>
      <w:r>
        <w:rPr>
          <w:rFonts w:ascii="Amiri" w:hAnsi="Amiri" w:eastAsia="Amiri" w:cs="Amiri"/>
          <w:color w:val="111111"/>
          <w:sz w:val="28"/>
          <w:sz w:val="28"/>
          <w:szCs w:val="28"/>
          <w:rtl w:val="true"/>
          <w:lang w:bidi="ar-SA"/>
        </w:rPr>
        <w:t>مشكوك فيه في كلتيهما، فاستصحاب عدم الوضع إلى زمان الاستعمال جارٍ في 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العدم هو جرّ العدم فقط لا إلى كذا، فهو مع بطلانه لازمه عدم الإنتاج في الصورة الاُولى أيضاً؛ لأنّ جرّ العدم مطلقاً إذا لم يكن إلى زمان الاستعمال الوجداني لا ينتج شيئاً، وإذا جرّ إلى الزمان المعلوم يمكن جرّه إلى الزمان المعيّن واقعاً المجهول عندنا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إحراز الأصل والوجدان موضوعَ الأثر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لأنّ عدم النقل ونفس الاستعمال ليسا في شريعة موضوعاً لأثر، وما هو الموضوع هو ما يثبت بالاستعمال؛ أي المعنى المراد، ولو سلّم ذلك فلا تفترق الصورتان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فتدبّر</w:t>
      </w:r>
      <w:r>
        <w:rPr>
          <w:rFonts w:eastAsia="Amiri" w:cs="Amiri" w:ascii="Amiri" w:hAnsi="Amiri"/>
          <w:color w:val="111111"/>
          <w:sz w:val="28"/>
          <w:szCs w:val="28"/>
          <w:rtl w:val="true"/>
          <w:lang w:bidi="ar-SA"/>
        </w:rPr>
        <w:t xml:space="preserve">. </w:t>
      </w:r>
      <w:bookmarkStart w:id="184" w:name="pg15283_146235"/>
    </w:p>
    <w:p>
      <w:pPr>
        <w:pStyle w:val="Heading2"/>
        <w:numPr>
          <w:ilvl w:val="1"/>
          <w:numId w:val="1"/>
        </w:numPr>
        <w:rPr/>
      </w:pPr>
      <w:bookmarkStart w:id="185" w:name="__RefHeading___Toc4563201_2142443653"/>
      <w:bookmarkStart w:id="186" w:name="_Toc66"/>
      <w:bookmarkEnd w:id="184"/>
      <w:bookmarkEnd w:id="185"/>
      <w:r>
        <w:rPr>
          <w:rtl w:val="true"/>
        </w:rPr>
        <w:t xml:space="preserve">الأمر العاشر </w:t>
      </w:r>
      <w:r>
        <w:rPr>
          <w:rtl w:val="true"/>
        </w:rPr>
        <w:t xml:space="preserve">: </w:t>
      </w:r>
      <w:r>
        <w:rPr>
          <w:rtl w:val="true"/>
        </w:rPr>
        <w:t>في الحقيقة الشرعية</w:t>
      </w:r>
      <w:bookmarkEnd w:id="186"/>
    </w:p>
    <w:p>
      <w:pPr>
        <w:pStyle w:val="BookText"/>
        <w:rPr/>
      </w:pPr>
      <w:r>
        <w:rPr>
          <w:rFonts w:ascii="Amiri" w:hAnsi="Amiri" w:eastAsia="Amiri" w:cs="Amiri"/>
          <w:color w:val="111111"/>
          <w:sz w:val="28"/>
          <w:sz w:val="28"/>
          <w:szCs w:val="28"/>
          <w:rtl w:val="true"/>
          <w:lang w:bidi="ar-SA"/>
        </w:rPr>
        <w:t>اختلفوا في ثبوت الحقيقة الشرعية</w:t>
      </w:r>
      <w:r>
        <w:rPr>
          <w:rStyle w:val="FootnoteAnchor"/>
          <w:rtl w:val="true"/>
        </w:rPr>
        <w:footnoteReference w:id="132"/>
      </w:r>
      <w:r>
        <w:rPr>
          <w:rFonts w:ascii="Amiri" w:hAnsi="Amiri" w:eastAsia="Amiri" w:cs="Amiri"/>
          <w:color w:val="111111"/>
          <w:sz w:val="28"/>
          <w:sz w:val="28"/>
          <w:szCs w:val="28"/>
          <w:rtl w:val="true"/>
          <w:lang w:bidi="ar-SA"/>
        </w:rPr>
        <w:t>، والحقّ أنّ المراجع للكتاب والسنّة، يطمئنّ بأنّ هذه الألفاظ من لدن أوّل البعثة استعملت في تلك المعاني من غير احتفافها بالقرينة، ودعوى القرائن الحالية</w:t>
      </w:r>
      <w:r>
        <w:rPr>
          <w:rStyle w:val="FootnoteAnchor"/>
          <w:rtl w:val="true"/>
        </w:rPr>
        <w:footnoteReference w:id="133"/>
      </w:r>
      <w:r>
        <w:rPr>
          <w:rFonts w:ascii="Amiri" w:hAnsi="Amiri" w:eastAsia="Amiri" w:cs="Amiri"/>
          <w:color w:val="111111"/>
          <w:sz w:val="28"/>
          <w:sz w:val="28"/>
          <w:szCs w:val="28"/>
          <w:rtl w:val="true"/>
          <w:lang w:bidi="ar-SA"/>
        </w:rPr>
        <w:t>كما ترى، هذا هو القرآن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المجيد، ترى قوله في سورة المزّمّل المكّية النازلة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المحكيّ</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البعثة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الصَّلَوةَ وَآتُوا الزَّكَوةَ وَأَقْرِضُوا الله قَرْضاً حَسَناً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وقوله في المدّثّر المكّية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وقوله في القيامة المكّية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وفي الأعلى المكّية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اسْمَ </w:t>
      </w:r>
    </w:p>
    <w:p>
      <w:pPr>
        <w:pStyle w:val="BookText"/>
        <w:rPr/>
      </w:pPr>
      <w:r>
        <w:rPr>
          <w:rFonts w:ascii="Amiri" w:hAnsi="Amiri" w:eastAsia="Amiri" w:cs="Amiri"/>
          <w:color w:val="111111"/>
          <w:sz w:val="28"/>
          <w:sz w:val="28"/>
          <w:szCs w:val="28"/>
          <w:rtl w:val="true"/>
          <w:lang w:bidi="ar-SA"/>
        </w:rPr>
        <w:t>رَبِّهِ فَصَلَّى</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وفي العلق المكّية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الَّذِى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صَلَّى</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المكّيات، فضلاً عن المدنيات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إشكال في أنّ نوع ألفاظ العبادات كانت مستعملة في عصر النبي صلی الله علیه و آله وسلم  في المعاني المعهودة، وكان المخاطبون يفهمونها منها من غير قرينة، وأمّا في لسان التابعين ومن بعدهم فالأمر أوضح من أن يذكر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الوضع التعييني بمعنى التصريح بالوضع، فهو أيضاً واضح البطلان، فمن يرى طريقة المسلمين وحرصهم على حفظ سيرة النبي صلی الله علیه و آله وسلم  وجزئيات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كيفية نومه ومشيه وقيامه وقعوده وأكله وشربه وشمائله ممّا لا ربط له بالتشريع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ليقطع بأ نّه لو صرّح بوضع لفظة واحدة لنقل، فضلاً عن وضع جميع الألفاظ أو نوعها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الوضع بالاستعمال فليس بذلك البعد بعد إمكانه بل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الاستعمال إفناء اللفظ في المعنى، ومعه لا يمكن الوضع به؛ للزوم الجمع بين اللحاظ الآلي والاستقلالي</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كذلك مطلقاً ممنوع، فإمكان لحاظ اللفظ في حال الاستعمال وجداني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كثيراً ما يكون اللافظ غير ملتفت إلى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تسليم كون الاستعمال كذلك فالظاهر امتناع الوضع 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كناية عن الوضع وجعل الملزوم بجعل لازمه من غير توجّه </w:t>
      </w:r>
    </w:p>
    <w:p>
      <w:pPr>
        <w:pStyle w:val="BookText"/>
        <w:rPr/>
      </w:pPr>
      <w:r>
        <w:rPr>
          <w:rFonts w:ascii="Amiri" w:hAnsi="Amiri" w:eastAsia="Amiri" w:cs="Amiri"/>
          <w:color w:val="111111"/>
          <w:sz w:val="28"/>
          <w:sz w:val="28"/>
          <w:szCs w:val="28"/>
          <w:rtl w:val="true"/>
          <w:lang w:bidi="ar-SA"/>
        </w:rPr>
        <w:t>إلى الجعل حين الاستعمال وإن التفت إليه سابقاً أو بنظرٍ ثانوي، وهذا المقدار كافٍ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مشكل مخالف للاستعمال الكنائي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المستعمل شخص اللفظ والموضوع طبيعيّه، فلا يجتمع اللحاظان في شيءٍ واحد، فجعل الاستعمال كناية عن وضع طبيعي اللفظ للمعنى، وهو كافٍ في الوضع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العقود والإيقاعات نوعاً أو جميعاً،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إثبات أصل الوضع ولو بهذا النحو، موقوف على إثبات كون العبادات أو هي مع المعاملات من مخترعات شرعنا، ولم تكن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المتشرّعة في تلك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ألفاظها مستعملةً في تلك الماهيات ولو مع اختلاف في الخصوصيات، وأنّى لنا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إجمالاً باختراع بعض العبادات في هذه الشريعة، لم يثمر فيما نحن بصدده، وأمّا المعاملات فالعلم بالاختراع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إجمالاً غير حاصل حتّى في مثل الخلع والمباراة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كون المتعة مخترعة، لكنّها أيضاً نحو من النكاح، وليست ماهية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لهذا البحث ثمرة واضحة، وما ذكر من الثمرة</w:t>
      </w:r>
      <w:r>
        <w:rPr>
          <w:rStyle w:val="FootnoteAnchor"/>
          <w:rtl w:val="true"/>
        </w:rPr>
        <w:footnoteReference w:id="141"/>
      </w:r>
      <w:r>
        <w:rPr>
          <w:rFonts w:ascii="Amiri" w:hAnsi="Amiri" w:eastAsia="Amiri" w:cs="Amiri"/>
          <w:color w:val="111111"/>
          <w:sz w:val="28"/>
          <w:sz w:val="28"/>
          <w:szCs w:val="28"/>
          <w:rtl w:val="true"/>
          <w:lang w:bidi="ar-SA"/>
        </w:rPr>
        <w:t>فرضية،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فالاستعمالات الواردة في مدارك فقهنا إنّما هي في هذه المعاني التي عندنا الآن، كما يقطع به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الاستدلالات التي تشبّث بها القوم في إثبات المرام فمخدوشة لا تفيد شيئاً</w:t>
      </w:r>
      <w:r>
        <w:rPr>
          <w:rFonts w:eastAsia="Amiri" w:cs="Amiri" w:ascii="Amiri" w:hAnsi="Amiri"/>
          <w:color w:val="111111"/>
          <w:sz w:val="28"/>
          <w:szCs w:val="28"/>
          <w:rtl w:val="true"/>
          <w:lang w:bidi="ar-SA"/>
        </w:rPr>
        <w:t xml:space="preserve">. </w:t>
      </w:r>
      <w:bookmarkStart w:id="187" w:name="pg15283_146238"/>
    </w:p>
    <w:p>
      <w:pPr>
        <w:pStyle w:val="Heading2"/>
        <w:numPr>
          <w:ilvl w:val="1"/>
          <w:numId w:val="1"/>
        </w:numPr>
        <w:rPr/>
      </w:pPr>
      <w:bookmarkStart w:id="188" w:name="__RefHeading___Toc4563203_2142443653"/>
      <w:bookmarkStart w:id="189" w:name="_Toc67"/>
      <w:bookmarkEnd w:id="187"/>
      <w:bookmarkEnd w:id="188"/>
      <w:r>
        <w:rPr>
          <w:rtl w:val="true"/>
        </w:rPr>
        <w:t xml:space="preserve">الأمر الحادي عشر </w:t>
      </w:r>
      <w:r>
        <w:rPr>
          <w:rtl w:val="true"/>
        </w:rPr>
        <w:t xml:space="preserve">: </w:t>
      </w:r>
      <w:r>
        <w:rPr>
          <w:rtl w:val="true"/>
        </w:rPr>
        <w:t>في المبحث المعروف بالصحيح والأعمّ</w:t>
      </w:r>
      <w:bookmarkEnd w:id="189"/>
    </w:p>
    <w:p>
      <w:pPr>
        <w:pStyle w:val="Heading3"/>
        <w:numPr>
          <w:ilvl w:val="2"/>
          <w:numId w:val="1"/>
        </w:numPr>
        <w:rPr/>
      </w:pPr>
      <w:bookmarkStart w:id="190" w:name="__RefHeading___Toc4563205_2142443653"/>
      <w:bookmarkStart w:id="191" w:name="_Toc68"/>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ونذكر قبل المقصد مقدّمات</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4563207_2142443653"/>
      <w:bookmarkStart w:id="193" w:name="_Toc69"/>
      <w:bookmarkEnd w:id="192"/>
      <w:r>
        <w:rPr>
          <w:rtl w:val="true"/>
        </w:rPr>
        <w:t xml:space="preserve">المقدّمة الاُولى </w:t>
      </w:r>
      <w:r>
        <w:rPr>
          <w:rtl w:val="true"/>
        </w:rPr>
        <w:t xml:space="preserve">: </w:t>
      </w:r>
      <w:r>
        <w:rPr>
          <w:rtl w:val="true"/>
        </w:rPr>
        <w:t>في اختلاف كلماتهم في عقد البحث</w:t>
      </w:r>
      <w:bookmarkEnd w:id="193"/>
    </w:p>
    <w:p>
      <w:pPr>
        <w:pStyle w:val="BookText"/>
        <w:rPr/>
      </w:pPr>
      <w:r>
        <w:rPr>
          <w:rFonts w:ascii="Amiri" w:hAnsi="Amiri" w:eastAsia="Amiri" w:cs="Amiri"/>
          <w:color w:val="111111"/>
          <w:sz w:val="28"/>
          <w:sz w:val="28"/>
          <w:szCs w:val="28"/>
          <w:rtl w:val="true"/>
          <w:lang w:bidi="ar-SA"/>
        </w:rPr>
        <w:t>اختلفت تعبيراتهم في طرح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يعبّر عنه بأنّ ألفاظ العبادات هل هي موضوعة للصحيحة أو الأعمّ منها</w:t>
      </w:r>
      <w:r>
        <w:rPr>
          <w:rStyle w:val="FootnoteAnchor"/>
          <w:rtl w:val="true"/>
        </w:rPr>
        <w:footnoteReference w:id="1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فيخرج الاختصاص الحاصل بالتعيّن؛ لما عرفت</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من أنّه ليس بوضعٍ، فضلاً عن الاستعمالات المجازية ومذهب الباقلاني</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إدخالها بالمناط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يعبّر عنه بأ نّها أسامٍ لها أو له</w:t>
      </w:r>
      <w:r>
        <w:rPr>
          <w:rStyle w:val="FootnoteAnchor"/>
          <w:rtl w:val="true"/>
        </w:rPr>
        <w:footnoteReference w:id="145"/>
      </w:r>
      <w:r>
        <w:rPr>
          <w:rFonts w:ascii="Amiri" w:hAnsi="Amiri" w:eastAsia="Amiri" w:cs="Amiri"/>
          <w:color w:val="111111"/>
          <w:sz w:val="28"/>
          <w:sz w:val="28"/>
          <w:szCs w:val="28"/>
          <w:rtl w:val="true"/>
          <w:lang w:bidi="ar-SA"/>
        </w:rPr>
        <w:t>، فيدخل الاختصاص التعيّني فيه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البقيّة</w:t>
      </w:r>
      <w:r>
        <w:rPr>
          <w:rFonts w:eastAsia="Amiri" w:cs="Amiri" w:ascii="Amiri" w:hAnsi="Amiri"/>
          <w:color w:val="111111"/>
          <w:sz w:val="28"/>
          <w:szCs w:val="28"/>
          <w:rtl w:val="true"/>
          <w:lang w:bidi="ar-SA"/>
        </w:rPr>
        <w:t xml:space="preserve">. </w:t>
      </w:r>
      <w:bookmarkStart w:id="194" w:name="pg15283_146239"/>
    </w:p>
    <w:p>
      <w:pPr>
        <w:pStyle w:val="BookText"/>
        <w:rPr/>
      </w:pPr>
      <w:bookmarkEnd w:id="194"/>
      <w:r>
        <w:rPr>
          <w:rFonts w:ascii="Amiri" w:hAnsi="Amiri" w:eastAsia="Amiri" w:cs="Amiri"/>
          <w:color w:val="111111"/>
          <w:sz w:val="28"/>
          <w:sz w:val="28"/>
          <w:szCs w:val="28"/>
          <w:rtl w:val="true"/>
          <w:lang w:bidi="ar-SA"/>
        </w:rPr>
        <w:t>ويمكن أن يعبّر عنه بأنّ الأصل في استعمال الشارع ماذا؟ فيدخل فيه الجميع حتّى المجاز بناءً على ما قوّينا</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من كونه استعمالاً فيما وضع له، والدعوى في تطبيق المعنى على المصداق،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الأصل هو ادّعاء هذه أو هذا؟ فما يقال من لغوية البحث بناءً عليه، ليس بشيء</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يمكن جريان البحث المثمر على مذهب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ورود ما أورده عليه بعض المدقّقين من أهل العصر؛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القرينة إن دلّت على جميع ما يعتبر في المأمور به فلا شكّ ليتمسّك بالإطلاق، وإن دلّت عليها بنحو الإهمال فلا إطلاق لفظي، والإطلاق المقامي جارٍ على كلا القولين</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الأصل في القرينة الدالّة على الأجزاء والشرائط هو إقامة القرينة المجملة على ما ينطبق عليها، فلا يجوز التمسّك بالإطلاق، أو عليه فيجوز؟</w:t>
      </w:r>
    </w:p>
    <w:p>
      <w:pPr>
        <w:pStyle w:val="Heading3"/>
        <w:numPr>
          <w:ilvl w:val="2"/>
          <w:numId w:val="1"/>
        </w:numPr>
        <w:rPr/>
      </w:pPr>
      <w:bookmarkStart w:id="195" w:name="__RefHeading___Toc4563209_2142443653"/>
      <w:bookmarkStart w:id="196" w:name="_Toc70"/>
      <w:bookmarkEnd w:id="195"/>
      <w:r>
        <w:rPr>
          <w:rtl w:val="true"/>
        </w:rPr>
        <w:t xml:space="preserve">المقدّمة الثانية </w:t>
      </w:r>
      <w:r>
        <w:rPr>
          <w:rtl w:val="true"/>
        </w:rPr>
        <w:t xml:space="preserve">: </w:t>
      </w:r>
      <w:r>
        <w:rPr>
          <w:rtl w:val="true"/>
        </w:rPr>
        <w:t>في الإشكال على التعبير عن المبحث بالصحيح والأعمّ</w:t>
      </w:r>
      <w:bookmarkEnd w:id="196"/>
    </w:p>
    <w:p>
      <w:pPr>
        <w:pStyle w:val="BookText"/>
        <w:rPr/>
      </w:pPr>
      <w:r>
        <w:rPr>
          <w:rFonts w:ascii="Amiri" w:hAnsi="Amiri" w:eastAsia="Amiri" w:cs="Amiri"/>
          <w:color w:val="111111"/>
          <w:sz w:val="28"/>
          <w:sz w:val="28"/>
          <w:szCs w:val="28"/>
          <w:rtl w:val="true"/>
          <w:lang w:bidi="ar-SA"/>
        </w:rPr>
        <w:t xml:space="preserve">لا أرى لعقد البحث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الألفاظ موضوعة للصحيحة أو الأعمّ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معقولاً إلاّ سهولة التعبير عن الشيء بلازمه في الوجود، وهو أيضاً غير تامّ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أنّه ليس نزاعهم في أنّ الصلاة مثلاً، هل هي </w:t>
      </w:r>
    </w:p>
    <w:p>
      <w:pPr>
        <w:pStyle w:val="BookText"/>
        <w:rPr/>
      </w:pPr>
      <w:r>
        <w:rPr>
          <w:rFonts w:ascii="Amiri" w:hAnsi="Amiri" w:eastAsia="Amiri" w:cs="Amiri"/>
          <w:color w:val="111111"/>
          <w:sz w:val="28"/>
          <w:sz w:val="28"/>
          <w:szCs w:val="28"/>
          <w:rtl w:val="true"/>
          <w:lang w:bidi="ar-SA"/>
        </w:rPr>
        <w:t>موضوعة لمفهوم الصلاة المتقيّد بمفهوم الصحّة؟ حتّى يكون الموضوع له هي الصلاة الصحيحة بالحمل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الالتزام بكون النزاع في وضعها للصحيحة بالحمل الشائع،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كون الوضع فيها عامّاً والموضوع له خاصّاً؛ لأنّ ما هو الصحيح بالحمل الشائع هي الصلاة الخارجية التي يتصادق عليها العنوانان، وإلاّ فكلّ عنوان يباين الآخر في المفهومية، وهم لا يلتزمون بذلك، والالتزام بالجامع الخارجي قد سبق</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دفعه وامتناعه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بالحمل الشائع، هو الجامع لجميع الأجزاء والشرائط حتّى ما يتأتّى من قبل الأمر، وغيره باطل فاسد بذاك الحمل، مع خروج مثلها عن محطّ البحث، كخروج ما يتأتّى من قِبل النهي في العبادة، أو اجتماع الأمر والنهي مع تقديم جانب النهي على القول بإيجابه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الصحّة أمر إضافي فيكون الشيء صحيحاً بملاحظة الأجزاء، فاسداً بملاحظة الشرائط</w:t>
      </w:r>
      <w:r>
        <w:rPr>
          <w:rStyle w:val="FootnoteAnchor"/>
          <w:rtl w:val="true"/>
        </w:rPr>
        <w:footnoteReference w:id="150"/>
      </w:r>
      <w:r>
        <w:rPr>
          <w:rFonts w:ascii="IRNazanin" w:hAnsi="IRNazanin" w:eastAsia="IRNazanin"/>
          <w:color w:val="111111"/>
          <w:sz w:val="28"/>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عدم مساعدة العرف واللغة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يدفع به الإشكال؛ لأنّ الأجزاء مع فقد الشرائط لا تقع صحيحة، فلا الماهية صحيحة ولا أجزاؤها الفاقدة للشروط، فأين الصحّة حتّى تنسب إلى الماهية بالعرض والمجاز؟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فرضها يكون الانتساب إلى نفس الماهية مجازاً، وهو كما ترى، كالالتزام بالصحّة التعليقية؛ أي إذا ضمّ إليها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اصطلاح خاصّ للاُصولي في الصحّة والفساد قبال العرف واللغة فاسد 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هذه الشبهة ألجأتهم إلى التزام كون الصحّة بمعنى التمامية</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منهم أنّ المفهومين متساوقان عرفاً ولغة، وأنّ بين الصحّة والفساد تقابل عدم وملكة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جيّد؛ لعدم مساعدتهما عليه، بل الصحّة والفساد كيفيتان وجوديتان عارضتان للشيء في الوجود الخارجي، فيقال للشيء الموجود المتّصف بكيفية ملائمة لطبيعته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سالم، وللمتّصف بكيفية منافرة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أن يكون إطلاقهما على الماهيات الاعتبارية بنحو من التوسّع؛ فإنّ لتلك الماهيات وراء الأجزاء هيئة اعتبارية اتّصالية أو وحدة اعتبارية لأجلها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فيدّعى لأجل فقد شيء معتبر فيها عروض الفساد لها كالموجود الخارجي الذي عرض له الفساد، وكذلك في الصحّة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التمام والنقص فيطلقان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جامعيته للأجزاء والشرائط وعدمها، فإن اُطلقا على الكيفيات والحقائق البسيطة فباعتبار لحاظ الدرجات فيها، فيقال للوجود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تامّان وناقصان، فالإنسان الذي ليس له عين أو يد، ناقص لا فاسد</w:t>
      </w:r>
      <w:r>
        <w:rPr>
          <w:rFonts w:eastAsia="Amiri" w:cs="Amiri" w:ascii="Amiri" w:hAnsi="Amiri"/>
          <w:color w:val="111111"/>
          <w:sz w:val="28"/>
          <w:szCs w:val="28"/>
          <w:rtl w:val="true"/>
          <w:lang w:bidi="ar-SA"/>
        </w:rPr>
        <w:t xml:space="preserve">. </w:t>
      </w:r>
      <w:bookmarkStart w:id="197" w:name="pg15283_146242"/>
    </w:p>
    <w:p>
      <w:pPr>
        <w:pStyle w:val="BookText"/>
        <w:rPr/>
      </w:pPr>
      <w:bookmarkEnd w:id="197"/>
      <w:r>
        <w:rPr>
          <w:rFonts w:ascii="Amiri" w:hAnsi="Amiri" w:eastAsia="Amiri" w:cs="Amiri"/>
          <w:color w:val="111111"/>
          <w:sz w:val="28"/>
          <w:sz w:val="28"/>
          <w:szCs w:val="28"/>
          <w:rtl w:val="true"/>
          <w:lang w:bidi="ar-SA"/>
        </w:rPr>
        <w:t>فمفهوم النقص والتمام يخالفان الصحّة والفساد وبينهما تقابل العدم والملكة، كما أنّ بين الصحّة والفساد تقابل التضادّ، كما أنّ التمام والنقص إضافيان؛ بمعنى أنّ الجامع للأجزاء دون الشرائط تامّ بحسب الأجزاء ناقص بحسب الشرائط،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اشتهى أن يبقي عنوان البحث على حاله فلا بدّ له من الالتزام باستعمال الصحّة والفساد في التامّ والناقص مجازاً بنحو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استعمال اللفظ الموضوع لمفهوم في مفهوم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يجري على المنوال المعهود، مع أنّ هذا الإطلاق أشبه بالغلط من المجاز؛ لعدم العلاقة بين المفهومين، واتّحاد مصداقهما خارجاً لا يصحّح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إنّه لا موجب لهذه التكلّفات الباردة، ولا ملزم لإبقاء العنوان على حاله، فالأولى أن يقال في عنوان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تعيين الموضوع له في الألفاظ المتداولة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تعيين المسمّى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تعيين الأصل في الاستعمال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اختلاف التعبيرات فيها كما مرّ</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4563211_2142443653"/>
      <w:bookmarkStart w:id="199" w:name="_Toc71"/>
      <w:bookmarkEnd w:id="198"/>
      <w:r>
        <w:rPr>
          <w:rtl w:val="true"/>
        </w:rPr>
        <w:t xml:space="preserve">المقدّمة الثالثة </w:t>
      </w:r>
      <w:r>
        <w:rPr>
          <w:rtl w:val="true"/>
        </w:rPr>
        <w:t xml:space="preserve">: </w:t>
      </w:r>
      <w:r>
        <w:rPr>
          <w:rtl w:val="true"/>
        </w:rPr>
        <w:t>في تعيين محلّ النزاع</w:t>
      </w:r>
      <w:bookmarkEnd w:id="19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ادّعى بعضهم أنّ محلّ النزاع هو الأجزاء مطلقاً والشرائط التي اُخذت في متعلّق الأمر، كالستر والقبلة والطهور، دون ما يأتي من قِبله، كقصد الأمر والوجه ممّا لا يمكن أخذه في المتعلّق، ودون الشرائط العقلية، </w:t>
      </w:r>
    </w:p>
    <w:p>
      <w:pPr>
        <w:pStyle w:val="BookText"/>
        <w:rPr/>
      </w:pPr>
      <w:r>
        <w:rPr>
          <w:rFonts w:ascii="Amiri" w:hAnsi="Amiri" w:eastAsia="Amiri" w:cs="Amiri"/>
          <w:color w:val="111111"/>
          <w:sz w:val="28"/>
          <w:sz w:val="28"/>
          <w:szCs w:val="28"/>
          <w:rtl w:val="true"/>
          <w:lang w:bidi="ar-SA"/>
        </w:rPr>
        <w:t>كاشتراط كونه غير مزاحم بضدّه الأهمّ أو غير منهيّ عنه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يدّعى عدم إمكان دخولهما فيه، لتأخّر رتبتهما عن رتبة المسمّى؛ لأنّ تعيين المسمّى مقدّم على الطلب المتقدّم على قصده وقصد وجهه، وكذا مقدّم على ابتلائه بالضدّ أو تعلّق النهي به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مقصور على الأجزاء؛ لأنّ رتبة الشرائط متأخّرة عنها، فلا يمكن جعلهما في رتبة واحدة عند التسمية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إمكان جريان النزاع في جميع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من يرى جواز أخذ ما لا يتأتّى إلاّ من قِبل الأمر في المتعلّق</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وسيوافيك في مبحث التعبّدي والتوصلي في الصفحة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فواضح؛ لتقدّم رتبة المسمّى على الطلب، وأمّا مع القول بامتناعه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فلإمكان دعوى كون المسمّى غير ما يتعلّق به الطلب، وكون رتبته مقدّمة على الطلب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عدم إمكان تسوية الأجزاء والشرائط في الرتبة فظاهر الفساد؛ لأنّ الاجتماع في التسمية غير الاجتماع في الرتبة في الواقع، والمحال هو الثاني، واللازم هو الأوّل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في جواب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الوضع </w:t>
      </w:r>
    </w:p>
    <w:p>
      <w:pPr>
        <w:pStyle w:val="BookText"/>
        <w:rPr/>
      </w:pPr>
      <w:r>
        <w:rPr>
          <w:rFonts w:ascii="Amiri" w:hAnsi="Amiri" w:eastAsia="Amiri" w:cs="Amiri"/>
          <w:color w:val="111111"/>
          <w:sz w:val="28"/>
          <w:sz w:val="28"/>
          <w:szCs w:val="28"/>
          <w:rtl w:val="true"/>
          <w:lang w:bidi="ar-SA"/>
        </w:rPr>
        <w:t>لنفس الأجزاء المقترنة بالشرائط؛ أعني لتلك الحصّة من مطلق الأجزاء، فيجري فيها النزاع، فيقول الصحيحي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موضوع للحصّة المقترنة بجميع الشرائط، فلا تصدق الصلاة مثلاً مع فقد بعضها، وينكره الأعمّي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الاقتران إمّا أن يؤخذ على سبيل الشرطية والقيدية، فيعود المحذور، أو على سبيل الحينية فلا تدخل في المسمّى بوجه حتّى لا يصدق الاسم مع 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جريان النزاع في جميع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إمكانه هل النزاع مقصور على ما قالوا، أو لا؟</w:t>
      </w:r>
    </w:p>
    <w:p>
      <w:pPr>
        <w:pStyle w:val="BookText"/>
        <w:rPr/>
      </w:pPr>
      <w:r>
        <w:rPr>
          <w:rFonts w:ascii="Amiri" w:hAnsi="Amiri" w:eastAsia="Amiri" w:cs="Amiri"/>
          <w:color w:val="111111"/>
          <w:sz w:val="28"/>
          <w:sz w:val="28"/>
          <w:szCs w:val="28"/>
          <w:rtl w:val="true"/>
          <w:lang w:bidi="ar-SA"/>
        </w:rPr>
        <w:t>الظاهر من كلماتهم في الباب وكيفية استدلالاتهم هو كون النزاع في مطلق الشرائط، كالإشكال على الصحيحي بأ نّه يلزم عليه تكرار معنى الطلب في الأوامر المتعلّقة بها؛ لأنّ الأمر حينئذٍ يرجع إلى الأمر بالمطلوب؛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مطلوبي، ويلزم الدور؛ لتوقّف الطلب حينئذٍ على الصحّة، والصحّة على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والصحيحي لم يدفع الإشكال بأنّ محلّ النزاع غير تلك الشروط،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الاستدلال بوحدة الأثر لكشف وحدة المؤثّر الظاهر منه أنّه هو المسمّى</w:t>
      </w:r>
      <w:r>
        <w:rPr>
          <w:rStyle w:val="FootnoteAnchor"/>
          <w:rtl w:val="true"/>
        </w:rPr>
        <w:footnoteReference w:id="158"/>
      </w:r>
      <w:r>
        <w:rPr>
          <w:rFonts w:ascii="Amiri" w:hAnsi="Amiri" w:eastAsia="Amiri" w:cs="Amiri"/>
          <w:color w:val="111111"/>
          <w:sz w:val="28"/>
          <w:sz w:val="28"/>
          <w:szCs w:val="28"/>
          <w:rtl w:val="true"/>
          <w:lang w:bidi="ar-SA"/>
        </w:rPr>
        <w:t xml:space="preserve">، يؤيّد ما قلنا، بل يدلّ عليه؛ فإنّ المؤثّر هو الصحيح الفعلي، وهو </w:t>
      </w:r>
    </w:p>
    <w:p>
      <w:pPr>
        <w:pStyle w:val="BookText"/>
        <w:rPr/>
      </w:pPr>
      <w:r>
        <w:rPr>
          <w:rFonts w:ascii="Amiri" w:hAnsi="Amiri" w:eastAsia="Amiri" w:cs="Amiri"/>
          <w:color w:val="111111"/>
          <w:sz w:val="28"/>
          <w:sz w:val="28"/>
          <w:szCs w:val="28"/>
          <w:rtl w:val="true"/>
          <w:lang w:bidi="ar-SA"/>
        </w:rPr>
        <w:t>الجامع لجميع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وتخيّل كون الدعوى أنّ المسمّى بعض المؤثّر أو المؤثّر الاقتضائي أو التعليقي</w:t>
      </w:r>
      <w:r>
        <w:rPr>
          <w:rStyle w:val="FootnoteAnchor"/>
          <w:rtl w:val="true"/>
        </w:rPr>
        <w:footnoteReference w:id="1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بعيد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كلماتهم لا تخلو من تشويش واضطراب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قلنا من أنّ الصحيح والأعمّ غير دخيلين في النزاع، وإنّما النزاع في مسمّى الألفاظ المستعملة في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سنخ الشرائط مختلفة، فبعضها تكون من قيود الماهية المسمّاة؛ بحيث تكون بما هي كذلك منحلّة إلى الأجزاء والتقيّدات، وبعضها تكون من شروط تحقّقها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قيود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النزاع في أنّ الشرائط أيّها من قيود نفس المسمّى؛ بحيث لا يصدق على الفاقد، وأيّها من شروط صحّته؛ حتّى يصدق على الفاقد ولو كان فاسداً مع فقدانه؟</w:t>
      </w:r>
    </w:p>
    <w:p>
      <w:pPr>
        <w:pStyle w:val="BookText"/>
        <w:rPr/>
      </w:pPr>
      <w:r>
        <w:rPr>
          <w:rFonts w:ascii="Amiri" w:hAnsi="Amiri" w:eastAsia="Amiri" w:cs="Amiri"/>
          <w:color w:val="111111"/>
          <w:sz w:val="28"/>
          <w:sz w:val="28"/>
          <w:szCs w:val="28"/>
          <w:rtl w:val="true"/>
          <w:lang w:bidi="ar-SA"/>
        </w:rPr>
        <w:t>وكلمات القوم مختلفة، لكن يشبه أن يكون مثل قصد الوجه من شروط التحقّق والصحّة، ولا دخالة له في الماهية، ومثل التزاحم والنهي من موانعها غير دخيل فيها، وأمّا الشرائط الاُخر فمورد البحث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الأجزاء فالبحث فيها في أنّها مطلقاً من مقوّمات الماهية أو بعضها من أجزاء الموجود على فرض تحقّقه، كالأجزاء المستحبّة، والمسألة لا تخلو من غموض وإشكال، كتعيين محلّ النزاع</w:t>
      </w:r>
      <w:r>
        <w:rPr>
          <w:rFonts w:eastAsia="Amiri" w:cs="Amiri" w:ascii="Amiri" w:hAnsi="Amiri"/>
          <w:color w:val="111111"/>
          <w:sz w:val="28"/>
          <w:szCs w:val="28"/>
          <w:rtl w:val="true"/>
          <w:lang w:bidi="ar-SA"/>
        </w:rPr>
        <w:t xml:space="preserve">. </w:t>
      </w:r>
      <w:bookmarkStart w:id="200" w:name="pg15283_146246"/>
    </w:p>
    <w:p>
      <w:pPr>
        <w:pStyle w:val="Heading3"/>
        <w:numPr>
          <w:ilvl w:val="2"/>
          <w:numId w:val="1"/>
        </w:numPr>
        <w:rPr/>
      </w:pPr>
      <w:bookmarkStart w:id="201" w:name="__RefHeading___Toc4563213_2142443653"/>
      <w:bookmarkStart w:id="202" w:name="_Toc72"/>
      <w:bookmarkEnd w:id="200"/>
      <w:bookmarkEnd w:id="201"/>
      <w:r>
        <w:rPr>
          <w:rtl w:val="true"/>
        </w:rPr>
        <w:t xml:space="preserve">المقدّمة الرابعة </w:t>
      </w:r>
      <w:r>
        <w:rPr>
          <w:rtl w:val="true"/>
        </w:rPr>
        <w:t xml:space="preserve">: </w:t>
      </w:r>
      <w:r>
        <w:rPr>
          <w:rtl w:val="true"/>
        </w:rPr>
        <w:t>في لزوم تصوير الجامع</w:t>
      </w:r>
      <w:bookmarkEnd w:id="202"/>
    </w:p>
    <w:p>
      <w:pPr>
        <w:pStyle w:val="BookText"/>
        <w:rPr/>
      </w:pPr>
      <w:r>
        <w:rPr>
          <w:rFonts w:ascii="Amiri" w:hAnsi="Amiri" w:eastAsia="Amiri" w:cs="Amiri"/>
          <w:color w:val="111111"/>
          <w:sz w:val="28"/>
          <w:sz w:val="28"/>
          <w:szCs w:val="28"/>
          <w:rtl w:val="true"/>
          <w:lang w:bidi="ar-SA"/>
        </w:rPr>
        <w:t xml:space="preserve">لا بدّ للصحيحي والأعمّي من تصوير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فساد خصوص الموضوع له في الماهيات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تعدّد الأوضاع بالاشتراك اللفظي، فلا بدّ من بيان ما قيل أو يمكن 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الجوامع المتصوّرة للصحيح ما أفاده المحقّق الخراساني رحمه الله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إشكال في وجوده بين الأفراد الصحيحة، وإمكان الإشارة إليه بخواصّه وآثاره؛ فإنّ الاشتراك في الأثر كاشف عن الاشتراك في جامع واحد يؤثّر الكلّ فيه بذلك الجامع، فيصحّ تصوير المسمّى بلفظ الصلاة مثلاً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الناهية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منع كون المقام موضوعاً للقاعدة العقلية، وإنّما موضوعها الواحد من جميع الجهات والحيثيات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عليه يلزم أن تكون الصلاة من متكثّر الحقيقة؛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الفحشاء</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الصَّلَوةَ تَنْهَى عَنِ الفَحشَاءِ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 كلّ تقيّ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اُمور مختلفة، فمع صدورها منها يكون كلٌّ صادراً من 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النهي عن الفحشاء ليس على ما هو ظاهره، فيرجع إلى كونها دافعة ومانعة عنها، والفحشاء أمر متكثّر، فلا بدّ أن تكون في الصلاة حيثيات، بكلّ حيثية دافعة لواحد منها، مع بعد التزامهم بالجامع الذي له حيثيات متكثّرة حسب تكثّر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هذه الاُمور ترجع إلى أمر واحد هو كمال حاصل للنفس يوجب ذلك</w:t>
      </w:r>
      <w:r>
        <w:rPr>
          <w:rStyle w:val="FootnoteAnchor"/>
          <w:rtl w:val="true"/>
        </w:rPr>
        <w:footnoteReference w:id="1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خروج عن الاستدلال بها، وإيكال إلى أمر مجهول من غير بيّنة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الملاكات من الدواعي لا الأسباب التوليدية، فلا يصحّ تعلُّق التكليف بها، لا بنفسها ولا بأخذها قيداً لمتعلّق التكليف، فكما لا يصحّ التكليف بإيجاد معراج المؤمن مثلاً، لا يصحّ التكليف بالصلاة المقيّدة بكونها كذلك؛ إذ يعتبر في التكليف أن يكون المكلّف به بجميع قيوده مقدوراً عليه، والملاكات ليست كذلك، فلم تصحّ أن تكون هي الجامع ولا معرّفة وكاشفة عنه؛ بداهة أنّه يعتبر في المعرّف أن يكون ملازماً للمعرّف بوجه</w:t>
      </w:r>
      <w:r>
        <w:rPr>
          <w:rStyle w:val="FootnoteAnchor"/>
          <w:rtl w:val="true"/>
        </w:rPr>
        <w:footnoteReference w:id="164"/>
      </w:r>
      <w:r>
        <w:rPr>
          <w:rFonts w:ascii="IRNazanin" w:hAnsi="IRNazanin" w:eastAsia="IRNazanin"/>
          <w:color w:val="111111"/>
          <w:sz w:val="28"/>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بعض كلامه المطوّل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المسمّى هو ذات المكشوف من حيث هي لا مقيّدة بالملاكات، فإذا كان شيء منشأ أثر وحداني أو قائماً به أثر وحداني ممّا يكشف منه وحدة الذات، يمكن أن يشار إليه بهذه الخواصّ والآثار ويوضع اللفظ لنفس المؤثّر أو القائم به المصلحة لا بعنوانهما، فلا يتعلّق التكليف إلاّ به من غير تقييد بالملاك</w:t>
      </w:r>
    </w:p>
    <w:p>
      <w:pPr>
        <w:pStyle w:val="BookText"/>
        <w:rPr/>
      </w:pPr>
      <w:r>
        <w:rPr>
          <w:rFonts w:ascii="IRNazanin" w:hAnsi="IRNazanin" w:eastAsia="IRNazanin"/>
          <w:color w:val="111111"/>
          <w:sz w:val="28"/>
          <w:sz w:val="28"/>
          <w:szCs w:val="28"/>
          <w:rtl w:val="true"/>
          <w:lang w:bidi="fa-IR"/>
        </w:rPr>
        <w:t>أو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صوّره بعض المدقّقين من أهل العصر رحمه الله علیه  بعد إيراد إشكال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محقّقي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الجامع العنواني ممكن، لكن لا يلتزم به أحد، والجامع المقولي الذاتي غير ممكن؛ لكون الصلاة مركّبة من مقولات مختلفة، وهي متباينات، ولا جامع فوق الأجناس العالية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الجامع لا ينحصر فيهما، بل لنا فرض جامع آخر، هو مرتبة خاصّة من الوجود الجامع بين تلك المقولات المتباينة ماهية، فتكون الصلاة أمراً بسيطاً خاصّاً يصدق على القليل والكثير؛ لكون ما به الاشتراك نفس ما به الامتياز؛ فإنّ الوجود الخاصّ اُخذ لا بشرط،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يكون مفهوم الصلاة مثلاً، هو تلك الحصّة من الوجود الساري في المقولات المزبورة، وهو فاسد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الصلاة كسائر مفاهيم الألفاظ منتزع من مطابق خارجي، ولكن عند التحليل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الصلاة هي الحصّة المقترنة بالمقولات الخاصّة، نحو مفهوم المشتقّ، فإنّه بسيط، وعند التحليل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ذات وحدث، </w:t>
      </w:r>
    </w:p>
    <w:p>
      <w:pPr>
        <w:pStyle w:val="BookText"/>
        <w:rPr/>
      </w:pPr>
      <w:r>
        <w:rPr>
          <w:rFonts w:ascii="Amiri" w:hAnsi="Amiri" w:eastAsia="Amiri" w:cs="Amiri"/>
          <w:color w:val="111111"/>
          <w:sz w:val="28"/>
          <w:sz w:val="28"/>
          <w:szCs w:val="28"/>
          <w:rtl w:val="true"/>
          <w:lang w:bidi="ar-SA"/>
        </w:rPr>
        <w:t>وكمفهوم الإنسان، فإنّه بسيط ينحلّ إلى حيوان ناطق، فاتّضح ممّا تقدّم أنّه يمكن تصوّر جامع بسيط غير عنواني ولا ماهوي، وهو مرتبة من الوجود الساري في جملة من المقولات</w:t>
      </w:r>
      <w:r>
        <w:rPr>
          <w:rStyle w:val="FootnoteAnchor"/>
          <w:rtl w:val="true"/>
        </w:rPr>
        <w:footnoteReference w:id="1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من الغرائب؛ فإنّ المرتبة من الوجود والحصّة منه إن كانت</w:t>
      </w:r>
    </w:p>
    <w:p>
      <w:pPr>
        <w:pStyle w:val="BookText"/>
        <w:rPr/>
      </w:pPr>
      <w:r>
        <w:rPr>
          <w:rFonts w:ascii="Amiri" w:hAnsi="Amiri" w:eastAsia="Amiri" w:cs="Amiri"/>
          <w:color w:val="111111"/>
          <w:sz w:val="28"/>
          <w:sz w:val="28"/>
          <w:szCs w:val="28"/>
          <w:rtl w:val="true"/>
          <w:lang w:bidi="ar-SA"/>
        </w:rPr>
        <w:t>هي الوجود الخارجي، فكيف صار وجودات المقولات المختلفة بالذات وجوداً واحداً سارياً؟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معنى هذا السريان والوحدة؟ ولعلّه سمع اصطلاح أهل الذوق في بعض المقامات فاشتهى إيراده هاهنا، ومن له أدنى اُنس باصطلاحاتهم يعلم أنّه أجنبيّ عن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الوجود الخارجي إذا كان جامعاً ومسمّى بالصلاة، فلازمه تعلّق الأمر إمّا به أو بغير الصلاة، وفسادهما مغنٍ عن البيان، بل لازمه كون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متجزّئاً ويكون كلّ ما وجد جزءاً منها لا نفسها؛ لأنّ الحصّة الخارجية لا يمكن أن تنطبق على الأفراد انطباق الكلّي على المصاديق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كونها حصّة من الوجود ينافي ما ذكره أخيراً من أنّ مفهومها كسائر المفاهيم منتزع عن مطابقه الخارجي، إلاّ أن يراد بالحصّة، الكلّي المقيّد، فلا محالة تكون من سنخ المفاهيم، فيكون مفهوم الصلاة مساوقاً لمفهوم الوجود المقيّد الذي لا ينطبق إلاّ على المقولات الخاصّة، وهو واضح البطلان، مع أنّ ذلك هو الجامع العنواني الذي فرّ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قاس الجامع في الصلاة بالكلمة والكلام،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الجامع بين أفراد الكلمة عبارة عن المركّب من حرفين فما فوق؛ بنحو يكون ذلك المعنى المركّب بشرط شيء من طرف القلّة ولا بشرط من طرف الزيادة، كذلك الجامع بين أفراد الصلاة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فاسد؛ فإنّ الكلمة عبارة عن لفظ موضوع لمعنىً مفرد، وهذا يصدق على كلّ ما كان كذلك، كان حرفاً واحداً أو حرفين فصاعداً، من غير أن يكون بشرط لا في طرف القلّة ولا بشرط في طرف الكثرة، وليست الصلاة على ما زعمها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محملاً صحيحاً لكلامه الذي لا تلتئم أجزاؤه، وإن هذا إلاّ لغموض المسألة وعجزه عن تصوّر جامع معقول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المدقّقين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سنخ المعاني والماهيات بعكس الوجود، كلّما كان الإبهام فيه أكثر كان الإطلاق والشمول فيها أوفر، فإن كانت الماهيات من الحقائق كان إبهامها بلحاظ الطوارئ والعوارض مع حفظ نفسها، وإن كانت من الاُمور المؤتلفة من عدّة اُمور؛ بحيث تزيد وتنقص كمّاً وكيفاً، فمقتضى الوضع لها أن تلاحظ على نحو مبهم في غاية الإبهام بمعرّفية بعض العناوين الغير المنفكّة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الصلاة مع الاختلاف الشديد بين مراتبها لا بدّ أن يوضع لسنخ عمل معرّفه النهي عن الفحشاء، بل العرف لا ينتقلون من سماع لفظها إلى سنخ عمل خاصّ مبهم إلاّ من حيث كونه مطلوباً في الأوقات </w:t>
      </w:r>
    </w:p>
    <w:p>
      <w:pPr>
        <w:pStyle w:val="BookText"/>
        <w:rPr/>
      </w:pPr>
      <w:r>
        <w:rPr>
          <w:rFonts w:ascii="Amiri" w:hAnsi="Amiri" w:eastAsia="Amiri" w:cs="Amiri"/>
          <w:color w:val="111111"/>
          <w:sz w:val="28"/>
          <w:sz w:val="28"/>
          <w:szCs w:val="28"/>
          <w:rtl w:val="true"/>
          <w:lang w:bidi="ar-SA"/>
        </w:rPr>
        <w:t>الخاصّة، وهذا غير النكرة؛ فإنّه لم يؤخذ فيه خصوصية البدلية</w:t>
      </w:r>
      <w:r>
        <w:rPr>
          <w:rStyle w:val="FootnoteAnchor"/>
          <w:rtl w:val="true"/>
        </w:rPr>
        <w:footnoteReference w:id="1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الإبهام في نفس الذات لا يمكن إلاّ في الفرد المردّد ونحوه، فلا بدّ وأن تكون الصلاة شيئاً متحصّلاً في مقام ذاته؛ تخلّصاً عن كونها من قبيل الفرد المردّد، ويعرضها الإبهام باعتبار العوارض والطوارئ، فحينئذٍ نسأل عن ذلك الجامع المعيّن هل هو من العناوين الخارجية أو من المقولات؟ وكلاهما فاسدان كما اعترف به</w:t>
      </w:r>
      <w:r>
        <w:rPr>
          <w:rStyle w:val="FootnoteAnchor"/>
          <w:rtl w:val="true"/>
        </w:rPr>
        <w:footnoteReference w:id="1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لا تنحلّ العقدة بما ذكره لو لم نقل إنّه نحو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ماهية الصلاة تقال على الأفراد بالتواطؤ، فلا بدّ لها من جامع صادق عليها يكون في ذاته أمراً متعيّناً ولو بالاعتبار، ويعرضه الإبهام بلحاظ الطوارئ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ذكره يرجع إلى ما سنذكره بعد مقدّمة، وهي أنّ محطّ البحث للأعلام إنّما هو تصوير جامع كلّي قابل للانطباق على الأفراد المختلفة كيفية وكمّية، فمرتبة فرض الجامع مقدّمة على عروض الفساد والصحّة عليه؛ لما عرفت</w:t>
      </w:r>
      <w:r>
        <w:rPr>
          <w:rStyle w:val="FootnoteAnchor"/>
          <w:rtl w:val="true"/>
        </w:rPr>
        <w:footnoteReference w:id="170"/>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أنّهما من عوارض وجود العبادات خارجاً، وأنّهما ليسا من الاُمور الإضافية؛ بحيث يكون ماهية صحيحة من حيثية وفاسدة من اُخرى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توجد ماهية من الطبائع الحقيقية يكون بعضها فاسداً بقول مطلق وبعضها صحيحاً كذلك، كبطّيخ نصفه فاسد، لكن هذا غير ممكن للصلاة وأمثالها، </w:t>
      </w:r>
    </w:p>
    <w:p>
      <w:pPr>
        <w:pStyle w:val="BookText"/>
        <w:rPr/>
      </w:pPr>
      <w:r>
        <w:rPr>
          <w:rFonts w:ascii="Amiri" w:hAnsi="Amiri" w:eastAsia="Amiri" w:cs="Amiri"/>
          <w:color w:val="111111"/>
          <w:sz w:val="28"/>
          <w:sz w:val="28"/>
          <w:szCs w:val="28"/>
          <w:rtl w:val="true"/>
          <w:lang w:bidi="ar-SA"/>
        </w:rPr>
        <w:t>فالصلاة الموجودة مع فقدان شرط أو وجود مانع، فرد من الصلاة، وعرضه الفساد في الخارج لا الصحّة، ولا يكون صحيحاً من حيث وفاسداً من 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بعض الشرائط الدخيلة في الصحّة خارجاً عن محطّ البحث، فلا محالة تكون الماهية الموضوعة لها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وجدت في الخارج مجرّدة عن تلك الشرائط الخارجة عن محطّ البحث تقع فاسدة لا صحيحة، فلا يكون نزاعهما في وضعها للصحيحة أو الفاسدة؛ لتسالمهم على عدم الوضع للماهية المتقيّدة بمفهوم الصحّة، وعدم إمكان الوضع لماهية ملازمة لها من حيث تقرّر الماهية؛ لأنّ مفهوم الصحّة وحقيقتها غير لازمين للماهية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لماهية إذا وجدت في الخارج تكون صحيحة؛ لخروج بعض الشروط الدخيلة في الصحّة عن محطّ البحث كما تقدّم</w:t>
      </w:r>
      <w:r>
        <w:rPr>
          <w:rStyle w:val="FootnoteAnchor"/>
          <w:rtl w:val="true"/>
        </w:rPr>
        <w:footnoteReference w:id="171"/>
      </w:r>
      <w:r>
        <w:rPr>
          <w:rFonts w:ascii="Amiri" w:hAnsi="Amiri" w:eastAsia="Amiri" w:cs="Amiri"/>
          <w:color w:val="111111"/>
          <w:sz w:val="28"/>
          <w:sz w:val="28"/>
          <w:szCs w:val="28"/>
          <w:rtl w:val="true"/>
          <w:lang w:bidi="ar-SA"/>
        </w:rPr>
        <w:t>، فلا تكون الماهية الموضوعة لها ملازمة في الخارج مع الصحّة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وإرجاع النزاع إلى أنّ الصحيحي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موضوع لماهية إذا لحقت بها تلك الشروط تقع صحيحة والأعمّي ينكره، لا يرجع إلى محصّل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إلقاء لفظي الصحيح والأعمّ،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لفظ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لماهية تامّة الأجزاء والشرائط الكذائية أو ما هو ملازم لها، أو لا؟ ولعلّ نظر القوم إلى ذلك، وتخلّل لفظ الصحيح والأعمّ لإفادة المقصود في أبواب العبادات والمعاملات بلفظ جامع، والأمر سهل</w:t>
      </w:r>
      <w:r>
        <w:rPr>
          <w:rFonts w:eastAsia="Amiri" w:cs="Amiri" w:ascii="Amiri" w:hAnsi="Amiri"/>
          <w:color w:val="111111"/>
          <w:sz w:val="28"/>
          <w:szCs w:val="28"/>
          <w:rtl w:val="true"/>
          <w:lang w:bidi="ar-SA"/>
        </w:rPr>
        <w:t xml:space="preserve">. </w:t>
      </w:r>
      <w:bookmarkStart w:id="203" w:name="pg15283_146253"/>
    </w:p>
    <w:p>
      <w:pPr>
        <w:pStyle w:val="Heading3"/>
        <w:numPr>
          <w:ilvl w:val="2"/>
          <w:numId w:val="1"/>
        </w:numPr>
        <w:rPr/>
      </w:pPr>
      <w:bookmarkStart w:id="204" w:name="__RefHeading___Toc4563215_2142443653"/>
      <w:bookmarkStart w:id="205" w:name="_Toc73"/>
      <w:bookmarkEnd w:id="203"/>
      <w:bookmarkEnd w:id="204"/>
      <w:r>
        <w:rPr>
          <w:rtl w:val="true"/>
        </w:rPr>
        <w:t>التحقيق في تصوير الجامع</w:t>
      </w:r>
      <w:bookmarkEnd w:id="205"/>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المركّبات الاعتبارية التي عرضتها وحدة ما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الكثرة فيها ملحوظة كالعشرة والمجموع؛ فإنّ العشرة وإن لوحظت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مقابلَ العشرتين والعشرات ومفردَهما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الكثرة فيها ملحوظة، وكذا المجموع، وفي مثلها يفقد الكلّ بفقدان جزء منها، فلا يصدق العشرة ولا المجموع إلاّ على التامّ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فانية في الوحدة والهيئة فناء المادّة في صورتها، ففي مثلها تكون شيئية المركّب الاعتباري بصورته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الهيئة العرضية الاعتبارية، لا الصورة الجوهرية أو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بمادّته، وتكون المادّة فانية في الهيئة، وهي قائمة بالمادّة متّحدة معها؛ ولهذا لا يضرّ اختلاف 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اختلاف 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بشيئية المركّب الكذائي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فالسيّارة سيّارة مادامت صورتها وهيئتها محفوظة من أيّ فلزّ كانت مادّتها، فالمادّة مأخوذة بنحو اللا بشرط والعرض العريض، لا بمعنى لحاظها كذلك؛ فإنّه ينافي اللا بشرطية، بل بمعنى عدم اللحاظ في مقام التسمية إلاّ للهيئة، والموادّ فانية فيها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الهيئة قد تلاحظ بنحو التعيّن الخاصّ، وقد تلاحظ بنحو اللا بشرط والعرض العريض أيضاً، كالدار والسيّارة والبيت والمكائن والساعات وكلّ ما هو من قبيل المركّبات الغير الحقيقية من سنخها، فمثلها تكون موادّها فانية في </w:t>
      </w:r>
    </w:p>
    <w:p>
      <w:pPr>
        <w:pStyle w:val="BookText"/>
        <w:rPr/>
      </w:pPr>
      <w:r>
        <w:rPr>
          <w:rFonts w:ascii="Amiri" w:hAnsi="Amiri" w:eastAsia="Amiri" w:cs="Amiri"/>
          <w:color w:val="111111"/>
          <w:sz w:val="28"/>
          <w:sz w:val="28"/>
          <w:szCs w:val="28"/>
          <w:rtl w:val="true"/>
          <w:lang w:bidi="ar-SA"/>
        </w:rPr>
        <w:t>هيئاتها في مقام التسمية ومقام استعمال ألفاظها فيها، وهيئاتها مأخوذة لا بشرط، فتصدق الدار على المسكن الخاصّ بأيّة مادّة صنعت وفي أيّة هيئة صيغت، لكن تكون بينها جهة جامعة عرضية لا يمكن أن يعبّر عنها إلاّ بمثل المسكن الخاصّ؛ لعدم الجنس والفصل لها كالحقائق حتّى تحدّ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فالسيّارة مركوب خاصّ لمّا صنعها صانعها سمّاها باسم، فانية موادّها في هيئتها، وغير ملحوظ فيها هيئة خاصّة لا تتعدّاها، وهذا معنى اللا بشرط في الهيئة والمادّة؛ ولهذا تصدق على المركوب الخاصّ بأيّة هيئة أو مادّة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يعتبر في المركّبات الاعتبارية موادّ خاصّة، ومع ذلك تكون في مقام التسمية فانية في الهيئة، وتؤخذ الهيئة لا بشرط من جهة أو جهات، فيصدق الاسم مع تحقّق سنخ الموادّ بنحو العرض العريض مع الهيئة كذلك، فلا يمكن التعبير عنها إلاّ باُمور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عبارة عن ماهية خاصّة اعتبارية مأخوذة على النحو اللا بشرط فانية فيها موادّ خاصّة مأخوذة كذلك، فموادّ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وقرآن وركوع وسجود على النحو اللا بشرط صادقة على الميسور منها، وهيئتها صورة اتّصالية خاصّة نسبتها إلى الموادّ نسبة الصورة إلى المادّة، لكنّ الهيئة أيضاً اُخذت لا بشرط من بعض الجهات، كهيئة السيّارة والدار والبيت، ولا يمكن أن يعبّر عنها إلاّ بعناوين عرضية كالعبادة الخاصّة، كالتعبير عن السيّارة بالمركب الخاصّ، وعن البيت والدار بالمسكن الخاصّ، من غير أن يكون لها جنس وفصل يمكن تحديدها بهما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الشرائط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 يتأتّى من قِبل الأمر أو لا </w:t>
      </w:r>
      <w:r>
        <w:rPr>
          <w:rFonts w:eastAsia="Amiri" w:cs="Amiri" w:ascii="Amiri" w:hAnsi="Amiri"/>
          <w:color w:val="111111"/>
          <w:sz w:val="28"/>
          <w:szCs w:val="28"/>
          <w:rtl w:val="true"/>
          <w:lang w:bidi="ar-SA"/>
        </w:rPr>
        <w:t xml:space="preserve">- </w:t>
      </w:r>
      <w:bookmarkStart w:id="206" w:name="pg15283_146255"/>
    </w:p>
    <w:p>
      <w:pPr>
        <w:pStyle w:val="BookText"/>
        <w:rPr/>
      </w:pPr>
      <w:bookmarkEnd w:id="206"/>
      <w:r>
        <w:rPr>
          <w:rFonts w:ascii="Amiri" w:hAnsi="Amiri" w:eastAsia="Amiri" w:cs="Amiri"/>
          <w:color w:val="111111"/>
          <w:sz w:val="28"/>
          <w:sz w:val="28"/>
          <w:szCs w:val="28"/>
          <w:rtl w:val="true"/>
          <w:lang w:bidi="ar-SA"/>
        </w:rPr>
        <w:t xml:space="preserve">خارجة عن حقيقة الصلاة، ويشبه أن تكون الشرائط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الآتية من قِبل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صحّة تلك الماهيات، لا من قيودها المعتبرة في ماهيتها، فالصلاة اسم للهيئة الخاصّة الحالّة في الأجزاء الخاصّة، مأخوذة هي والهيئة لا بشرط، وتتّحدان اتّحاد المادّة والصورة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بما ذكرنا سابقاً يعلم أنّ فرض الجامع على الصحيحي وعلى الأعمّي ممّا لا معنى محصّل له، فالتحقيق ما تقدّم من فرض الجامع بين أفراد الماهية، ورجوع النزاع إلى أنّ المسمّى هو الماهية التامّة الأجزاء، أو هي والشرائط، أو لا؟ فتدبّر جيّداً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4563217_2142443653"/>
      <w:bookmarkStart w:id="208" w:name="_Toc74"/>
      <w:bookmarkEnd w:id="207"/>
      <w:r>
        <w:rPr>
          <w:rtl w:val="true"/>
        </w:rPr>
        <w:t xml:space="preserve">المقدّمة الخامسة </w:t>
      </w:r>
      <w:r>
        <w:rPr>
          <w:rtl w:val="true"/>
        </w:rPr>
        <w:t xml:space="preserve">: </w:t>
      </w:r>
      <w:r>
        <w:rPr>
          <w:rtl w:val="true"/>
        </w:rPr>
        <w:t>في الثمرة بين القول بالصحيح والأعمّ</w:t>
      </w:r>
      <w:bookmarkEnd w:id="208"/>
    </w:p>
    <w:p>
      <w:pPr>
        <w:pStyle w:val="Heading4"/>
        <w:numPr>
          <w:ilvl w:val="3"/>
          <w:numId w:val="1"/>
        </w:numPr>
        <w:rPr/>
      </w:pPr>
      <w:bookmarkStart w:id="209" w:name="__RefHeading___Toc4563219_2142443653"/>
      <w:bookmarkStart w:id="210" w:name="_Toc75"/>
      <w:bookmarkEnd w:id="209"/>
      <w:r>
        <w:rPr>
          <w:rtl w:val="true"/>
        </w:rPr>
        <w:t>الثمرة الاُولى</w:t>
      </w:r>
      <w:r>
        <w:rPr>
          <w:rtl w:val="true"/>
        </w:rPr>
        <w:t xml:space="preserve">: </w:t>
      </w:r>
      <w:r>
        <w:rPr>
          <w:rtl w:val="true"/>
        </w:rPr>
        <w:t>جريان أصل البراءة</w:t>
      </w:r>
      <w:bookmarkEnd w:id="210"/>
    </w:p>
    <w:p>
      <w:pPr>
        <w:pStyle w:val="BookText"/>
        <w:rPr/>
      </w:pPr>
      <w:r>
        <w:rPr>
          <w:rFonts w:ascii="IRNazanin" w:hAnsi="IRNazanin" w:eastAsia="IRNazanin"/>
          <w:color w:val="111111"/>
          <w:sz w:val="28"/>
          <w:sz w:val="28"/>
          <w:szCs w:val="28"/>
          <w:rtl w:val="true"/>
          <w:lang w:bidi="fa-IR"/>
        </w:rPr>
        <w:t xml:space="preserve">بناءً على ما ذكرنا من الجامع تجري البراءة لدى الشكّ في الأقلّ والأكثر، دون ما ذكره المحقّق الخراساني رحمه الله علیه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عرفت أنّ الصلاة عبارة عن الهيئة الخاصّة لا بشرط فانية فيها الكثرات والأجزاء، فبناءً عليه تكون الصلاة حقيقة وحدانية صادقة على الهيئة الحاصلة من تلك الموادّ، من غير أن تكون الكثرة ملحوظة فيها، ونسبة </w:t>
      </w:r>
    </w:p>
    <w:p>
      <w:pPr>
        <w:pStyle w:val="BookText"/>
        <w:rPr/>
      </w:pPr>
      <w:r>
        <w:rPr>
          <w:rFonts w:ascii="Amiri" w:hAnsi="Amiri" w:eastAsia="Amiri" w:cs="Amiri"/>
          <w:color w:val="111111"/>
          <w:sz w:val="28"/>
          <w:sz w:val="28"/>
          <w:szCs w:val="28"/>
          <w:rtl w:val="true"/>
          <w:lang w:bidi="ar-SA"/>
        </w:rPr>
        <w:t>الهيئة إلى المادّة ليست كنسبة المحصَّل إلى المحصِّل، بل هما متّحدان ذهناً وخارجاً نحو اتّحاد الصورة والمادّة، ويكون الأمر المتعلّق بالصلاة مع كونه واحداً على ماهية واحدة، لا أمراً بالأجزاء والكثرات، لكن ذلك الأمر الوحداني باعث إلى الأجزاء التي تنحلّ الماهية إليها، فالأمر بالواحد أمر بالكثرات في لحاظ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في حال الانحلال في جزئية شيء أو شرطيته للمأمور به، يرجع الشكّ إلى أصل تعلّق الأمر به في لحاظ الكثرة بعد العلم بتعلّقه بسائرها فيه، وبعد العلم بتحقّق المسمّى في الخارج، كما هو مذهب الأعمّي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غير الموادّ، وهي متعلّقة للأمر، والموادّ محصّلة لها، تجري البراءة في نفس الهيئة اللا بشرط الصادقة على القليل والكثير والطويل والقصير؛ لأنّ المفروض أنّ المسمّى صادق عليها، ومع صدقه إذا شكّ في شيء آخر دخيل في زيادة الهيئة كيفية أو كمّية، يكون مرجعه إلى الشكّ في خصوصية زائدة على أصل المسمّى؛ لصدقه عليه مع فقدانه، فالشكّ في تعلّق الأمر بهيئة حاصلة من 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كتسعة أجزاء أو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الأقلّ والأكثر في الهيئة، فتكون مورد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تسليم كون الموادّ بالنسبة إلى الهيئات كالمحصّل، وإلاّ فهو في معرض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ذكره المحقّق الخراساني فلا تجري البراءة ولو قلنا باتّحاد الأمر الانتزاعي مع الأجزاء؛ لأنّ المدّعى هو كون الصلاة أمراً بسيطاً مبدأً للأثر الخاصّ؛</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معراجية المؤمن والنهي عن الفحشاء، فإذا شكّ في جزء أو شرط يكون </w:t>
      </w:r>
    </w:p>
    <w:p>
      <w:pPr>
        <w:pStyle w:val="BookText"/>
        <w:rPr/>
      </w:pPr>
      <w:r>
        <w:rPr>
          <w:rFonts w:ascii="Amiri" w:hAnsi="Amiri" w:eastAsia="Amiri" w:cs="Amiri"/>
          <w:color w:val="111111"/>
          <w:sz w:val="28"/>
          <w:sz w:val="28"/>
          <w:szCs w:val="28"/>
          <w:rtl w:val="true"/>
          <w:lang w:bidi="ar-SA"/>
        </w:rPr>
        <w:t xml:space="preserve">راجعاً إلى تحقّق هذا البسيط؛ لاحتمال أن لا يكون المأتيّ به مبدأ الأثر الخاصّ، ولا فرق في ذلك بين كون المأمور به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مبدأً لهذا الأثر، سواء قيّدت به أو لا، فلا محيص في مقام الإتيان بالمأمور به عن حصول العلم بتحقّق ما تعلّق به الأمر وقامت عليه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ينحلّ المأمور به على ما ذكره إلى معلوم ومشكوك فيه، بل الأمر قد تعلّق بعنوان معلوم ولو بأ نّه مبدأ للأثر الكذائي، فلا بدّ من اليقين بالفراغ منه، بخلاف ما ذكرنا،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مذهب الصحيحي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توجيهه بأنّ مراده منه ما ينطبق على الموضوع له الصحيح بالحمل الشائع في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تصوّر الموضوع بعنوان لا ينفكّ عن الصحّة في الخارج، فلا محالة بعد تعلّق الأمر بذلك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نحو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الأصل عند الشكّ فيه هو الاشتغال؛ لما ذكرنا آنفاً، كان العنوان بسيطاً قابلاً للنقص والكمال والزيادة والنقصان، أو لا؛ لأ نّه مع الشكّ في الجزء أو الشرط يكون الشكّ في تحقّق المتعلّق، ومعه لا يمكن إحراز الفرد الملازم للصحّة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فيسقط 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البراءة،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إذا كان بسيطاً ذا مراتب يتحقّق بعض مراتبه بتحقّق بعض الاُمور المحصّلة له وشكّ في دخل شيء آخر في تحقّق مرتبته العليا، لكان مورداً للبراءة</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خروج عن مذهب الصحيحي؛ لأ نّه مع الشكّ في دخالة مرتبة من العنوان في المأمور به </w:t>
      </w:r>
      <w:bookmarkStart w:id="211" w:name="pg15283_146258"/>
    </w:p>
    <w:p>
      <w:pPr>
        <w:pStyle w:val="BookText"/>
        <w:rPr/>
      </w:pPr>
      <w:bookmarkEnd w:id="211"/>
      <w:r>
        <w:rPr>
          <w:rFonts w:ascii="Amiri" w:hAnsi="Amiri" w:eastAsia="Amiri" w:cs="Amiri"/>
          <w:color w:val="111111"/>
          <w:sz w:val="28"/>
          <w:sz w:val="28"/>
          <w:szCs w:val="28"/>
          <w:rtl w:val="true"/>
          <w:lang w:bidi="ar-SA"/>
        </w:rPr>
        <w:t xml:space="preserve">لا يعقل القطع بتحقّق المسمّى المأمور به على وصف الصحّة، ومع إحراز تحقّق بعض مراتبه والشكّ في صحّته يكون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جعل القول بالبراءة والاشتغال ثمرة للقول بالأعمّ والصحيح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ألفاظ العبادات وضعت بإزاء الماهية الجامعة لجميع الأجزاء والشرائط، وإطلاقها على غيرها بعناية وعلاقة، كان لجريان البراءة مجال، لكنّه بعيد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 هو هذه العناوين أو ما يلازمها اقتضاءً، لكان لجريانها وجه</w:t>
      </w:r>
      <w:r>
        <w:rPr>
          <w:rStyle w:val="FootnoteAnchor"/>
          <w:rtl w:val="true"/>
        </w:rPr>
        <w:footnoteReference w:id="1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لكنّه خروج عن مذهب الصحيحي</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4563221_2142443653"/>
      <w:bookmarkStart w:id="213" w:name="_Toc76"/>
      <w:bookmarkEnd w:id="212"/>
      <w:r>
        <w:rPr>
          <w:rtl w:val="true"/>
        </w:rPr>
        <w:t>الثمرة الثانية</w:t>
      </w:r>
      <w:r>
        <w:rPr>
          <w:rtl w:val="true"/>
        </w:rPr>
        <w:t xml:space="preserve">: </w:t>
      </w:r>
      <w:r>
        <w:rPr>
          <w:rtl w:val="true"/>
        </w:rPr>
        <w:t>صحّة التمسّك بالإطلاق على الأعمّ</w:t>
      </w:r>
      <w:bookmarkEnd w:id="213"/>
    </w:p>
    <w:p>
      <w:pPr>
        <w:pStyle w:val="BookText"/>
        <w:rPr/>
      </w:pPr>
      <w:r>
        <w:rPr>
          <w:rFonts w:ascii="Amiri" w:hAnsi="Amiri" w:eastAsia="Amiri" w:cs="Amiri"/>
          <w:color w:val="111111"/>
          <w:sz w:val="28"/>
          <w:sz w:val="28"/>
          <w:szCs w:val="28"/>
          <w:rtl w:val="true"/>
          <w:lang w:bidi="ar-SA"/>
        </w:rPr>
        <w:t>وتظهر الثمرة بين القولين أيضاً بصحّة التمسّك بالإطلاق على الأعمّ دون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ليس في الكتاب والسنّة إطلاق في مقام البيان حتّى يثمر النزاع</w:t>
      </w:r>
      <w:r>
        <w:rPr>
          <w:rStyle w:val="FootnoteAnchor"/>
          <w:rtl w:val="true"/>
        </w:rPr>
        <w:footnoteReference w:id="176"/>
      </w:r>
      <w:r>
        <w:rPr>
          <w:rFonts w:ascii="IRNazanin" w:hAnsi="IRNazanin" w:eastAsia="IRNazanin"/>
          <w:color w:val="111111"/>
          <w:sz w:val="28"/>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المأمور به هو الصحيح على القولين، والأخذ بالإطلاق بعد التقييد أخذ في الشبهة المصداقية</w:t>
      </w:r>
      <w:r>
        <w:rPr>
          <w:rStyle w:val="FootnoteAnchor"/>
          <w:rtl w:val="true"/>
        </w:rPr>
        <w:footnoteReference w:id="177"/>
      </w:r>
      <w:r>
        <w:rPr>
          <w:rFonts w:ascii="Amiri" w:hAnsi="Amiri" w:eastAsia="Amiri" w:cs="Amiri"/>
          <w:color w:val="111111"/>
          <w:sz w:val="28"/>
          <w:sz w:val="28"/>
          <w:szCs w:val="28"/>
          <w:rtl w:val="true"/>
          <w:lang w:bidi="ar-SA"/>
        </w:rPr>
        <w:t>مردود؛ ضرورة مجازفة الدعوى الاُولى، كما يظهر للمراجع</w:t>
      </w:r>
      <w:r>
        <w:rPr>
          <w:rFonts w:eastAsia="Amiri" w:cs="Amiri" w:ascii="Amiri" w:hAnsi="Amiri"/>
          <w:color w:val="111111"/>
          <w:sz w:val="28"/>
          <w:szCs w:val="28"/>
          <w:rtl w:val="true"/>
          <w:lang w:bidi="ar-SA"/>
        </w:rPr>
        <w:t xml:space="preserve">. </w:t>
      </w:r>
      <w:bookmarkStart w:id="214" w:name="pg15283_146259"/>
    </w:p>
    <w:p>
      <w:pPr>
        <w:pStyle w:val="BookText"/>
        <w:rPr/>
      </w:pPr>
      <w:bookmarkEnd w:id="214"/>
      <w:r>
        <w:rPr>
          <w:rFonts w:ascii="Amiri" w:hAnsi="Amiri" w:eastAsia="Amiri" w:cs="Amiri"/>
          <w:color w:val="111111"/>
          <w:sz w:val="28"/>
          <w:sz w:val="28"/>
          <w:szCs w:val="28"/>
          <w:rtl w:val="true"/>
          <w:lang w:bidi="ar-SA"/>
        </w:rPr>
        <w:t>وأمّا ما قيل من كفاية الثمرة الفرضية للمسألة الاُصولية</w:t>
      </w:r>
      <w:r>
        <w:rPr>
          <w:rStyle w:val="FootnoteAnchor"/>
          <w:rtl w:val="true"/>
        </w:rPr>
        <w:footnoteReference w:id="1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متعلّقة بنفس العناوين على الأعمّ، ولا ينافي تقيّدها بقيود منفصلة، فإذا ورد مطلق في مقام البيان نأخذ بإطلاقه ما لم يرد مقيّد، ونحكم بصحّة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تعلّقها بعنوان الصحيح أو ما يلازمه، ففي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المخصّص لبّي غير ارتكازي، وفي مثله يجوز التمسّك بالعامّ في الشبهة المصداقية</w:t>
      </w:r>
      <w:r>
        <w:rPr>
          <w:rStyle w:val="FootnoteAnchor"/>
          <w:rtl w:val="true"/>
        </w:rPr>
        <w:footnoteReference w:id="1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ففيه منع؛ لعدم الفرق بين اللبّي الغير الارتكازي واللفظي المنفصل في عدم جواز التمسّك وسقوط أصالة الجدّ لدى العقلاء، والتحقيق موكول إلى محلّه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4563223_2142443653"/>
      <w:bookmarkStart w:id="216" w:name="_Toc77"/>
      <w:bookmarkEnd w:id="215"/>
      <w:r>
        <w:rPr>
          <w:rtl w:val="true"/>
        </w:rPr>
        <w:t>حول أدلّة الصحيحي والأعمّي</w:t>
      </w:r>
      <w:bookmarkEnd w:id="216"/>
    </w:p>
    <w:p>
      <w:pPr>
        <w:pStyle w:val="Heading4"/>
        <w:numPr>
          <w:ilvl w:val="3"/>
          <w:numId w:val="1"/>
        </w:numPr>
        <w:rPr/>
      </w:pPr>
      <w:bookmarkStart w:id="217" w:name="__RefHeading___Toc4563225_2142443653"/>
      <w:bookmarkStart w:id="218" w:name="_Toc78"/>
      <w:bookmarkEnd w:id="217"/>
      <w:r>
        <w:rPr>
          <w:rtl w:val="true"/>
        </w:rPr>
        <w:t>الإشكال في استدلال الصحيحي بالتبادر</w:t>
      </w:r>
      <w:bookmarkEnd w:id="218"/>
    </w:p>
    <w:p>
      <w:pPr>
        <w:pStyle w:val="BookText"/>
        <w:rPr/>
      </w:pPr>
      <w:r>
        <w:rPr>
          <w:rFonts w:ascii="Amiri" w:hAnsi="Amiri" w:eastAsia="Amiri" w:cs="Amiri"/>
          <w:color w:val="111111"/>
          <w:sz w:val="28"/>
          <w:sz w:val="28"/>
          <w:szCs w:val="28"/>
          <w:rtl w:val="true"/>
          <w:lang w:bidi="ar-SA"/>
        </w:rPr>
        <w:t>إذا عرفت ذلك، فقد تمسّك كلّ من الصحيحي</w:t>
      </w:r>
      <w:r>
        <w:rPr>
          <w:rStyle w:val="FootnoteAnchor"/>
          <w:rtl w:val="true"/>
        </w:rPr>
        <w:footnoteReference w:id="181"/>
      </w:r>
      <w:r>
        <w:rPr>
          <w:rFonts w:ascii="Amiri" w:hAnsi="Amiri" w:eastAsia="Amiri" w:cs="Amiri"/>
          <w:color w:val="111111"/>
          <w:sz w:val="28"/>
          <w:sz w:val="28"/>
          <w:szCs w:val="28"/>
          <w:rtl w:val="true"/>
          <w:lang w:bidi="ar-SA"/>
        </w:rPr>
        <w:t>والأعمّي</w:t>
      </w:r>
      <w:r>
        <w:rPr>
          <w:rStyle w:val="FootnoteAnchor"/>
          <w:rtl w:val="true"/>
        </w:rPr>
        <w:footnoteReference w:id="182"/>
      </w:r>
      <w:r>
        <w:rPr>
          <w:rFonts w:ascii="Amiri" w:hAnsi="Amiri" w:eastAsia="Amiri" w:cs="Amiri"/>
          <w:color w:val="111111"/>
          <w:sz w:val="28"/>
          <w:sz w:val="28"/>
          <w:szCs w:val="28"/>
          <w:rtl w:val="true"/>
          <w:lang w:bidi="ar-SA"/>
        </w:rPr>
        <w:t>بالتبادر وغيره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هو التبادر، لكن دعواه للصحيح محلّ إشكال؛ لأنّ معنى التبادر هو فهم المعنى من اللفظ، ولا يمكن أن يتبادر منه أمر زائد عن الموضوع له من </w:t>
      </w:r>
    </w:p>
    <w:p>
      <w:pPr>
        <w:pStyle w:val="BookText"/>
        <w:rPr/>
      </w:pPr>
      <w:r>
        <w:rPr>
          <w:rFonts w:ascii="Amiri" w:hAnsi="Amiri" w:eastAsia="Amiri" w:cs="Amiri"/>
          <w:color w:val="111111"/>
          <w:sz w:val="28"/>
          <w:sz w:val="28"/>
          <w:szCs w:val="28"/>
          <w:rtl w:val="true"/>
          <w:lang w:bidi="ar-SA"/>
        </w:rPr>
        <w:t>اللوازم الذهنية أو الخارجية للمعنى؛ لعدم كونها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تبادر نفس المعنى ينتقل الذهن إلى لوازمه ولوازم لوازمه، وقد ينتقل الذهن بواسطة جهات واُنس ذهني من المعنى إلى مصاديقه ولوازمها الوجودية، بل إلى عوارضها الاتّفاقية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الموضوع له للفظ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بسيطة مجهولة إلاّ ببعض العناوين المتأخّرة عن الموضوع له،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الناهي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فلا بدّ لمدّعي التبادر أن يدّعي تبادر نفس المعنى من اللفظ مقدّماً على فهم تلك العناوين، سواء كانت من لوازم الماهية أو عوارض الوجود كما هو الحقّ؛ فإنّ النهي عن الفحشاء وغيره ممّا ذكر ليس من لوازم الماهية بالبداهة، ولا يمكن أن يكون من آثار نفسها؛ لعدم كونها منشأً للأثر، وإنّما تلك الآثار من وجودها الخارجي، كما أنّ الصحّة والفساد من عوارضها الخارجية؛ أي عوارض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يكون انتقال الذهن من لفظ الصلاة إلى ذات الموضوع له أوّلاً، وإلى مصاديقه ثانياً لأجل اُنس الذهن، وإلى الصحّة ثالثاً بواسطة الارتكاز العقلائي، وكذا إلى تلك العناوين بعد معرّفية الشارع في الرتبة المتأخّرة أو الآن المتأخّر عن تبادر المعنى الموضوع له، فلا يمكن أن تكون تلك العناوين مطلقاً معرّفة للمعنى لتصحيح التبادر؛ لتأخّر رتبتها بمرتبة أو مرتبتين عنه، فحينئذٍ يبقى الموضوع له مجهول العنوان والحقيقة في وعاء التبادر، فلا يمكن تبادر المجهول المطلق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واللوازم والعوارض وإن كانت من معرّفات الشيء إنّاً، والشيء يعرف </w:t>
      </w:r>
      <w:bookmarkStart w:id="219" w:name="pg15283_146261"/>
    </w:p>
    <w:p>
      <w:pPr>
        <w:pStyle w:val="BookText"/>
        <w:rPr/>
      </w:pPr>
      <w:bookmarkEnd w:id="219"/>
      <w:r>
        <w:rPr>
          <w:rFonts w:ascii="Amiri" w:hAnsi="Amiri" w:eastAsia="Amiri" w:cs="Amiri"/>
          <w:color w:val="111111"/>
          <w:sz w:val="28"/>
          <w:sz w:val="28"/>
          <w:szCs w:val="28"/>
          <w:rtl w:val="true"/>
          <w:lang w:bidi="ar-SA"/>
        </w:rPr>
        <w:t>بمعاليله وآثاره وعوارضه، لكن لا يمكن أن تكون مصحّحة للتبادر ومعرّفة للمعنى لأجل تصحيحه؛ لأنّ فهم المعنى من اللفظ سابق على فهم العناوين اللازمة للذات والعارضة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التبادر للصحيحي ممّا لا مصحّح معقول لها، فما يتخيّل أنّه يتبادر من لفظ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منشؤه الخلط بين تبادر المعنى الذي لا يتّصف بالصحّة والفساد في مرتبة ذاته وماهيته، وبين فهم الاُمور الخارجة عن فهم المعنى ممّا هو من عوارض المصاديق لأجل اُنس الذهن، فتدبّر</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4563227_2142443653"/>
      <w:bookmarkStart w:id="221" w:name="_Toc79"/>
      <w:bookmarkEnd w:id="220"/>
      <w:r>
        <w:rPr>
          <w:rtl w:val="true"/>
        </w:rPr>
        <w:t>الإشكال في استدلال الصحيحي بصحّة السلب</w:t>
      </w:r>
      <w:bookmarkEnd w:id="221"/>
    </w:p>
    <w:p>
      <w:pPr>
        <w:pStyle w:val="BookText"/>
        <w:rPr/>
      </w:pPr>
      <w:r>
        <w:rPr>
          <w:rFonts w:ascii="Amiri" w:hAnsi="Amiri" w:eastAsia="Amiri" w:cs="Amiri"/>
          <w:color w:val="111111"/>
          <w:sz w:val="28"/>
          <w:sz w:val="28"/>
          <w:szCs w:val="28"/>
          <w:rtl w:val="true"/>
          <w:lang w:bidi="ar-SA"/>
        </w:rPr>
        <w:t>وممّا ذكرنا يتّضح الإشكال على صحّة السلب عن الفاسدة؛ لأنّ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صحّة سلب المعنى مع معرّفيته بتلك العناوين المتأخّرة وجوداً وعلماً،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فواضح؛ لأنّ سلب المعنى المجهول ممّا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فمصادرة؛ لأنّ مرجع صحّة سلب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 للصحّة الفعلية إلى صحّة سلب الصلاة الصحيحة عن الفاسدة، وهو أمر واضح، لكن لا تدلّ على أنّ المسمّى هو الصحيحة، فسلب نفس المعنى بما هو هو غير ممكن للجهل به، وسلب المعنى بمعرّفية هذه العناوين غير مفيد؛ فإنّها معرّفات الصحيحة، وللأعمّي أن يدّعي أنّ الصلاة المعرّفة بهذه العناوين قسم من المسمّى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يعرف حال صحّة الحمل الأوّلي، وأمّا الشائع فلا يفيد أصلاً</w:t>
      </w:r>
      <w:r>
        <w:rPr>
          <w:rFonts w:eastAsia="Amiri" w:cs="Amiri" w:ascii="Amiri" w:hAnsi="Amiri"/>
          <w:color w:val="111111"/>
          <w:sz w:val="28"/>
          <w:szCs w:val="28"/>
          <w:rtl w:val="true"/>
          <w:lang w:bidi="ar-SA"/>
        </w:rPr>
        <w:t xml:space="preserve">. </w:t>
      </w:r>
      <w:bookmarkStart w:id="222" w:name="pg15283_146262"/>
    </w:p>
    <w:p>
      <w:pPr>
        <w:pStyle w:val="Heading4"/>
        <w:numPr>
          <w:ilvl w:val="3"/>
          <w:numId w:val="1"/>
        </w:numPr>
        <w:rPr/>
      </w:pPr>
      <w:bookmarkStart w:id="223" w:name="__RefHeading___Toc4563229_2142443653"/>
      <w:bookmarkStart w:id="224" w:name="_Toc80"/>
      <w:bookmarkEnd w:id="222"/>
      <w:bookmarkEnd w:id="223"/>
      <w:r>
        <w:rPr>
          <w:rtl w:val="true"/>
        </w:rPr>
        <w:t>دفع الإشكال وتصحيح دعوى التبادر للصحيحي ثبوتاً</w:t>
      </w:r>
      <w:bookmarkEnd w:id="224"/>
    </w:p>
    <w:p>
      <w:pPr>
        <w:pStyle w:val="BookText"/>
        <w:rPr/>
      </w:pPr>
      <w:r>
        <w:rPr>
          <w:rFonts w:ascii="Amiri" w:hAnsi="Amiri" w:eastAsia="Amiri" w:cs="Amiri"/>
          <w:color w:val="111111"/>
          <w:sz w:val="28"/>
          <w:sz w:val="28"/>
          <w:szCs w:val="28"/>
          <w:rtl w:val="true"/>
          <w:lang w:bidi="ar-SA"/>
        </w:rPr>
        <w:t xml:space="preserve">هذا، ويمكن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الإشكال بعد التنبّه إلى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وضع اللغات في جميع الألسنة لمّا كان على نحو التدريج حسب الاحتياجات الماسّة إليه، يشبه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خصوص الوضع وعموم الموضوع له بالمعنى الذي تقدّم</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من كون الخاصّ ملحوظاً حين الوضع ووضع اللفظ بإزاء الجامع الملحوظ بتبعه إجمالاً، عكس عموم الوضع وخصوص الموضوع له؛ لأنّ الانتقال حال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بعض المصاديق إلى الجوامع بعنوان كونها جامعة لها، من غير التفات إلى حقائقها وأجناسها وفصولها، فوضعت الألفاظ بإزائها بمعرّفية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عثر البشر على شيء ورأى احتياجه إلى تسميته باسم، وضع لفظاً له من غير نظر إلى خصوصيته الشخصية، بل لجامعه وطبيعته النوعية من غير اطّلاع على جنسها وفصلها، بل بما أنّه جامع بينه وبين غيره من الأفراد، لا لهذا العنوان، بل بمعرّفيته لنفس الطبيعة المعلومة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أحد القطع بأنّ ديدن الواضعين كان كذلك نوعاً، خصوصاً في المصنوعات والمخترعات، بل والطبائع التي اطّلع البشر على مصداقها في الأزمنة السابقة جدّاً، ووضع اللفظ لجامعها بنحو، لم يكن مجازفاً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كيفية الوضع كذلك يمكن أن يكون التبادر وصحّة السلب كذلك؛ أي </w:t>
      </w:r>
    </w:p>
    <w:p>
      <w:pPr>
        <w:pStyle w:val="BookText"/>
        <w:rPr/>
      </w:pPr>
      <w:r>
        <w:rPr>
          <w:rFonts w:ascii="Amiri" w:hAnsi="Amiri" w:eastAsia="Amiri" w:cs="Amiri"/>
          <w:color w:val="111111"/>
          <w:sz w:val="28"/>
          <w:sz w:val="28"/>
          <w:szCs w:val="28"/>
          <w:rtl w:val="true"/>
          <w:lang w:bidi="ar-SA"/>
        </w:rPr>
        <w:t>بهذا المعنى الإجمالي،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يتبادر من لفظ الحنطة والشعير معنىً إجمالي يعرف بأ نّه جامع لهما، فيدّعي الصحيحي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ارتكاز المتشرّعة يتبادر منها معنىً إجمالي هو الجامع الذي لا ينطبق إلاّ على الأفراد الصحيحة، كما أنّ الوضع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فالمتبادر من ألفاظ العبادات هو الجوامع المعلومة ببعض العناوين، لا مثل ما ذكره المحقّق الخراساني</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فإنّها مغفول عنها حين سماع لفظ الصلاة، بل مثل ما يكون جامعاً للأفراد الصحيحة على دعوى الصحيحي، أو الأعمّ منها على الأعمّي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هو تصحيح دعوى التبادر تصوّراً وثبوتاً، وأمّا إثباتاً فلا إشكال في أنّ المتبادر من ألفاظ العبادات في عصرنا هو نفس الطبائع بما هي، لا بما هي ملزومة اللوازم أو معروضة العوارض، كما أنّ طريقة الواضع كذلك، فمن صنع السيّارة وأراد تسميتها باسم، أشار إلى الشخص المصنوع الموجود بين يديه وسمّاه باسم، لا بما أنّه اسم لشخص خاصّ في زمان ومكان خاصّين وغير ذلك من المشخّصات، بل يشير بالتوجّه إليه إلى نفس الجامع من غير لحاظ الخصوصيات من الصحّة والفساد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إنكار تبادر نفس الطبائع في زماننا لا مجال له، كما أنّ المراجع للأخبار والآثار يقطع بأنّ زمان الصادقين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نشر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كذلك، بل دعوى كون عصر النبي صلی الله علیه و آله وسلم  كذلك أيضاً قريبة جدّاً</w:t>
      </w:r>
      <w:r>
        <w:rPr>
          <w:rFonts w:eastAsia="IRNazanin" w:cs="IRNazanin"/>
          <w:color w:val="111111"/>
          <w:sz w:val="28"/>
          <w:szCs w:val="28"/>
          <w:rtl w:val="true"/>
          <w:lang w:bidi="fa-IR"/>
        </w:rPr>
        <w:t xml:space="preserve">. </w:t>
      </w:r>
      <w:bookmarkStart w:id="225" w:name="pg15283_146264"/>
    </w:p>
    <w:p>
      <w:pPr>
        <w:pStyle w:val="Heading4"/>
        <w:numPr>
          <w:ilvl w:val="3"/>
          <w:numId w:val="1"/>
        </w:numPr>
        <w:rPr/>
      </w:pPr>
      <w:bookmarkStart w:id="226" w:name="__RefHeading___Toc4563231_2142443653"/>
      <w:bookmarkStart w:id="227" w:name="_Toc81"/>
      <w:bookmarkEnd w:id="225"/>
      <w:bookmarkEnd w:id="226"/>
      <w:r>
        <w:rPr>
          <w:rtl w:val="true"/>
        </w:rPr>
        <w:t>استدلال الأعمّي بصحّة تعلّق النذر بترك الصلاة في الأمكنة المكروهة</w:t>
      </w:r>
      <w:bookmarkEnd w:id="227"/>
    </w:p>
    <w:p>
      <w:pPr>
        <w:pStyle w:val="BookText"/>
        <w:rPr/>
      </w:pPr>
      <w:r>
        <w:rPr>
          <w:rFonts w:ascii="Amiri" w:hAnsi="Amiri" w:eastAsia="Amiri" w:cs="Amiri"/>
          <w:color w:val="111111"/>
          <w:sz w:val="28"/>
          <w:sz w:val="28"/>
          <w:szCs w:val="28"/>
          <w:rtl w:val="true"/>
          <w:lang w:bidi="ar-SA"/>
        </w:rPr>
        <w:t>وقد استدلّ للصحيح والأعمّ بأدلّة غير تامّة لا داعي للتعرّض لها إلاّ لمورد واحد استدلّ به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صحّة تعلّق النذر بترك الصلاة في الأمكنة المكروهة وحنث النذر بفعلها فيها، فلو كانت موضوعة للصحيحة يلزم منه عدم قدرة المكلّف على إتيانها، ومع عدم القدرة لا يمكن توجّه الأمر بالوفاء بالنذر، فيلزم من صحّة النذر عدم صحّته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وارد على الأعمّي أيضاً؛ فإنّ ما هو مكروه في تلك الأمكنة هو الصلاة المكتوبة على المكلّفين، لا الإتيان بالصورة المعهودة، فما هو متعلّق النذر هو هي، فحينئذٍ يرد الإشكال عليه أيضاً، فيكون أجنبيّاً عن نزاع الصحيحي والأعمّي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دفع أصله، فالتحقيق فيه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بالصلاة تعلّق بنفس الطبيعة، من غير لحاظ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زمانية أو 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متعلّقه، فوقوعها في الحمّام والبيت والمسجد ليس بمأمور به، والأمر المتعلّق بعنوان لا يمكن أن يتجاوز منه إلى غيره، فخصوصية وقوعها في الحمّام غير مأمور به، وأمّا النهي التنزيهي فلم يتعلّق بنفس الطبيعة المتعلّقة للأمر، بل تعلّق بإيقاعها في الحمّام، فحينئذٍ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صحيحة ومأمور بها، وإيقاعها في </w:t>
      </w:r>
    </w:p>
    <w:p>
      <w:pPr>
        <w:pStyle w:val="BookText"/>
        <w:rPr/>
      </w:pPr>
      <w:r>
        <w:rPr>
          <w:rFonts w:ascii="Amiri" w:hAnsi="Amiri" w:eastAsia="Amiri" w:cs="Amiri"/>
          <w:color w:val="111111"/>
          <w:sz w:val="28"/>
          <w:sz w:val="28"/>
          <w:szCs w:val="28"/>
          <w:rtl w:val="true"/>
          <w:lang w:bidi="ar-SA"/>
        </w:rPr>
        <w:t>الحمّام مكروه ومتعلّق النذر، فتصحّ صلاته ويحنث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أفاد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الحمّام بعد تعلّق النذر بها ينطبق عليها عناوين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الصلاة، وهو عنوان ذاتي لها، وهي مصداق ذاتي له، وعنوان كونها في الحمّام، وهو عنوان عرضي لها، وهي مصداق بالعرض له، وعنوان كونها مخالفة للنذر،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عرضي لها، وهي مصداق بالعرض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منافاة بين تعلّق الأمر بذات الصلاة، والأمر الآتي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الثاني تعلّق بعنوان الوفاء، والأوّل بعنوان ذاتها، فإذا صلّى في الحمّام فعل ما</w:t>
      </w:r>
    </w:p>
    <w:p>
      <w:pPr>
        <w:pStyle w:val="BookText"/>
        <w:rPr/>
      </w:pPr>
      <w:r>
        <w:rPr>
          <w:rFonts w:ascii="Amiri" w:hAnsi="Amiri" w:eastAsia="Amiri" w:cs="Amiri"/>
          <w:color w:val="111111"/>
          <w:sz w:val="28"/>
          <w:sz w:val="28"/>
          <w:szCs w:val="28"/>
          <w:rtl w:val="true"/>
          <w:lang w:bidi="ar-SA"/>
        </w:rPr>
        <w:t>هو مصداق الواجب بالذات وما هو مصداق تخلّف النذر بالعرض، وهو عنوان زائد على ذات الصلاة منطبق على مصداقها انطباقاً عرضياً، فلو فرض تعلّق النذر بذات الصلاة في الحمّام لم تصر محرّمة، بل المحرّم عنوان تخلّف النذر المنطبق عليها عرضاً، فحينئذٍ كما لا يجتمع الأمر والنهي والوجوب والحرمة في شيء واحد، كذلك يمكن قصد التقرّب بذات الصلاة الغير المحرّمة وإن انطبق عليها عنوان محرّم زائد على ذاتها، تأمّل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حال العبادات</w:t>
      </w:r>
      <w:r>
        <w:rPr>
          <w:rFonts w:eastAsia="IRNazanin" w:cs="IRNazanin"/>
          <w:color w:val="111111"/>
          <w:sz w:val="28"/>
          <w:szCs w:val="28"/>
          <w:rtl w:val="true"/>
          <w:lang w:bidi="fa-IR"/>
        </w:rPr>
        <w:t xml:space="preserve">. </w:t>
      </w:r>
      <w:bookmarkStart w:id="228" w:name="pg15283_146266"/>
    </w:p>
    <w:p>
      <w:pPr>
        <w:pStyle w:val="Heading4"/>
        <w:numPr>
          <w:ilvl w:val="3"/>
          <w:numId w:val="1"/>
        </w:numPr>
        <w:rPr/>
      </w:pPr>
      <w:bookmarkStart w:id="229" w:name="__RefHeading___Toc4563233_2142443653"/>
      <w:bookmarkStart w:id="230" w:name="_Toc82"/>
      <w:bookmarkEnd w:id="228"/>
      <w:bookmarkEnd w:id="229"/>
      <w:r>
        <w:rPr>
          <w:rtl w:val="true"/>
        </w:rPr>
        <w:t>القول في المعاملات</w:t>
      </w:r>
      <w:bookmarkEnd w:id="230"/>
    </w:p>
    <w:p>
      <w:pPr>
        <w:pStyle w:val="BookText"/>
        <w:rPr/>
      </w:pPr>
      <w:r>
        <w:rPr>
          <w:rFonts w:ascii="Amiri" w:hAnsi="Amiri" w:eastAsia="Amiri" w:cs="Amiri"/>
          <w:color w:val="111111"/>
          <w:sz w:val="28"/>
          <w:sz w:val="28"/>
          <w:szCs w:val="28"/>
          <w:rtl w:val="true"/>
          <w:lang w:bidi="ar-SA"/>
        </w:rPr>
        <w:t>وأمّا المعاملات فيتمّ الكلام فيها في ضمن اُمور</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4563235_2142443653"/>
      <w:bookmarkStart w:id="232" w:name="_Toc83"/>
      <w:bookmarkEnd w:id="231"/>
      <w:r>
        <w:rPr>
          <w:rtl w:val="true"/>
        </w:rPr>
        <w:t>الأوّل</w:t>
      </w:r>
      <w:r>
        <w:rPr>
          <w:rtl w:val="true"/>
        </w:rPr>
        <w:t xml:space="preserve">: </w:t>
      </w:r>
      <w:r>
        <w:rPr>
          <w:rtl w:val="true"/>
        </w:rPr>
        <w:t>في عدم جريان النزاع بناءً على الوضع للمسبّبات</w:t>
      </w:r>
      <w:bookmarkEnd w:id="232"/>
    </w:p>
    <w:p>
      <w:pPr>
        <w:pStyle w:val="BookText"/>
        <w:rPr/>
      </w:pPr>
      <w:r>
        <w:rPr>
          <w:rFonts w:ascii="Amiri" w:hAnsi="Amiri" w:eastAsia="Amiri" w:cs="Amiri"/>
          <w:color w:val="111111"/>
          <w:sz w:val="28"/>
          <w:sz w:val="28"/>
          <w:szCs w:val="28"/>
          <w:rtl w:val="true"/>
          <w:lang w:bidi="ar-SA"/>
        </w:rPr>
        <w:t>إنّ المعروف عدم جريان النزاع بناءً على وضعها للمسبّبات؛ لأنّ الأمر فيها دائر بين الوجود والعدم، لا الصحّة والفساد</w:t>
      </w:r>
      <w:r>
        <w:rPr>
          <w:rStyle w:val="FootnoteAnchor"/>
          <w:rtl w:val="true"/>
        </w:rPr>
        <w:footnoteReference w:id="186"/>
      </w:r>
      <w:r>
        <w:rPr>
          <w:rFonts w:ascii="Amiri" w:hAnsi="Amiri" w:eastAsia="Amiri" w:cs="Amiri"/>
          <w:color w:val="111111"/>
          <w:sz w:val="28"/>
          <w:sz w:val="28"/>
          <w:szCs w:val="28"/>
          <w:rtl w:val="true"/>
          <w:lang w:bidi="ar-SA"/>
        </w:rPr>
        <w:t>لأ نّهما أمران عارضان على الماهية بعد وجودها أو على وجودها، وماهيات المعاملات اُمور اعتبارية متقوّمة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موافق للعرف فيها، فتكون المعاملة العرفية بعد اجتماع شرائط تحقّقها محقّقة معتبرة عرفاً وشرعاً، وعند عدم اجتماعها غير محقّقة ولا معتبرة، فلا معنى للفساد فيها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مخالف له، كما في نكاح بعض المحارم والبيع الربوي، فيرجع مخالفته إلى عدم اعتباره لها، وردعه إلى إعدام الموضوع ونفي الاعتبار؛ فإنّ نفي الآثار مع اعتبار الموضوع ممّا لا مجال له؛ للزوم اللغوية باعتبار ما لا أثر له بوجه، ولو سلّم جوازه فمخالف لارتكاز المتشرّعة؛ لأنّ نكاح المحارم غير واقع ولا مؤثّر رأساً عندهم كالبيع الربوي، فيدور أمر المعاملات </w:t>
      </w:r>
      <w:bookmarkStart w:id="233" w:name="pg15283_146267"/>
    </w:p>
    <w:p>
      <w:pPr>
        <w:pStyle w:val="BookText"/>
        <w:rPr/>
      </w:pPr>
      <w:bookmarkEnd w:id="233"/>
      <w:r>
        <w:rPr>
          <w:rFonts w:ascii="Amiri" w:hAnsi="Amiri" w:eastAsia="Amiri" w:cs="Amiri"/>
          <w:color w:val="111111"/>
          <w:sz w:val="28"/>
          <w:sz w:val="28"/>
          <w:szCs w:val="28"/>
          <w:rtl w:val="true"/>
          <w:lang w:bidi="ar-SA"/>
        </w:rPr>
        <w:t>المسبّبية بين الوجود والعدم، لا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المعاملات المعتبرة عند العقلاء لا يترتّب عليها الآثار لدى الشارع، فيعتبر تحقّق الموضوع في محيط العرف وعدم ترتّب الآثار في محيط التشريع، فباعتبار أنّها محقّقة معتبرة لدى العرف، ولا يترتّب عليها الآثار لدى الشرع،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فاسدة، وأمّا مع لحاظ كلّ محيط فالأمر دائر بين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الالتزام بأنّ المسبّبات اُمور واقعية كشف عنها الشارع، ويرجع ردعه إلى عدم ترتيب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التخصيص الحكمي بعد تحقّق الأمر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مقطوع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وضعها للأسباب، فيجري النزاع فيها كالعبادات</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4563237_2142443653"/>
      <w:bookmarkStart w:id="235" w:name="_Toc84"/>
      <w:bookmarkEnd w:id="234"/>
      <w:r>
        <w:rPr>
          <w:rtl w:val="true"/>
        </w:rPr>
        <w:t>الثاني</w:t>
      </w:r>
      <w:r>
        <w:rPr>
          <w:rtl w:val="true"/>
        </w:rPr>
        <w:t xml:space="preserve">: </w:t>
      </w:r>
      <w:r>
        <w:rPr>
          <w:rtl w:val="true"/>
        </w:rPr>
        <w:t>في اختلاف الشرع والعرف في المقام</w:t>
      </w:r>
      <w:bookmarkEnd w:id="235"/>
    </w:p>
    <w:p>
      <w:pPr>
        <w:pStyle w:val="BookText"/>
        <w:rPr/>
      </w:pPr>
      <w:r>
        <w:rPr>
          <w:rFonts w:ascii="Amiri" w:hAnsi="Amiri" w:eastAsia="Amiri" w:cs="Amiri"/>
          <w:color w:val="111111"/>
          <w:sz w:val="28"/>
          <w:sz w:val="28"/>
          <w:szCs w:val="28"/>
          <w:rtl w:val="true"/>
          <w:lang w:bidi="ar-SA"/>
        </w:rPr>
        <w:t xml:space="preserve">بناءً على كون الأسامي للصحيح من الأسباب، يرجع اختلاف الشرع والعرف إلى مفهومها، لا إلى المصاديق فقط، كما التزم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لأنّ الموضوع له؛ إمّا العقد الصحيح بالحمل الأوّلي أو بالحمل الشائع؛ أي ما هو المؤثّر خارجاً، وهما واضحا البطلان، ولا أظنّه يلتزم بهما، فلا بدّ من القول بأ نّها وضعت لماهية إذا وجدت في الخارج لا تنطبق إلاّ على الصحيح المؤثّر، فحينئذٍ لا بدّ من الالتزام بتضييق دائرة المفهوم؛ حتّى لا ينطبق إلاّ على</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المؤثّر عنده</w:t>
      </w:r>
      <w:r>
        <w:rPr>
          <w:rFonts w:eastAsia="IRNazanin" w:cs="IRNazanin"/>
          <w:color w:val="111111"/>
          <w:sz w:val="28"/>
          <w:szCs w:val="28"/>
          <w:rtl w:val="true"/>
          <w:lang w:bidi="fa-IR"/>
        </w:rPr>
        <w:t xml:space="preserve">. </w:t>
      </w:r>
      <w:bookmarkStart w:id="236" w:name="pg15283_146268"/>
    </w:p>
    <w:p>
      <w:pPr>
        <w:pStyle w:val="BookText"/>
        <w:rPr/>
      </w:pPr>
      <w:bookmarkEnd w:id="236"/>
      <w:r>
        <w:rPr>
          <w:rFonts w:ascii="Amiri" w:hAnsi="Amiri" w:eastAsia="Amiri" w:cs="Amiri"/>
          <w:color w:val="111111"/>
          <w:sz w:val="28"/>
          <w:sz w:val="28"/>
          <w:szCs w:val="28"/>
          <w:rtl w:val="true"/>
          <w:lang w:bidi="ar-SA"/>
        </w:rPr>
        <w:t xml:space="preserve">فإذا كان الأثر مترتّباً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الإيجاب والقبول العربيين الماضويين مع تقدّم الإيجاب، ولدى العرف مترتّباً عليهما مطلقاً، فيختلفان في المفهوم والماهية، ولا يعقل رجوع الاختلاف إلى المصاديق مع الموافقة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وضعها للأسباب الصحيحة يلزم إجمال الخطاب وعدم جواز التمسّك بالإطلاق؛ لأنّ ماهية ما هو المؤثّر لدى الشرع غير ما هو المؤثّر لدى العرف، فإذا احتمل دخالة قيد أو شرط فيها يرجع ذلك إلى الشكّ في الموضوع، فتصير الشبهة مصداقية، بخلاف ما إذا كانت أسامي للأعمّ أو للصحيح عرفاً؛ فإنّه على الأوّل يؤخذ بالإطلاق بعد صدق الأعمّ، ويرفع الشكّ به حتّى بالنسبة إلى الشرائط العرفية على فرضها، وعلى الثاني يرفع الشكّ بالنسبة إلى الشرائط الشرعية بعد إحراز الموضوع العرفي، فما أفاده المحقّق الخراساني</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ممّا لا مجال لتصديقه</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4563239_2142443653"/>
      <w:bookmarkStart w:id="238" w:name="_Toc85"/>
      <w:bookmarkEnd w:id="237"/>
      <w:r>
        <w:rPr>
          <w:rtl w:val="true"/>
        </w:rPr>
        <w:t>الثالث</w:t>
      </w:r>
      <w:r>
        <w:rPr>
          <w:rtl w:val="true"/>
        </w:rPr>
        <w:t xml:space="preserve">: </w:t>
      </w:r>
      <w:r>
        <w:rPr>
          <w:rtl w:val="true"/>
        </w:rPr>
        <w:t>في حال التمسّك بالإطلاق لو كانت الأسامي للمسبّبات</w:t>
      </w:r>
      <w:bookmarkEnd w:id="23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الأسامي للمسبّبات يشكل الأمر في التمسّك بالإطلاق؛ لأنّ المسبّب أمره دائر بين الوجود والعدم، لا الصحّة والفساد، كما عرفت، فحينئذٍ لو التزمنا بأنّ الأدلّة الرادعة ترجع إلى نفي الآثار والتخصيص الحكمي، جاز التمسّك بأدلّة الإمضاء للمسبّبات المعتبرة بنظر العرف، فنأخذ بها حتّى يرد دليل على الردع الراجع إلى عدم ترتيب الأثر على ما لدى العرف، ومع الشكّ في التقييد أو التخصيص كان المرجع هو الإطلاق أو العموم، لكن </w:t>
      </w:r>
    </w:p>
    <w:p>
      <w:pPr>
        <w:pStyle w:val="BookText"/>
        <w:rPr/>
      </w:pPr>
      <w:r>
        <w:rPr>
          <w:rFonts w:ascii="Amiri" w:hAnsi="Amiri" w:eastAsia="Amiri" w:cs="Amiri"/>
          <w:color w:val="111111"/>
          <w:sz w:val="28"/>
          <w:sz w:val="28"/>
          <w:szCs w:val="28"/>
          <w:rtl w:val="true"/>
          <w:lang w:bidi="ar-SA"/>
        </w:rPr>
        <w:t xml:space="preserve">التخصيص الحكمي مع إمضاء الموضوع موجب للّغوية ومخالف لارتكاز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التزامه، فلا بدّ من الذهاب إلى رجوع الردع إلى التخصّص ورفع الموضوع وعدم اعتبار المسبّب، فيشكل التمسّك بالإطلاق والعموم لدى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الأسامي للمسبّبات لا يكون العرف والشرع مختلفين في المفهوم؛ فإنّ مفهوم البيع لدى الكلّ هو المبادلة بين المالين، والإجارة نقل المنفعة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وإنّما يرجع ردع الشارع إلى عدم اعتبار المصداق وإعدام الموضوع، فعدم صدق البيع على الغرري ليس لأجل تضييق في مفهوم المسبّب، بل لعدم تحقّق المصداق بعد التخصيص الراجع إلى التخصّص، فحينئذٍ لا مانع من التمسّك بالإطلاق إلاّ مع إحراز التخصيص الكذائي، ومع الشكّ تكون الحجّة على العنوان قائمة لا ترفع اليد عنها إلاّ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 إنّما ينتج إذا انطبق العنوان على المصداق ولم يكن إجمال في الصدق، ومع الشكّ في اعتبار الشارع يشكّ في الصدق، فلا ينتج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ردع الشرع إلى إعدام الموضوع، فمع إيقاع البيع المحتمل للردع عنه يشكّ في تطبيق عنوان البيع المأخوذ في دليل الإمضاء عليه ولو من جهة الشكّ في الإعدام وعدم الاعتبار؛ لأ نّه معه تكون الشبهة مصداقية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التمسّك بإطلاق أدلّة الإمضاء؛ لأ نّها محمولة على </w:t>
      </w:r>
    </w:p>
    <w:p>
      <w:pPr>
        <w:pStyle w:val="BookText"/>
        <w:rPr/>
      </w:pPr>
      <w:r>
        <w:rPr>
          <w:rFonts w:ascii="Amiri" w:hAnsi="Amiri" w:eastAsia="Amiri" w:cs="Amiri"/>
          <w:color w:val="111111"/>
          <w:sz w:val="28"/>
          <w:sz w:val="28"/>
          <w:szCs w:val="28"/>
          <w:rtl w:val="true"/>
          <w:lang w:bidi="ar-SA"/>
        </w:rPr>
        <w:t xml:space="preserve">المعاني العرفية جارية على مصاديقها، كما هو الأمر في جميع الخطابات التي لها مصاديق عرفية، وأدلّة الردع مخصّصة حكماً لأدلّة الإمضاء؛ لعدم إمكان التصرّف فيها إلاّ بالتخصيص؛ فإنّ التصرّف في موضوعها غير ممكن؛ لرجوعه إلى إعدام اعتبار العرف، وهو ليس في قدرة التشريع، وعدم اعتبارها في محيط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آنفاً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موافق لارتكاز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مربوط بالتصرّف في أدلّة الإمضاء، فالأخذ بأدلّته مع الشكّ في التخصيص والتقييد كسائر موارد الشكّ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التمسّك بالإطلاق المقامي ولو في الشبهة المصداقية لكشف حال الموضوع كما قيل</w:t>
      </w:r>
      <w:r>
        <w:rPr>
          <w:rStyle w:val="FootnoteAnchor"/>
          <w:rtl w:val="true"/>
        </w:rPr>
        <w:footnoteReference w:id="1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 لا يخلو من إشكال وبحث، فالمعوّل عليه الإطلاق اللفظي،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كانت الأسامي للأسباب فلا إشكال في كونها للأعمّ؛ للتبادر، ولما عرفت من كيفية الوضع</w:t>
      </w:r>
      <w:r>
        <w:rPr>
          <w:rStyle w:val="FootnoteAnchor"/>
          <w:rtl w:val="true"/>
        </w:rPr>
        <w:footnoteReference w:id="190"/>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الأرجح كونها موضوعة للمسبّبات؛ أي لنفس التبادل الحاصل بالأسباب، لا للأسباب المحصّلة له، ولا للنتيجة التي هي صيرورة المبيع ملكاً للمشتري والثمن للبائع؛ ضرورة أنّ الأخير ليس بيعاً ولا غيره، والأوّل منهما وإن كان محتملاً؛ لكنّ التبادر يساعد على ما ذكرناه، تأمّل</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39" w:name="pg15283_146271"/>
    </w:p>
    <w:p>
      <w:pPr>
        <w:pStyle w:val="Heading3"/>
        <w:numPr>
          <w:ilvl w:val="2"/>
          <w:numId w:val="1"/>
        </w:numPr>
        <w:rPr/>
      </w:pPr>
      <w:bookmarkStart w:id="240" w:name="__RefHeading___Toc4563241_2142443653"/>
      <w:bookmarkStart w:id="241" w:name="_Toc86"/>
      <w:bookmarkEnd w:id="239"/>
      <w:bookmarkEnd w:id="240"/>
      <w:r>
        <w:rPr>
          <w:rtl w:val="true"/>
        </w:rPr>
        <w:t xml:space="preserve">خاتمة </w:t>
      </w:r>
      <w:r>
        <w:rPr>
          <w:rtl w:val="true"/>
        </w:rPr>
        <w:t xml:space="preserve">: </w:t>
      </w:r>
      <w:r>
        <w:rPr>
          <w:rtl w:val="true"/>
        </w:rPr>
        <w:t>في تصوير جزء الفرد في المركّبات الاعتبارية</w:t>
      </w:r>
      <w:bookmarkEnd w:id="241"/>
    </w:p>
    <w:p>
      <w:pPr>
        <w:pStyle w:val="BookText"/>
        <w:rPr/>
      </w:pPr>
      <w:r>
        <w:rPr>
          <w:rFonts w:ascii="Amiri" w:hAnsi="Amiri" w:eastAsia="Amiri" w:cs="Amiri"/>
          <w:color w:val="111111"/>
          <w:sz w:val="28"/>
          <w:sz w:val="28"/>
          <w:szCs w:val="28"/>
          <w:rtl w:val="true"/>
          <w:lang w:bidi="ar-SA"/>
        </w:rPr>
        <w:t xml:space="preserve">لا إشكال في إمكان دخل شيء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بنحو الشطرية واُخرى بنحو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ماهية المأمور به، وأمّا الشيء العدمي فلا يمكن إلاّ أن يرجع إلى دخالة شيء وجودي، وإلاّ فالعدم بما هو لا تأثير فيه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تصوير جزء الفرد وشرطه في المركّبات الاعتبارية، كتصويرهما في الماهيات الحقيقية والمركّبات التحليلية، فإنّ الماهيات الحقيقية لمّا وجدت بالوجود وتشخّصت به، تتّحد معها جميع لوازم الماهية وعوارضها وعوارض الوجود؛ فإنّ حقيقة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الوحدة وجمع الكثرات بنحو الوحدة والبساطة مع عدم انثلام وحدتها، فالفرد الخارجي بجميع خصوصياته عين الماهية وجوداً، فصحّ فيها تصوّر مقوّمات الماهية وأجزاء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الماهيات الاعتبارية لمّا كانت غير متحقّقة في الخارج حقيقة، بل التحقّق للأجزاء، ومجموع الأجزاء ليس له وجود إلاّ اعتباراً، فتصوّر علل القوام فيها لا مانع منه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تصوير جزء الفرد فقد يستشكل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ما وجد في الخارج غير أجزاء الماهية يكون موجوداً بحياله، وله تشخّص خاصّ به غير بقيّة الأجزاء، فلا يكون لماهية المركّب وجود حقيقي يجمع الكثرات، فلا يتصوّر فيها جزء الفرد في قبال الجزء المقوّم للماهية، ولو اعتبر مجموعها باعتبار على حدة يكون ماهية اعتبارية اُخرى، ويكون المصداق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مجموع </w:t>
      </w:r>
    </w:p>
    <w:p>
      <w:pPr>
        <w:pStyle w:val="BookText"/>
        <w:rPr/>
      </w:pPr>
      <w:r>
        <w:rPr>
          <w:rFonts w:ascii="Amiri" w:hAnsi="Amiri" w:eastAsia="Amiri" w:cs="Amiri"/>
          <w:color w:val="111111"/>
          <w:sz w:val="28"/>
          <w:sz w:val="28"/>
          <w:szCs w:val="28"/>
          <w:rtl w:val="true"/>
          <w:lang w:bidi="ar-SA"/>
        </w:rPr>
        <w:t xml:space="preserve">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لتلك الماهية، والأجزاء بلا هذه الزيادة مصداقاً للماهية الاُولى، فلا يصير المجموع مع الزيادة فرداً للمجموع بغيرها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لبعض المركّبات الغير الحقيقية هيئة خاصّة يكون المركّب متقوّماً بها، كما عرفت</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في تصوير الجامع، فالقصر والدار حقيقتهما متقوّمة بهيئة ما لابشرط، لاتتحقّق في الخارج إلاّ بوجود موادّ على وضع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له هيئة قائمة بأجزاء، يكون حسن الهيئة وتفاضلها فيه باعتبار التناسب الحاصل بين الأجزاء، فالحسن أينما حلّ يكون مرهون التناسب، فحسن الصوت والخطّ عبارة عن تناسب أجزائهما، فلا يقال للشعر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تناسبت جمله، ولا للدار إلاّ إذا تناسبت مرافقها وغرفاتها، فربّما تكون غرفة في دار توجب حسنها؛ لإيقاعها التناسب بين الأجزاء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فالصلاة ليست نفس الأجزاء بالأسر، بل لها هيئة خاصّة لدى المتشرّعة زائدة على الأجزاء، فيمكن أن يكون تفاضل أفرادها لأجل تفاضل التناسب بين أجزائها، وإن كان فهم التناسب بين أجزائها غير ميسور لنا، فلا يبعد أن يكون للقنوت دخالة في حسن الهيئة الصلاتية، فيوجد المصداق معه أحسن صورة منه مع فقدانه مع عدم دخالته في تحقّق الماهية، وهذا واضح لدى التأمّل في 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أشرنا سابقاً</w:t>
      </w:r>
      <w:r>
        <w:rPr>
          <w:rStyle w:val="FootnoteAnchor"/>
          <w:rtl w:val="true"/>
        </w:rPr>
        <w:footnoteReference w:id="194"/>
      </w:r>
      <w:r>
        <w:rPr>
          <w:rFonts w:ascii="Amiri" w:hAnsi="Amiri" w:eastAsia="Amiri" w:cs="Amiri"/>
          <w:color w:val="111111"/>
          <w:sz w:val="28"/>
          <w:sz w:val="28"/>
          <w:szCs w:val="28"/>
          <w:rtl w:val="true"/>
          <w:lang w:bidi="ar-SA"/>
        </w:rPr>
        <w:t>إلى الموضوع له في الصلاة فلا نعيده، والظاهر خروج الشروط قاطبةً عنه، فراجع</w:t>
      </w:r>
      <w:r>
        <w:rPr>
          <w:rFonts w:eastAsia="Amiri" w:cs="Amiri" w:ascii="Amiri" w:hAnsi="Amiri"/>
          <w:color w:val="111111"/>
          <w:sz w:val="28"/>
          <w:szCs w:val="28"/>
          <w:rtl w:val="true"/>
          <w:lang w:bidi="ar-SA"/>
        </w:rPr>
        <w:t xml:space="preserve">. </w:t>
      </w:r>
      <w:bookmarkStart w:id="242" w:name="pg15283_146273"/>
    </w:p>
    <w:p>
      <w:pPr>
        <w:pStyle w:val="Heading2"/>
        <w:numPr>
          <w:ilvl w:val="1"/>
          <w:numId w:val="1"/>
        </w:numPr>
        <w:rPr/>
      </w:pPr>
      <w:bookmarkStart w:id="243" w:name="__RefHeading___Toc4563243_2142443653"/>
      <w:bookmarkStart w:id="244" w:name="_Toc87"/>
      <w:bookmarkEnd w:id="242"/>
      <w:bookmarkEnd w:id="243"/>
      <w:r>
        <w:rPr>
          <w:rtl w:val="true"/>
        </w:rPr>
        <w:t xml:space="preserve">الأمر الثاني عشر </w:t>
      </w:r>
      <w:r>
        <w:rPr>
          <w:rtl w:val="true"/>
        </w:rPr>
        <w:t xml:space="preserve">: </w:t>
      </w:r>
      <w:r>
        <w:rPr>
          <w:rtl w:val="true"/>
        </w:rPr>
        <w:t>في الاشتراك</w:t>
      </w:r>
      <w:bookmarkEnd w:id="244"/>
    </w:p>
    <w:p>
      <w:pPr>
        <w:pStyle w:val="BookText"/>
        <w:rPr/>
      </w:pPr>
      <w:r>
        <w:rPr>
          <w:rFonts w:ascii="Amiri" w:hAnsi="Amiri" w:eastAsia="Amiri" w:cs="Amiri"/>
          <w:color w:val="111111"/>
          <w:sz w:val="28"/>
          <w:sz w:val="28"/>
          <w:szCs w:val="28"/>
          <w:rtl w:val="true"/>
          <w:lang w:bidi="ar-SA"/>
        </w:rPr>
        <w:t>الحقّ إمكان الاشتراك ووقوعه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بامتناعه؛ لأنّ الوضع جعل اللفظ مرآةً للمعنى وفانياً فيه، ولا يمكن أن يكون شيء واحد مرآةً لشيئين وفانياً في اثنين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الوضع إلاّ جعل اللفظ للمعنى وتسمية المعنى باسم، وأمّا فناء اللفظ في المعنى فأمر غير معقول، كما يأتي في المبحث الآتي</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الوضع يوجب استعداد اللفظ للمرآتية، وبالاستعمال يصير فعلياً</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صيرورة اللفظ فانياً في المعنى فسيجيء بطلانه</w:t>
      </w:r>
      <w:r>
        <w:rPr>
          <w:rStyle w:val="FootnoteAnchor"/>
          <w:rtl w:val="true"/>
        </w:rPr>
        <w:footnoteReference w:id="198"/>
      </w:r>
      <w:r>
        <w:rPr>
          <w:rFonts w:ascii="Amiri" w:hAnsi="Amiri" w:eastAsia="Amiri" w:cs="Amiri"/>
          <w:color w:val="111111"/>
          <w:sz w:val="28"/>
          <w:sz w:val="28"/>
          <w:szCs w:val="28"/>
          <w:rtl w:val="true"/>
          <w:lang w:bidi="ar-SA"/>
        </w:rPr>
        <w:t xml:space="preserve">، وإن كان صيرورته فانياً في لحاظ المتكلّم؛ أي آلة </w:t>
      </w:r>
    </w:p>
    <w:p>
      <w:pPr>
        <w:pStyle w:val="BookText"/>
        <w:rPr/>
      </w:pPr>
      <w:r>
        <w:rPr>
          <w:rFonts w:ascii="Amiri" w:hAnsi="Amiri" w:eastAsia="Amiri" w:cs="Amiri"/>
          <w:color w:val="111111"/>
          <w:sz w:val="28"/>
          <w:sz w:val="28"/>
          <w:szCs w:val="28"/>
          <w:rtl w:val="true"/>
          <w:lang w:bidi="ar-SA"/>
        </w:rPr>
        <w:t>للحاظ المعنى وملحوظاً به لا فيه، فصيرورة اللفظ مرآتين كذلك ممّا لم يقم على امتناعه برهان كما سيمرّ عليك</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يقرّر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الوضع عبارة عن جعل الملازمة الذهنية بين اللفظ والمعنى أو عمّا يستلزمها، فحينئذٍ يلزم منه عند تصوّر اللفظ انتقالان مستقلاّن دفعة واحدة، وهو محال</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بالاستقلال عدم انتقال آخر معه فلا نسلّم أن يكون لازم الوضع هو الاستقلال، وإن كان المراد به هو الانتقال الاستقلالي في مقابل الانتقال إلى معنىً واحد منحلّ إلى اثنين، كمفهوم اثنين حيث يكون الانتقال إلى الواحد في ضمنه، فلا نسلّم امتناعه، بل يكون واقعاً، كما سيتّضح</w:t>
      </w:r>
      <w:r>
        <w:rPr>
          <w:rStyle w:val="FootnoteAnchor"/>
          <w:rtl w:val="true"/>
        </w:rPr>
        <w:footnoteReference w:id="201"/>
      </w:r>
      <w:r>
        <w:rPr>
          <w:rFonts w:ascii="Amiri" w:hAnsi="Amiri" w:eastAsia="Amiri" w:cs="Amiri"/>
          <w:color w:val="111111"/>
          <w:sz w:val="28"/>
          <w:sz w:val="28"/>
          <w:szCs w:val="28"/>
          <w:rtl w:val="true"/>
          <w:lang w:bidi="ar-SA"/>
        </w:rPr>
        <w:t>لك</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 عدم امتناعه وعدم وجوبه، بل إمكانه ووقوعه في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ضرورة أنّا نرى في لساننا ما يكون كذلك بحكم التبادر، لكن لا طريق لنا إلى كيفية تحقّقه، فيحتمل قريباً أن يكون من تداخل اللغات، كما احتمل ذلك في الترادف أيضاً</w:t>
      </w:r>
      <w:r>
        <w:rPr>
          <w:rStyle w:val="FootnoteAnchor"/>
          <w:rtl w:val="true"/>
        </w:rPr>
        <w:footnoteReference w:id="203"/>
      </w:r>
      <w:r>
        <w:rPr>
          <w:rFonts w:ascii="IRNazanin" w:hAnsi="IRNazanin" w:eastAsia="IRNazanin"/>
          <w:color w:val="111111"/>
          <w:sz w:val="28"/>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لحدوث الأوضاع التعيّنية بالاستعمال فيما يناسب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bookmarkStart w:id="245" w:name="pg15283_146275"/>
    </w:p>
    <w:p>
      <w:pPr>
        <w:pStyle w:val="Heading2"/>
        <w:numPr>
          <w:ilvl w:val="1"/>
          <w:numId w:val="1"/>
        </w:numPr>
        <w:rPr/>
      </w:pPr>
      <w:bookmarkStart w:id="246" w:name="__RefHeading___Toc4563245_2142443653"/>
      <w:bookmarkStart w:id="247" w:name="_Toc88"/>
      <w:bookmarkEnd w:id="245"/>
      <w:bookmarkEnd w:id="246"/>
      <w:r>
        <w:rPr>
          <w:rtl w:val="true"/>
        </w:rPr>
        <w:t xml:space="preserve">الأمر الثالث عشر </w:t>
      </w:r>
      <w:r>
        <w:rPr>
          <w:rtl w:val="true"/>
        </w:rPr>
        <w:t xml:space="preserve">: </w:t>
      </w:r>
      <w:r>
        <w:rPr>
          <w:rtl w:val="true"/>
        </w:rPr>
        <w:t>في استعمال اللفظ في أكثر من معنىً</w:t>
      </w:r>
      <w:bookmarkEnd w:id="247"/>
    </w:p>
    <w:p>
      <w:pPr>
        <w:pStyle w:val="Heading3"/>
        <w:numPr>
          <w:ilvl w:val="2"/>
          <w:numId w:val="1"/>
        </w:numPr>
        <w:rPr/>
      </w:pPr>
      <w:bookmarkStart w:id="248" w:name="__RefHeading___Toc4563247_2142443653"/>
      <w:bookmarkStart w:id="249" w:name="_Toc89"/>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الحقّ جواز استعمال اللفظ في أكثر من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البحث وما ينبغي أن يكون مورد النقض والإبرام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يستعمل اللفظ الواحد في المتعدّد؛ بأن يكون المستعمل فيه والمعنى الملقى إلى السامع متعدّداً؟</w:t>
      </w:r>
    </w:p>
    <w:p>
      <w:pPr>
        <w:pStyle w:val="BookText"/>
        <w:rPr/>
      </w:pPr>
      <w:r>
        <w:rPr>
          <w:rFonts w:ascii="Amiri" w:hAnsi="Amiri" w:eastAsia="Amiri" w:cs="Amiri"/>
          <w:color w:val="111111"/>
          <w:sz w:val="28"/>
          <w:sz w:val="28"/>
          <w:szCs w:val="28"/>
          <w:rtl w:val="true"/>
          <w:lang w:bidi="ar-SA"/>
        </w:rPr>
        <w:t>والظاهر أنّ هذا مرادهم من الاستقلال والانفراد، فعليه يخرج عن محلّ البحث ما إذا استعمل في معنىً واحد ذي أجزاء أو ذي 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إلى امتناعه عقلاً كثير من المحقّقين</w:t>
      </w:r>
      <w:r>
        <w:rPr>
          <w:rStyle w:val="FootnoteAnchor"/>
          <w:rtl w:val="true"/>
        </w:rPr>
        <w:footnoteReference w:id="204"/>
      </w:r>
      <w:r>
        <w:rPr>
          <w:rFonts w:ascii="Amiri" w:hAnsi="Amiri" w:eastAsia="Amiri" w:cs="Amiri"/>
          <w:color w:val="111111"/>
          <w:sz w:val="28"/>
          <w:sz w:val="28"/>
          <w:szCs w:val="28"/>
          <w:rtl w:val="true"/>
          <w:lang w:bidi="ar-SA"/>
        </w:rPr>
        <w:t>، وإلى عدم جوازه لغةً بعضهم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يكون وجهاً للامتناع اُمور</w:t>
      </w:r>
      <w:r>
        <w:rPr>
          <w:rFonts w:eastAsia="Amiri" w:cs="Amiri" w:ascii="Amiri" w:hAnsi="Amiri"/>
          <w:color w:val="111111"/>
          <w:sz w:val="28"/>
          <w:szCs w:val="28"/>
          <w:rtl w:val="true"/>
          <w:lang w:bidi="ar-SA"/>
        </w:rPr>
        <w:t xml:space="preserve">: </w:t>
      </w:r>
      <w:bookmarkStart w:id="250" w:name="pg15283_146276"/>
    </w:p>
    <w:p>
      <w:pPr>
        <w:pStyle w:val="Heading3"/>
        <w:numPr>
          <w:ilvl w:val="2"/>
          <w:numId w:val="1"/>
        </w:numPr>
        <w:rPr/>
      </w:pPr>
      <w:bookmarkStart w:id="251" w:name="__RefHeading___Toc4563249_2142443653"/>
      <w:bookmarkStart w:id="252" w:name="_Toc90"/>
      <w:bookmarkEnd w:id="250"/>
      <w:bookmarkEnd w:id="251"/>
      <w:r>
        <w:rPr>
          <w:rtl w:val="true"/>
        </w:rPr>
        <w:t>أدلّة الامتناع والجواب عنها</w:t>
      </w:r>
      <w:bookmarkEnd w:id="25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المحقّق الخراساني رحمه الله علیه </w:t>
      </w:r>
      <w:r>
        <w:rPr>
          <w:rStyle w:val="FootnoteAnchor"/>
          <w:rtl w:val="true"/>
        </w:rPr>
        <w:footnoteReference w:id="206"/>
      </w:r>
      <w:r>
        <w:rPr>
          <w:rFonts w:ascii="IRNazanin" w:hAnsi="IRNazanin" w:eastAsia="IRNazanin"/>
          <w:color w:val="111111"/>
          <w:sz w:val="28"/>
          <w:sz w:val="28"/>
          <w:szCs w:val="28"/>
          <w:rtl w:val="true"/>
          <w:lang w:bidi="fa-IR"/>
        </w:rPr>
        <w:t>وتبعه بعضهم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لزوم اجتماع اللحاظين الآليين في اللفظ،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بيان الملازمة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وهو أنّ الاستعمال هو جعل اللفظ فانياً في المعنى، فيكون لحاظه تبعاً للحاظه، فإذا استعمل في المعنيين يكون تبعاً لهما في اللحاظ، فيجتمع فيه اللحاظان التبعيان الآليان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استعمال لا بدّ من لحاظ اللفظ والمعنى؛ ضرورة أنّه مع الذهول عن واحد منهما لا يمكن الاستعمال، ففي الاستعمال في معنيين لا بدّ من لحاظهما ولحاظ اللفظ مرّتين، فاجتمع اللحاظان الآليان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استحالة اجتماعهما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تشخّص الملحوظ بالذات إنّما هو باللحاظ، كما أنّ تعيّن اللحاظ بالملحوظ، فإذا اجتمع اللحاظان في شيء واحد يلزم أن يكون الشيء شيئين والموجود موجودين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والمعلوم بالذات شيء واحد ذاتاً، ولحاظ الشيء هو العلم به، وتعلّق العلمين بمعلوم واحد مستلزم لكون الواحد اثنين والمعلوم معلومين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يتّضح عدم إمكان الجمع في الملحوظ بالعرض؛ لأ نّه تابع للملحوظ بالذات في اللحاظ، فيلزم من اجتماع اللحاظين في الملحوظ بالذات كون الملحوظ بالعرض معلوماً في حال واحد مرّتين ومنكشفاً في آنٍ واحد انكشافين،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هو منع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تبعية لحاظ اللفظ للمعنى إن كان بمعنى أنّ المتكلّم يتصوّر المعنى فينتقل منه إلى اللفظ، فلا نسلّم أنّه يجب أن ينتقل من تصوّر المعنيين انتقالين مستقلّين إلى اللفظ، بل ينتقل منهما إليه انتقالاً</w:t>
      </w:r>
    </w:p>
    <w:p>
      <w:pPr>
        <w:pStyle w:val="BookText"/>
        <w:rPr/>
      </w:pPr>
      <w:r>
        <w:rPr>
          <w:rFonts w:ascii="Amiri" w:hAnsi="Amiri" w:eastAsia="Amiri" w:cs="Amiri"/>
          <w:color w:val="111111"/>
          <w:sz w:val="28"/>
          <w:sz w:val="28"/>
          <w:szCs w:val="28"/>
          <w:rtl w:val="true"/>
          <w:lang w:bidi="ar-SA"/>
        </w:rPr>
        <w:t>واحداً، كالانتقال من اللازمين لشيء واحد إليه، وكون الانتقال إلى الملزوم غير آلي لا يوجب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السامع فيكون انتقاله، من اللفظ إلى المعنى وإن كان اللفظ آلياً منظوراً به والمعنى مقصوداً بالذات ومنظوراً فيه، لكنّه في هذا الانتقال يكون المعنى تبعاً متأخّراً، فالسامع يسمع اللفظ ويحضر هو في نفسه ويدركه وينتقل منه إلى المعنى، ولا يعقل أن ينتقل إلى المعنى قبل اللفظ، كما أنّ الناظر إلى الكتاب يدرك المكتوب أوّلاً، ومنه يدرك المعنى وإن كان الأوّل آلةً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سمعنا من متكلّمين دفعة لفظاً ننتقل منه إلى معناه بالضرورة، ولا يلزم منه الجمع بين اللحاظين المستقلّين في المعنى، فكذلك في ناحية اللفظ</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تبعية الانتقال جمع اللحاظين والانتقالين في اللفظ، كما لا يلزم في المعنى في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المراد من التبعية سراية اللحاظ من المعنى إلى اللفظ؛ حتّى يكون في الاستعمال في المعنيين سرايتان، فهو ممنوع بل غير معقول؛ للزوم انقلاب اللحاظ الاستقلالي آلياً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أنّ اللفظ ملحوظ ثانياً وبالعرض؛ حتّى يكون لحاظ واحد يستند إلى المعنى بالذات وإلى اللفظ بالعرض،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الواقع وخلاف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اجتماع اللحاظين؛ لعدم اللحاظ في اللفظ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التقرير الثاني ؛ فلأنّ غاية ما يكون لازماً في الاستعمال أن لا يكون اللفظ غير ملحوظ مطلقاً ولو آلياً، وأمّا لزوم ملحوظيته في كلّ استعمال لحاظاً على‌حدة فلم يدلّ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اللفظ آلة لإفهام المعنيين هو استعماله فيهما، ولا بدّ من لحاظ اللفظ آلياً في هذا الاستعمال، ولا يلزم منه اللحاظان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قوى النفس كالباصرة والسامعة آلات لإدراكاتها، وتدرك بها المبصرات، وقد تبصر الشيئين وتسمع الصوتين في عرض واحد، ولا يلزم منه أن يكون للآلة حضوران لدى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وجوه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هو جعل اللفظ بكلّيته قالباً للمعنى، ولا يمكن أن يكون مع ذلك قالباً لمعنىً آخر؛ للزوم كون شيء واحد شيئين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الاستعمال ليس إلاّ جعل اللفظ آلة لإفادة المعنى، فإن كان هذا هو المراد من جعله قالباً وفانياً ومرآةً ووجهاً وعنواناً للمعنى إلى غير ذلك من </w:t>
      </w:r>
    </w:p>
    <w:p>
      <w:pPr>
        <w:pStyle w:val="BookText"/>
        <w:rPr/>
      </w:pPr>
      <w:r>
        <w:rPr>
          <w:rFonts w:ascii="Amiri" w:hAnsi="Amiri" w:eastAsia="Amiri" w:cs="Amiri"/>
          <w:color w:val="111111"/>
          <w:sz w:val="28"/>
          <w:sz w:val="28"/>
          <w:szCs w:val="28"/>
          <w:rtl w:val="true"/>
          <w:lang w:bidi="ar-SA"/>
        </w:rPr>
        <w:t>التعبيرات، فلا دليل على امتناع كون شيء واحد قالباً لشيئين أو فانياً فيهما؛ أي يكون اللفظ منظوراً به والمعنيان منظوراً فيهما، وإن كان المراد شيئاً آخر فلا بدّ من بيانه ووجه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فناء اللفظ بحسب وجوده الواقعي في المعنى؛ بحيث لا يبقى واقعاً إلاّ شيئية المعنى، فهو أمر غير معقول؛ لأنّ اللفظ له فعلية، وما كان كذلك لا يمكن أن يفنى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قرع بعض الأسماع من الفناء في بعض الاصطلاحات، فهو أمر موكول إلى أهله</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غير مربوط بمثل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الاستعمال إيجاد المعنى في الخارج باللفظ؛ لأنّ اللفظ وجود حقيقي لطبيعي اللفظ بالذات ووجود تنزيلي للمعنى بالجعل والتنزيل، وحيث إنّ الموجود الخارجي بالذات واحد، فلا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اللفظ وجود لهذا المعنى خارجاً ووجود آخر لمعنىً آخر؛ حيث لا وجود آخر ينسب إلى الآخر بالتنزيل</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أشبه بالخطابة من البرهان؛ فإنّ معنى كون اللفظ وجوداً للمعنى أنّه لفظ موضوع له، ولا يلزم من وضعه للمعنيين أو استعماله فيهما كونه موجودين وله وجودان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شيء واحد وجوداً تنزيلياً لألف شيء ممّا لا مانع منه، ولا يلزم منه التكثّر في الوجود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قيل في وجه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استحالة تصوّر النفس شيئين، واستحالة كون اللفظ علّة لحضور المعنيين في الذهن؛ لامتناع صدور الكثير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لا يخفى، مع قيام الضرورة بجواز تصوّر شيئين معاً، وإلاّ لصار التصديق والحكم بكون شيء شيئاً أو لشيء ممتنعاً، ودلالة اللفظ على المعنى ليست من قبيل صدور شيء عن شيء،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فصّل بعض محقّقي العصر رحمه الله علیه </w:t>
      </w:r>
      <w:r>
        <w:rPr>
          <w:rStyle w:val="FootnoteAnchor"/>
          <w:rtl w:val="true"/>
        </w:rPr>
        <w:footnoteReference w:id="212"/>
      </w:r>
      <w:r>
        <w:rPr>
          <w:rFonts w:ascii="Amiri" w:hAnsi="Amiri" w:eastAsia="Amiri" w:cs="Amiri"/>
          <w:color w:val="111111"/>
          <w:sz w:val="28"/>
          <w:sz w:val="28"/>
          <w:szCs w:val="28"/>
          <w:rtl w:val="true"/>
          <w:lang w:bidi="ar-SA"/>
        </w:rPr>
        <w:t>بين ما إذا كان الاستعمال في أكثر من معنىً بنحو يكون كلّ واحد من المعنيين ملحوظاً بلحاظ خاصّ به، فاختار فيه الامتناع وقرّر وجهه بما قرّره المحقّق الخراساني، وقد مرّ الجواب عنه</w:t>
      </w:r>
      <w:r>
        <w:rPr>
          <w:rStyle w:val="FootnoteAnchor"/>
          <w:rtl w:val="true"/>
        </w:rPr>
        <w:footnoteReference w:id="2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وبين ما إذا كان الاستعمال في المعنيين بلحاظ واحد بنحو يكون اللفظ حاكياً عن مفهومين ملحوظين بلحاظ واحد، فاختار الجواز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فإنّ وحدة اللحاظ إن رجعت إلى لحاظ المعنيين بعنوان واحد واستعمال اللفظ فيه، فهذا ليس محلّ النزاع قطعاً، كما اعترف به أيضاً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المراد أنّ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كلّ واحد منهما ملحوظاً ومستعملاً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ملحوظين بلحاظ واحد، كما هو ظاهر كلامه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اللحاظ والملحوظ هو العلم والمعلوم، وكثرة المعلوم تستتبع كثرة العلم، فلا يمكن أن يكون الملحوظ بما هو ملحوظ متعدّداً واللحاظ واحداً؛ </w:t>
      </w:r>
    </w:p>
    <w:p>
      <w:pPr>
        <w:pStyle w:val="BookText"/>
        <w:rPr/>
      </w:pPr>
      <w:r>
        <w:rPr>
          <w:rFonts w:ascii="Amiri" w:hAnsi="Amiri" w:eastAsia="Amiri" w:cs="Amiri"/>
          <w:color w:val="111111"/>
          <w:sz w:val="28"/>
          <w:sz w:val="28"/>
          <w:szCs w:val="28"/>
          <w:rtl w:val="true"/>
          <w:lang w:bidi="ar-SA"/>
        </w:rPr>
        <w:t>للزوم موجودية المتكثّر بما هو متكثّر بوجود واحد، فإنّ لحاظ الشيء هو وجوده في الذهن، ففرض كون الشيئين موجودين في الذهن مع وحدة اللحاظ، فرض توحيد الكثير مع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توجد عناوين كثيرة بوجود واحد، لكنّه غير مربوط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التفصيل ممّا لا وجه له، كما أنّ القول بالامتناع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وقوعه في كلمات الشعراء والبلغاء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المنع من قِبل الواضع</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أو الوضع</w:t>
      </w:r>
      <w:r>
        <w:rPr>
          <w:rStyle w:val="FootnoteAnchor"/>
          <w:rtl w:val="true"/>
        </w:rPr>
        <w:footnoteReference w:id="216"/>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 واضح لا يحتاج إلى التطويل</w:t>
      </w:r>
      <w:r>
        <w:rPr>
          <w:rFonts w:eastAsia="Amiri" w:cs="Amiri" w:ascii="Amiri" w:hAnsi="Amiri"/>
          <w:color w:val="111111"/>
          <w:sz w:val="28"/>
          <w:szCs w:val="28"/>
          <w:rtl w:val="true"/>
          <w:lang w:bidi="ar-SA"/>
        </w:rPr>
        <w:t xml:space="preserve">. </w:t>
      </w:r>
      <w:bookmarkStart w:id="253" w:name="pg15283_146282"/>
    </w:p>
    <w:p>
      <w:pPr>
        <w:pStyle w:val="Heading2"/>
        <w:numPr>
          <w:ilvl w:val="1"/>
          <w:numId w:val="1"/>
        </w:numPr>
        <w:rPr/>
      </w:pPr>
      <w:bookmarkStart w:id="254" w:name="__RefHeading___Toc4563251_2142443653"/>
      <w:bookmarkStart w:id="255" w:name="_Toc91"/>
      <w:bookmarkEnd w:id="253"/>
      <w:bookmarkEnd w:id="254"/>
      <w:r>
        <w:rPr>
          <w:rtl w:val="true"/>
        </w:rPr>
        <w:t>الأمر الرابع عشر في المشتقّ</w:t>
      </w:r>
      <w:bookmarkEnd w:id="255"/>
    </w:p>
    <w:p>
      <w:pPr>
        <w:pStyle w:val="Heading3"/>
        <w:numPr>
          <w:ilvl w:val="2"/>
          <w:numId w:val="1"/>
        </w:numPr>
        <w:rPr/>
      </w:pPr>
      <w:bookmarkStart w:id="256" w:name="__RefHeading___Toc4563253_2142443653"/>
      <w:bookmarkStart w:id="257" w:name="_Toc92"/>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اختلفوا في أنّ المشتقّ حقيقة في خصوص المتلبّس بالمبدأ في الحال</w:t>
      </w:r>
      <w:r>
        <w:rPr>
          <w:rStyle w:val="FootnoteAnchor"/>
          <w:rtl w:val="true"/>
        </w:rPr>
        <w:footnoteReference w:id="2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الأعمّ منه وممّا انقضى عنه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تحقيق المقام لا بدّ من تقديم اُمور</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4563255_2142443653"/>
      <w:bookmarkStart w:id="259" w:name="_Toc93"/>
      <w:bookmarkEnd w:id="258"/>
      <w:r>
        <w:rPr>
          <w:rtl w:val="true"/>
        </w:rPr>
        <w:t>الأوّل</w:t>
      </w:r>
      <w:r>
        <w:rPr>
          <w:rtl w:val="true"/>
        </w:rPr>
        <w:t xml:space="preserve">: </w:t>
      </w:r>
      <w:r>
        <w:rPr>
          <w:rtl w:val="true"/>
        </w:rPr>
        <w:t>في كون النزاع لغوياً</w:t>
      </w:r>
      <w:bookmarkEnd w:id="25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النزاع في المشتقّ إنّما هو في أمر لغوي؛ أي في أنّ لفظ المشتقّ هل وضع للمتلبّس الفعلي أو الأعمّ منه؟ لا في أمر عقلي؛ ضرورة عدم احتمال أحد أنّ من كان عالماً في زمان وانقضى عنه المبدأ يكون بحكم العقل صادقاً عليه عنوان العالم، فلو لم يكن وضع لم يحتمل أحد تحقّق حقيقة في ظرف عدمها</w:t>
      </w:r>
      <w:r>
        <w:rPr>
          <w:rFonts w:eastAsia="Amiri" w:cs="Amiri" w:ascii="Amiri" w:hAnsi="Amiri"/>
          <w:color w:val="111111"/>
          <w:sz w:val="28"/>
          <w:szCs w:val="28"/>
          <w:rtl w:val="true"/>
          <w:lang w:bidi="ar-SA"/>
        </w:rPr>
        <w:t xml:space="preserve">. </w:t>
      </w:r>
      <w:bookmarkStart w:id="260" w:name="pg15283_146283"/>
    </w:p>
    <w:p>
      <w:pPr>
        <w:pStyle w:val="BookText"/>
        <w:rPr/>
      </w:pPr>
      <w:bookmarkEnd w:id="260"/>
      <w:r>
        <w:rPr>
          <w:rFonts w:ascii="Amiri" w:hAnsi="Amiri" w:eastAsia="Amiri" w:cs="Amiri"/>
          <w:color w:val="111111"/>
          <w:sz w:val="28"/>
          <w:sz w:val="28"/>
          <w:szCs w:val="28"/>
          <w:rtl w:val="true"/>
          <w:lang w:bidi="ar-SA"/>
        </w:rPr>
        <w:t>فما ذكره بعضهم</w:t>
      </w:r>
      <w:r>
        <w:rPr>
          <w:rStyle w:val="FootnoteAnchor"/>
          <w:rtl w:val="true"/>
        </w:rPr>
        <w:footnoteReference w:id="219"/>
      </w:r>
      <w:r>
        <w:rPr>
          <w:rFonts w:ascii="Amiri" w:hAnsi="Amiri" w:eastAsia="Amiri" w:cs="Amiri"/>
          <w:color w:val="111111"/>
          <w:sz w:val="28"/>
          <w:sz w:val="28"/>
          <w:szCs w:val="28"/>
          <w:rtl w:val="true"/>
          <w:lang w:bidi="ar-SA"/>
        </w:rPr>
        <w:t>في وجه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ابتنائه على اختلاف نظرهم في حمل المواطاة والاشتقاق، كما ذكره بعض الأعاظم</w:t>
      </w:r>
      <w:r>
        <w:rPr>
          <w:rStyle w:val="FootnoteAnchor"/>
          <w:rtl w:val="true"/>
        </w:rPr>
        <w:footnoteReference w:id="220"/>
      </w:r>
      <w:r>
        <w:rPr>
          <w:rFonts w:ascii="Amiri" w:hAnsi="Amiri" w:eastAsia="Amiri" w:cs="Amiri"/>
          <w:color w:val="111111"/>
          <w:sz w:val="28"/>
          <w:sz w:val="28"/>
          <w:szCs w:val="28"/>
          <w:rtl w:val="true"/>
          <w:lang w:bidi="ar-SA"/>
        </w:rPr>
        <w:t>في سرّ اتّفاقهم على المجاز في المستقبل، وسرّ عدم جريان النزاع في أسماء الذوات من الأجناس والأنواع والأعلام، ممّا يظهر منه أنّ النزاع عقلي، ليس على ما ينبغي، كما يأتي الكلام فيه</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4563257_2142443653"/>
      <w:bookmarkStart w:id="262" w:name="_Toc94"/>
      <w:bookmarkEnd w:id="261"/>
      <w:r>
        <w:rPr>
          <w:rtl w:val="true"/>
        </w:rPr>
        <w:t>الثاني</w:t>
      </w:r>
      <w:r>
        <w:rPr>
          <w:rtl w:val="true"/>
        </w:rPr>
        <w:t xml:space="preserve">: </w:t>
      </w:r>
      <w:r>
        <w:rPr>
          <w:rtl w:val="true"/>
        </w:rPr>
        <w:t>في العناوين الداخلة في محلّ النزاع</w:t>
      </w:r>
      <w:bookmarkEnd w:id="262"/>
    </w:p>
    <w:p>
      <w:pPr>
        <w:pStyle w:val="BookText"/>
        <w:rPr/>
      </w:pPr>
      <w:r>
        <w:rPr>
          <w:rFonts w:ascii="Amiri" w:hAnsi="Amiri" w:eastAsia="Amiri" w:cs="Amiri"/>
          <w:color w:val="111111"/>
          <w:sz w:val="28"/>
          <w:sz w:val="28"/>
          <w:szCs w:val="28"/>
          <w:rtl w:val="true"/>
          <w:lang w:bidi="ar-SA"/>
        </w:rPr>
        <w:t>إنّ العناوين الجارية على الذوات لا تخلو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تكون منتزعة من نفسها من غير دخالة شيء مطلقاً، كالذاتيات المنتزعة منها، ومنها عنوان الوجود والموجود بالنسبة إلى نفس الوجودات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عنوان بالقياس إلى مصداقه الذاتي أو كمصداقه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منتزعة باعتبار شيء وجودي كالعالم والأبيض، أو اعتباري كالإمكان؛ فإنّه غير منتزع من نفس الذات بما هي، بل باعتبار تساوي نسبتي الوجود والعدم إليها، وكالملكية والزوجية والرقّية وأمثالها، أو باعتبار أمر عدمي كالإمكان لو قلنا بأ نّه سلب الضرورتين عن الذات سلباً تحصيلياً، وكالأعمى والاُمّي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العنوان قد يكون ملازماً للذات خارجاً أو خارجاً وذهناً، وقد </w:t>
      </w:r>
    </w:p>
    <w:p>
      <w:pPr>
        <w:pStyle w:val="BookText"/>
        <w:rPr/>
      </w:pPr>
      <w:r>
        <w:rPr>
          <w:rFonts w:ascii="Amiri" w:hAnsi="Amiri" w:eastAsia="Amiri" w:cs="Amiri"/>
          <w:color w:val="111111"/>
          <w:sz w:val="28"/>
          <w:sz w:val="28"/>
          <w:szCs w:val="28"/>
          <w:rtl w:val="true"/>
          <w:lang w:bidi="ar-SA"/>
        </w:rPr>
        <w:t>لا يكون كذلك كالمفارقات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قد تكون العناوين من المشتقّات كالناطق والممكن والموجود، وقد لا تكون كالإنسان والماء والنار والزوج والرقّ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إشكال في عدم جريان النزاع في العناوين الغير الاشتقاقية الصادقة على الذوات بذاتها كالماء والنار والإنسان والحيوان، لا لما ذكره بعض الأعاظم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شيئية الشيء بصورته لا بمادّته، فإذا تبدّل الإنسان بالتراب لم يبق ملاك الإنسانية، والمادّة الباقية ليست متّصفة بالإنسانية في وقت</w:t>
      </w:r>
      <w:r>
        <w:rPr>
          <w:rStyle w:val="FootnoteAnchor"/>
          <w:rtl w:val="true"/>
        </w:rPr>
        <w:footnoteReference w:id="221"/>
      </w:r>
      <w:r>
        <w:rPr>
          <w:rFonts w:ascii="Amiri" w:hAnsi="Amiri" w:eastAsia="Amiri" w:cs="Amiri"/>
          <w:color w:val="111111"/>
          <w:sz w:val="28"/>
          <w:sz w:val="28"/>
          <w:szCs w:val="28"/>
          <w:rtl w:val="true"/>
          <w:lang w:bidi="ar-SA"/>
        </w:rPr>
        <w:t>لأنّ ذلك منقوض بمثل الخلّ والخمر والماء والجمد ممّا يرى العرف بقاء الذات وتغيّرها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البحث ليس عقلياً حتّى يأتي فيه ما ذكر، وإلاّ فمع انقضاء المبدأ لم يبق ملاك الاتّصاف بالضرورة، ومجرّد الاتّصاف في وقت لا يصحّح الملاك، ومع لغوية النزاع فلم لا يجوز أن يوضع لفظ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للهيولى الثانية المتلبّسة بصورة الكلب في زمان وإن زال عنوانه وبقيت الهيولى مع صورة اُخرى؟ ألا ترى أنّ العرف والعقل متّفقان على أنّ الملح المنقلب إليه كان كلباً وصار ملحاً؟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الجريان فيها ليس لما ذكره، بل لتسالم العرف وأهل اللغة على كونها موضوعة لنفس تلك العناوين، لا للذات المتلبّسة بها ولو في وقت، بخلاف المشتقّات؛ فإنّها محلّ بحث وكلام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الإشكال في جريان النزاع في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منتزعة من </w:t>
      </w:r>
      <w:bookmarkStart w:id="263" w:name="pg15283_146285"/>
    </w:p>
    <w:p>
      <w:pPr>
        <w:pStyle w:val="BookText"/>
        <w:rPr/>
      </w:pPr>
      <w:bookmarkEnd w:id="263"/>
      <w:r>
        <w:rPr>
          <w:rFonts w:ascii="Amiri" w:hAnsi="Amiri" w:eastAsia="Amiri" w:cs="Amiri"/>
          <w:color w:val="111111"/>
          <w:sz w:val="28"/>
          <w:sz w:val="28"/>
          <w:szCs w:val="28"/>
          <w:rtl w:val="true"/>
          <w:lang w:bidi="ar-SA"/>
        </w:rPr>
        <w:t xml:space="preserve">نفس الذات كالموجود من الوجود، أو لا، وسواء كان المبدأ لازم الذات بحيث تنتفي بانتفائه كالممكن، أو مقوّماً للموضوع كالموجود بالنسبة إلى الماهية،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محلّ النزاع في المشتقّ هو الهيئات، ووضعها نوعي من غير لحاظ كلّ مادّة مادّة معها، فزنة الفاعل وضعت نوعياً للاتّصاف الخاصّ مثلاً، من غير نظر إلى الموادّ كلّ برأسها، ومن غير أن تكون في كلّ مادّة موضوعة على حدة، ومن غير نظر إلى خصوصيات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مثل الناطق والضاحك والممكن والموجود خارج عن محلّ البحث؛ لأنّ تلك العناوين ليس لها معنون باقٍ بعد انقضاء المبدأ عنه</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الصواب؛ لأنّ محلّ النزاع زنة الفاعل والمفعول وغيرهما من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العناوين العرضية التي تنتزع من الذات باعتبار أمر وجودي أو اعتباري أو عدمي ممّا ليست اشتقاقية، فميزان جريان البحث فيها هو جواز بقاء الذات مع انقضاء المبدأ فيما إذا كان الوضع شخصياً، ومطلقاً فيما إذا كان نوعياً، كهيئة الانتساب مثل الحمّامي والسلماني والطهراني وأمثالها</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4563259_2142443653"/>
      <w:bookmarkStart w:id="265" w:name="_Toc95"/>
      <w:bookmarkEnd w:id="264"/>
      <w:r>
        <w:rPr>
          <w:rtl w:val="true"/>
        </w:rPr>
        <w:t>كلام فخر المحقّقين في الرضاع</w:t>
      </w:r>
      <w:bookmarkEnd w:id="26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جريان النزاع في مثل تلك العناوين الغير المشتقّة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فخر المحقّقين</w:t>
      </w:r>
      <w:r>
        <w:rPr>
          <w:rStyle w:val="FootnoteAnchor"/>
          <w:rtl w:val="true"/>
        </w:rPr>
        <w:footnoteReference w:id="223"/>
      </w:r>
      <w:r>
        <w:rPr>
          <w:rFonts w:ascii="Amiri" w:hAnsi="Amiri" w:eastAsia="Amiri" w:cs="Amiri"/>
          <w:color w:val="111111"/>
          <w:sz w:val="28"/>
          <w:sz w:val="28"/>
          <w:szCs w:val="28"/>
          <w:rtl w:val="true"/>
          <w:lang w:bidi="ar-SA"/>
        </w:rPr>
        <w:t>والشهيد</w:t>
      </w:r>
      <w:r>
        <w:rPr>
          <w:rStyle w:val="FootnoteAnchor"/>
          <w:rtl w:val="true"/>
        </w:rPr>
        <w:footnoteReference w:id="224"/>
      </w:r>
      <w:r>
        <w:rPr>
          <w:rFonts w:ascii="Amiri" w:hAnsi="Amiri" w:eastAsia="Amiri" w:cs="Amiri"/>
          <w:color w:val="111111"/>
          <w:sz w:val="28"/>
          <w:sz w:val="28"/>
          <w:szCs w:val="28"/>
          <w:rtl w:val="true"/>
          <w:lang w:bidi="ar-SA"/>
        </w:rPr>
        <w:t xml:space="preserve">في مسألة من كانت له زوجتان </w:t>
      </w:r>
    </w:p>
    <w:p>
      <w:pPr>
        <w:pStyle w:val="BookText"/>
        <w:rPr/>
      </w:pPr>
      <w:r>
        <w:rPr>
          <w:rFonts w:ascii="Amiri" w:hAnsi="Amiri" w:eastAsia="Amiri" w:cs="Amiri"/>
          <w:color w:val="111111"/>
          <w:sz w:val="28"/>
          <w:sz w:val="28"/>
          <w:szCs w:val="28"/>
          <w:rtl w:val="true"/>
          <w:lang w:bidi="ar-SA"/>
        </w:rPr>
        <w:t>كبيرتان أرضعتا زوجته الصغيرة؛ من ابتناء تحريم المرضعة الثانية على النزاع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تحريم المرضعة الاُولى والصغيرة مع الدخول بإحدى الكبيرتين بالإجماع، وأمّا المرضعة الأخيرة ففي تحريمها خلاف، فاختار والدي المصنّف</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وابن إدريس</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تحريمها؛ لأنّ هذه يصدق عليها أنّها اُمّ زوجته؛ لأ نّه لا يشترط في صدق المشتقّ بقاء المشتقّ منه</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تسليم حرمة المرضعة الاُولى والخلاف في الثانية مشكل لاتّحادهما في الملاك، وذلك لأنّ اُمومة المرضعة الاُولى وبنتية المرتضعة متضايفتان متكافئتان في القوّة والفعلية، وبنتية المرتضعة وزوجيتها متضادّتان شرعاً، ففي مرتبة حصول اُمومة المرضعة تحصل بنتية المرتضعة، وتلك المرتبة مرتبة زوال زوجية المرتضعة، فليست في مرتبة من المراتب اُمومة المرضعة مضافة إلى زوجية المرتضعة؛ حتّى تحرم بسبب كونها اُمّ الزوجة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الرضاع المحرّم علّة لتحقّق عنوان الاُمومة والبنتية، وعنوان البنتية للزوجة المرتضعة علّة لانتفاء عنوان الزوجية عنها، فانتفاء عنوان الزوجية عن المرتضعة متأخّر رتبة عن عنوان البنتية لها، ولا محالة أنّها تكون زوجة في رتبة عنوان البنتية؛ لاستحالة ارتفاع النقيضين، ففي تلك المرتبة </w:t>
      </w:r>
    </w:p>
    <w:p>
      <w:pPr>
        <w:pStyle w:val="BookText"/>
        <w:rPr/>
      </w:pPr>
      <w:r>
        <w:rPr>
          <w:rFonts w:ascii="Amiri" w:hAnsi="Amiri" w:eastAsia="Amiri" w:cs="Amiri"/>
          <w:color w:val="111111"/>
          <w:sz w:val="28"/>
          <w:sz w:val="28"/>
          <w:szCs w:val="28"/>
          <w:rtl w:val="true"/>
          <w:lang w:bidi="ar-SA"/>
        </w:rPr>
        <w:t>تجتمع الزوجية والبنتية واُمومة الزوجة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فخر المحقّقين أنّ تحريم المرضعة الاُولى والمرتضعة ليس منوطاً بالنزاع في المشتقّ؛ لتحقّق الإجماع على حرمتهما، كان المشتقّ موضوعاً للمتلبّس أو الأعمّ منه، بل يمكن استفادة حرمتهما من صحيحتي محمّد بن مسلم، عن أبي جعفر علیه السلام </w:t>
      </w:r>
      <w:r>
        <w:rPr>
          <w:rStyle w:val="FootnoteAnchor"/>
          <w:rtl w:val="true"/>
        </w:rPr>
        <w:footnoteReference w:id="230"/>
      </w:r>
      <w:r>
        <w:rPr>
          <w:rFonts w:ascii="IRNazanin" w:hAnsi="IRNazanin" w:eastAsia="IRNazanin"/>
          <w:color w:val="111111"/>
          <w:sz w:val="28"/>
          <w:sz w:val="28"/>
          <w:szCs w:val="28"/>
          <w:rtl w:val="true"/>
          <w:lang w:bidi="fa-IR"/>
        </w:rPr>
        <w:t xml:space="preserve">، والحلبي عن أبي عبدالله‌ علیه السلام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من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جارية رضيعة، فأرضعتها امرأته فسد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حرمة الثانية فليست إجماعية، ولعلّه استشكل في النصّ الوارد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رواية ابن مهزيار المصرّحة بحرمة المرضعة الاُولى دون الثانية</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بالإرسال وضعف السند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تكون المسألة عنده غير منصوصة ولا إجماعية، فتكون مبنيّة على النزاع في المشتقّ، ولم يظهر منه أنّ المسألة الاُولى خارجة عن بحث المشتقّ لولا الإجماع 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تسليم حرمة المرضعة </w:t>
      </w:r>
    </w:p>
    <w:p>
      <w:pPr>
        <w:pStyle w:val="BookText"/>
        <w:rPr/>
      </w:pPr>
      <w:r>
        <w:rPr>
          <w:rFonts w:ascii="Amiri" w:hAnsi="Amiri" w:eastAsia="Amiri" w:cs="Amiri"/>
          <w:color w:val="111111"/>
          <w:sz w:val="28"/>
          <w:sz w:val="28"/>
          <w:szCs w:val="28"/>
          <w:rtl w:val="true"/>
          <w:lang w:bidi="ar-SA"/>
        </w:rPr>
        <w:t>الاُولى والخلاف في الثانية مشكل</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 نّه في غير محلّه، ودعوى وحدة الملاك</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لولا الإجماع كانت الاُولى أيضاً من مصاديق محلّ النزاع، ولا يدفع الإشكال بما تقدّم؛ لأنّ بنتية المرتضعة ليست علّة تكوينية لرفع الزوجية، بل لا بدّ في استفادة العلّية أو التمانع بين الزوجية والبنتية من الأدلّة الشرعية، وظاهرها عدم اجتماع الزوجية مع العناوين المحرّمة،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اُمَّهَاتُكُمْ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إلى آخره ظاهر في أنّ الاُمّ وغيرها من العناوين لا تصير زوجة، وهذا ينافي اجتماعهما في آنٍ أو 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في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آخر زمان الزوجية متّصل بأوّل زمان صدق الاُمّية، ولعلّ هذا كافٍ في الاندراج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اُمَّهَاتُ نِسَائِكُمْ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 مسامحي لا حقيقي إلاّ بناءً على وضع المشتقّ للأعمّ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عدم وجود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بل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إشكال في عدم جريان نزاع المشتقّ فيه، فالكلام ساقط من أصله</w:t>
      </w:r>
      <w:r>
        <w:rPr>
          <w:rFonts w:eastAsia="Amiri" w:cs="Amiri" w:ascii="Amiri" w:hAnsi="Amiri"/>
          <w:color w:val="111111"/>
          <w:sz w:val="28"/>
          <w:szCs w:val="28"/>
          <w:rtl w:val="true"/>
          <w:lang w:bidi="ar-SA"/>
        </w:rPr>
        <w:t xml:space="preserve">. </w:t>
      </w:r>
      <w:bookmarkStart w:id="266" w:name="pg15283_146289"/>
    </w:p>
    <w:p>
      <w:pPr>
        <w:pStyle w:val="Heading3"/>
        <w:numPr>
          <w:ilvl w:val="2"/>
          <w:numId w:val="1"/>
        </w:numPr>
        <w:rPr/>
      </w:pPr>
      <w:bookmarkStart w:id="267" w:name="__RefHeading___Toc4563261_2142443653"/>
      <w:bookmarkStart w:id="268" w:name="_Toc96"/>
      <w:bookmarkEnd w:id="266"/>
      <w:bookmarkEnd w:id="267"/>
      <w:r>
        <w:rPr>
          <w:rtl w:val="true"/>
        </w:rPr>
        <w:t>الثالث</w:t>
      </w:r>
      <w:r>
        <w:rPr>
          <w:rtl w:val="true"/>
        </w:rPr>
        <w:t xml:space="preserve">: </w:t>
      </w:r>
      <w:r>
        <w:rPr>
          <w:rtl w:val="true"/>
        </w:rPr>
        <w:t>في خروج أسماء الزمان عن محطّ البحث</w:t>
      </w:r>
      <w:bookmarkEnd w:id="268"/>
    </w:p>
    <w:p>
      <w:pPr>
        <w:pStyle w:val="BookText"/>
        <w:rPr/>
      </w:pPr>
      <w:r>
        <w:rPr>
          <w:rFonts w:ascii="Amiri" w:hAnsi="Amiri" w:eastAsia="Amiri" w:cs="Amiri"/>
          <w:color w:val="111111"/>
          <w:sz w:val="28"/>
          <w:sz w:val="28"/>
          <w:szCs w:val="28"/>
          <w:rtl w:val="true"/>
          <w:lang w:bidi="ar-SA"/>
        </w:rPr>
        <w:t>الظاهر خروج اسم الزمان عن محطّ البحث؛ لعدم بقاء الذات مع انقضاء المبدأ فيه، واُجيب عن الإشكال بوجوه غير 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انحصار مفهوم عامّ بفرد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أن يكون وضع اللفظ بإزاء الفرد دون العامّ، كالواجب الموضوع للمفهوم العامّ مع انحصاره فيه تعالى</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إنّما هو للاحتياج إلى إفهام المعنى، وليس له موضوعية، فالوضع لمعنىً غير محتاج إليه رأساً لغو، والواجب مفهوم عامّ له مصاديق كثيرة لا ينحصر فيه تعالى، بل ما ينحصر فيه تعالى هو الواجب بالذات، وهو غير موضوع، بل الموضوع هو المفردات، ولفظ الجلالة علم لذاته تعالى، مع أنّه على فرض وضعه للذات الجامعة للكمالات لعلّه للاحتياج إلى الاستعمال أحياناً، وكذا في مثل لفظ الشمس والقمر على فرض عدم كونهما 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الذات الباقية في الزمان مع انقضاء المبدأ عنها فلا يكون لها مصداق خارجي، ولا يتصوّر له مصداق عقلي مع حفظ ذاته؛ فإنّه متصرّم متقضٍّ بالذات، فلا احتياج لإفهام ما لا يتصوّر له وجود ولا يتعقّل له مصداق</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الزمان آبية عن البقاء مع انقضاء المبدأ، فلا تقاس </w:t>
      </w:r>
    </w:p>
    <w:p>
      <w:pPr>
        <w:pStyle w:val="BookText"/>
        <w:rPr/>
      </w:pPr>
      <w:r>
        <w:rPr>
          <w:rFonts w:ascii="Amiri" w:hAnsi="Amiri" w:eastAsia="Amiri" w:cs="Amiri"/>
          <w:color w:val="111111"/>
          <w:sz w:val="28"/>
          <w:sz w:val="28"/>
          <w:szCs w:val="28"/>
          <w:rtl w:val="true"/>
          <w:lang w:bidi="ar-SA"/>
        </w:rPr>
        <w:t>بمفهوم الذات الجامعة للصفات أو الشمس والقمر؛ فإنّ مفاهيمها بما هي لا تأبى عن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اسم الزمان موضوع لمعنىً كلّي له أفراد غير مجتمعة في الوجود، فالمقتل موضوع لزمان كلّي متّصف بالقتل، وهو باقٍ بوجود فرد آخر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وهو لا يخلو من غرابة؛ لأنّ اسم الزمان موضوع لكلّ زمان يكون وعاء الحدث، لا لكلّ زمان مطلقاً، ومعلوم أنّ وعاءه هو الزمان الخارجي، وهو غير باقٍ، والموجود في عام آخر مصداق لعنوان آخر مثل عاشر المحرّم، وهو موجود آخر ولو اعتباراً</w:t>
      </w:r>
      <w:r>
        <w:rPr>
          <w:rStyle w:val="FootnoteAnchor"/>
          <w:rtl w:val="true"/>
        </w:rPr>
        <w:footnoteReference w:id="2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فالكلّي القابل للصدق على الكثيرين ليس وعاءً للحدث، وما هو وعاؤه هو الموجود الخارجي، وهو غير باقٍ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الزمان هوية متّصلة باقية بالوحدة الوجودية، وإلاّ لزم تتالي الآنات وهو مستحيل كاستحالة الجزء، وعليه يكون الزمان بهويته ووحدته باقياً وانقضى عنه المبدأ، ولولا كون الألفاظ موضوعة للمعاني العرفية لقلنا بصدق اسم الزمان على الهوية الزمانية إلى آخر الأبد، فكان مقتل يحيى والحسين علیهما السلام  صادقاً على الزمان إلى الأبد، لكن العرف بعد حكمه بأنّ للزمان بقاءً ووحدة قسّمه إلى أقسام حسب احتياجاته أو العوارض الخارجية كالنهار والليل والفصول، فحينئذٍ إذا وقع قتل في حدّ من </w:t>
      </w:r>
    </w:p>
    <w:p>
      <w:pPr>
        <w:pStyle w:val="BookText"/>
        <w:rPr/>
      </w:pPr>
      <w:r>
        <w:rPr>
          <w:rFonts w:ascii="Amiri" w:hAnsi="Amiri" w:eastAsia="Amiri" w:cs="Amiri"/>
          <w:color w:val="111111"/>
          <w:sz w:val="28"/>
          <w:sz w:val="28"/>
          <w:szCs w:val="28"/>
          <w:rtl w:val="true"/>
          <w:lang w:bidi="ar-SA"/>
        </w:rPr>
        <w:t xml:space="preserve">حدود اليوم يرى العرف اليوم باقياً إلى الليل ومتلبّساً بالمبدأ ومنقضياً عنه مع بقائه، فيطلق المقتل على اليوم بعد انقضاء التلبّس، كإطلاقه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العلم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كالعقل كما يحكم بالوحدة الاتّصالية للزمان يرى تجدّده وتصرّمه وعدم اجتماع لاحقه بسابقه، فللزمان هوية اتّصالية لكنّها متصرّمة متقضّية، فاليوم لدى العرف عبارة عن هوية باقية لكن على نحو التصرّم، لا بمعنى كون حدّه الأوّل باقياً إلى آخره، فيرى أوّله غير وسطه وآخره، فإذا حدثت في أوّل اليوم حادثة لا يرى زمان الوقوع باقياً وقد زال عنه المبدأ، بل يرى اليوم باقياً وزمان الوقوع منقضياً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الذي يعتبر في المشتقّ هو بقاء الشخص الذي يتلبّس بالمبدأ عيناً، وهو غير باقٍ في الزمان، والبقاء التصرّمي التجدّدي لا يدفع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نظر العرف بقاء الزمان كالزماني كان الإشكال مرتفعاً، لكنّه ليس كذلك عرفاً ولا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اسم الزمان موضوع لوعاء الحدث؛ من غير خصوصية الزمان والمكان، فيكون مشتركاً معنوياً للجامع بينهما، فحينئذٍ وضع الهيئة للأعمّ ممّا لا مانع منه، فيأتي النزاع فيه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جامع ذاتي بين الزمان والمكان، وكذا بين وعائيتهما للمبدأ؛ فإنّ الوقوع في كلّ على نحو يباين الآخر، فلا بدّ من انتزاع جامع عرضي بينهما، </w:t>
      </w:r>
      <w:bookmarkStart w:id="269" w:name="pg15283_146292"/>
    </w:p>
    <w:p>
      <w:pPr>
        <w:pStyle w:val="BookText"/>
        <w:rPr/>
      </w:pPr>
      <w:bookmarkEnd w:id="269"/>
      <w:r>
        <w:rPr>
          <w:rFonts w:ascii="Amiri" w:hAnsi="Amiri" w:eastAsia="Amiri" w:cs="Amiri"/>
          <w:color w:val="111111"/>
          <w:sz w:val="28"/>
          <w:sz w:val="28"/>
          <w:szCs w:val="28"/>
          <w:rtl w:val="true"/>
          <w:lang w:bidi="ar-SA"/>
        </w:rPr>
        <w:t>كمفهوم الوعاء أو الظرف مثلاً، والالتزامِ بوضعه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خلاف المتبادر من أسماء الزمان والمكان؛ ضرورة أنّه لا يفهم من لفظ المقتل مفهوم وعاء الحدث أو مفهوم ظرفه، بل لو كان الوعاء جامعاً ذاتياً بينهما أيضاً، لم يوضع اسمهما له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أسماء الزمان والمكان مشتركة لفظاً، بل يختلج في الذهن أنّ الوعائية والظرفية بالنسبة إلى الزمان ليست على نحو الحقيقة، بل اُطلقت عليه بدعوى كون الزمان كالمكان محيطاً بالزماني إحاطة المكان بالمتمكّن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الزمان خارجة عن محطّ البحث؛ لعدم ملاكه فيها</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4563263_2142443653"/>
      <w:bookmarkStart w:id="271" w:name="_Toc97"/>
      <w:bookmarkEnd w:id="270"/>
      <w:r>
        <w:rPr>
          <w:rtl w:val="true"/>
        </w:rPr>
        <w:t>الرابع</w:t>
      </w:r>
      <w:r>
        <w:rPr>
          <w:rtl w:val="true"/>
        </w:rPr>
        <w:t xml:space="preserve">: </w:t>
      </w:r>
      <w:r>
        <w:rPr>
          <w:rtl w:val="true"/>
        </w:rPr>
        <w:t>في وضع المشتقّات</w:t>
      </w:r>
      <w:bookmarkEnd w:id="271"/>
    </w:p>
    <w:p>
      <w:pPr>
        <w:pStyle w:val="BookText"/>
        <w:rPr/>
      </w:pPr>
      <w:r>
        <w:rPr>
          <w:rFonts w:ascii="Amiri" w:hAnsi="Amiri" w:eastAsia="Amiri" w:cs="Amiri"/>
          <w:color w:val="111111"/>
          <w:sz w:val="28"/>
          <w:sz w:val="28"/>
          <w:szCs w:val="28"/>
          <w:rtl w:val="true"/>
          <w:lang w:bidi="ar-SA"/>
        </w:rPr>
        <w:t>وفيه جهات</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563265_2142443653"/>
      <w:bookmarkStart w:id="273" w:name="_Toc98"/>
      <w:bookmarkEnd w:id="272"/>
      <w:r>
        <w:rPr>
          <w:rtl w:val="true"/>
        </w:rPr>
        <w:t>الاُولى</w:t>
      </w:r>
      <w:r>
        <w:rPr>
          <w:rtl w:val="true"/>
        </w:rPr>
        <w:t xml:space="preserve">: </w:t>
      </w:r>
      <w:r>
        <w:rPr>
          <w:rtl w:val="true"/>
        </w:rPr>
        <w:t>في كيفية وضع المادّة</w:t>
      </w:r>
      <w:bookmarkEnd w:id="27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لمادّة المشتقّات السارية فيها وضعاً مستقلاًّ، ولا يمكن أن يكون المصدر أو اسمه مادّة لها؛ لتأبّي هيئتهما عن ورود هيئة اُخرى عليهما، ولولا وضع المادّة لكان الوضع الشخصي لا بدّ منه في جميع الاشتقاقات؛ لعدم محفوظية ما يدلّ على المادّة لولا 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المادّة شخصي، ولا مشاحّة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تطوّرها بالهيئات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وضعها نوعي</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والالتزام </w:t>
      </w:r>
    </w:p>
    <w:p>
      <w:pPr>
        <w:pStyle w:val="BookText"/>
        <w:rPr/>
      </w:pPr>
      <w:r>
        <w:rPr>
          <w:rFonts w:ascii="Amiri" w:hAnsi="Amiri" w:eastAsia="Amiri" w:cs="Amiri"/>
          <w:color w:val="111111"/>
          <w:sz w:val="28"/>
          <w:sz w:val="28"/>
          <w:szCs w:val="28"/>
          <w:rtl w:val="true"/>
          <w:lang w:bidi="ar-SA"/>
        </w:rPr>
        <w:t>بالوضع الشخصي لها في جميع الهيئات خلاف الوجدان والضرورة، بل يلزم اللغوية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أنّا قد نعلم معنى مادّة ونجهل معنى الهيئة، كما لو فرض الجهل بمعنى هيئة اسم الآلة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إشكال في أنّا نفهم أنّ للضرب هاهنا تطوّراً وشأناً، وليس هذا إلاّ للوضع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دلالة الهيئة على معناها مع الجهل بمعنى المادّة دليل على وضعها مستقلاًّ نوعياً، مع أنّ بعض المصادر قياسي، فلا بدّ له من مادّة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الموادّ المجرّدة عن كافّة الهيئات ليست من مقولة اللفظ؛ لعدم إمكان النطق بها، فلا معنى لوضعها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المادّة إذا كانت موضوعة لنفس الحدث اللابشرط، يلزم منه كون اسم المصدر الموضوع له بعينه، بل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المعروف بين أهل الأدب الموافق للتبادر من كونه موضوعاً للحدث</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مشتقّين من المادّة؛ لأنّ الهيئة لا بدّ لها من وضع وإفادة زائدين على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على فرض وضع المادّة المجرّدة عن كافّة الهيئات، أنّه لو وجدت في ضمن هيئة غير موضوعة أيضاً، دلّت على معناها، مع أنّه خلاف الواقع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الموادّ موضوعة بالوضع التهيّئي لأن تتلبّس بهيئة موضوعة كذلك للإفادة والدلالة، ومثل ذلك لا يلزم أن يكون من مقولة اللفظ مستقلاًّ </w:t>
      </w:r>
    </w:p>
    <w:p>
      <w:pPr>
        <w:pStyle w:val="BookText"/>
        <w:rPr/>
      </w:pPr>
      <w:r>
        <w:rPr>
          <w:rFonts w:ascii="Amiri" w:hAnsi="Amiri" w:eastAsia="Amiri" w:cs="Amiri"/>
          <w:color w:val="111111"/>
          <w:sz w:val="28"/>
          <w:sz w:val="28"/>
          <w:szCs w:val="28"/>
          <w:rtl w:val="true"/>
          <w:lang w:bidi="ar-SA"/>
        </w:rPr>
        <w:t>وابتداءً، ولا ممّا يمكن به النطق كذلك، بل يكفي الإمكان ولو في ضمن هيئة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بينها وبين اسم المصدر الدالّ على نفس الحدث والمصدر 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هيئتهما يمكن أن تكون موضوعة لتمكين النطق بالمادّة؛ لإفادة نفس الحدث من‌حيث هو في مقابل سائر المشتقّات، فالمادّة موضوعة لنفس الحدث، لكن لا يمكن الإفادة بنفسها ولا النطق بها، والناس قد يحتاجون إلى إفادتها، فوضعت هيئتهما لا لمعنىً من المعاني، بل لكونهما آلة للنطق بالمادّة، فإفادة معنى الحدث إنّما هي بالمادّة المتحصّلة بهذه الصورة، لا بمعنى أنّ التحصّل بها دخيل في إفادة المعنى حتّى تكون المادّة المقيّدة دالّة، بل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يتّضح أنّه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أو اسمه أصل المشتقّات؛ لأ نّهما كأ نّهما المادّة من غير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دلالة المادّة في ضمن أيّة هيئة ولو كانت لغواً،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المادّة بعد ما كانت موضوعة بالوضع التهيّئي للازدواج مع الهيئات الموضوعة للدلالة، يكون لها ضيق ذاتي، فلا تدلّ في ضمن غيرها، مع أنّ في كيفية دلالتها كلاماً يحلّ به الإشكال، يأتي عن قريب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المادّة والهيئة مستقلاًّ ينافي بساطة المشتقّات، بل يلزم منه دلالتها على معنيين مستقلّين، وهو خلاف التحقيق بل الضرورة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يلزم لو كانت المادّة والهيئة موجودتين بوجودين مستقلّين، </w:t>
      </w:r>
    </w:p>
    <w:p>
      <w:pPr>
        <w:pStyle w:val="BookText"/>
        <w:rPr/>
      </w:pPr>
      <w:r>
        <w:rPr>
          <w:rFonts w:ascii="Amiri" w:hAnsi="Amiri" w:eastAsia="Amiri" w:cs="Amiri"/>
          <w:color w:val="111111"/>
          <w:sz w:val="28"/>
          <w:sz w:val="28"/>
          <w:szCs w:val="28"/>
          <w:rtl w:val="true"/>
          <w:lang w:bidi="ar-SA"/>
        </w:rPr>
        <w:t xml:space="preserve">ودالّتين على المعنى كذلك، وهو خلاف الواقع؛ فإنّ المادّة كما أنّها مندكّة في الصورة، وهي مزدوجة معها، فتركيبهما كأ نّه اتّحادي، تكون دلالتهما على المعنى كذلك، كما أنّ معانيهما كذلك، فبين معاني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كألفاظها ودلالتها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اتّحاد، كاتّحاد المادّة والصورة، كما سنشير إليه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يظهر دفع ما يتوهّم من لزوم دلالة المادّة في ضمن الهيئات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سيّد مشايخنا المحقّق الفشاركي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 المادّة ملحوظة أيضاً في وضع الهيئات، فيكون الموضوع هي المادّة المتهيّئة بالهيئة الخاصّة، وهو الوضع الحقيقي الدالّ على المعنى، وليس الوضع الأوّل إلاّ مقدّمة لهذا الوضع وتهيئة له، ولا نبالي بعدم تسمية الأوّل وضعاً؛ إذ تمام المقصود هو الوضع الثاني</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لعدم دلالة المادّة إذا كانت موضوعة للمعنى، ومجرّد كونه مقدّمة لا يوجب عدم الدلالة، فحينئذٍ يلزم ما هو أفحش، وهو التركيب مع تكرّر الدلالة؛ لتكرّر الوضع استقلالاً وتبعاً، تأمّل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الثاني إن كان مع كلّ هيئة يلزم منه الوضع الشخصي، وهو مع بطلانه مغنٍ عن وضع المادّة مستقلاًّ، ووضعها مع مادّة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فساده في نفسه؛ لعدم وجود مادّة ما بالحمل الشائع، والالتزام بالحمل الأوّلي أفحش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الإشكال لولا الوضع في كلّ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ما مرّ، فافهم واغتنم</w:t>
      </w:r>
      <w:r>
        <w:rPr>
          <w:rFonts w:eastAsia="Amiri" w:cs="Amiri" w:ascii="Amiri" w:hAnsi="Amiri"/>
          <w:color w:val="111111"/>
          <w:sz w:val="28"/>
          <w:szCs w:val="28"/>
          <w:rtl w:val="true"/>
          <w:lang w:bidi="ar-SA"/>
        </w:rPr>
        <w:t xml:space="preserve">. </w:t>
      </w:r>
      <w:bookmarkStart w:id="274" w:name="pg15283_146296"/>
    </w:p>
    <w:p>
      <w:pPr>
        <w:pStyle w:val="Heading3"/>
        <w:numPr>
          <w:ilvl w:val="2"/>
          <w:numId w:val="1"/>
        </w:numPr>
        <w:rPr/>
      </w:pPr>
      <w:bookmarkStart w:id="275" w:name="__RefHeading___Toc4563267_2142443653"/>
      <w:bookmarkStart w:id="276" w:name="_Toc99"/>
      <w:bookmarkEnd w:id="274"/>
      <w:bookmarkEnd w:id="275"/>
      <w:r>
        <w:rPr>
          <w:rtl w:val="true"/>
        </w:rPr>
        <w:t>الثانية</w:t>
      </w:r>
      <w:r>
        <w:rPr>
          <w:rtl w:val="true"/>
        </w:rPr>
        <w:t xml:space="preserve">: </w:t>
      </w:r>
      <w:r>
        <w:rPr>
          <w:rtl w:val="true"/>
        </w:rPr>
        <w:t>في وضع الهيئات</w:t>
      </w:r>
      <w:bookmarkEnd w:id="276"/>
    </w:p>
    <w:p>
      <w:pPr>
        <w:pStyle w:val="BookText"/>
        <w:rPr/>
      </w:pPr>
      <w:r>
        <w:rPr>
          <w:rFonts w:ascii="Amiri" w:hAnsi="Amiri" w:eastAsia="Amiri" w:cs="Amiri"/>
          <w:color w:val="111111"/>
          <w:sz w:val="28"/>
          <w:sz w:val="28"/>
          <w:szCs w:val="28"/>
          <w:rtl w:val="true"/>
          <w:lang w:bidi="ar-SA"/>
        </w:rPr>
        <w:t>ولا يلزم من وضعها إمكان تصوّرها مجرّدة عن المادّة، بل يكفي تصوّرها في ضمن مادّة وتعلّق الوضع بها،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فاعل أو مفعول لكذا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واسمية، والفعلية منها حاكيات كالماضي والمضارع، ومنها موجدات كالأوامر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هيئات الأفعال حروف لها معانٍ حرفية غير مستقلّة بالمفهومية ولا بالموجودية، ويكون 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والموضوع له خاصّاً على التفصيل الذي سبق في الحروف</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كون معانيها حرفية؛ فلأنّ هيئة الماضي وضعت للحكاية عن تحقّق صدور الحدث من فاعل على ما هو عليه من كون الصدور وتحقّقه يكون بتبع الفاعل، أو للحكاية عن الكون الرابط؛ أي حلول الحدث في الفاعل، كبعض الأفعال اللازمة،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الهيئات موضوعة لتحقّق المعاني الربطية بالحمل الشائع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الماضي والمضارع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يحكي عن سبق تحقّق الحدث، والثاني عن لحوقه، لكن لا بمعنى وضع اللفظ بإزاء الزمان الماضي والمستقبل، أو بإزاء السبق واللحوق، بل اللفظ موضوع لحصّة من التحقّق الملازم للسبق أو اللحوق لزوماً بيّناً؛ فإنّ الإيجاد بعد الفراغ عنه يكون سابقاً لا محالة، وإذا لم يتحقّق لكن يصير متحقّقاً، يكون لاحقاً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يبعد دلالتهما على السبق واللحوق بالمعنى الحرفي، فإنّهما بالحمل الشائع من الإضافات التي لا تكون موجودة إلاّ بتبع مناشئها، فيكون الماضي موضوعاً للصدور السابق بالإضافة بالحمل الشائع، ولا يخرج بذلك عن المعنى الحرفي، ولا يلزم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الفعل على الحدث، وعلى سبق الصدور في الماضي، أو على لحوقه في المضارع، أو على البعث إلى الصدور، ليست دلالات مستقلّة متعدّدة، بل لها وحدة بنحو، فكما أنّ المادّة والهيئة كأ نّهما موجودتان بوجود واحد، كأ نّهما دالّتان دلالة واحدة على معنىً واحد قابل للتحليل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الصادر والصدور ليس تحقّقين، كما أنّ تحقّق الحالّ والحلول كذلك، لكنّهما قابلان للتحليل، وفي ظرفه يكون كلّ واحد منهما مستقلاًّ بالملحوظية، والأسماء الموضوعة لما في ظرفه مستقلّة في الدلالة، كالربط والمربوط، والصادر والصدور، والحالّ والحلول،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في ظرف التحليل ربط بين الفاعل والفعل والموضوع والعرض، ولا تكون حكاية تلك الألفاظ عن الواقع على طبقه، لكن إذا لوحظ الواقع على ما هو عليه لا يكون تكثّر في الصدور والصادر والحالّ والحلول، ولا يكون في الخارج إلاّ الفاعل وفعله والموضوع وعرضه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يحكيان عن زيد وفعله في ظرف حصوله، فلا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الحدث والحدوث والانتساب إلى الفاعل وسبق الصدور دلالات مستقلّة متكثّرة، بل لفظة واحدة ودلالة كذلك، لكن قابلة للتحليل، فكما </w:t>
      </w:r>
      <w:bookmarkStart w:id="277" w:name="pg15283_146298"/>
    </w:p>
    <w:p>
      <w:pPr>
        <w:pStyle w:val="BookText"/>
        <w:rPr/>
      </w:pPr>
      <w:bookmarkEnd w:id="277"/>
      <w:r>
        <w:rPr>
          <w:rFonts w:ascii="Amiri" w:hAnsi="Amiri" w:eastAsia="Amiri" w:cs="Amiri"/>
          <w:color w:val="111111"/>
          <w:sz w:val="28"/>
          <w:sz w:val="28"/>
          <w:szCs w:val="28"/>
          <w:rtl w:val="true"/>
          <w:lang w:bidi="ar-SA"/>
        </w:rPr>
        <w:t xml:space="preserve">أنّ الجسم دالّ على معنىً واحد، لكن المعنى مركّب قابل للتحليل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كمعناه مركّب من مادّة وصورة، وكذا دلالته على معناه دلالة واحدة منحلّة، 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عليه، فكما أنّ وحدة حقيقة الجسم لا تنافي التحليل، كذلك وحدة فعل الفاعل ووحدة اللفظ الدالّ عليه، فافهم واستقم</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4563269_2142443653"/>
      <w:bookmarkStart w:id="279" w:name="_Toc100"/>
      <w:bookmarkEnd w:id="278"/>
      <w:r>
        <w:rPr>
          <w:rtl w:val="true"/>
        </w:rPr>
        <w:t>الثالثة</w:t>
      </w:r>
      <w:r>
        <w:rPr>
          <w:rtl w:val="true"/>
        </w:rPr>
        <w:t xml:space="preserve">: </w:t>
      </w:r>
      <w:r>
        <w:rPr>
          <w:rtl w:val="true"/>
        </w:rPr>
        <w:t>في كيفية دلالة الفعل المضارع على الحال</w:t>
      </w:r>
      <w:bookmarkEnd w:id="279"/>
    </w:p>
    <w:p>
      <w:pPr>
        <w:pStyle w:val="BookText"/>
        <w:rPr/>
      </w:pPr>
      <w:r>
        <w:rPr>
          <w:rFonts w:ascii="Amiri" w:hAnsi="Amiri" w:eastAsia="Amiri" w:cs="Amiri"/>
          <w:color w:val="111111"/>
          <w:sz w:val="28"/>
          <w:sz w:val="28"/>
          <w:szCs w:val="28"/>
          <w:rtl w:val="true"/>
          <w:lang w:bidi="ar-SA"/>
        </w:rPr>
        <w:t>لا إشكال في اختلاف الفعل المضارع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المستقبل ولا يطلق على الحال،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فلا تطلق على المتلبّس بمبادئها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يطلق على المتلبّس في الحال بلا تأوّل،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التي مبادئها تدريجية الوجود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استعمال المضارع في التدريجيات باعتبار الأجزاء اللاحقة</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ممنوعيته؛ لعدم صحّة إطلاق الماضي عليها،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بالنسبة إلى الأمثلة المتقدّمة، ممّا كانت مبادئها دفعية ولها بقاء، فلا فرق من حيث المبدأ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والالتزام بتعدّد الوضع بعيد</w:t>
      </w:r>
      <w:r>
        <w:rPr>
          <w:rFonts w:eastAsia="Amiri" w:cs="Amiri" w:ascii="Amiri" w:hAnsi="Amiri"/>
          <w:color w:val="111111"/>
          <w:sz w:val="28"/>
          <w:szCs w:val="28"/>
          <w:rtl w:val="true"/>
          <w:lang w:bidi="ar-SA"/>
        </w:rPr>
        <w:t xml:space="preserve">. </w:t>
      </w:r>
      <w:bookmarkStart w:id="280" w:name="pg15283_146299"/>
    </w:p>
    <w:p>
      <w:pPr>
        <w:pStyle w:val="BookText"/>
        <w:rPr/>
      </w:pPr>
      <w:bookmarkEnd w:id="280"/>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هيئة المضارع وضعت للصدور الاستقبالي، لكنّها استعملت في بعض الموادّ في الحال حتّى صارت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جهات اُخرى من البحث مرتبطة بالمشتقّات الاسمية، سيأتي التكلّم فيها في المشتقّ، كالمباحث المرتبطة بهيئته، يأتي كلّ في بابه</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4563271_2142443653"/>
      <w:bookmarkStart w:id="282" w:name="_Toc101"/>
      <w:bookmarkEnd w:id="281"/>
      <w:r>
        <w:rPr>
          <w:rtl w:val="true"/>
        </w:rPr>
        <w:t>الخامس</w:t>
      </w:r>
      <w:r>
        <w:rPr>
          <w:rtl w:val="true"/>
        </w:rPr>
        <w:t xml:space="preserve">: </w:t>
      </w:r>
      <w:r>
        <w:rPr>
          <w:rtl w:val="true"/>
        </w:rPr>
        <w:t>في اختلاف مبادئ المشتقّات</w:t>
      </w:r>
      <w:bookmarkEnd w:id="282"/>
    </w:p>
    <w:p>
      <w:pPr>
        <w:pStyle w:val="BookText"/>
        <w:rPr/>
      </w:pPr>
      <w:r>
        <w:rPr>
          <w:rFonts w:ascii="Amiri" w:hAnsi="Amiri" w:eastAsia="Amiri" w:cs="Amiri"/>
          <w:color w:val="111111"/>
          <w:sz w:val="28"/>
          <w:sz w:val="28"/>
          <w:szCs w:val="28"/>
          <w:rtl w:val="true"/>
          <w:lang w:bidi="ar-SA"/>
        </w:rPr>
        <w:t xml:space="preserve">اختلاف مبادئ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 بعضها حرفة وصنعة أو قوّة وملكة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اختلافاً في الجهة المبحوث عنها، وإنّما الفرق في أنحاء التلبّس والانقضاء، 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وجه هذه الاختلافات، فإنّا نرى أنّ مفهوم التاجر والصائغ والحائك وأمثالها يدلّ على الحرفة والصنعة، وأسماء الآلات والمكان قد تدلّ على كون الشيء معدّاً لتحقّق الحدث به أو فيه، فالمفتاح مفتاح قبل أن يفتح به، والمسجد مسجد قبل أن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المشتقّات مستعملات في المعاني الحدثية كسائر المشتقّات، وإنّما الاختلاف في الجري على الذوات،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مسجد، وهذا مفتاح،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كاتب بالقوّة؛ حيث إنّ الكاتب مستعمل في معناه لا في الكاتب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أسماء الأزمنة والأمكنة والآلات؛ فإنّ الجري فيها بلحاظ القابلية والاستعداد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يدلّ على الحرفة، فسرّ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التلبّس، أنّه باتّخاذه تلك المبادئ حرفة </w:t>
      </w:r>
    </w:p>
    <w:p>
      <w:pPr>
        <w:pStyle w:val="BookText"/>
        <w:rPr/>
      </w:pPr>
      <w:r>
        <w:rPr>
          <w:rFonts w:ascii="Amiri" w:hAnsi="Amiri" w:eastAsia="Amiri" w:cs="Amiri"/>
          <w:color w:val="111111"/>
          <w:sz w:val="28"/>
          <w:sz w:val="28"/>
          <w:szCs w:val="28"/>
          <w:rtl w:val="true"/>
          <w:lang w:bidi="ar-SA"/>
        </w:rPr>
        <w:t>كأ نّه صار ملازماً للمبدأ دائماً</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المشتقّات مع قطع النظر عن الجري والحمل تفيد معاني غير معاني المشتقّات المتعارفة، فالمسجد بمفهومه التصوّري يدلّ على المكان التهيّئي للعبادة، وكذا المفتاح، ولفظ التاجر والحائك بمفهومهما التصوّري يدلاّن على الحرفة، وإنكار ذلك مكابرة، فدلالة هذه على تلك المعاني غير مرتبطة بالجري والحمل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بعد عدم الالتزام بتعدّد الأوضاع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مثل التاجر والخيّاط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تدلّ على الحرفة والصنعة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استعملت في تلك المعاني أوّلاً بنحو المجاز فصارت حقيقة إمّا باستعمال الموادّ في الصنعة والحرفة، أو استعمال مجموع المادّة والهيئة مجازاً؛ باعتبار أنّ المشتقّات كأ نّها كلمة واحدة مادّة وهيئة كسائر العناوين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لا يخلو من بُعد، وحيث إنّ المتبادر منها الحرفة والصنعة لوحظت المناسبة بينها وبين المعنى الحقيقي، ولم تكن العناية المصحّحة فرض الفترات كالأعدام ورؤية المبدأ الفعلي حاصلاً؛ لكون ذلك خلاف المتبادر؛ فإنّا لا نفهم من التاجر ومثله إلاّ من كان حرفته كذلك، لا المشتغل بفعل التجارة دائماً، كما هو واضح</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يتّضح الحال في أسماء المكان والآلات،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مثل المسجد والمنبر والمحراب وأمثالها، انقلبت الوصفية إلى الاسمية، </w:t>
      </w:r>
      <w:bookmarkStart w:id="283" w:name="pg15283_146301"/>
    </w:p>
    <w:p>
      <w:pPr>
        <w:pStyle w:val="BookText"/>
        <w:rPr/>
      </w:pPr>
      <w:bookmarkEnd w:id="283"/>
      <w:r>
        <w:rPr>
          <w:rFonts w:ascii="Amiri" w:hAnsi="Amiri" w:eastAsia="Amiri" w:cs="Amiri"/>
          <w:color w:val="111111"/>
          <w:sz w:val="28"/>
          <w:sz w:val="28"/>
          <w:szCs w:val="28"/>
          <w:rtl w:val="true"/>
          <w:lang w:bidi="ar-SA"/>
        </w:rPr>
        <w:t>فكأ نّها أسماء أجناس لا يفهم العرف منها إلاّ ذات تلك الحقائق، ولا ينسبق إلى الذهن المبادئ رأساً، وكذا في أسماء 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العرفي من مكان السجدة وآلة الفتح ليس إلاّ ما يعدّ لهما، لا المكان الحقيقي الذي اختلفت فيه آراء الحكماء والمتكلّمين، ولا الآلة الفعلية للفتح، فحينئذٍ يمكن أن يلتزم بأنّ هيئة اسم الآلة وضعت لها، وتكون هي في نظر العرف بمعنى ما يعدّ لكذا، وهيئة اسم المكان لمكان الحدث، والمكان لدى العرف ما يعدّ لتحقّق الشيء فيه، لكنّه لا يطّرد ذلك بالنسبة إلى الثاني، وإن لا يبعد بالنسبة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فالمسألة لا تخلو من الإشكال</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4563273_2142443653"/>
      <w:bookmarkStart w:id="285" w:name="_Toc102"/>
      <w:bookmarkEnd w:id="284"/>
      <w:r>
        <w:rPr>
          <w:rtl w:val="true"/>
        </w:rPr>
        <w:t>السادس</w:t>
      </w:r>
      <w:r>
        <w:rPr>
          <w:rtl w:val="true"/>
        </w:rPr>
        <w:t xml:space="preserve">: </w:t>
      </w:r>
      <w:r>
        <w:rPr>
          <w:rtl w:val="true"/>
        </w:rPr>
        <w:t>في المراد ب</w:t>
      </w:r>
      <w:r>
        <w:rPr>
          <w:rtl w:val="true"/>
        </w:rPr>
        <w:t>- «</w:t>
      </w:r>
      <w:r>
        <w:rPr>
          <w:rtl w:val="true"/>
        </w:rPr>
        <w:t>الحال</w:t>
      </w:r>
      <w:r>
        <w:rPr>
          <w:rtl w:val="true"/>
        </w:rPr>
        <w:t>»</w:t>
      </w:r>
      <w:bookmarkEnd w:id="285"/>
    </w:p>
    <w:p>
      <w:pPr>
        <w:pStyle w:val="BookText"/>
        <w:rPr/>
      </w:pPr>
      <w:r>
        <w:rPr>
          <w:rFonts w:ascii="Amiri" w:hAnsi="Amiri" w:eastAsia="Amiri" w:cs="Amiri"/>
          <w:color w:val="111111"/>
          <w:sz w:val="28"/>
          <w:sz w:val="28"/>
          <w:szCs w:val="28"/>
          <w:rtl w:val="true"/>
          <w:lang w:bidi="ar-SA"/>
        </w:rPr>
        <w:t>بعد ما أشرنا إلى أنّ الكلام في المشتقّ إنّما هو في المفهوم اللغوي التصوّري يتّضح أنّ المراد بالحال في العنوان ليس زمان الجري والإطلاق، ولا زمان النطق، ولا النسبة الحكمية؛ لأنّ كلّ ذلك متأخّر عن محلّ البحث، ودخالتها في الوضع غير ممكن، وبما أنّ الزمان خارج عن مفهوم المشتقّ لا يكون المراد زمان التلبّس، بل المراد أنّ المشتقّ هل وضع لمفهوم لا ينطبق إلاّ على المتّصف بالمبدأ أو لمفهوم أعمّ منه؟</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يرى بين أفراد المتلبّس فعلاً جامعاً انتزاعياً، فهل اللفظ موضوع لهذا الجامع أو الأعمّ منه؟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محطّ البحث هو المفهوم التصوّري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ما ربّما </w:t>
      </w:r>
      <w:bookmarkStart w:id="286" w:name="pg15283_146302"/>
    </w:p>
    <w:p>
      <w:pPr>
        <w:pStyle w:val="BookText"/>
        <w:rPr/>
      </w:pPr>
      <w:bookmarkEnd w:id="286"/>
      <w:r>
        <w:rPr>
          <w:rFonts w:ascii="Amiri" w:hAnsi="Amiri" w:eastAsia="Amiri" w:cs="Amiri"/>
          <w:color w:val="111111"/>
          <w:sz w:val="28"/>
          <w:sz w:val="28"/>
          <w:szCs w:val="28"/>
          <w:rtl w:val="true"/>
          <w:lang w:bidi="ar-SA"/>
        </w:rPr>
        <w:t>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للمتلبّس بالمبدأ ينافي عدم التلبّس به في الخارج، خصوصاً إذا كان التلبّس ممتنعاً كالمعدوم والممتنع؛ للزوم انقلاب العدم والامتناع إلى الوجود والإمكان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التالي إنّما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المعدوم مثلاً، وضع لمعنى تصديقي هو كون الشيء ثابتاً له العدم، ومعه يلزم الإشكال ولو مع الوضع للأعمّ أيضاً، وسيأتي</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أنّ مفاهيم المشتقّات ليست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ثبت 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شيء لشيء فرع ثبوت المثبت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نحتاج إلى التشبّث بأنّ الكون الرابط لا ينافي الامتناع الخارجي للمحمول</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فإنّ الإشكال لا يدفع بما ذكر؛ لأنّ الكون الرابط وإن كان لا ينافي كون المحمول عدماً أو ممتنعاً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يمكن تحقّقه إذا كان الموضوع معدوماً أو ممتنعاً كما فيما نحن فيه، 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الباري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تحقّق الكون الرابط، وهذه القضايا في قوّة المحصّلات من القضايا السالبة</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4563275_2142443653"/>
      <w:bookmarkStart w:id="288" w:name="_Toc103"/>
      <w:bookmarkEnd w:id="287"/>
      <w:r>
        <w:rPr>
          <w:rtl w:val="true"/>
        </w:rPr>
        <w:t>السابع</w:t>
      </w:r>
      <w:r>
        <w:rPr>
          <w:rtl w:val="true"/>
        </w:rPr>
        <w:t xml:space="preserve">: </w:t>
      </w:r>
      <w:r>
        <w:rPr>
          <w:rtl w:val="true"/>
        </w:rPr>
        <w:t>في امتناع تصوير الجامع على الأعمّ</w:t>
      </w:r>
      <w:bookmarkEnd w:id="28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للقائل بالوضع للأعمّ من فرض جامع بين المتلبّس به والمنقضي عنه، ومع عدم تصويره تسقط دعواه من غير احتياج إلى إقامة البرهان؛ لأنّ مدّعى </w:t>
      </w:r>
    </w:p>
    <w:p>
      <w:pPr>
        <w:pStyle w:val="BookText"/>
        <w:rPr/>
      </w:pPr>
      <w:r>
        <w:rPr>
          <w:rFonts w:ascii="Amiri" w:hAnsi="Amiri" w:eastAsia="Amiri" w:cs="Amiri"/>
          <w:color w:val="111111"/>
          <w:sz w:val="28"/>
          <w:sz w:val="28"/>
          <w:szCs w:val="28"/>
          <w:rtl w:val="true"/>
          <w:lang w:bidi="ar-SA"/>
        </w:rPr>
        <w:t>الأعمّي هو الوضع لمعنىً عامّ بنحو الاشتراك المعنوي، دون اللفظي ودون عموم الوضع وخصوص الموضوع له، فلا بدّ من جامع يكون هو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الجامع الذاتي بينهما غير ممكن؛ لأنّ المدّعى أنّ الفاقد يصدق عليه المشتقّ في حال فقدانه لأجل التلبّس السابق لا الجري عليه بلحاظ حال التلبّس، فإنّه لا نزاع في أنّه حقيقة حتّى فيما سيأتي، ومعلوم أنّ الجامع بين الواجد والفاقد ممّا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الانتزاعي البسيط أيضاً غير متصوّر؛ بحيث يدخل فيه الواجد والفاقد الذي كان متلبّساً، ويخرج منه ما سيتلبّس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البسيط الذي ينحلّ إلى المركّب أيضاً غير معقول؛ لأنّ مثله إنّما يتصوّر فيما إذا كان الواقع كذلك، فإنّه مأخوذ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الالتزام بالتركيب التفصيلي، وهو يرجع إلى الاشتراك اللفظي ولو بوضع واحد، وذلك من غير فرق بين القول بأخذ الذات في المشتقّ وعدمه، أو الزمان فيه وعدمه؛ لأنّ الذات بما هي ليست موضوعاً لها، وكذا الزمان، فلا بدّ من تقييدهما بالتلبّس وعدمه مع انقضائه خارجاً، ويعود محذور عدم الجامع مطلقاً والتركيب التفصيلي الراجع إلى الاشتراك اللفظي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للقائل بالأعمّ وجه معقول يعتمد عليه، وظنّي أنّ القائل به لمّا توهّم صحّة إطلاق بعض المشتقّات على المنقضي عنه المبدأ التزم بالأعمّ من غير توجّه إلى أن لا جامع بينهما</w:t>
      </w:r>
      <w:r>
        <w:rPr>
          <w:rFonts w:eastAsia="Amiri" w:cs="Amiri" w:ascii="Amiri" w:hAnsi="Amiri"/>
          <w:color w:val="111111"/>
          <w:sz w:val="28"/>
          <w:szCs w:val="28"/>
          <w:rtl w:val="true"/>
          <w:lang w:bidi="ar-SA"/>
        </w:rPr>
        <w:t xml:space="preserve">. </w:t>
      </w:r>
      <w:bookmarkStart w:id="289" w:name="pg15283_146304"/>
    </w:p>
    <w:p>
      <w:pPr>
        <w:pStyle w:val="Heading2"/>
        <w:numPr>
          <w:ilvl w:val="1"/>
          <w:numId w:val="1"/>
        </w:numPr>
        <w:rPr/>
      </w:pPr>
      <w:bookmarkStart w:id="290" w:name="__RefHeading___Toc4563277_2142443653"/>
      <w:bookmarkStart w:id="291" w:name="_Toc104"/>
      <w:bookmarkEnd w:id="289"/>
      <w:bookmarkEnd w:id="290"/>
      <w:r>
        <w:rPr>
          <w:rtl w:val="true"/>
        </w:rPr>
        <w:t>التحقيق كون المشتقّ حقيقة في خصوص المتلبّس</w:t>
      </w:r>
      <w:bookmarkEnd w:id="291"/>
    </w:p>
    <w:p>
      <w:pPr>
        <w:pStyle w:val="Heading3"/>
        <w:numPr>
          <w:ilvl w:val="2"/>
          <w:numId w:val="1"/>
        </w:numPr>
        <w:rPr/>
      </w:pPr>
      <w:bookmarkStart w:id="292" w:name="__RefHeading___Toc4563279_2142443653"/>
      <w:bookmarkStart w:id="293" w:name="_Toc105"/>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إذا عرفت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لك الأمر من كون المشتقّ حقيقة في المتلبّس، مع أنّ التبادر هو الدليل الوحيد في مثل المقام الذي يكون البحث فيه لغوياً لا عقلياً،</w:t>
      </w:r>
    </w:p>
    <w:p>
      <w:pPr>
        <w:pStyle w:val="BookText"/>
        <w:rPr/>
      </w:pPr>
      <w:r>
        <w:rPr>
          <w:rFonts w:ascii="Amiri" w:hAnsi="Amiri" w:eastAsia="Amiri" w:cs="Amiri"/>
          <w:color w:val="111111"/>
          <w:sz w:val="28"/>
          <w:sz w:val="28"/>
          <w:szCs w:val="28"/>
          <w:rtl w:val="true"/>
          <w:lang w:bidi="ar-SA"/>
        </w:rPr>
        <w:t xml:space="preserve">وهو يساعد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المتلبّس به لا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وصحّة السلب ترجع إليه كما تقدّم</w:t>
      </w:r>
      <w:r>
        <w:rPr>
          <w:rStyle w:val="FootnoteAnchor"/>
          <w:rtl w:val="true"/>
        </w:rPr>
        <w:footnoteReference w:id="255"/>
      </w:r>
      <w:r>
        <w:rPr>
          <w:rFonts w:ascii="Amiri" w:hAnsi="Amiri" w:eastAsia="Amiri" w:cs="Amiri"/>
          <w:color w:val="111111"/>
          <w:sz w:val="28"/>
          <w:sz w:val="28"/>
          <w:szCs w:val="28"/>
          <w:rtl w:val="true"/>
          <w:lang w:bidi="ar-SA"/>
        </w:rPr>
        <w:t>، وكذا ما يقال من تضادّ الصفات المأخوذة من المبادئ المتضادّة على ما ارتكز لها من المعاني</w:t>
      </w:r>
      <w:r>
        <w:rPr>
          <w:rStyle w:val="FootnoteAnchor"/>
          <w:rtl w:val="true"/>
        </w:rPr>
        <w:footnoteReference w:id="256"/>
      </w:r>
      <w:r>
        <w:rPr>
          <w:rFonts w:ascii="Amiri" w:hAnsi="Amiri" w:eastAsia="Amiri" w:cs="Amiri"/>
          <w:color w:val="111111"/>
          <w:sz w:val="28"/>
          <w:sz w:val="28"/>
          <w:szCs w:val="28"/>
          <w:rtl w:val="true"/>
          <w:lang w:bidi="ar-SA"/>
        </w:rPr>
        <w:t>فإنّه لو لا التبادر لما كان بينها تضادّ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بوجوه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الحمل والجري لا بدّ له من خصوصية؛ وإلاّ لزم حمل كلّ شيء على كلّ شيء، وهي نفس المبادئ القائمة بالذوات، ولا يمكن الحمل على الفاقد المنقضي عنه المبدأ، فلا بدّ للقائل 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إنكار الخصوصية في الجري، وهو خلاف الضرورة، أو دعوى بقاء الخصوصية بعد الانقضاء، وليس بعده شيء إلاّ بعض العناوين الانتزاعية، هذا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إن رجع إلى التبادر فوجيه،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المشتقّ يتبادر منه المتلبّس بالفعل، وإلاّ فالحمل والجري متأخّران عمّا هو محلّ البحث، </w:t>
      </w:r>
      <w:bookmarkStart w:id="294" w:name="pg15283_146305"/>
    </w:p>
    <w:p>
      <w:pPr>
        <w:pStyle w:val="BookText"/>
        <w:rPr/>
      </w:pPr>
      <w:bookmarkEnd w:id="294"/>
      <w:r>
        <w:rPr>
          <w:rFonts w:ascii="Amiri" w:hAnsi="Amiri" w:eastAsia="Amiri" w:cs="Amiri"/>
          <w:color w:val="111111"/>
          <w:sz w:val="28"/>
          <w:sz w:val="28"/>
          <w:szCs w:val="28"/>
          <w:rtl w:val="true"/>
          <w:lang w:bidi="ar-SA"/>
        </w:rPr>
        <w:t>فلو وضع اللفظ لمعنىً أعمّ يكون الحمل صحيحاً بعد الانقضاء على فرض تصوير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ويتلوه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مفهوم الوصف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ما يرى العلاّمة الدواني</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من اتّحاد المبدأ والمشتقّ ذاتاً واختلافهما اعتباراً، أو على نحو آخر، ومعه لا يعقل الوضع للأعمّ، ثمّ أخذ في الاستدلال على الامتناع</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بساطة مفهوم المشتقّ وتركيبه فرع الوضع، وطريق إثباته التبادر لا العقل، وسيأتي الكلام في الوجوه العقلية التي أقاموها على البساطة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اللغوية الراجعة إلى مفهوم اللفظ لا طريق لإثباتها إلاّ مباني إثبات سائر اللغات، والعقليات بمراحل عنها، إلاّ أن يكون المقصود تقريبات لإثبات التبادر، والحقّ تبادر المتلبّس، لا المعنى الأعمّ على فرض تصويره</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4563281_2142443653"/>
      <w:bookmarkStart w:id="296" w:name="_Toc106"/>
      <w:bookmarkEnd w:id="295"/>
      <w:r>
        <w:rPr>
          <w:rtl w:val="true"/>
        </w:rPr>
        <w:t>نقد الوجوه التي استدلّ بها للأعمّ</w:t>
      </w:r>
      <w:bookmarkEnd w:id="296"/>
    </w:p>
    <w:p>
      <w:pPr>
        <w:pStyle w:val="BookText"/>
        <w:rPr/>
      </w:pPr>
      <w:r>
        <w:rPr>
          <w:rFonts w:ascii="Amiri" w:hAnsi="Amiri" w:eastAsia="Amiri" w:cs="Amiri"/>
          <w:color w:val="111111"/>
          <w:sz w:val="28"/>
          <w:sz w:val="28"/>
          <w:szCs w:val="28"/>
          <w:rtl w:val="true"/>
          <w:lang w:bidi="ar-SA"/>
        </w:rPr>
        <w:t>ثمّ إنّ الأعمّي قد استدلّ بوجوه، وهي مع عدم تصوير الجامع ممّا لا تغني من الحقّ شيئاً، مع عدم تماميتها في نفسها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التبادر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xml:space="preserve">حتّى التجأ بعض </w:t>
      </w:r>
    </w:p>
    <w:p>
      <w:pPr>
        <w:pStyle w:val="BookText"/>
        <w:rPr/>
      </w:pPr>
      <w:r>
        <w:rPr>
          <w:rFonts w:ascii="Amiri" w:hAnsi="Amiri" w:eastAsia="Amiri" w:cs="Amiri"/>
          <w:color w:val="111111"/>
          <w:sz w:val="28"/>
          <w:sz w:val="28"/>
          <w:szCs w:val="28"/>
          <w:rtl w:val="true"/>
          <w:lang w:bidi="ar-SA"/>
        </w:rPr>
        <w:t>الأعاظم إلى إخراج اسم المفعول عن محطّ النزاع،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المفعول موضوع لمن وقع عليه الحدث، وهو أمر لا يعقل فيه الانقضاء</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التبادر، وإنّما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بلحاظ حال التلبّس، وإلاّ فالضاربية والمضروبية متضايفان عرفاً، فلا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لقائل أن يعارضه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الفاعل وضع لمن صدر منه الضرب، وهو أمر لا يعقل فيه الانقضاء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العجب منه رحمه الله علیه  مع إشكاله في تصوير الجامع</w:t>
      </w:r>
      <w:r>
        <w:rPr>
          <w:rStyle w:val="FootnoteAnchor"/>
          <w:rtl w:val="true"/>
        </w:rPr>
        <w:footnoteReference w:id="262"/>
      </w:r>
      <w:r>
        <w:rPr>
          <w:rFonts w:ascii="IRNazanin" w:hAnsi="IRNazanin" w:eastAsia="IRNazanin"/>
          <w:color w:val="111111"/>
          <w:sz w:val="28"/>
          <w:sz w:val="28"/>
          <w:szCs w:val="28"/>
          <w:rtl w:val="true"/>
          <w:lang w:bidi="fa-IR"/>
        </w:rPr>
        <w:t>التزم بالأعمّ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وَالزَّانِى فَاجْلِدُوا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إلى آخره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وَالسَّارِقَةُ فَاقْطَعُوا</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إلى آخره،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الجلد والقطع إنّما هما ثابتان للزاني والسارق، ولولا صدقهما على المنقضي عنه لا موضوع لإجرائهما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فإنّ المفهوم من هذه الأحكام السياسية أنّ ما صار موجباً للسياسة هو العمل الخارجي، لا صدق العنوان الانتزاعي، فالسارق يقطع لأجل سرقته، وفي مثله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من هو موضوع الحكم مع التنبيه على علّته، وهو العمل الخارجي لا العنوان الانتزاعي، فكأ 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صدر منه السرقة تقطع يده لأجل صدورها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الإمام علیه السلام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على عدم لياقة من عبد صنماً لمنصب الإمامة؛ ردّاً على من تصدّى لها مع كونه عابداً للصنم مدّة</w:t>
      </w:r>
      <w:r>
        <w:rPr>
          <w:rStyle w:val="FootnoteAnchor"/>
          <w:rtl w:val="true"/>
        </w:rPr>
        <w:footnoteReference w:id="2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والتمسّك يصحّ مع الوضع للأعمّ؛ فإنّهم غير عابدين للصنم حين التصدّي</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الظلم يشمل المبادئ المتصرّمة وغيرها، ومنصب الإمامة أمر مستمرّ باقٍ، فلا بدّ معه من كون الموضوع هو الأشخاص ولو تلبّسوا بمثل المبادئ المتصرّمة، فمن ظهر منه قتل أو سرقة فتاب فوراً تشمله الآية؛ فإنّه ظالم في ذلك الحين، فهو غير لائق لمنصبها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مستمرّ، فلا بدّ أن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المتلبّس بالظلم ولو آناً لا يناله العهد مطلقاً،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سوق الآية يشهد بأنّ الإمامة والزعامة والسلطنة على النفوس والأعراض والأموال، أمر مهمّ لا ينالها مثل إبراهيم خليل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رسالته وخلّته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الابتلاء والامتحان والتمحيص وإتمامها، فمناسبة الحكم والموضوع وسوق الآية يشهدان بأنّ الظالم ولو آناً ما، والعابد للصنم ولو برهة من الزمان، غير لائقين لها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اُمور</w:t>
      </w:r>
      <w:r>
        <w:rPr>
          <w:rFonts w:eastAsia="Amiri" w:cs="Amiri" w:ascii="Amiri" w:hAnsi="Amiri"/>
          <w:color w:val="111111"/>
          <w:sz w:val="28"/>
          <w:szCs w:val="28"/>
          <w:rtl w:val="true"/>
          <w:lang w:bidi="ar-SA"/>
        </w:rPr>
        <w:t xml:space="preserve">: </w:t>
      </w:r>
      <w:bookmarkStart w:id="297" w:name="pg15283_146308"/>
    </w:p>
    <w:p>
      <w:pPr>
        <w:pStyle w:val="Heading3"/>
        <w:numPr>
          <w:ilvl w:val="2"/>
          <w:numId w:val="1"/>
        </w:numPr>
        <w:rPr/>
      </w:pPr>
      <w:bookmarkStart w:id="298" w:name="__RefHeading___Toc4563283_2142443653"/>
      <w:bookmarkStart w:id="299" w:name="_Toc107"/>
      <w:bookmarkEnd w:id="297"/>
      <w:bookmarkEnd w:id="298"/>
      <w:r>
        <w:rPr>
          <w:rtl w:val="true"/>
        </w:rPr>
        <w:t>الأوّل</w:t>
      </w:r>
      <w:r>
        <w:rPr>
          <w:rtl w:val="true"/>
        </w:rPr>
        <w:t xml:space="preserve">: </w:t>
      </w:r>
      <w:r>
        <w:rPr>
          <w:rtl w:val="true"/>
        </w:rPr>
        <w:t>في بساطة المشتقّ وتركيبه</w:t>
      </w:r>
      <w:bookmarkEnd w:id="299"/>
    </w:p>
    <w:p>
      <w:pPr>
        <w:pStyle w:val="BookText"/>
        <w:rPr/>
      </w:pPr>
      <w:r>
        <w:rPr>
          <w:rFonts w:ascii="Amiri" w:hAnsi="Amiri" w:eastAsia="Amiri" w:cs="Amiri"/>
          <w:color w:val="111111"/>
          <w:sz w:val="28"/>
          <w:sz w:val="28"/>
          <w:szCs w:val="28"/>
          <w:rtl w:val="true"/>
          <w:lang w:bidi="ar-SA"/>
        </w:rPr>
        <w:t>اختلف القوم في بساطة المشتقّ وتركيبه على أقوال، ومنشأ الاختلاف هو اشتمال المشتقّ على المادّة والهيئة الموضوعتين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رأى أنّهما دالّتان على المعنيين دلالة مستقلّة مفصّلة، ذهب إلى التركيب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رأى أنّ الهيئة وضعت لأجل قلب المادّة من البشرط لائية وتعصّي الحمل إلى اللا بشرطية الغير المتعصّية عنه، ذهب إلى البساطة المحضة الغير القابلة للانحلال العقلي</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رأى أنّهما موضوعتان لمعنيين يكون نحو وجودهما في الخارج والذهن ومقام الدلالة والدالّية والمدلولية بنحو من الوحدة القابلة للتحليل، ذهب إلى البساطة القابلة 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وظنّي أنّ المسألة ذات قولين، ولا أظنّ بأحد يرى التركيب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القائلين بالتركيب اختلفوا في أنّ تركيبه من الذات والحدث والنسبة</w:t>
      </w:r>
      <w:r>
        <w:rPr>
          <w:rStyle w:val="FootnoteAnchor"/>
          <w:rtl w:val="true"/>
        </w:rPr>
        <w:footnoteReference w:id="271"/>
      </w:r>
      <w:r>
        <w:rPr>
          <w:rFonts w:ascii="Amiri" w:hAnsi="Amiri" w:eastAsia="Amiri" w:cs="Amiri"/>
          <w:color w:val="111111"/>
          <w:sz w:val="28"/>
          <w:sz w:val="28"/>
          <w:szCs w:val="28"/>
          <w:rtl w:val="true"/>
          <w:lang w:bidi="ar-SA"/>
        </w:rPr>
        <w:t>، أو من الحدث والنسبة</w:t>
      </w:r>
      <w:r>
        <w:rPr>
          <w:rStyle w:val="FootnoteAnchor"/>
          <w:rtl w:val="true"/>
        </w:rPr>
        <w:footnoteReference w:id="2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الحدث والذات</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القول بالبساطة المحضة يرجع إلى التركيب الانحلالي وإن غفل</w:t>
      </w:r>
    </w:p>
    <w:p>
      <w:pPr>
        <w:pStyle w:val="BookText"/>
        <w:rPr/>
      </w:pPr>
      <w:r>
        <w:rPr>
          <w:rFonts w:ascii="Amiri" w:hAnsi="Amiri" w:eastAsia="Amiri" w:cs="Amiri"/>
          <w:color w:val="111111"/>
          <w:sz w:val="28"/>
          <w:sz w:val="28"/>
          <w:szCs w:val="28"/>
          <w:rtl w:val="true"/>
          <w:lang w:bidi="ar-SA"/>
        </w:rPr>
        <w:t>عنه قائله؛ فإنّ غاية ما يمكن أن يتصوّر في ذلك هو أنّ الهيئة لم توضع لمعنىً، بل موضوعة لقلب المعنى الذي هو بشرط لا إلى لا بشرط، كما احتملنا في هيئة المصدر</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من كونها موضوعة للتمكين من النطق بالمادّة، وصيرورة المادّة الغير المتحصّلة متحصّلة قابلة للدلالة المستقلّة، وإلاّ فمفاد المصدر واسمه ليس إلاّ نفس طبيعة الحدث، وهي بعينها معنى المادّة، لكنّها غير متحصّلة ولا مستقلّة في الدلالة، وسيأتي مزيد توضيحه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فمفاد المشتقّات الاسمية القابلة للحمل شيء بسيط واحد هو مفاد المادّة اللابشرط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توجيه القول بالبساطة المحضة مع كون المادّة والهيئة موضوعتين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 بشرطية والبشرط لائية ليستا من الاعتبارات الجزافية؛ بحيث يكون زمامهما بيد المعتبر، فإن شاء اعتبر ماهية لا بشرط، فصارت قابلة للحمل وإن لم تكن في نفسها كذلك،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في جلّ المعقولات الثانوية والأوّلية أنّها نقشة لنفس الأمر والواقع، فالمفاهيم في كونها قابلة للحمل وعدمه تابعة لما في نفس الأمر، والألفاظ الموضوعة للمفاهيم تابعة لها ولنفس الأمر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فالأجناس والفصول مأخذهما المادّة والصورة المتّحدتان بحسب الواقع، ولولا اتّحادهما كان حمل أحدهما على الآخر ممتنعاً ولو اعتبرا ألف مرّة </w:t>
      </w:r>
    </w:p>
    <w:p>
      <w:pPr>
        <w:pStyle w:val="BookText"/>
        <w:rPr/>
      </w:pPr>
      <w:r>
        <w:rPr>
          <w:rFonts w:ascii="Amiri" w:hAnsi="Amiri" w:eastAsia="Amiri" w:cs="Amiri"/>
          <w:color w:val="111111"/>
          <w:sz w:val="28"/>
          <w:sz w:val="28"/>
          <w:szCs w:val="28"/>
          <w:rtl w:val="true"/>
          <w:lang w:bidi="ar-SA"/>
        </w:rPr>
        <w:t>لا بشرط، فالحمل هو الهوهوية، وهي حكاية عن الهوهوية النفس 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فالجوهر والعنصر والمعدن والنبات والحيوان والناطق مأخذها ومحكيّها هي الحقائق المتّحدة بعضها مع بعض من المادّة الهيولانية المترقّية في مدارج الكمالات إلى منزل الإنسان، ففي كلّ منزل تكون المادّة متّحدة مع الصورة، وهذا الاتّحاد مناط صحّة الحمل واللابشرطية في المفاهيم المأخوذة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وللعقل أن يجرّد المادّة عن الصورة ويراهما بحيالهما ومنحازةً كلّ عن الاُخرى، وفي هذا اللحاظ التجريدي الانحيازي يكون مفهوم كلٍّ متعصّياً عن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الصور المتدرّجة في الكمال إذا وقفت عند حدّ، تكون بشرط لا بالنسبة إلى الحدود الاُخر، والمفهوم المأخوذ منها بشرط لا بالنسبة إلى حدود اُخر، وإن كان لا بشرط بالنسبة إلى مصاديقه، فالشجر هو النبات الواقف؛ أي بشرط لا، والنامي هو الحقيقة المتدرّجة في الكمال؛ أي لا بشرط، والتفصيل موكول إلى محلّه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أنّ اللا بشرطية والبشرط لائية ليستا جزافيتين تابعتين لاعتبار المعتبر،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تكون الهيئة لنفس إخراج المادّة عن البشرط لائية إلى اللا بشرطية من غير أن تكون حاكية لحيثية بها صار المشتقّ قابلاً للحمل؛ فإنّ نفس الحدث غير قابل للحمل، ولم يكن متّحداً في نفس الأمر مع الذات، فقابلية الحمل تابعة لحيثية زائدة على الحدث </w:t>
      </w:r>
      <w:bookmarkStart w:id="300" w:name="pg15283_146311"/>
    </w:p>
    <w:p>
      <w:pPr>
        <w:pStyle w:val="BookText"/>
        <w:rPr/>
      </w:pPr>
      <w:bookmarkEnd w:id="300"/>
      <w:r>
        <w:rPr>
          <w:rFonts w:ascii="Amiri" w:hAnsi="Amiri" w:eastAsia="Amiri" w:cs="Amiri"/>
          <w:color w:val="111111"/>
          <w:sz w:val="28"/>
          <w:sz w:val="28"/>
          <w:szCs w:val="28"/>
          <w:rtl w:val="true"/>
          <w:lang w:bidi="ar-SA"/>
        </w:rPr>
        <w:t>المدلول عليه بالمادّة، فلمادّة المشتقّات معنىً ولهيئتها معنىً آخر به صار مستحقّاً للحمل، وهذا عين التركيب</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4563285_2142443653"/>
      <w:bookmarkStart w:id="302" w:name="_Toc108"/>
      <w:bookmarkEnd w:id="301"/>
      <w:r>
        <w:rPr>
          <w:rtl w:val="true"/>
        </w:rPr>
        <w:t>تحقيق المقام</w:t>
      </w:r>
      <w:bookmarkEnd w:id="302"/>
    </w:p>
    <w:p>
      <w:pPr>
        <w:pStyle w:val="BookText"/>
        <w:rPr/>
      </w:pPr>
      <w:r>
        <w:rPr>
          <w:rFonts w:ascii="Amiri" w:hAnsi="Amiri" w:eastAsia="Amiri" w:cs="Amiri"/>
          <w:color w:val="111111"/>
          <w:sz w:val="28"/>
          <w:sz w:val="28"/>
          <w:szCs w:val="28"/>
          <w:rtl w:val="true"/>
          <w:lang w:bidi="ar-SA"/>
        </w:rPr>
        <w:t>ثمّ إنّ التحقيق الموافق للارتكاز العرفي والاعتبار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لفظ المشتقّ الاسمي القابل للحمل على الذوات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كأسماء الفاعل والمفعول وأضرابهما من أسماء المكان والزمان والآلة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لأمر وحداني قابل للانحلال إلى معنون مبهم وعنوان دون النسبة، كما يشهد به تسميتها باسم الفاعل واسم المفعول، ونعم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إذا سمعنا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في ذهننا إلاّ المعنون بها، لكن بنحو الوحدة، فنجد فرقاً بين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له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 نّه أمر متوسّط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دالاًّ ودلالةً ومدلولاً، فلا يدلّ إلاّ على معنىً وحداني لا يكون في عالم الدلالة إلاّ وحدانياً غير قابل للانحلال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له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معنون بالأبيضية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بالدلالات المستقلاّت المنفصلات على المعاني المفصّلة المشروحة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أمر وحداني منحلّ في عالم الدلالة إلى معنون وعنوان كأ نّهما مفهومان بدلالة واحدة، فيكون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المعنون بما هو كذلك، لا بنحو التفصيل والتشريح، بل بنحو الوحدة، فالدلالة والدالّ والمدلول لكلّ منها وحدة انحلالية في عالم الدلالة والدالّية والمدلولية</w:t>
      </w:r>
      <w:r>
        <w:rPr>
          <w:rFonts w:eastAsia="Amiri" w:cs="Amiri" w:ascii="Amiri" w:hAnsi="Amiri"/>
          <w:color w:val="111111"/>
          <w:sz w:val="28"/>
          <w:szCs w:val="28"/>
          <w:rtl w:val="true"/>
          <w:lang w:bidi="ar-SA"/>
        </w:rPr>
        <w:t xml:space="preserve">. </w:t>
      </w:r>
      <w:bookmarkStart w:id="303" w:name="pg15283_146312"/>
    </w:p>
    <w:p>
      <w:pPr>
        <w:pStyle w:val="BookText"/>
        <w:rPr/>
      </w:pPr>
      <w:bookmarkEnd w:id="303"/>
      <w:r>
        <w:rPr>
          <w:rFonts w:ascii="Amiri" w:hAnsi="Amiri" w:eastAsia="Amiri" w:cs="Amiri"/>
          <w:color w:val="111111"/>
          <w:sz w:val="28"/>
          <w:sz w:val="28"/>
          <w:szCs w:val="28"/>
          <w:rtl w:val="true"/>
          <w:lang w:bidi="ar-SA"/>
        </w:rPr>
        <w:t xml:space="preserve">فانحلال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المادّة والصورة إنّما هو في ذاته لا بما أنّه مدلول لفظه،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انحلاله إلى المعنون والعنوان انحلال مدلوله بما أنّه مدلوله،</w:t>
      </w:r>
    </w:p>
    <w:p>
      <w:pPr>
        <w:pStyle w:val="BookText"/>
        <w:rPr/>
      </w:pPr>
      <w:r>
        <w:rPr>
          <w:rFonts w:ascii="Amiri" w:hAnsi="Amiri" w:eastAsia="Amiri" w:cs="Amiri"/>
          <w:color w:val="111111"/>
          <w:sz w:val="28"/>
          <w:sz w:val="28"/>
          <w:szCs w:val="28"/>
          <w:rtl w:val="true"/>
          <w:lang w:bidi="ar-SA"/>
        </w:rPr>
        <w:t xml:space="preserve">فكما أنّ المادّة والهيئة في المشتقّات كأ نّهما موجودان بوجود واحد كذلك في الدلالة كأنّ دلالتهما دلالتان في دلالة واحدة، والمفهوم منهما مفهومان في مفهوم واحد، وفي نفس الأمر أيضاً كأ نّهما موجودان بوجود واحد، وهذا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المعنون 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للصدق على الذات والحمل على الأفراد، فزيد في الخارج متّحد الوجود مع الضارب الذي مفاده بحسب التحليل المعنون بالضرب أو الضاربية</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4563287_2142443653"/>
      <w:bookmarkStart w:id="305" w:name="_Toc109"/>
      <w:bookmarkEnd w:id="304"/>
      <w:r>
        <w:rPr>
          <w:rtl w:val="true"/>
        </w:rPr>
        <w:t>استدلال المحقّق الشريف على بساطة المشتقّ ونقده</w:t>
      </w:r>
      <w:bookmarkEnd w:id="3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عن المحقّق الشريف من الذهاب إلى البساطة بالبرهان المعروف</w:t>
      </w:r>
      <w:r>
        <w:rPr>
          <w:rStyle w:val="FootnoteAnchor"/>
          <w:rtl w:val="true"/>
        </w:rPr>
        <w:footnoteReference w:id="277"/>
      </w:r>
      <w:r>
        <w:rPr>
          <w:rFonts w:ascii="Amiri" w:hAnsi="Amiri" w:eastAsia="Amiri" w:cs="Amiri"/>
          <w:color w:val="111111"/>
          <w:sz w:val="28"/>
          <w:sz w:val="28"/>
          <w:szCs w:val="28"/>
          <w:rtl w:val="true"/>
          <w:lang w:bidi="ar-SA"/>
        </w:rPr>
        <w:t xml:space="preserve">، فمع أنّه لا تثبت به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عدم أخذ الذات في المشتقّ، وهو أيضاً بصدد هذا، لا البساطة على ما ظهر من محكيّ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في جعل الناطق بما له من المعنى فصلاً لا يرتفع ببساطة المشتقّ؛ فإنّ المبدأ في المشتقّ لا بدّ وأن يكون حدثاً أو ما بحكمه ممّا يجوز الاشتقاق منه، كالوجود وأمثاله على ما سيأتي</w:t>
      </w:r>
      <w:r>
        <w:rPr>
          <w:rStyle w:val="FootnoteAnchor"/>
          <w:rtl w:val="true"/>
        </w:rPr>
        <w:footnoteReference w:id="278"/>
      </w:r>
      <w:r>
        <w:rPr>
          <w:rFonts w:ascii="Amiri" w:hAnsi="Amiri" w:eastAsia="Amiri" w:cs="Amiri"/>
          <w:color w:val="111111"/>
          <w:sz w:val="28"/>
          <w:sz w:val="28"/>
          <w:szCs w:val="28"/>
          <w:rtl w:val="true"/>
          <w:lang w:bidi="ar-SA"/>
        </w:rPr>
        <w:t xml:space="preserve">، فلا يمكن أن يكون المشتقّ بما له من المعنى فصلاً، بسيطاً كان أو </w:t>
      </w:r>
    </w:p>
    <w:p>
      <w:pPr>
        <w:pStyle w:val="BookText"/>
        <w:rPr/>
      </w:pPr>
      <w:r>
        <w:rPr>
          <w:rFonts w:ascii="Amiri" w:hAnsi="Amiri" w:eastAsia="Amiri" w:cs="Amiri"/>
          <w:color w:val="111111"/>
          <w:sz w:val="28"/>
          <w:sz w:val="28"/>
          <w:szCs w:val="28"/>
          <w:rtl w:val="true"/>
          <w:lang w:bidi="ar-SA"/>
        </w:rPr>
        <w:t xml:space="preserve">مركّباً، فما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كان بسيطاً لارتفع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التزم بأنّ الناطق جعل فصلاً لا بما له من المعنى الاشتقاقي حقيقةً، لم يتمّ مدّعاه</w:t>
      </w:r>
    </w:p>
    <w:p>
      <w:pPr>
        <w:pStyle w:val="BookText"/>
        <w:rPr/>
      </w:pPr>
      <w:r>
        <w:rPr>
          <w:rFonts w:ascii="Amiri" w:hAnsi="Amiri" w:eastAsia="Amiri" w:cs="Amiri"/>
          <w:color w:val="111111"/>
          <w:sz w:val="28"/>
          <w:sz w:val="28"/>
          <w:szCs w:val="28"/>
          <w:rtl w:val="true"/>
          <w:lang w:bidi="ar-SA"/>
        </w:rPr>
        <w:t>من عدم أخذ الذات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إذا كان مفهوم المشتقّ مركّباً تفصيلياً من مثل الذات أو الشيء أو نحوهما دون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 التامّ لا بدّ وأن يكون محدّداً ومعرّفاً للماهية على ما هي عليه في نفس الأمر، ولو تخلّف عنها في حيثية من الحيثيات لم يكن تامّاً، وماهية الإنسان ماهية بسيطة يكون جنسها مضمّناً في فصلها وفصلها في جنسها؛ لأنّ مأخذهما المادّة والصورة المتّحدتان، ولا بدّ أن يكون الحدّ مفيداً لذلك، فلو كانت أجزاء الحدّ حاكية عن أجزاء الماهية في لحاظ التفصيل لم يكن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محيص عن أن يكون كلّ جزء حاكياً عن المحدود بما هو بحسب الواقع من الاتّحاد، وهو لا يمكن إلاّ بأن يكون الحيوان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الحيوان المتعيّن بصورة الناطقية؛ أي المادّة المتّحدة بتمام المعنى مع الصورة، فالذات المبهمة المأخوذة على نحو الوحدة مع العنوان في المشتقّ صارت متعيّنة بالتعيّن الحيواني، فكأ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متلبّس بالناطقية، وكانت الناطقية صورة له، وهو متّحد معها، لا أنّه شيء والناطق شيء آخر، فتدبّر جيّداً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الشقّ الثاني من إشكاله، فمدفوع أيضاً بما ذكرنا من أنّ الشيء أو الذات أو المصاديق لم تؤخذ في مفهوم المشتقّ على نعت التفصيل، بل المفهوم منه </w:t>
      </w:r>
    </w:p>
    <w:p>
      <w:pPr>
        <w:pStyle w:val="BookText"/>
        <w:rPr/>
      </w:pPr>
      <w:r>
        <w:rPr>
          <w:rFonts w:ascii="Amiri" w:hAnsi="Amiri" w:eastAsia="Amiri" w:cs="Amiri"/>
          <w:color w:val="111111"/>
          <w:sz w:val="28"/>
          <w:sz w:val="28"/>
          <w:szCs w:val="28"/>
          <w:rtl w:val="true"/>
          <w:lang w:bidi="ar-SA"/>
        </w:rPr>
        <w:t>شيء واحد، فالإخبار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ضاربيته، لا عن زيد وعن ضاربيته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اُخذ تفصيلاً أيضاً لا يرد إشكاله؛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إنسان له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إخباران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 إنسانيته، والثاني عن ضاربيته، فيصير قضيّتين ضرورية وممكنة، وأمّا لو لم يرد بذلك إلاّ الإخبار بضاربيته، فلا يكون الكلام إلاّ مسوقاً لإخبار واحد هو حكاية ضاربيته، ومعلوم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الإخبار بالضاربية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اللتيّا والتي ليس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عقلياً، بل هو تشبّث بالتبادر عند المنطقيين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يتمسّك لإثبات 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الضرورة قاضية بأ 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p>
    <w:p>
      <w:pPr>
        <w:pStyle w:val="BookText"/>
        <w:rPr/>
      </w:pP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 منه التكرار، ولو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بشيء وذات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 منه التناقض، وكذا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 منه التكرار، ولو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إنسان وليس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 منه التناقض، وهذه آيات البساطة وعدم أخذ الذات أو مصداقها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إثباتها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ردّ على من قال بأخذ الذات أو مصداقها تفصيلاً، وأمّا على ما ذكرناه فلا ينقدح في الذهن إلاّ عنوان واحد، وبعد التوجّه الثاني ينحلّ إلى شيء مبهم وغيره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التناقض بين القضيّتين فرع الإخبار، وقد عرفت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واحد بقيام زيد لا بشيئيته أو إنسانيته، وكذا الحال لو اُريد بالتكرار تكرار القضيّة، وإن اُريد تكرار المفردات فالجواب ما تقدّم</w:t>
      </w:r>
      <w:r>
        <w:rPr>
          <w:rFonts w:eastAsia="Amiri" w:cs="Amiri" w:ascii="Amiri" w:hAnsi="Amiri"/>
          <w:color w:val="111111"/>
          <w:sz w:val="28"/>
          <w:szCs w:val="28"/>
          <w:rtl w:val="true"/>
          <w:lang w:bidi="ar-SA"/>
        </w:rPr>
        <w:t xml:space="preserve">. </w:t>
      </w:r>
      <w:bookmarkStart w:id="306" w:name="pg15283_146315"/>
    </w:p>
    <w:p>
      <w:pPr>
        <w:pStyle w:val="Heading3"/>
        <w:numPr>
          <w:ilvl w:val="2"/>
          <w:numId w:val="1"/>
        </w:numPr>
        <w:rPr/>
      </w:pPr>
      <w:bookmarkStart w:id="307" w:name="__RefHeading___Toc4563289_2142443653"/>
      <w:bookmarkStart w:id="308" w:name="_Toc110"/>
      <w:bookmarkEnd w:id="306"/>
      <w:bookmarkEnd w:id="307"/>
      <w:r>
        <w:rPr>
          <w:rtl w:val="true"/>
        </w:rPr>
        <w:t>الثاني</w:t>
      </w:r>
      <w:r>
        <w:rPr>
          <w:rtl w:val="true"/>
        </w:rPr>
        <w:t xml:space="preserve">: </w:t>
      </w:r>
      <w:r>
        <w:rPr>
          <w:rtl w:val="true"/>
        </w:rPr>
        <w:t>في الفرق بين المشتقّ ومبدئه</w:t>
      </w:r>
      <w:bookmarkEnd w:id="308"/>
    </w:p>
    <w:p>
      <w:pPr>
        <w:pStyle w:val="BookText"/>
        <w:rPr/>
      </w:pPr>
      <w:r>
        <w:rPr>
          <w:rFonts w:ascii="IRNazanin" w:hAnsi="IRNazanin" w:eastAsia="IRNazanin"/>
          <w:color w:val="111111"/>
          <w:sz w:val="28"/>
          <w:sz w:val="28"/>
          <w:szCs w:val="28"/>
          <w:rtl w:val="true"/>
          <w:lang w:bidi="fa-IR"/>
        </w:rPr>
        <w:t xml:space="preserve">قال المحقّق الخراساني رحمه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بين المشتقّ ومبدئه مفهوماً أنّه بمفهومه لا يأبى عن الحمل لاتّحاده مع الموضوع، بخلاف المبدأ؛ فإنّه يأبى عنه، بل إذا قيس إليه كان غيره لا هو هو، وإليه يرجع ما عن أهل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المشتقّ يكون لابشرط، والمبدأ بشرط لا</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ذلك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كان كلامه مجملاً قابلاً للحمل على الصحّة، وإن لم يكن مفيداً؛ فإنّ قابلية حمل المشتقّ ليست مجهولة، وكذا عدم قابلية المبدأ، فكان عليه بيان لمّية قابلية حمل ذاك، وعدم قابلية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نسب إلى أهل المعقول لا تنحلّ به عقدة، مع عدم صحّته في نفسه؛ لأنّ المادّة إذا كانت بشرط لا، وهي مأخوذة في المشتقّ اللابشرط، يجتمع فيه المتنافيان؛ لاقتضاء أحدهما الحمل والآخر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تقلب المادّة إلى اللابشرط</w:t>
      </w:r>
      <w:r>
        <w:rPr>
          <w:rStyle w:val="FootnoteAnchor"/>
          <w:rtl w:val="true"/>
        </w:rPr>
        <w:footnoteReference w:id="280"/>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يرجع إلى</w:t>
      </w:r>
    </w:p>
    <w:p>
      <w:pPr>
        <w:pStyle w:val="BookText"/>
        <w:rPr/>
      </w:pPr>
      <w:r>
        <w:rPr>
          <w:rFonts w:ascii="Amiri" w:hAnsi="Amiri" w:eastAsia="Amiri" w:cs="Amiri"/>
          <w:color w:val="111111"/>
          <w:sz w:val="28"/>
          <w:sz w:val="28"/>
          <w:szCs w:val="28"/>
          <w:rtl w:val="true"/>
          <w:lang w:bidi="ar-SA"/>
        </w:rPr>
        <w:t xml:space="preserve">محصّل، إلاّ أن يراد به استعمال المادّة في ضمن هيئة المشتقّ في الماهية اللابشرط،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استلزامه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دعوى الفرق بين المادّة والمشتقّ بما ذكر، إلاّ أن يراد بالمادّة المصدر، وهو كما ترى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مادّة المشتقّات موضوعة لمعنىً في غاية الإبهام واللاتحصّلية، </w:t>
      </w:r>
    </w:p>
    <w:p>
      <w:pPr>
        <w:pStyle w:val="BookText"/>
        <w:rPr/>
      </w:pPr>
      <w:r>
        <w:rPr>
          <w:rFonts w:ascii="Amiri" w:hAnsi="Amiri" w:eastAsia="Amiri" w:cs="Amiri"/>
          <w:color w:val="111111"/>
          <w:sz w:val="28"/>
          <w:sz w:val="28"/>
          <w:szCs w:val="28"/>
          <w:rtl w:val="true"/>
          <w:lang w:bidi="ar-SA"/>
        </w:rPr>
        <w:t xml:space="preserve">ويكون تحصّله بمعاني الهيئات، كما أنّ نفس المادّة أيضاً كذلك بالنسبة إلى الهيئة، فمادّة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تتحقّق إلاّ في ضمن هيئة ما، كما أنّه لا تدلّ على معنىً باستقلالها، فهي مع هذا الانغمار في الإبهام وعدم التحصّل، لا تكاد تتّصف بقابلية الحمل ولا قابليته بنحو الإيجاب العدولي أو الموجبة السالبة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لا تكون قابلة للحمل بنحو السلب التحصيلي؛ لعدم شيئية لها بنحو التحصّل والاستقلال، فهي مع كلّ مشتقّ بنحو من التحصّل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ذكرنا سابقاً</w:t>
      </w:r>
      <w:r>
        <w:rPr>
          <w:rStyle w:val="FootnoteAnchor"/>
          <w:rtl w:val="true"/>
        </w:rPr>
        <w:footnoteReference w:id="281"/>
      </w:r>
      <w:r>
        <w:rPr>
          <w:rFonts w:ascii="Amiri" w:hAnsi="Amiri" w:eastAsia="Amiri" w:cs="Amiri"/>
          <w:color w:val="111111"/>
          <w:sz w:val="28"/>
          <w:sz w:val="28"/>
          <w:szCs w:val="28"/>
          <w:rtl w:val="true"/>
          <w:lang w:bidi="ar-SA"/>
        </w:rPr>
        <w:t>من كون هيئة المصدر واسمه إنّما هي موضوعة للتمكين من النطق بالمادّة، يكون المصدر كاسمه هو الحدث المتحصّل، ولأجل تحصّله يأبى عن الحمل؛ لحكايته عن الحدث المجرّد عن الموضوع ولو بنحو من التحليل، بخلاف المادّة؛ فإنّها بنفسها لا تحصّل لها ولا لمعناها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مادّة المشتقّات مفترقة عن المصادر وأسمائها بالتحصّل واللاتحصّل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الفرق بينها وبين المشتقّات القابلة للحمل، فهو أنّ المشتقّات موضوعة للمعنون بما أنّه معنون، والمادّة موضوعة للعنوان المبهم لا بقيد الإبهام، بل يكون نفسه مبهماً، والهيئة موضوعة لإفادة معنونية شيء ما بالمبدأ، فإذا تركّب اللفظ من المادّة والهيئة كالتركيب الاتّحادي، يدلّ على المعنون بالحدث بما أنّه معنون، لا بنحو الكثرة كما مرّ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مرادنا من التحصّل ليس الوجود؛ فإنّه واضح الفساد، بل </w:t>
      </w:r>
      <w:bookmarkStart w:id="309" w:name="pg15283_146317"/>
    </w:p>
    <w:p>
      <w:pPr>
        <w:pStyle w:val="BookText"/>
        <w:rPr/>
      </w:pPr>
      <w:bookmarkEnd w:id="309"/>
      <w:r>
        <w:rPr>
          <w:rFonts w:ascii="Amiri" w:hAnsi="Amiri" w:eastAsia="Amiri" w:cs="Amiri"/>
          <w:color w:val="111111"/>
          <w:sz w:val="28"/>
          <w:sz w:val="28"/>
          <w:szCs w:val="28"/>
          <w:rtl w:val="true"/>
          <w:lang w:bidi="ar-SA"/>
        </w:rPr>
        <w:t>المراد به هو التحصّل المستعمل في الماهيات النوعية مقابل الجنس، فلا تغفل؛ حتّى لا تتوهّم لزوم دلالة المصدر على معنىً زائد عن نفس الحدث، ولو اشتهى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حيثية تحصّل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المعنى المدلول عليه بالهيئة، فلا مضايقة بعد وضوح المطلب</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4563291_2142443653"/>
      <w:bookmarkStart w:id="311" w:name="_Toc111"/>
      <w:bookmarkEnd w:id="310"/>
      <w:r>
        <w:rPr>
          <w:rtl w:val="true"/>
        </w:rPr>
        <w:t>الثالث</w:t>
      </w:r>
      <w:r>
        <w:rPr>
          <w:rtl w:val="true"/>
        </w:rPr>
        <w:t xml:space="preserve">: </w:t>
      </w:r>
      <w:r>
        <w:rPr>
          <w:rtl w:val="true"/>
        </w:rPr>
        <w:t>كلام صاحب الفصول ومناقشته</w:t>
      </w:r>
      <w:bookmarkEnd w:id="311"/>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ردّاً على من ذهب إلى أنّ الفرق بين المشتقّ ومبدئه هو الفرق بين الشيء لابشرط وبينه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الحمل يتقوّم بمغايرة باعتبار الذهن في لحاظ الحمل، واتّحاد باعتبار ظرف الحمل من ذهن أو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التغاير قد يكون اعتبارياً والاتّحاد حقيقياً، وقد يكون حقيقياً والاتّحاد اعتبارياً، فلا بدّ فيه من أخذ المجموع من حيث المجموع شيئاً واحداً، وأخذ الأجزاء لابشرط، واعتبار الحمل بالنسبة إلى المجموع؛ حتّى يصحّ الحمل، والعَرض لمّا كان مغايراً لموضوعه فلا بدّ في حمله عليه من الاتّحاد على النحو المذكور، مع أنّا نرى بالوجدان عدم اعتبار المجموع من حيث المجموع، بل الموضوع المأخوذ هو ذات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فيتّضح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فيها لأجل اتّحاد حقيقي بين المشتقّ والذات، فلا بدّ أن يكون المشتقّ دالاًّ على أمر قابل للحمل، وهو عنوان انتزاعي من الذات بلحاظ التلبّس بالمبدأ، فيكون المشتقّ مساوقاً لقولنا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كذا؛ ولذا يصحّ الحمل</w:t>
      </w:r>
      <w:r>
        <w:rPr>
          <w:rStyle w:val="FootnoteAnchor"/>
          <w:rtl w:val="true"/>
        </w:rPr>
        <w:footnoteReference w:id="283"/>
      </w:r>
      <w:r>
        <w:rPr>
          <w:rFonts w:ascii="IRNazanin" w:hAnsi="IRNazanin" w:eastAsia="IRNazanin"/>
          <w:color w:val="111111"/>
          <w:sz w:val="28"/>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بتوضيح وتلخيص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وكلامه فيما هو راجع إلى ما نحن فيه لا يخلو من جودة، ويقرب ممّا تقدّم منّا،</w:t>
      </w:r>
    </w:p>
    <w:p>
      <w:pPr>
        <w:pStyle w:val="BookText"/>
        <w:rPr/>
      </w:pPr>
      <w:r>
        <w:rPr>
          <w:rFonts w:ascii="Amiri" w:hAnsi="Amiri" w:eastAsia="Amiri" w:cs="Amiri"/>
          <w:color w:val="111111"/>
          <w:sz w:val="28"/>
          <w:sz w:val="28"/>
          <w:szCs w:val="28"/>
          <w:rtl w:val="true"/>
          <w:lang w:bidi="ar-SA"/>
        </w:rPr>
        <w:t>مع فرق غير 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المحقّق الخراساني</w:t>
      </w:r>
      <w:r>
        <w:rPr>
          <w:rStyle w:val="FootnoteAnchor"/>
          <w:rtl w:val="true"/>
        </w:rPr>
        <w:footnoteReference w:id="284"/>
      </w:r>
      <w:r>
        <w:rPr>
          <w:rFonts w:ascii="Amiri" w:hAnsi="Amiri" w:eastAsia="Amiri" w:cs="Amiri"/>
          <w:color w:val="111111"/>
          <w:sz w:val="28"/>
          <w:sz w:val="28"/>
          <w:szCs w:val="28"/>
          <w:rtl w:val="true"/>
          <w:lang w:bidi="ar-SA"/>
        </w:rPr>
        <w:t>كأ نّه أجنبيّ عن كلامه،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وضوح عدم لحاظ ذلك في التحديدات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يدّعي اعتبار المجموع في مطلق الحمل، بل في حمل المتغايرين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الاعتبار لا يصحّح الحمل، وهو لا يضرّ بدعواه فيما نحن فيه،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الحمل الهوهوي متقوّم بالاتّحاد بين الموضوع والمحمول، فيريد المتكلّم حكاية هذا الاتّحاد، فلا تكون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هو ظرف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بينهما حتّى بالاعتبار؛ فإنّ لحاظ التفكيك والمغايرة يباين الإخبار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الموضوع والمحمول في القضيّة اللفظية والمعقولة متغايرين وجوداً أو مفهوماً أيضاً، 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بتكرّره في ذهن المتكلّم وكلامه وذهن المخاطب، موجودان حاكيان عن هوية واحدة، من غير اعتبار الكثرة في الواقع بين زيد ونفسه، فإنّه مخالف للواقع ومنافٍ للإخبار بالوحدة، فالكثرة في القضيّة اللفظية والذهنية المنظور بهما آلياً، لا المنظور فيهما واستقلالياً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لزوم اعتبار التغاير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يلزم حمل الشيء على نفسه، المساوق لوجود النسبة بين الشيء ونفسه،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بعض المباحث </w:t>
      </w:r>
      <w:bookmarkStart w:id="312" w:name="pg15283_146319"/>
    </w:p>
    <w:p>
      <w:pPr>
        <w:pStyle w:val="BookText"/>
        <w:rPr/>
      </w:pPr>
      <w:bookmarkEnd w:id="312"/>
      <w:r>
        <w:rPr>
          <w:rFonts w:ascii="Amiri" w:hAnsi="Amiri" w:eastAsia="Amiri" w:cs="Amiri"/>
          <w:color w:val="111111"/>
          <w:sz w:val="28"/>
          <w:sz w:val="28"/>
          <w:szCs w:val="28"/>
          <w:rtl w:val="true"/>
          <w:lang w:bidi="ar-SA"/>
        </w:rPr>
        <w:t>من عدم تقوّم القضيّة بالنسبة، بل القضايا الحملية التي مفادها الهوهوية ممّا لا نسبة فيها</w:t>
      </w:r>
      <w:r>
        <w:rPr>
          <w:rStyle w:val="FootnoteAnchor"/>
          <w:rtl w:val="true"/>
        </w:rPr>
        <w:footnoteReference w:id="2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يرى في كلمات بعض المحشّين</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من التغاير الاعتباري الموافق لنفس الأمر، فليس بشيء</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4563293_2142443653"/>
      <w:bookmarkStart w:id="314" w:name="_Toc112"/>
      <w:bookmarkEnd w:id="313"/>
      <w:r>
        <w:rPr>
          <w:rtl w:val="true"/>
        </w:rPr>
        <w:t>الرابع</w:t>
      </w:r>
      <w:r>
        <w:rPr>
          <w:rtl w:val="true"/>
        </w:rPr>
        <w:t xml:space="preserve">: </w:t>
      </w:r>
      <w:r>
        <w:rPr>
          <w:rtl w:val="true"/>
        </w:rPr>
        <w:t>في الإشكال على الصفات الجارية على ذاته تعالى</w:t>
      </w:r>
      <w:bookmarkEnd w:id="314"/>
    </w:p>
    <w:p>
      <w:pPr>
        <w:pStyle w:val="BookText"/>
        <w:rPr/>
      </w:pPr>
      <w:r>
        <w:rPr>
          <w:rFonts w:ascii="Amiri" w:hAnsi="Amiri" w:eastAsia="Amiri" w:cs="Amiri"/>
          <w:color w:val="111111"/>
          <w:sz w:val="28"/>
          <w:sz w:val="28"/>
          <w:szCs w:val="28"/>
          <w:rtl w:val="true"/>
          <w:lang w:bidi="ar-SA"/>
        </w:rPr>
        <w:t>قد يستشكل في الصفات الجارية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بمفهومه يقتضي مغايرة المبدأ لما يجري عليه المشتقّ، والمذهب الحقّ عينية الذات للصفات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المبدأ في المشتقّات موضوع للحدث، وذاته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كصفاته فوق الجواهر والأعراض، فضلاً عن الأحداث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والتزم بعضهم بالنقل والتجوّز</w:t>
      </w:r>
      <w:r>
        <w:rPr>
          <w:rStyle w:val="FootnoteAnchor"/>
          <w:rtl w:val="true"/>
        </w:rPr>
        <w:footnoteReference w:id="287"/>
      </w:r>
      <w:r>
        <w:rPr>
          <w:rFonts w:ascii="Amiri" w:hAnsi="Amiri" w:eastAsia="Amiri" w:cs="Amiri"/>
          <w:color w:val="111111"/>
          <w:sz w:val="28"/>
          <w:sz w:val="28"/>
          <w:szCs w:val="28"/>
          <w:rtl w:val="true"/>
          <w:lang w:bidi="ar-SA"/>
        </w:rPr>
        <w:t>، وهو بعيد، مع أنّا لا نرى بالوجدان تأوّلاً في حملها عليه تعالى، بل الوجدان حاكم بعدم الفرق بين جريانها على ذاته تعالى وعلى غيره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القول ضعيف، وإن 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النقل كون جريها عليه لقلقة لسان، أو إرادة المعاني المقابلة، تعالى عن ذلك</w:t>
      </w:r>
      <w:r>
        <w:rPr>
          <w:rStyle w:val="FootnoteAnchor"/>
          <w:rtl w:val="true"/>
        </w:rPr>
        <w:footnoteReference w:id="288"/>
      </w:r>
      <w:r>
        <w:rPr>
          <w:rFonts w:ascii="Amiri" w:hAnsi="Amiri" w:eastAsia="Amiri" w:cs="Amiri"/>
          <w:color w:val="111111"/>
          <w:sz w:val="28"/>
          <w:sz w:val="28"/>
          <w:szCs w:val="28"/>
          <w:rtl w:val="true"/>
          <w:lang w:bidi="ar-SA"/>
        </w:rPr>
        <w:t xml:space="preserve">وذلك لأنّ القائل به لمّا رأى أنّ مفاهيم المشتقّات تقتضي زيادة المبادئ عن الذات نزّهه تعالى عنها والتزم </w:t>
      </w:r>
    </w:p>
    <w:p>
      <w:pPr>
        <w:pStyle w:val="BookText"/>
        <w:rPr/>
      </w:pPr>
      <w:r>
        <w:rPr>
          <w:rFonts w:ascii="Amiri" w:hAnsi="Amiri" w:eastAsia="Amiri" w:cs="Amiri"/>
          <w:color w:val="111111"/>
          <w:sz w:val="28"/>
          <w:sz w:val="28"/>
          <w:szCs w:val="28"/>
          <w:rtl w:val="true"/>
          <w:lang w:bidi="ar-SA"/>
        </w:rPr>
        <w:t xml:space="preserve">بالنقل إلى ما لا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فالعالم الجاري عليه تعالى هو نفس العلم، فهو تعالى علم وقدرة وحياة، لا شيء له هذه، فلا يلزم عليه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المغايرة بين المبدأ وما يجري عليه المشتقّ مفهوماً، وبه صحّح حملها على ذاته تعالى</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أنّ المشتقّ بهيئته ومادّته يدلّ على تلبّس الذات بالمبدأ ولو تحليلاً، وهو تعالى منزّه عنه، فاختلافهما مفهوماً كأ نّه أجنبيّ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اختلاف المبادئ مع ذاته تعالى ليس في المفهوم؛ بناءً على أنّه تعالى نفس العلم والقدرة، بل الاختلاف بينهما هو الاختلاف بين المفهوم ومصداقه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صفاته الجارية عليه تعالى يكون المبدأ مغايراً له تعالى مفهوماً، قائماً به عيناً، لكنّه بنحو من القيام، لا بأن يكون هناك اثنينية وكان ما</w:t>
      </w:r>
    </w:p>
    <w:p>
      <w:pPr>
        <w:pStyle w:val="BookText"/>
        <w:rPr/>
      </w:pPr>
      <w:r>
        <w:rPr>
          <w:rFonts w:ascii="Amiri" w:hAnsi="Amiri" w:eastAsia="Amiri" w:cs="Amiri"/>
          <w:color w:val="111111"/>
          <w:sz w:val="28"/>
          <w:sz w:val="28"/>
          <w:szCs w:val="28"/>
          <w:rtl w:val="true"/>
          <w:lang w:bidi="ar-SA"/>
        </w:rPr>
        <w:t>بحذائه غير الذات، بل بنحو الاتّحاد والعينية، وعدم فهم العرف مثل هذا التلبّس لا يضرّ؛ لكونه مرجعاً في المفاهيم لا في تطبيقها</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المدّعى أنّ العرف يجري هذه الصفات عليه تعالى كما يجريها على غيره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هو العرف في المفاهيم لا التطبيق، أجنبيّ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مرجعيته في التطبيق أيضاً محلّ منع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العقل يرى عينية الصفات مع الذات غير قيامها بها، فلو دلّ المشتقّ على قيام المبدأ بالذات لم يدفع الإشكال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المشتقّ لا يدلّ إلاّ على المعنون بعنوان المبدأ بما أنّه معنون، فلا يفهم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المعنون به من حيث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زيادة العنوان على المعنون وقيامه به فهو خارج عن مفهومه، لكن لمّا كان الغالب فيه هو الزيادة، تنسبق المغايرة والزيادة إلى الذهن لأجل التعارف الخارجي، لا لدلالة المفهوم عليها، فالمشتقّ يدلّ على المعنون، والعينية والزيادة من خصوصيات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تعالى موصوف بجميع الصفات الكمالية ومعنون بهذه العناوين، وهي جارية عليه بما لها من المعاني من غير نقل ولا تسامح، وإنكار ذلك إلحاد في أسمائه على فرض، وخلاف المتبادر والارتكاز العقلائي على آخر، فهو تعالى موصوف بكلّ كمال، وإنّ صِرف الوجود كلّ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جمع صرف الوجود للأسماء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بحقائقها ثابتة له من دون شوب كثرة عقلية أو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إلى علمه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إشكال كون المبدأ في المشتقّ لا بدّ وأن يكون حدثاً وعرضاً وهو تعالى منزّه عنه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مسلّم أنّ المبدأ لا بدّ وأن يكون قابلاً للتصريف لو وردت الهيئات عليه، ولا دليل على كونه حدثاً وعرضاً بالمعنى المنافي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والحقائق التي لها مراتب الكمال والنقص والعلّية والمعلولية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كحقيقة الوجود وكمالاتها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قابلة للتصريف والتصرّف، فإذا صدر منه تعالى وجود، يصدق عليه أنّه موجِد، وعلى المعلول أنّه موجَد، ويجيء فيه سائر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فالمشتقّ يدلّ على المعنون بعنوان، من غير دلالة على الحدثية والعرضية، فالعلم حقيقته الانكشاف من غير دخالة العرضية والجوهرية فيه، فليس حقيقته إلاّ ذلك، وهو ذو مراتب وذو تعلّق بغيره، لا نحو تعلّق الحالّ بالمحلّ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في مرتبة ذاته كشفاً تفصيلياً في عين البساطة والوحدة عن كلّ شيء أزلاً وأبداً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وباعتبار كون ذاته منكشفة لدى ذاته يكون معلوماً، فصدق المشتقّات الجارية على ذاته تعالى، حقيقي من غير شوب إشكال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w:t>
      </w:r>
      <w:r>
        <w:rPr>
          <w:rFonts w:eastAsia="Amiri" w:cs="Amiri" w:ascii="Amiri" w:hAnsi="Amiri"/>
          <w:color w:val="111111"/>
          <w:sz w:val="28"/>
          <w:szCs w:val="28"/>
          <w:rtl w:val="true"/>
          <w:lang w:bidi="ar-SA"/>
        </w:rPr>
        <w:t xml:space="preserve">. </w:t>
      </w:r>
      <w:bookmarkStart w:id="315" w:name="pg15283_146323"/>
    </w:p>
    <w:p>
      <w:pPr>
        <w:pStyle w:val="Heading2"/>
        <w:numPr>
          <w:ilvl w:val="1"/>
          <w:numId w:val="1"/>
        </w:numPr>
        <w:rPr/>
      </w:pPr>
      <w:bookmarkStart w:id="316" w:name="__RefHeading___Toc4563295_2142443653"/>
      <w:bookmarkStart w:id="317" w:name="_Toc113"/>
      <w:bookmarkEnd w:id="315"/>
      <w:bookmarkEnd w:id="316"/>
      <w:r>
        <w:rPr>
          <w:rtl w:val="true"/>
        </w:rPr>
        <w:t xml:space="preserve">المقصد الأوّل في الأوامر وفيه فصول </w:t>
      </w:r>
      <w:r>
        <w:rPr>
          <w:rtl w:val="true"/>
        </w:rPr>
        <w:t>:</w:t>
      </w:r>
      <w:bookmarkEnd w:id="31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4563297_2142443653"/>
      <w:bookmarkStart w:id="319" w:name="_Toc114"/>
      <w:bookmarkEnd w:id="318"/>
      <w:r>
        <w:rPr>
          <w:rtl w:val="true"/>
        </w:rPr>
        <w:t>اشارة</w:t>
      </w:r>
      <w:bookmarkEnd w:id="31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5283_146325"/>
      <w:bookmarkStart w:id="321" w:name="pg15283_146325"/>
      <w:bookmarkEnd w:id="321"/>
    </w:p>
    <w:p>
      <w:pPr>
        <w:pStyle w:val="Heading3"/>
        <w:numPr>
          <w:ilvl w:val="2"/>
          <w:numId w:val="1"/>
        </w:numPr>
        <w:rPr/>
      </w:pPr>
      <w:bookmarkStart w:id="322" w:name="pg15283_146325"/>
      <w:bookmarkStart w:id="323" w:name="__RefHeading___Toc4563299_2142443653"/>
      <w:bookmarkStart w:id="324" w:name="_Toc115"/>
      <w:bookmarkEnd w:id="322"/>
      <w:bookmarkEnd w:id="323"/>
      <w:r>
        <w:rPr>
          <w:rtl w:val="true"/>
        </w:rPr>
        <w:t>الفصل الأوّل فيما يتعلّق بمادّة الأمر</w:t>
      </w:r>
      <w:bookmarkEnd w:id="324"/>
    </w:p>
    <w:p>
      <w:pPr>
        <w:pStyle w:val="Heading4"/>
        <w:numPr>
          <w:ilvl w:val="3"/>
          <w:numId w:val="1"/>
        </w:numPr>
        <w:rPr/>
      </w:pPr>
      <w:bookmarkStart w:id="325" w:name="__RefHeading___Toc4563301_2142443653"/>
      <w:bookmarkStart w:id="326" w:name="_Toc116"/>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وفيه اُمور</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4563303_2142443653"/>
      <w:bookmarkStart w:id="328" w:name="_Toc117"/>
      <w:bookmarkEnd w:id="327"/>
      <w:r>
        <w:rPr>
          <w:rtl w:val="true"/>
        </w:rPr>
        <w:t>الأمر الأوّل</w:t>
      </w:r>
      <w:r>
        <w:rPr>
          <w:rtl w:val="true"/>
        </w:rPr>
        <w:t xml:space="preserve">: </w:t>
      </w:r>
      <w:r>
        <w:rPr>
          <w:rtl w:val="true"/>
        </w:rPr>
        <w:t>في معاني لفظ الأمر</w:t>
      </w:r>
      <w:bookmarkEnd w:id="328"/>
    </w:p>
    <w:p>
      <w:pPr>
        <w:pStyle w:val="Heading5"/>
        <w:numPr>
          <w:ilvl w:val="4"/>
          <w:numId w:val="1"/>
        </w:numPr>
        <w:rPr/>
      </w:pPr>
      <w:bookmarkStart w:id="329" w:name="__RefHeading___Toc4563305_2142443653"/>
      <w:bookmarkStart w:id="330" w:name="_Toc118"/>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المعروف بينهم أنّ الأمر مشترك لفظي بين الطلب وغيره</w:t>
      </w:r>
      <w:r>
        <w:rPr>
          <w:rStyle w:val="FootnoteAnchor"/>
          <w:rtl w:val="true"/>
        </w:rPr>
        <w:footnoteReference w:id="2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والأوّل معنىً حدثي يصحّ منه الاشتقاق،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يأمر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ليس كذلك، سواء كان واحداً يساوق الشيء، أو الأخصّ منه كما هو الظاهر، أو متعدّداً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للمعنى الحدثي القابل للانتساب الذي منه يصحّ الاشتقاق، هو المادّة السارية في المشتقّات، كما هو شأن سائر موادّ المشتقّات، والموضوع للمعنى الآخر أو المعاني الاُخر هو لفظ الأمر جامداً كلفظ إنسان وشجر، فلا معنى للاشتراك فيه، ولعلّ من ذهب إليه كان ممّن يرى المصدر مادّة المشتقّات، وجرى غيره على منواله من غير توجّه إلى تاليه</w:t>
      </w:r>
      <w:r>
        <w:rPr>
          <w:rFonts w:eastAsia="Amiri" w:cs="Amiri" w:ascii="Amiri" w:hAnsi="Amiri"/>
          <w:color w:val="111111"/>
          <w:sz w:val="28"/>
          <w:szCs w:val="28"/>
          <w:rtl w:val="true"/>
          <w:lang w:bidi="ar-SA"/>
        </w:rPr>
        <w:t xml:space="preserve">. </w:t>
      </w:r>
      <w:bookmarkStart w:id="331" w:name="pg15283_146326"/>
    </w:p>
    <w:p>
      <w:pPr>
        <w:pStyle w:val="BookText"/>
        <w:rPr/>
      </w:pPr>
      <w:bookmarkEnd w:id="331"/>
      <w:r>
        <w:rPr>
          <w:rFonts w:ascii="Amiri" w:hAnsi="Amiri" w:eastAsia="Amiri" w:cs="Amiri"/>
          <w:color w:val="111111"/>
          <w:sz w:val="28"/>
          <w:sz w:val="28"/>
          <w:szCs w:val="28"/>
          <w:rtl w:val="true"/>
          <w:lang w:bidi="ar-SA"/>
        </w:rPr>
        <w:t>وممّا ذكرنا يتّضح فساد القول بالاشتراك المعنوي بين المعنى الحدثي وغيره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الجامع بينهما لا يكون حدثياً، فلا يمكن منه الاشتقاق إلاّ بنحو التجوّز، وهو كما ترى</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4563307_2142443653"/>
      <w:bookmarkStart w:id="333" w:name="_Toc119"/>
      <w:bookmarkEnd w:id="332"/>
      <w:r>
        <w:rPr>
          <w:rtl w:val="true"/>
        </w:rPr>
        <w:t>تنبيه</w:t>
      </w:r>
      <w:r>
        <w:rPr>
          <w:rtl w:val="true"/>
        </w:rPr>
        <w:t>:</w:t>
      </w:r>
      <w:bookmarkEnd w:id="333"/>
    </w:p>
    <w:p>
      <w:pPr>
        <w:pStyle w:val="BookText"/>
        <w:rPr/>
      </w:pPr>
      <w:r>
        <w:rPr>
          <w:rFonts w:ascii="Amiri" w:hAnsi="Amiri" w:eastAsia="Amiri" w:cs="Amiri"/>
          <w:color w:val="111111"/>
          <w:sz w:val="28"/>
          <w:sz w:val="28"/>
          <w:szCs w:val="28"/>
          <w:rtl w:val="true"/>
          <w:lang w:bidi="ar-SA"/>
        </w:rPr>
        <w:t xml:space="preserve">المتبادر من مادّة الأمر المستعملة في المشتقّات هو المعنى الجامع بين هيئات الصيغ الخاصّة بما لها من المعنى، لا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يراد به ما ذكرناه، وعليه فلا إشكال في الاشتقاق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الإرادة المظهرة ولا البعث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المعنى الاصطلاحي مساوقاً للغوي؛ أي لا يكون له اصطلاح خاصّ،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غير الأمر عرفاً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فمادّة الأمر موضوعة لمفهوم اسمي منتزع من الهيئات بما لها من المعاني، لا بمعنى دخول المعاني في الموضوع له، بل بمعنى أنّ الموضوع له جامع الهيئات الدالّة على معانيها، لا نفس الهيئات ولو استعملت لغواً أو في غير معناها، فالمعنى مفهوم اسمي مشترك بين الهيئات التي هي الحروف الإيجادية، وهذا المعنى بما أنّه قابل للانتساب والتصرّف يصحّ منه الاشتقاق، كما أنّ الكلام واللفظ والقول مشتقّات باعتبار ذلك، فلا إشكال من هذه الجهة بوجه</w:t>
      </w:r>
      <w:r>
        <w:rPr>
          <w:rFonts w:eastAsia="Amiri" w:cs="Amiri" w:ascii="Amiri" w:hAnsi="Amiri"/>
          <w:color w:val="111111"/>
          <w:sz w:val="28"/>
          <w:szCs w:val="28"/>
          <w:rtl w:val="true"/>
          <w:lang w:bidi="ar-SA"/>
        </w:rPr>
        <w:t xml:space="preserve">. </w:t>
      </w:r>
      <w:bookmarkStart w:id="334" w:name="pg15283_146327"/>
    </w:p>
    <w:p>
      <w:pPr>
        <w:pStyle w:val="BookText"/>
        <w:rPr/>
      </w:pPr>
      <w:bookmarkEnd w:id="334"/>
      <w:r>
        <w:rPr>
          <w:rFonts w:ascii="Amiri" w:hAnsi="Amiri" w:eastAsia="Amiri" w:cs="Amiri"/>
          <w:color w:val="111111"/>
          <w:sz w:val="28"/>
          <w:sz w:val="28"/>
          <w:szCs w:val="28"/>
          <w:rtl w:val="true"/>
          <w:lang w:bidi="ar-SA"/>
        </w:rPr>
        <w:t>فلو سلّم أنّ الأمر لغةً بمعنى الطلب، فالاشتقاق كما يمكن باعتباره كذلك يمكن باعتبار المعنى الاصطلاحي؛ أي القول الخاصّ، لكن باعتبار كونه حدثاً صادراً من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المعنى الاصطلاحي غير قابل للاشتقاق</w:t>
      </w:r>
      <w:r>
        <w:rPr>
          <w:rStyle w:val="FootnoteAnchor"/>
          <w:rtl w:val="true"/>
        </w:rPr>
        <w:footnoteReference w:id="294"/>
      </w:r>
      <w:r>
        <w:rPr>
          <w:rFonts w:ascii="Amiri" w:hAnsi="Amiri" w:eastAsia="Amiri" w:cs="Amiri"/>
          <w:color w:val="111111"/>
          <w:sz w:val="28"/>
          <w:sz w:val="28"/>
          <w:szCs w:val="28"/>
          <w:rtl w:val="true"/>
          <w:lang w:bidi="ar-SA"/>
        </w:rPr>
        <w:t>، صحيح لو جرى الاصطلاح على أنّ الأمر بإزاء معنىً متحصّل لا يصدق إلاّ على الصيغ المتحصّلة، وهو غير معلوم</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4563309_2142443653"/>
      <w:bookmarkStart w:id="336" w:name="_Toc120"/>
      <w:bookmarkEnd w:id="335"/>
      <w:r>
        <w:rPr>
          <w:rtl w:val="true"/>
        </w:rPr>
        <w:t>الأمر الثاني</w:t>
      </w:r>
      <w:r>
        <w:rPr>
          <w:rtl w:val="true"/>
        </w:rPr>
        <w:t xml:space="preserve">: </w:t>
      </w:r>
      <w:r>
        <w:rPr>
          <w:rtl w:val="true"/>
        </w:rPr>
        <w:t>في اعتبار العلوّ والاستعلاء في مادّة الأمر</w:t>
      </w:r>
      <w:bookmarkEnd w:id="336"/>
    </w:p>
    <w:p>
      <w:pPr>
        <w:pStyle w:val="BookText"/>
        <w:rPr/>
      </w:pPr>
      <w:r>
        <w:rPr>
          <w:rFonts w:ascii="Amiri" w:hAnsi="Amiri" w:eastAsia="Amiri" w:cs="Amiri"/>
          <w:color w:val="111111"/>
          <w:sz w:val="28"/>
          <w:sz w:val="28"/>
          <w:szCs w:val="28"/>
          <w:rtl w:val="true"/>
          <w:lang w:bidi="ar-SA"/>
        </w:rPr>
        <w:t>المتبادر من الأمر هو اعتبار العلوّ في معناه، فلا يكون من السافل والمساوي أمراً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والعلوّ أمر اعتباري له منشأ عقلائي يختلف بحسب الزمان والمكان، والميزان هو نفوذ الكلمة والسلطة والقدرة على المأمور، فالسلطان المحبوس لا يكون إنشاؤه أمراً، بل طلباً والتماساً، ورئيس المحبس يكون آمراً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الاستعلاء أيضاً مأخوذ فيه، فلا يكون استدعاء المولى من العبد وإرشاده أمراً، كما أنّ الطلب من السافل ليس أمراً ولو استعلى، هذا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العلوّ والاستعلاء لم يعتبرا في معنى الأمر بنحو القيدية، بل الطلب على قسمين؛ أحدهما ما صدر بغرض أنّه بنفسه يكون باعثاً بلا ضميمة من دعاء والتماس، فيرى الآمر نفسه بمكانة يكون نفس أمره باعثاً </w:t>
      </w:r>
      <w:bookmarkStart w:id="337" w:name="pg15283_146328"/>
    </w:p>
    <w:p>
      <w:pPr>
        <w:pStyle w:val="BookText"/>
        <w:rPr/>
      </w:pPr>
      <w:bookmarkEnd w:id="337"/>
      <w:r>
        <w:rPr>
          <w:rFonts w:ascii="Amiri" w:hAnsi="Amiri" w:eastAsia="Amiri" w:cs="Amiri"/>
          <w:color w:val="111111"/>
          <w:sz w:val="28"/>
          <w:sz w:val="28"/>
          <w:szCs w:val="28"/>
          <w:rtl w:val="true"/>
          <w:lang w:bidi="ar-SA"/>
        </w:rPr>
        <w:t>ومحرّكاً، وهذا الأمر لا ينبغي صدوره إلاّ من العالي المستعلي، وهو غير الأخذ في المفهوم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مادّة الأمر إذا كانت موضوعة لمفهوم مطلق؛ أي مطلق الطلب أو مطلق القول الخاصّ، فلا معنى لعدم صدقه على الصادر من السافل أو المساوي، فعدم الصدق معلول التقييد في المعنى، فبناءً على كون الوضع في الأمر عامّاً والموضوع له كذلك، لا محيص عن الالتزام بتقييده بقيد؛ حتّى لا يصدق إلاّ على العالي المستعلي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الكذائي لا ينبغي صدوره خارجاً إلاّ من العالي المستعلي، من غير تقييد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 نّه لا يرجع إلى محصّل</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4563311_2142443653"/>
      <w:bookmarkStart w:id="339" w:name="_Toc121"/>
      <w:bookmarkEnd w:id="338"/>
      <w:r>
        <w:rPr>
          <w:rtl w:val="true"/>
        </w:rPr>
        <w:t>الأمر الثالث</w:t>
      </w:r>
      <w:r>
        <w:rPr>
          <w:rtl w:val="true"/>
        </w:rPr>
        <w:t xml:space="preserve">: </w:t>
      </w:r>
      <w:r>
        <w:rPr>
          <w:rtl w:val="true"/>
        </w:rPr>
        <w:t>في دلالة مادّة الأمر على الوجوب</w:t>
      </w:r>
      <w:bookmarkEnd w:id="339"/>
    </w:p>
    <w:p>
      <w:pPr>
        <w:pStyle w:val="BookText"/>
        <w:rPr/>
      </w:pPr>
      <w:r>
        <w:rPr>
          <w:rFonts w:ascii="Amiri" w:hAnsi="Amiri" w:eastAsia="Amiri" w:cs="Amiri"/>
          <w:color w:val="111111"/>
          <w:sz w:val="28"/>
          <w:sz w:val="28"/>
          <w:szCs w:val="28"/>
          <w:rtl w:val="true"/>
          <w:lang w:bidi="ar-SA"/>
        </w:rPr>
        <w:t>كون مادّة الأمر موضوعة للجامع بين الهيئات الصادرة عن العالي المستعلي مطلقاً، أو على سبيل الإلزام والإيجاب،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رجحان الثاني، ويؤيّده الآية</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والروايات؛ فإنّ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أشقّ على اُمّتي لأمرتُهم بالسواك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في أنّ الأمر يوجب المشقّة</w:t>
      </w:r>
    </w:p>
    <w:p>
      <w:pPr>
        <w:pStyle w:val="BookText"/>
        <w:rPr/>
      </w:pPr>
      <w:r>
        <w:rPr>
          <w:rFonts w:ascii="Amiri" w:hAnsi="Amiri" w:eastAsia="Amiri" w:cs="Amiri"/>
          <w:color w:val="111111"/>
          <w:sz w:val="28"/>
          <w:sz w:val="28"/>
          <w:szCs w:val="28"/>
          <w:rtl w:val="true"/>
          <w:lang w:bidi="ar-SA"/>
        </w:rPr>
        <w:t>والكلفة مع أنّ الاستحبابي لا يوجبهما، مضافاً إلى أنّ الطلب الاستحبابي وارد فيه، فلو كان أمراً لم يقل ذلك، والعمدة في الباب التبادر لو تمّ، كما 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 بعض أهل التحقيق</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اختياره كون لفظ الأمر حقيقة في مطلق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شبهة في ظهوره حين إطلاقه في خصوص الطلب الوجوبي، ثمّ تفحّص عن منشأ الظهور؛ أنّه هل لغلبة الاستعمال في الوجوب، أو هو قضيّة الإطلاق ومقدّمات الحكمة، وردّ الأوّل استشهاداً بقول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استعماله في الاستحباب</w:t>
      </w:r>
      <w:r>
        <w:rPr>
          <w:rStyle w:val="FootnoteAnchor"/>
          <w:rtl w:val="true"/>
        </w:rPr>
        <w:footnoteReference w:id="2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واختار الوجه الثاني، ثمّ حاول تقريبه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بمكان من الغرابة؛ لخلطه بين مادّة الأمر الموضوعة لمفهوم كلّي، وبين صيغ الأمر؛ فإنّ كثرة الاستعمال في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 الثاني دون الأوّل، كما أنّ مورد التمسّك بالإطلاق ومقدّمات الحكمة كذلك، وسيأتي في محلّه الكلام فيه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عليه من طول الذيل لا يناسب المقام، ولهذا أفرزته رسالة مفردة، وتركته هاهنا حذراً من التطويل</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340" w:name="pg15283_146330"/>
    </w:p>
    <w:p>
      <w:pPr>
        <w:pStyle w:val="Heading3"/>
        <w:numPr>
          <w:ilvl w:val="2"/>
          <w:numId w:val="1"/>
        </w:numPr>
        <w:rPr/>
      </w:pPr>
      <w:bookmarkStart w:id="341" w:name="__RefHeading___Toc4563313_2142443653"/>
      <w:bookmarkStart w:id="342" w:name="_Toc122"/>
      <w:bookmarkEnd w:id="340"/>
      <w:bookmarkEnd w:id="341"/>
      <w:r>
        <w:rPr>
          <w:rtl w:val="true"/>
        </w:rPr>
        <w:t>الفصل الثاني فيما يتعلّق بصيغة الأمر</w:t>
      </w:r>
      <w:bookmarkEnd w:id="342"/>
    </w:p>
    <w:p>
      <w:pPr>
        <w:pStyle w:val="Heading4"/>
        <w:numPr>
          <w:ilvl w:val="3"/>
          <w:numId w:val="1"/>
        </w:numPr>
        <w:rPr/>
      </w:pPr>
      <w:bookmarkStart w:id="343" w:name="__RefHeading___Toc4563315_2142443653"/>
      <w:bookmarkStart w:id="344" w:name="_Toc123"/>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4563317_2142443653"/>
      <w:bookmarkStart w:id="346" w:name="_Toc124"/>
      <w:bookmarkEnd w:id="345"/>
      <w:r>
        <w:rPr>
          <w:rtl w:val="true"/>
        </w:rPr>
        <w:t>المبحث الأوّل</w:t>
      </w:r>
      <w:r>
        <w:rPr>
          <w:rtl w:val="true"/>
        </w:rPr>
        <w:t xml:space="preserve">: </w:t>
      </w:r>
      <w:r>
        <w:rPr>
          <w:rtl w:val="true"/>
        </w:rPr>
        <w:t>في أنّ صيغة الأمر موضوعة للبعث والإغراء</w:t>
      </w:r>
      <w:bookmarkEnd w:id="346"/>
    </w:p>
    <w:p>
      <w:pPr>
        <w:pStyle w:val="BookText"/>
        <w:rPr/>
      </w:pPr>
      <w:r>
        <w:rPr>
          <w:rFonts w:ascii="Amiri" w:hAnsi="Amiri" w:eastAsia="Amiri" w:cs="Amiri"/>
          <w:color w:val="111111"/>
          <w:sz w:val="28"/>
          <w:sz w:val="28"/>
          <w:szCs w:val="28"/>
          <w:rtl w:val="true"/>
          <w:lang w:bidi="ar-SA"/>
        </w:rPr>
        <w:t>قد ذكرنا معاني هيئات الفعل الماضي والمضارع والمشتقّات الاسمية سابقاً</w:t>
      </w:r>
      <w:r>
        <w:rPr>
          <w:rStyle w:val="FootnoteAnchor"/>
          <w:rtl w:val="true"/>
        </w:rPr>
        <w:footnoteReference w:id="3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وبقي بيان هيئة الأمر،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يتبادر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للبعث والإغراء، وتستعمل استعمالاً إيجادياً لاحكائياً، بخلاف هيئة الماضي والمضارع، فإنّها موضوعة للحكاية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فهيئة الأمر كالإشارة البعثية والإغرائية، وكإغراء جوارح الطير والكلاب المعلّمة،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موضوعة لإفادة ذلك وإفهامه، فهي مع إيجاد معناها مفهمة له وضعاً، وأيضاً إنّ انبعاث الحيوانات يكون بكيفية الصوت والحركات </w:t>
      </w:r>
    </w:p>
    <w:p>
      <w:pPr>
        <w:pStyle w:val="BookText"/>
        <w:rPr/>
      </w:pPr>
      <w:r>
        <w:rPr>
          <w:rFonts w:ascii="Amiri" w:hAnsi="Amiri" w:eastAsia="Amiri" w:cs="Amiri"/>
          <w:color w:val="111111"/>
          <w:sz w:val="28"/>
          <w:sz w:val="28"/>
          <w:szCs w:val="28"/>
          <w:rtl w:val="true"/>
          <w:lang w:bidi="ar-SA"/>
        </w:rPr>
        <w:t xml:space="preserve">والإشارات المورثة لتشجيعها أو تحريكها نحو المقصود، لكن انبعاث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فهم بعث المولى من أمره، وتحقّق موضوع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مبادٍ موجودة في نفسه كالخوف 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تصوّر كون اللفظ موجداً</w:t>
      </w:r>
      <w:r>
        <w:rPr>
          <w:rStyle w:val="FootnoteAnchor"/>
          <w:rtl w:val="true"/>
        </w:rPr>
        <w:footnoteReference w:id="3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وجيه لو كان ما يوجد به تكوينياً، لا مثل مفاد الهيئات والحروف الموجدة، فكما أنّ حروف القسم والنداء موجدات بنحو من الإيجاد لمعانيها كما تقدّم</w:t>
      </w:r>
      <w:r>
        <w:rPr>
          <w:rStyle w:val="FootnoteAnchor"/>
          <w:rtl w:val="true"/>
        </w:rPr>
        <w:footnoteReference w:id="303"/>
      </w:r>
      <w:r>
        <w:rPr>
          <w:rFonts w:ascii="Amiri" w:hAnsi="Amiri" w:eastAsia="Amiri" w:cs="Amiri"/>
          <w:color w:val="111111"/>
          <w:sz w:val="28"/>
          <w:sz w:val="28"/>
          <w:szCs w:val="28"/>
          <w:rtl w:val="true"/>
          <w:lang w:bidi="ar-SA"/>
        </w:rPr>
        <w:t>، وألفاظ العقود والإيقاعات كذلك عند العقلاء، كذلك هيئات الأوامر وضعت لإيجاد الإغراء والبعث، بل نرى أنّ بعض الألفاظ المهملة مستعمل لإغراء بعض الحيوانات كالكلاب وغيرها، فهي موجدة للإغراء والبعث بنحو لا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موضوعة لإنشاء الطلب</w:t>
      </w:r>
      <w:r>
        <w:rPr>
          <w:rStyle w:val="FootnoteAnchor"/>
          <w:rtl w:val="true"/>
        </w:rPr>
        <w:footnoteReference w:id="3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الظاهر</w:t>
      </w:r>
    </w:p>
    <w:p>
      <w:pPr>
        <w:pStyle w:val="BookText"/>
        <w:rPr/>
      </w:pPr>
      <w:r>
        <w:rPr>
          <w:rFonts w:ascii="Amiri" w:hAnsi="Amiri" w:eastAsia="Amiri" w:cs="Amiri"/>
          <w:color w:val="111111"/>
          <w:sz w:val="28"/>
          <w:sz w:val="28"/>
          <w:szCs w:val="28"/>
          <w:rtl w:val="true"/>
          <w:lang w:bidi="ar-SA"/>
        </w:rPr>
        <w:t>منه أنّه غير البعث والإغراء؛ إن كان مراده الطلب الحقيقي المتّحد مع الإرادة على مذهبه</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كما ذهب إليه بعض آخر؛ حتّى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منك الضرب، فهو ممنوع، والسند التبادر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الطلب الإيقاعي، فلا نتصوّر غير البعث والإغراء شيئاً آخر نسمّيه الطلب حتّى ينشئه المتكلّم بداعي البعث، ومع فرضه مخالف للتبادر والتفاهم العرفي في كلّ لغة</w:t>
      </w:r>
      <w:r>
        <w:rPr>
          <w:rFonts w:eastAsia="Amiri" w:cs="Amiri" w:ascii="Amiri" w:hAnsi="Amiri"/>
          <w:color w:val="111111"/>
          <w:sz w:val="28"/>
          <w:szCs w:val="28"/>
          <w:rtl w:val="true"/>
          <w:lang w:bidi="ar-SA"/>
        </w:rPr>
        <w:t xml:space="preserve">. </w:t>
      </w:r>
      <w:bookmarkStart w:id="347" w:name="pg15283_146332"/>
    </w:p>
    <w:p>
      <w:pPr>
        <w:pStyle w:val="Heading4"/>
        <w:numPr>
          <w:ilvl w:val="3"/>
          <w:numId w:val="1"/>
        </w:numPr>
        <w:rPr/>
      </w:pPr>
      <w:bookmarkStart w:id="348" w:name="__RefHeading___Toc4563319_2142443653"/>
      <w:bookmarkStart w:id="349" w:name="_Toc125"/>
      <w:bookmarkEnd w:id="347"/>
      <w:bookmarkEnd w:id="348"/>
      <w:r>
        <w:rPr>
          <w:rtl w:val="true"/>
        </w:rPr>
        <w:t>المبحث الثاني في المعاني الاُخر لهيئة الأمر</w:t>
      </w:r>
      <w:bookmarkEnd w:id="349"/>
    </w:p>
    <w:p>
      <w:pPr>
        <w:pStyle w:val="BookText"/>
        <w:rPr/>
      </w:pPr>
      <w:r>
        <w:rPr>
          <w:rFonts w:ascii="Amiri" w:hAnsi="Amiri" w:eastAsia="Amiri" w:cs="Amiri"/>
          <w:color w:val="111111"/>
          <w:sz w:val="28"/>
          <w:sz w:val="28"/>
          <w:szCs w:val="28"/>
          <w:rtl w:val="true"/>
          <w:lang w:bidi="ar-SA"/>
        </w:rPr>
        <w:t xml:space="preserve">الظاهر أنّ المعاني الكثيرة التي عُدّت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كالترجّي والتمنّي والتهديد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معانيه، ولم توضع الهيئة لها، ولا تستعمل فيها في عرض استعمالها في البعث والإغراء، بل مستعملة فيها على حذو سائر الاستعمالات المجازية، على ما سبق من استعمال اللفظ فيما وضع له؛ ليتجاوز منه إلى المعنى المراد جدّاً 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فهيئة الأمر تستعمل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البعث ليحقّ ذهن السامع عليه ويفهم منها ذلك، فينبعث إلى المطلوب، فيكون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تستعمل فيه، لكن ليتجاوز ذهنه منه إلى المعنى المراد جدّاً بعلاقة ونصب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فَأْتُوا بِعَشْرِ سُوَرٍ مِثْلِهِ مُفْتَرَيَاتٍ</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استعملت هيئة الأمر في البعث، لكن لا لغرض البعث، بل للانتقال منه إلى خطائهم في التقوّل على رسول الله‌ صلی الله علیه و آله وسلم  أو لتعجيزهم عن الإتيان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أيُّها اللّيلُ الطويلُ ألا انْجلِ</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 .. .. .. .. .. .. .. .. .. . </w:t>
      </w:r>
      <w:bookmarkStart w:id="350" w:name="pg15283_146333"/>
    </w:p>
    <w:p>
      <w:pPr>
        <w:pStyle w:val="BookText"/>
        <w:rPr/>
      </w:pPr>
      <w:bookmarkEnd w:id="350"/>
      <w:r>
        <w:rPr>
          <w:rFonts w:ascii="Amiri" w:hAnsi="Amiri" w:eastAsia="Amiri" w:cs="Amiri"/>
          <w:color w:val="111111"/>
          <w:sz w:val="28"/>
          <w:sz w:val="28"/>
          <w:szCs w:val="28"/>
          <w:rtl w:val="true"/>
          <w:lang w:bidi="ar-SA"/>
        </w:rPr>
        <w:t>استعملت الهيئة في البعث أيضاً؛ للانتقال منه إلى تمنّيه للانجلاء، أو تحسّره وتأثّره من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أنّه قد تستعمل الهيئة للانتقال إلى معنىً إنشائي إيقاعي، فينشأ تبعاً لصيغة الأمر كالتمنّي والترجّي، وقد تستعمل للانتقال إلى معنىً محقّق في الواقع، كما احتملنا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يوجّه الاستفهام والتمنّي والترجّي وأمثالها الواردة في كلام الله تعالى، فإنّ صدورها من المبادئ التي تكون مستلزمة للنقص والجهل والانفعال ممتنع عليه تعالى دون غيرها، فيفرّق بين الجدّ والاستعمال، وإن كان للكلام في كيفية صدور القرآن الكريم وسائر الكتب المنزلة على الأنبياء طور آخر لا يساعد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المقام، وقد أشرنا إليها إجمالاً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الطلب والإرادة</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4563321_2142443653"/>
      <w:bookmarkStart w:id="352" w:name="_Toc126"/>
      <w:bookmarkEnd w:id="351"/>
      <w:r>
        <w:rPr>
          <w:rtl w:val="true"/>
        </w:rPr>
        <w:t>المبحث الثالث في أنّ الهيئة تدلّ على الوجوب أم لا؟</w:t>
      </w:r>
      <w:bookmarkEnd w:id="352"/>
    </w:p>
    <w:p>
      <w:pPr>
        <w:pStyle w:val="Heading5"/>
        <w:numPr>
          <w:ilvl w:val="4"/>
          <w:numId w:val="1"/>
        </w:numPr>
        <w:rPr/>
      </w:pPr>
      <w:bookmarkStart w:id="353" w:name="__RefHeading___Toc4563323_2142443653"/>
      <w:bookmarkStart w:id="354" w:name="_Toc127"/>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بعد ما عرفت أنّ الهيئة وضعت للبعث والإغراء، يقع الكلام في أنّها هل وضعت للبعث الوجوبي، أو الاستحبابي، أو القدر المشترك بينهما، أو لهما على سبيل الاشتراك اللفظي؟ فلا بدّ في تحقيق ذلك من مقدّمات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تختلف إرادة الفاعل فيما صدر منه قوّة وضعفاً حسب اختلاف </w:t>
      </w:r>
    </w:p>
    <w:p>
      <w:pPr>
        <w:pStyle w:val="BookText"/>
        <w:rPr/>
      </w:pPr>
      <w:r>
        <w:rPr>
          <w:rFonts w:ascii="Amiri" w:hAnsi="Amiri" w:eastAsia="Amiri" w:cs="Amiri"/>
          <w:color w:val="111111"/>
          <w:sz w:val="28"/>
          <w:sz w:val="28"/>
          <w:szCs w:val="28"/>
          <w:rtl w:val="true"/>
          <w:lang w:bidi="ar-SA"/>
        </w:rPr>
        <w:t>أهمّية المصالح المدركة عنده، فالإرادة المحرّكة لعضلاته لنجاة نفسه عن الهلكة أقوى من الإرادة المحرّكة لها للقاء صديقه، وهي أقوى من المحرّكة لها للتفرّج والتفريح، فمراتب الإرادات قوّة وضعفاً تابعة لإدراك أهمّية المصالح أو اختلاف الاشتياقات، واختلاف حركة العضلات سرعة وقوّة تابع لاختلاف الإرادات، 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في تقريرات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تحريك النفس للعضلات في جميع الموارد على حدّ سواء</w:t>
      </w:r>
      <w:r>
        <w:rPr>
          <w:rStyle w:val="FootnoteAnchor"/>
          <w:rtl w:val="true"/>
        </w:rPr>
        <w:footnoteReference w:id="310"/>
      </w:r>
      <w:r>
        <w:rPr>
          <w:rFonts w:ascii="IRNazanin" w:hAnsi="IRNazanin" w:eastAsia="IRNazanin"/>
          <w:color w:val="111111"/>
          <w:sz w:val="28"/>
          <w:sz w:val="28"/>
          <w:szCs w:val="28"/>
          <w:rtl w:val="true"/>
          <w:lang w:bidi="fa-IR"/>
        </w:rPr>
        <w:t>، كما في تقريرات بعض المحقّقين رحمه الله علیه  من أنّ الإرادة التكوينية لا يتصوّر فيها الشدّة والضعف</w:t>
      </w:r>
      <w:r>
        <w:rPr>
          <w:rStyle w:val="FootnoteAnchor"/>
          <w:rtl w:val="true"/>
        </w:rPr>
        <w:footnoteReference w:id="311"/>
      </w:r>
      <w:r>
        <w:rPr>
          <w:rFonts w:ascii="IRNazanin" w:hAnsi="IRNazanin" w:eastAsia="IRNazanin"/>
          <w:color w:val="111111"/>
          <w:sz w:val="28"/>
          <w:sz w:val="28"/>
          <w:szCs w:val="28"/>
          <w:rtl w:val="true"/>
          <w:lang w:bidi="fa-IR"/>
        </w:rPr>
        <w:t>، مخالف للوجدان والبرهان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ضرورة أقوائية إرادة الغريق لخلاص نفسه من إرادة الفاعل لكنس البيت وشراء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اختلاف الآثار يدلّ على اختلاف المؤثّرات، واختلاف حركة العضلات المشاهد كاشف عن اختلاف الإرادات المؤثّرة فيها، كما أنّ اختلاف الدواعي موجب لاختلاف الإرادات، فالداعي لإنجاء المحبوب من الهلكة موجب للإرادة الحتمية القويّة، بخلاف الداعي إلى شراء اللحم، وهذا لا ينافي كون الإرادة بفعّالية النفس، كما هو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الإرادة التكوينية والتشريعية، فلا يرجع إلى محصّل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لمّا كانت من الحقائق البسيطة كالعلم والوجود، يكون </w:t>
      </w:r>
    </w:p>
    <w:p>
      <w:pPr>
        <w:pStyle w:val="BookText"/>
        <w:rPr/>
      </w:pPr>
      <w:r>
        <w:rPr>
          <w:rFonts w:ascii="Amiri" w:hAnsi="Amiri" w:eastAsia="Amiri" w:cs="Amiri"/>
          <w:color w:val="111111"/>
          <w:sz w:val="28"/>
          <w:sz w:val="28"/>
          <w:szCs w:val="28"/>
          <w:rtl w:val="true"/>
          <w:lang w:bidi="ar-SA"/>
        </w:rPr>
        <w:t xml:space="preserve">التشكيك الواقع فيها خاصّياً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الافتراق بين مراتبها عين ما به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الاختلاف بينها بتمام الذات المستعمل في باب الماهيات، أو بعضها، أو خارجها؛ ضرورة عدم التباين الذاتي بين الإرادة القويّة والضعيفة، ولا يكون اختلافهما ببعض الذات لبساطتها، ولا بأمر خارج حتّى تكونا في مرتبة واحدة والشدّة والضعف لاحقان بها، فالإرادة كسائر الحقائق البسيطة يكون افتراق مراتبها كاشتراكها بتمام الذات، وتكون ذات عرض عريض ومراتب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صدور الأمر من الآمر بما أنّه فعل إرادي له كسائر أفعاله الإرادية، مسبوق بمقدّمات من التصوّر إلى الإرادة وتحريك العضلات، غاية الأمر أنّ العضلات فيه عضلات اللسان، وتكون الإرادة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لإدراك أهمّية الفعل المبعوث إليه؛ ضرورة أنّ الإرادة الباعثة إلى إنجاء الولد من الغرق أقوى من الباعثة إلى شراء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يظهر آثار الشدّة في المقال، بل في كيفية تأدية الكلام شدّة، أو في الصوت علوّاً وارتفاعاً،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بأداة التأكيد والوعد والوعيد، كما 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بالترخيص في الترك، أو بما يفهم منه الوجوب أو الاستحباب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بما هو فعل اختياري إرادي صادر من الفاعل المختار، كسائر أفعاله من حيث المبادئ وجهات الاختلاف، فقد يحرّك الفاعل عضلات يده أو رجله لتحصيل مطلوبه مباشرة، وقد يحرّك عضلات لسانه لتحصيل مطلوبه بمباشرة الغير، لا لأنّ الأمر الذي مفاده البعث هو الباعث بذاته؛ فإنّه غير معقول، بل لأدائه بمقدّمات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انبعاث المأمور، فإذا </w:t>
      </w:r>
      <w:bookmarkStart w:id="355" w:name="pg15283_146336"/>
    </w:p>
    <w:p>
      <w:pPr>
        <w:pStyle w:val="BookText"/>
        <w:rPr/>
      </w:pPr>
      <w:bookmarkEnd w:id="355"/>
      <w:r>
        <w:rPr>
          <w:rFonts w:ascii="Amiri" w:hAnsi="Amiri" w:eastAsia="Amiri" w:cs="Amiri"/>
          <w:color w:val="111111"/>
          <w:sz w:val="28"/>
          <w:sz w:val="28"/>
          <w:szCs w:val="28"/>
          <w:rtl w:val="true"/>
          <w:lang w:bidi="ar-SA"/>
        </w:rPr>
        <w:t>أمر المولى بشيء ووصل إلى العبد وتصوّر أمره، فإن وجدت في نفسه مبادٍ اُخر كالحبّ والمعرفة والطمع والخوف وأمثالها تصير هذه المبادئ داعية للفاعل، فالأمر محقّق موضوع الطاعة، لا المحرّك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مرّ أنّ الأمر بما هو فعل إرادي للفاعل تابع لإرادته، فهو كاشف عنها نحو كشف المعلول عن علّته؛ فإنّ العقل يحكم بأنّ كلّ فعل إرادي لا يتحقّق من الفاعل المختار إلاّ بإرادته، وبما أنّه بعث نحو المبعوث إليه كاشف عن مطلوبيته، نظير كشف المعلول عن علّته بوجه؛ فإنّ الداعي إلى الأمر مطلوبية 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الأمر على الإرادة المتعلّقة بصدوره وعلى مطلوبية الفعل المأمور به ليست دلالة لفظية وضعية، بل دلالة عقلية كدلالة كلّ ذي مبدأ على تحقّق مبادئه</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4563325_2142443653"/>
      <w:bookmarkStart w:id="357" w:name="_Toc128"/>
      <w:bookmarkEnd w:id="356"/>
      <w:r>
        <w:rPr>
          <w:rtl w:val="true"/>
        </w:rPr>
        <w:t>منشأ ظهور الصيغة في الوجوب</w:t>
      </w:r>
      <w:bookmarkEnd w:id="357"/>
    </w:p>
    <w:p>
      <w:pPr>
        <w:pStyle w:val="BookText"/>
        <w:rPr/>
      </w:pPr>
      <w:r>
        <w:rPr>
          <w:rFonts w:ascii="Amiri" w:hAnsi="Amiri" w:eastAsia="Amiri" w:cs="Amiri"/>
          <w:color w:val="111111"/>
          <w:sz w:val="28"/>
          <w:sz w:val="28"/>
          <w:szCs w:val="28"/>
          <w:rtl w:val="true"/>
          <w:lang w:bidi="ar-SA"/>
        </w:rPr>
        <w:t>إذا عرفت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 أنّ هيئات الأوامر هل تدلّ على الوجوب أم لا؟</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الدلالة وضعية، أو بسبب الانصراف، أو لا هذا ولا ذاك، بل بمقدّمات الحكمة تكون ظاهرة فيه، أو لا تحتاج إليها أيضاً فيه، أو أنّها كاشفة عن الإرادة الحتمية الوجوبية كشفاً عقلائياً ككاشفية الأمارات العقلائية؟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عدم وضعها للوجوب وعدم دلالتها عليه، فهل تكون حجّة على الوجوب بحكم العقل والعقلاء أو لا؟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الدلالة الوضعية</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يُرَد منها أنّها وضعت للبعث المتقيّد بالإرادة الحتمية، فهو ظاهر البطلان إن اُريد التقيّد بهذا المفهوم؛ ضرورة عدم إمكان تقيّد البعث بالحمل الشائع بمفهوم أصلاً، وقد عرفت أنّ الهيئة وضعت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التقيّد بواقعها فلا يمكن؛ لأنّ البعث متأخّر عن الإرادة بمراتب، فلا يعقل تقيّده بها، والمعلول لا يمكن أن يتقيّد بعلّته، فضلاً عن علّة علّته، أو كعلّة علّته في التقدّم؛ للزوم كون المتأخّر متقدّماً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الحتمية لمّا كانت منشأً للبعث بآلية الهيئة، فللبعث المنشأ منها تحصّل غير تحصّل البعث المنشأ من الإرادة الغير الحتمية بحسب نفس الأمر، والواضع يمكن أن يتصوّر جامعاً عرضياً انتزاعياً بين أفراد البعث الناشئة من الإرادة الحتمية، فيضع الهيئة بإزاء مصاديقه، فتكون هيئة الأمر مستعملة استعمالاً إيجادياً، ويكون وضعها عامّاً والموضوع له خاصّاً، وهو إيجاد البعث الخاصّ الناشئ من الإرادة الحتمية من غير تقيّد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التصوير وإن يدفع الاستحالة، لكن التبادر والتفاهم العرفي يضادّه؛ ضرورة أنّ المتفاهم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الهيئة ليس إلاّ البعث والإغراء، كإشارة المشير لإغراء غيره، وكإغراء الجوارح من الطيور وغيرها، فكأنّ لفظ الهيئة قائم مقام تلك الإشارة وذلك الإغراء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 الانصراف إلى البعث المنشأ من الإرادة الحتمية</w:t>
      </w:r>
      <w:r>
        <w:rPr>
          <w:rStyle w:val="FootnoteAnchor"/>
          <w:rtl w:val="true"/>
        </w:rPr>
        <w:footnoteReference w:id="313"/>
      </w:r>
      <w:r>
        <w:rPr>
          <w:rFonts w:ascii="IRNazanin" w:hAnsi="IRNazanin" w:eastAsia="IRNazanin"/>
          <w:color w:val="111111"/>
          <w:sz w:val="28"/>
          <w:sz w:val="28"/>
          <w:szCs w:val="28"/>
          <w:rtl w:val="true"/>
          <w:lang w:bidi="fa-IR"/>
        </w:rPr>
        <w:t xml:space="preserve">، فلا مجال لها؛ </w:t>
      </w:r>
    </w:p>
    <w:p>
      <w:pPr>
        <w:pStyle w:val="BookText"/>
        <w:rPr/>
      </w:pPr>
      <w:r>
        <w:rPr>
          <w:rFonts w:ascii="Amiri" w:hAnsi="Amiri" w:eastAsia="Amiri" w:cs="Amiri"/>
          <w:color w:val="111111"/>
          <w:sz w:val="28"/>
          <w:sz w:val="28"/>
          <w:szCs w:val="28"/>
          <w:rtl w:val="true"/>
          <w:lang w:bidi="ar-SA"/>
        </w:rPr>
        <w:t>لأنّ ملاك الانصراف الحاصل من اُنس الذهن بكثرة الاستعمال مفقود، وغيره ليس منشأً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ما في دعوى الكشف العقلائي</w:t>
      </w:r>
      <w:r>
        <w:rPr>
          <w:rStyle w:val="FootnoteAnchor"/>
          <w:rtl w:val="true"/>
        </w:rPr>
        <w:footnoteReference w:id="314"/>
      </w:r>
      <w:r>
        <w:rPr>
          <w:rFonts w:ascii="Amiri" w:hAnsi="Amiri" w:eastAsia="Amiri" w:cs="Amiri"/>
          <w:color w:val="111111"/>
          <w:sz w:val="28"/>
          <w:sz w:val="28"/>
          <w:szCs w:val="28"/>
          <w:rtl w:val="true"/>
          <w:lang w:bidi="ar-SA"/>
        </w:rPr>
        <w:t>فإنّ الأمر وإن كان كاشفاً عن إرادة الآمر في الجملة، لكن كشفه عن الإرادة الحتمية من غير ملاك، غير معقول، وليس ملاك معقول في المقام إلاّ كثرة الاستعمال؛ بحيث صار غيره من النادر الذي لا يعتني به العقلاء، وهو مفقود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دعوى ظهوره في الوجوب بمقدّمات الحكمة، فقد قرّرها بعض محقّقي العصر رحمه الله علیه بوجهين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الوجوبي هو الطلب التامّ الذي لا حدّ له من جهة النقص والضعف، بخلاف الاستحبابي؛ فإنّه مرتبة محدودة بحدّ النقص والضعف، ولا ريب في أنّ الوجود الغير المحدود لا يفتقر في بيانه إلى أكثر ممّا يدلّ عليه، بخلاف المحدود، فإنّه يفتقر إلى بيان حدوده وأصله، وعليه يلزم حمل الكلام الذي يدلّ على الطلب بلا ذكر حدّ له على المرتبة التامّة، وهو الوجوب، كما هو الشأن في كلّ مطلق</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ذكر في مادّة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مقدّمات الحكمة كما تجري في مفهوم الكلام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لتشخيصه من حيث سعته وضيقه، كذلك يمكن أن تجري في تشخيص الفرد الخاصّ فيما اُريد بالكلام فرداً مشخّصاً، كما لو كان لمفهوم الكلام فردان في </w:t>
      </w:r>
    </w:p>
    <w:p>
      <w:pPr>
        <w:pStyle w:val="BookText"/>
        <w:rPr/>
      </w:pPr>
      <w:r>
        <w:rPr>
          <w:rFonts w:ascii="Amiri" w:hAnsi="Amiri" w:eastAsia="Amiri" w:cs="Amiri"/>
          <w:color w:val="111111"/>
          <w:sz w:val="28"/>
          <w:sz w:val="28"/>
          <w:szCs w:val="28"/>
          <w:rtl w:val="true"/>
          <w:lang w:bidi="ar-SA"/>
        </w:rPr>
        <w:t>الخارج وكان أحدهما يستدعي مؤنة في البيان أكثر من الآخر، كالإرادة الوجوبية والندبية، فإنّ الاُولى تفترق عن الثانية بالشدّة، فيكون ما به الامتياز فيها عين ما به الاشتراك، وأمّا الثانية فتفترق عن الاُولى بالضعف، فما به الامتياز</w:t>
      </w:r>
    </w:p>
    <w:p>
      <w:pPr>
        <w:pStyle w:val="BookText"/>
        <w:rPr/>
      </w:pPr>
      <w:r>
        <w:rPr>
          <w:rFonts w:ascii="Amiri" w:hAnsi="Amiri" w:eastAsia="Amiri" w:cs="Amiri"/>
          <w:color w:val="111111"/>
          <w:sz w:val="28"/>
          <w:sz w:val="28"/>
          <w:szCs w:val="28"/>
          <w:rtl w:val="true"/>
          <w:lang w:bidi="ar-SA"/>
        </w:rPr>
        <w:t>فيها غير ما به الاشتراك، فالإرادة الندبية تحتاج إلى دالّين بخلاف الوجوبية</w:t>
      </w:r>
      <w:r>
        <w:rPr>
          <w:rStyle w:val="FootnoteAnchor"/>
          <w:rtl w:val="true"/>
        </w:rPr>
        <w:footnoteReference w:id="316"/>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محالّ 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الحكمة في المطلق لو جرت فيما نحن فيه، فنتيجتها إثبات نفس الطلب الذي هو القدر المشترك بين الوجوبي والاستحبابي باعترافه؛ فإنّ المادّة إذا وضعت للقدر الجامع لا يمكن أن تفيد مقدّمات الحكمة دلالتها على غيره ممّا هو خارج عن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الفرق بين القدر الجامع والطلب الوجوبي، واضحة الفساد؛ ضرورة لزوم افتراق الفرد عن الجامع بخصوصية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كلام، وهو أنّ نفس الطلب الجامع ليس له وجود إلاّ بوجود أفراده، فلا يمكن أن تنتج مقدّمات الحكمة ظهور الأمر في نفس الجامع؛ للقطع بحصوله مع أحد الفردين، لكن هذا يهدم جريان المقدّمات، ولا يوجب إنتاجها ظهور الأمر في أحد القسمين مع كونه متساوي النسبة إليهما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ما به الاشتراك في الحقائق الوجودية عين ما به الامتياز، لا يوجب عدم 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صرف الجامع إلى أحد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بيان زائد </w:t>
      </w:r>
    </w:p>
    <w:p>
      <w:pPr>
        <w:pStyle w:val="BookText"/>
        <w:rPr/>
      </w:pPr>
      <w:r>
        <w:rPr>
          <w:rFonts w:ascii="Amiri" w:hAnsi="Amiri" w:eastAsia="Amiri" w:cs="Amiri"/>
          <w:color w:val="111111"/>
          <w:sz w:val="28"/>
          <w:sz w:val="28"/>
          <w:szCs w:val="28"/>
          <w:rtl w:val="true"/>
          <w:lang w:bidi="ar-SA"/>
        </w:rPr>
        <w:t>عن بيان نفس الطبيعة؛ ضرورة أنّ الأقسام تمتاز عن المقسم بقيد زائد في المفهوم ولو فرض عدم الزيادة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فالوجود المشترك مفهوماً بين مراتب الوجودات لا يمكن أن يكون معرّفاً لمرتبة منها، بل لا بدّ في بيانها من قيد زائد ولو من باب زيادة الحدّ على المحدود، فنفس مفهوم الوجود لا يكون حاكياً إلاّ عن نفس الحقيقة الجامعة بينها، ولا بدّ لبيان وجود الواجب من زيادة قيد؛ كالتامّ، والمطلق، والواجب بالذات، ونحوها، فالإرادة القويّة كالضعيفة تحتاج إلى بيان زائد، وكذا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به الاشتراك في طرف الناقص غير ما به الامتياز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لأنّ الإرادة الضعيفة ليست مركّبة من إرادة وضعف، كالإرادة القويّة التي ليست مركّبة منها ومن قوّة، فما به الاشتراك في الحقائق البسيطة عين ما به الامتياز في جميع المراتب؛ قضاءً لحقّ البساطة وكون الحقيقة ذات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فالوجود الضعيف والإرادة الضعيفة وأمثالهما مرتبة من الحقيقة البسيطة تكون بنفس ذاتها ممتازة عن القويّة، ففي الوجود الخارجي تكون كلتا المرتبتين بسيطتين؛ ما به الاشتراك فيهما عين ما به الامتياز، وتكون الحقيقة ذات عرض عريض، وفي مقام البيان والتعريف يحتاج كلاهما إلى معرّف غير نفس المفهوم المشترك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عدم احتياج الطلب التامّ والإرادة التامّة إلى بيان زائد عن أصل الطلب والإرادة، غير وجيه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طالب إنّما يأمر لأجل التوسّل إلى إيجاد المأمور به، فلا بدّ أن يكون طلبه غير قاصر عن ذلك؛ وإلاّ فعليه البيان، والطلب الإلزامي غير قاصر عنه، دون الاستحبابي، فلا بدّ أن يحمل عليه الطلب</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 من الوهن؛ فإنّ دعوى هذه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ترجع إلى أنّ كلّ آمر بصدد تحصيل المأمور به على سبيل الحتم والإلزام، فهي مصادرة، مع كونها ممنوعة أيضاً؛ فإنّ الأوامر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ترجع إلى أنّ كلّ آمر بصدد إحداث الداعي وتحصيل المأمور به في الجملة، فهي مسلّمة، لكن لا تفيد؛ فإنّ بعثه أعمّ من الإلزامي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ترجع إلى أنّ الطلب الاستحبابي يحتاج إلى البيان الزائد دون الوجوبي، فقد مرّ ما فيه؛ لرجوع هذا الوجه إلى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الحمل على الوجوب لعلّه لأجل أنّ الإرادة المتوجّهة إلى الفعل تقتضي وجوده ليس إلاّ، والندب إنّما يأتي من قِبل الإذن في الترك منضمّاً إلى الإرادة المذكورة، فاحتاج إلى قيد زائد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في الوجوب والندب مختلفة مرتبة كما تقدّم</w:t>
      </w:r>
      <w:r>
        <w:rPr>
          <w:rStyle w:val="FootnoteAnchor"/>
          <w:rtl w:val="true"/>
        </w:rPr>
        <w:footnoteReference w:id="319"/>
      </w:r>
      <w:r>
        <w:rPr>
          <w:rFonts w:ascii="Amiri" w:hAnsi="Amiri" w:eastAsia="Amiri" w:cs="Amiri"/>
          <w:color w:val="111111"/>
          <w:sz w:val="28"/>
          <w:sz w:val="28"/>
          <w:szCs w:val="28"/>
          <w:rtl w:val="true"/>
          <w:lang w:bidi="ar-SA"/>
        </w:rPr>
        <w:t xml:space="preserve">، ولا يمكن أن تكون الإرادة فيهما واحدة ويكون الاختلاف بأمر خارج، فحينئذٍ فللإرادة الحتمية نحو اقتضاء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الحتمية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احتياج الحمل على الوجوب إلى مقدّمات الحكمة، نظير القضيّة المسوّرة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فقياسه مع الفارق؛ فإنّ الألفاظ الدالّة بالوضع على الاستغراق إذا استعملت لا محالة يكون المتكلّم بها في مقام بيان حكم الأفراد المدخولة لها؛ فإنّها بمنزلة تكرار الأفراد، فالقضيّة المسوّرة بها متعرّضة لكلّ فرد فرد بنحو الجمع في التعبير، فلا معنى لعدم البيان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أحوال الأفراد لا بدّ لها من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الهيئات لا تدلّ بالدلالة الوضعية إلاّ على البعث والإغراء من غير دلالة على الوجوب والاستحباب، بل لا معنى للدلالة عليهما ولا لاستعمالها فيهما؛ فإنّ الوجوب والاستحباب إن كانا بلحاظ الإرادة الحتمية وغيرها أو المصلحة الملزمة وغيرها، فهما من مبادئ الاستعمال، ولا يعقل أن تكون مستعملة فيهما، وحتمية الطاعة وعدمها منتزعتان بعد الاستعمال، فلا يعقل الاستعمال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ريب فيه ولا إشكال يعتريه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العقلاء كافّة بأنّ الأمر الصادر من المولى واجب الإطاعة، وليس للعبد الاعتذار باحتمال كونه ناشئاً من المصلحة الغير الملزمة والإرادة الغير الحتمية، ولا يكون ذلك لدلالة لفظية، أو انصراف، أو مقدّمات حكمة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الإغراء والبعث إذا صدر من المولى بأيّ دالّ كان، لزم عند العقلاء إطاعته، من غير فرق بين اللفظ والإشارة، مع عدم وضع لها، ولا تجري </w:t>
      </w:r>
      <w:bookmarkStart w:id="358" w:name="pg15283_146343"/>
    </w:p>
    <w:p>
      <w:pPr>
        <w:pStyle w:val="BookText"/>
        <w:rPr/>
      </w:pPr>
      <w:bookmarkEnd w:id="358"/>
      <w:r>
        <w:rPr>
          <w:rFonts w:ascii="Amiri" w:hAnsi="Amiri" w:eastAsia="Amiri" w:cs="Amiri"/>
          <w:color w:val="111111"/>
          <w:sz w:val="28"/>
          <w:sz w:val="28"/>
          <w:szCs w:val="28"/>
          <w:rtl w:val="true"/>
          <w:lang w:bidi="ar-SA"/>
        </w:rPr>
        <w:t>فيها مقدّمات الحكمة، فنفس صدور البعث والإغراء موضوع حكمهم بلزوم الطاعة، من غير حكمهم بكشفه عن الإرادة الحتمية؛ لعدم الملاك فيه كما عرفت، فكون الأمر للوجوب ليس إلاّ لزوم إطاعته عند العقلاء حتّى يرد منه 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مغزى مرام شيخنا العلاّمة أعلى الله مقامه</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4563327_2142443653"/>
      <w:bookmarkStart w:id="360" w:name="_Toc129"/>
      <w:bookmarkEnd w:id="359"/>
      <w:r>
        <w:rPr>
          <w:rtl w:val="true"/>
        </w:rPr>
        <w:t>تتميم</w:t>
      </w:r>
      <w:r>
        <w:rPr>
          <w:rtl w:val="true"/>
        </w:rPr>
        <w:t xml:space="preserve">: </w:t>
      </w:r>
      <w:r>
        <w:rPr>
          <w:rtl w:val="true"/>
        </w:rPr>
        <w:t>في الجمل الخبرية المستعملة في مقام الإنشاء</w:t>
      </w:r>
      <w:bookmarkEnd w:id="360"/>
    </w:p>
    <w:p>
      <w:pPr>
        <w:pStyle w:val="BookText"/>
        <w:rPr/>
      </w:pPr>
      <w:r>
        <w:rPr>
          <w:rFonts w:ascii="Amiri" w:hAnsi="Amiri" w:eastAsia="Amiri" w:cs="Amiri"/>
          <w:color w:val="111111"/>
          <w:sz w:val="28"/>
          <w:sz w:val="28"/>
          <w:szCs w:val="28"/>
          <w:rtl w:val="true"/>
          <w:lang w:bidi="ar-SA"/>
        </w:rPr>
        <w:t>لا إشكال فيأنّ الجمل الخبرية المستعملة في مقام البعث والإغراء، كالهيئات في حكم العقلاء بلزوم إطاعتها؛ لما عرفت من أنّ البعث بأيّ دالّ صدر من المولى، كان تمام الموضوع للزوم الاتّباع، إنّما الكلام في كيفية دلالتها على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مستعملة في معانيها الخبرية بدعوى تحقّقها من المخاطب، مدّعياً أنّ المخبر به أمر يأتي به المخاطب من غير احتياج إلى الأمر؛ لوضوح لزوم إتيانه بحكم العقل، كما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ولدي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يحفظ شأن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إغرائه بذلك، فإنّك تستعمل الجملة في معناها بدعوى كون الأمر بمكان من الوضوح لا يحتاج إلى الأمر، بل يأتي به بتمييزه وعقله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 موافق للذوق السليم والمحاورات العرفية</w:t>
      </w:r>
      <w:r>
        <w:rPr>
          <w:rFonts w:eastAsia="Amiri" w:cs="Amiri" w:ascii="Amiri" w:hAnsi="Amiri"/>
          <w:color w:val="111111"/>
          <w:sz w:val="28"/>
          <w:szCs w:val="28"/>
          <w:rtl w:val="true"/>
          <w:lang w:bidi="ar-SA"/>
        </w:rPr>
        <w:t xml:space="preserve">. </w:t>
      </w:r>
      <w:bookmarkStart w:id="361" w:name="pg15283_146344"/>
    </w:p>
    <w:p>
      <w:pPr>
        <w:pStyle w:val="Heading4"/>
        <w:numPr>
          <w:ilvl w:val="3"/>
          <w:numId w:val="1"/>
        </w:numPr>
        <w:rPr/>
      </w:pPr>
      <w:bookmarkStart w:id="362" w:name="__RefHeading___Toc4563329_2142443653"/>
      <w:bookmarkStart w:id="363" w:name="_Toc130"/>
      <w:bookmarkEnd w:id="361"/>
      <w:bookmarkEnd w:id="362"/>
      <w:r>
        <w:rPr>
          <w:rtl w:val="true"/>
        </w:rPr>
        <w:t>المبحث الرابع في التعبّدي والتوصّلي وأنّ مقتضى الأصل ماذا؟</w:t>
      </w:r>
      <w:bookmarkEnd w:id="363"/>
    </w:p>
    <w:p>
      <w:pPr>
        <w:pStyle w:val="Heading5"/>
        <w:numPr>
          <w:ilvl w:val="4"/>
          <w:numId w:val="1"/>
        </w:numPr>
        <w:rPr/>
      </w:pPr>
      <w:bookmarkStart w:id="364" w:name="__RefHeading___Toc4563331_2142443653"/>
      <w:bookmarkStart w:id="365" w:name="_Toc131"/>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ويتمّ البحث بتقديم اُمور</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4563333_2142443653"/>
      <w:bookmarkStart w:id="367" w:name="_Toc132"/>
      <w:bookmarkEnd w:id="366"/>
      <w:r>
        <w:rPr>
          <w:rtl w:val="true"/>
        </w:rPr>
        <w:t>الأوّل</w:t>
      </w:r>
      <w:r>
        <w:rPr>
          <w:rtl w:val="true"/>
        </w:rPr>
        <w:t xml:space="preserve">: </w:t>
      </w:r>
      <w:r>
        <w:rPr>
          <w:rtl w:val="true"/>
        </w:rPr>
        <w:t>في معنى التعبّدية والتوصّلية</w:t>
      </w:r>
      <w:r>
        <w:rPr>
          <w:rtl w:val="true"/>
        </w:rPr>
        <w:t>:</w:t>
      </w:r>
      <w:bookmarkEnd w:id="367"/>
    </w:p>
    <w:p>
      <w:pPr>
        <w:pStyle w:val="BookText"/>
        <w:rPr/>
      </w:pPr>
      <w:r>
        <w:rPr>
          <w:rFonts w:ascii="Amiri" w:hAnsi="Amiri" w:eastAsia="Amiri" w:cs="Amiri"/>
          <w:color w:val="111111"/>
          <w:sz w:val="28"/>
          <w:sz w:val="28"/>
          <w:szCs w:val="28"/>
          <w:rtl w:val="true"/>
          <w:lang w:bidi="ar-SA"/>
        </w:rPr>
        <w:t>إنّ الواجبات بل المستحبّات في الشريعة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الغرض بها كيفما تحقّقت؛ أي يكون المطلوب فيها نفس التحقّق والوجود بأيّ نحو حصل، كستر العورة وإنقاذ الغريق والنظافة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يحصل الغرض بها إلاّ مع قصد عناوينها، من غير احتياج إلى قصد التقرّب والتعبّد، كردّ السلام وكالنكاح الواجب أو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يحصل بها بصرف قصد العناوين، بل لا بدّ في سقوط أمرها من الإتيان بها متقرّباً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ينطبق عليه عنوان العبودية لله تعالى المعبّر عنه في لغة الفرس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كالصلاة والحجّ والاعتكاف</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ليس كذلك وإن كان قربياً؛ أي يعتبر فيه قصد التقرّب والطاعة، كالزكاة والخمس بل والصوم؛ فإنّ إتيان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يعتبر فيه قصد التقرّب، لكن لا تكون عبادة بالمعنى المساوق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ضرورة أنّ كلّ فعل قُربي لا ينطبق عليه عنوان العبودية، ألا ترى أنّه لو أطاع أحد والديه أو السلطان </w:t>
      </w:r>
      <w:bookmarkStart w:id="368" w:name="pg15283_146345"/>
    </w:p>
    <w:p>
      <w:pPr>
        <w:pStyle w:val="BookText"/>
        <w:rPr/>
      </w:pPr>
      <w:bookmarkEnd w:id="368"/>
      <w:r>
        <w:rPr>
          <w:rFonts w:ascii="Amiri" w:hAnsi="Amiri" w:eastAsia="Amiri" w:cs="Amiri"/>
          <w:color w:val="111111"/>
          <w:sz w:val="28"/>
          <w:sz w:val="28"/>
          <w:szCs w:val="28"/>
          <w:rtl w:val="true"/>
          <w:lang w:bidi="ar-SA"/>
        </w:rPr>
        <w:t>بقصد التقرّب إليهم لا تكون إطاعته عبادة لهم، فستر العورة والاستبراء بقصد الأمر والتقرّب إلى الله تعالى ليسا عبودية له، بل إطاعة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فالواجبات المعتبرة فيها القربة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 وتقرّبي، فالأوّل ما يؤتى به لأجل عبودية الله تعالى والثناء عليه بالمعبودية، كالصلاة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مصاديقها، فإنّها في الحقيقة ثناء عليه تعالى بعنوان العبودية، بخلاف الثاني؛ فإنّ إعطاء الزكاة إطاعة له تعالى، لا ثناء عليه بالمعبودية، فلا يجوز إتيان عمل بعنوان التعبّد لغيره تعالى، بخلاف الإتيان بعنوان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بالواجب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التقرّبي بالمعنى الأعمّ من التعبّدي بالمعنى المتقدّم، وهو ما لا يسقط الغرض بإتيانه إلاّ بوجه مرتبط إلى الله تعالى، سواء قصد الامتثال له أو التقرّب إليه تعالى، والتوصّلي بخلافه، سواء سقط الغرض بإتيانه كيفما اتّفق، أو احتاج إلى قصد 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واتّضح ممّا ذكرنا وجه الخلل في تعريف التعبّدي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الذي شرّع لأجل التعبّد به لربّه المعبّر عنه بالفارسية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فإنّ الواجبات التعبّدية بالمعنى المبحوث عنه أعمّ ممّا ذكر</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4563335_2142443653"/>
      <w:bookmarkStart w:id="370" w:name="_Toc133"/>
      <w:bookmarkEnd w:id="369"/>
      <w:r>
        <w:rPr>
          <w:rtl w:val="true"/>
        </w:rPr>
        <w:t>الثاني</w:t>
      </w:r>
      <w:r>
        <w:rPr>
          <w:rtl w:val="true"/>
        </w:rPr>
        <w:t xml:space="preserve">: </w:t>
      </w:r>
      <w:r>
        <w:rPr>
          <w:rtl w:val="true"/>
        </w:rPr>
        <w:t>في إمكان أخذ قصد الأمر في المتعلّق</w:t>
      </w:r>
      <w:bookmarkEnd w:id="370"/>
    </w:p>
    <w:p>
      <w:pPr>
        <w:pStyle w:val="Heading6"/>
        <w:numPr>
          <w:ilvl w:val="5"/>
          <w:numId w:val="1"/>
        </w:numPr>
        <w:rPr/>
      </w:pPr>
      <w:bookmarkStart w:id="371" w:name="__RefHeading___Toc4563337_2142443653"/>
      <w:bookmarkStart w:id="372" w:name="_Toc134"/>
      <w:bookmarkEnd w:id="371"/>
      <w:r>
        <w:rPr>
          <w:rtl w:val="true"/>
        </w:rPr>
        <w:t>اشارة</w:t>
      </w:r>
      <w:bookmarkEnd w:id="37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الدواعي القربية على أنحاء مشتركة في ورود بعض إشكالات المقام عليها، ويختصّ بعضها بإشكالات زائدة، فإن كان التقرّب المعتبر هو قصد امتثال الأمر </w:t>
      </w:r>
      <w:bookmarkStart w:id="373" w:name="pg15283_146346"/>
    </w:p>
    <w:p>
      <w:pPr>
        <w:pStyle w:val="BookText"/>
        <w:rPr/>
      </w:pPr>
      <w:bookmarkEnd w:id="373"/>
      <w:r>
        <w:rPr>
          <w:rFonts w:ascii="Amiri" w:hAnsi="Amiri" w:eastAsia="Amiri" w:cs="Amiri"/>
          <w:color w:val="111111"/>
          <w:sz w:val="28"/>
          <w:sz w:val="28"/>
          <w:szCs w:val="28"/>
          <w:rtl w:val="true"/>
          <w:lang w:bidi="ar-SA"/>
        </w:rPr>
        <w:t>وإطاعته، ففي جواز اعتباره في متعلّق الأمر وجهان، أقواهما الجواز، ويظهر وجهه بعد رفع الإشكالات المتوهّمة، وهي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امتناع أخذه في المتعلّق امتناعاً ذاتياً؛ أي التكليف الكذائي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الامتناع بالغير؛ لكونه تكليفاً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منهما تقريبات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4563339_2142443653"/>
      <w:bookmarkStart w:id="375" w:name="_Toc135"/>
      <w:bookmarkEnd w:id="374"/>
      <w:r>
        <w:rPr>
          <w:rtl w:val="true"/>
        </w:rPr>
        <w:t>فيما استدلّ به على امتناع الأخذ امتناعاً ذاتياً</w:t>
      </w:r>
      <w:bookmarkEnd w:id="375"/>
    </w:p>
    <w:p>
      <w:pPr>
        <w:pStyle w:val="BookText"/>
        <w:rPr/>
      </w:pPr>
      <w:r>
        <w:rPr>
          <w:rFonts w:ascii="Amiri" w:hAnsi="Amiri" w:eastAsia="Amiri" w:cs="Amiri"/>
          <w:color w:val="111111"/>
          <w:sz w:val="28"/>
          <w:sz w:val="28"/>
          <w:szCs w:val="28"/>
          <w:rtl w:val="true"/>
          <w:lang w:bidi="ar-SA"/>
        </w:rPr>
        <w:t>فقد يقرّر وجه الامتناع فيه بلزوم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أعراض للمتعلّقات، وكلّ عرض متأخّر عن معروضه، وقصد الأمر والامتثال متأخّر عن الأمر برتبة، فأخذه في المتعلّقات موجب لتقدّم الشيء على نفسه برتبتين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يتوقّف على الموضوع، والموضوع يتوقّف على الأمر؛ لكون قصده متوقّفاً عليه، فيلزم الدور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موجب لتقدّم الشيء على نفسه في مرحلة الإنشاء والفعلية والامتثال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مرحلة الإنشاء؛ فلأنّ ما اُخذ في متعلّق التكليف في القضايا الحقيقية لا بدّ وأن يكون مفروض الوجود، سواء كان تحت قدرة المكلّف أو لا، فلو اُخذ </w:t>
      </w:r>
    </w:p>
    <w:p>
      <w:pPr>
        <w:pStyle w:val="BookText"/>
        <w:rPr/>
      </w:pPr>
      <w:r>
        <w:rPr>
          <w:rFonts w:ascii="Amiri" w:hAnsi="Amiri" w:eastAsia="Amiri" w:cs="Amiri"/>
          <w:color w:val="111111"/>
          <w:sz w:val="28"/>
          <w:sz w:val="28"/>
          <w:szCs w:val="28"/>
          <w:rtl w:val="true"/>
          <w:lang w:bidi="ar-SA"/>
        </w:rPr>
        <w:t>قصد الامتثال قيداً للمأمور به فلا محالة يكون الأمر مفروض الوجود في مقام الإنشاء، وهذا ما ذكرنا من لزوم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الامتناع في مقام الفعلية والامتثال فيرجع إلى المقام الثاني؛ أي الامتناع بالغير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الوجوه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فمضافاً إلى عدم كون الأحكام من قبيل أعراض</w:t>
      </w:r>
    </w:p>
    <w:p>
      <w:pPr>
        <w:pStyle w:val="BookText"/>
        <w:rPr/>
      </w:pPr>
      <w:r>
        <w:rPr>
          <w:rFonts w:ascii="Amiri" w:hAnsi="Amiri" w:eastAsia="Amiri" w:cs="Amiri"/>
          <w:color w:val="111111"/>
          <w:sz w:val="28"/>
          <w:sz w:val="28"/>
          <w:szCs w:val="28"/>
          <w:rtl w:val="true"/>
          <w:lang w:bidi="ar-SA"/>
        </w:rPr>
        <w:t>المتعلّقات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النفس فلأنّ الإرادة قائمة بالنفس قيام المعلول بعلّته ومضافة إلى المتعلّقات إضافة العلم إلى المعلوم بالذات، وأمّا في الخارج فلأنّ الأحكام اُمور اعتبارية لا خارج لها حتّى تكون قائمة بالموضوعات أو المتعلّقات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كونها من قبيل الأعراض لم تكن من الأعراض الخارجية؛ ضرورة أنّ الخارج ظرف سقوطها لا ثبوتها، ولا ضير في كونها أعراضاً ذهنية، سواء كانت من قبيل أعراض الوجود الذهني أو الماهية، فإنّ المتعلّقات بقيودها ممكنة التعقّل ولو كان تحقّق القيود متأخّراً عن الوجود الخارجي، فالأوامر متعلّقة بالمعقول الذهني من غير توجّه الآمر إلى ذلك، والمعقول بقيوده متقدّم على الأمر في الوجود الذهني، ولو كان في الوجود الخارجي على عكسه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كلّية القيود الخارجة عن ماهية المأمور به تحتاج في تقييدها بها إلى لحاظ مستأنف،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مع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للصلاة بلحاظ آخر، فعليه فلا إشكال في إمكان تقييدها بقصد الأمر والطاعة بلحاظ ثانٍ </w:t>
      </w:r>
    </w:p>
    <w:p>
      <w:pPr>
        <w:pStyle w:val="BookText"/>
        <w:rPr/>
      </w:pPr>
      <w:r>
        <w:rPr>
          <w:rFonts w:ascii="Amiri" w:hAnsi="Amiri" w:eastAsia="Amiri" w:cs="Amiri"/>
          <w:color w:val="111111"/>
          <w:sz w:val="28"/>
          <w:sz w:val="28"/>
          <w:szCs w:val="28"/>
          <w:rtl w:val="true"/>
          <w:lang w:bidi="ar-SA"/>
        </w:rPr>
        <w:t>مستأنف، ولا فرق في ذلك بين القيود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ما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توقّف الموضوع في الخارج على الأمر صحيح، لكن الأمر يتوقّف على الموضوع في الذهن لا الخارج، فيدفع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منع لزوم أخذ مطلق المتعلّقات ومتعلّقاتها مفروض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لزومه لم يلزم محذور؛ لأنّ أخذ الأمر مفروض الوجود فرضاً مطابقاً للواقع لا يلزم منه تقدّم الشيء على نفسه، بل يلزم منه فرض وجود الشيء قبل تحقّقه، وهذا أمر غير مستحيل، بل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أمره مفروض الوجود فرضاً مطابقاً للواقع؛ لأنّ معنى مطابقته له أن يكون متحقّقاً في محلّه، وهو كذلك، فكما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معنى فرض وجوده أنّه فرض تحقّق الوقت في محلّه، كذلك فيما نحن فيه أيضاً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 من حال تقييد المأمور به بالقيود الخارجة عن تقوّم الماهية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إن كان في عدم تعقّل تصوّر الشيء قبل وجوده فهو بمكان من الفساد؛ ضرورة أنّ كلّ فعل اختياري يكون تصوّره مقدّماً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إنشاء الأمر على الوجود المتصوّر فهو أيضاً كذلك؛ لأنّ الصورة الذهنية بقيودها متقدّمة على الأمر، فلا يلزم منه تقدّم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فرض وجود الشيء قبل وجوده، فهو أيضاً بمكان من الإمكان، فلا محذور من هذه الجهات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يقرّر وجه امتناعه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بذلك المقيّد موجب للجمع بين</w:t>
      </w:r>
    </w:p>
    <w:p>
      <w:pPr>
        <w:pStyle w:val="BookText"/>
        <w:rPr/>
      </w:pPr>
      <w:r>
        <w:rPr>
          <w:rFonts w:ascii="Amiri" w:hAnsi="Amiri" w:eastAsia="Amiri" w:cs="Amiri"/>
          <w:color w:val="111111"/>
          <w:sz w:val="28"/>
          <w:sz w:val="28"/>
          <w:szCs w:val="28"/>
          <w:rtl w:val="true"/>
          <w:lang w:bidi="ar-SA"/>
        </w:rPr>
        <w:t>اللحاظ الآلي والاستقلالي؛ لأنّ الموضوع بقيوده لا بدّ وأن يلحظ استقلالاً، والأمر بما أنّه طرف إضافة القيد المأخوذ في الموضوع لا بدّ من لحاظه أيضاً استقلالاً، وبما أنّه آلة البعث إلى المطلوب لا يلحظ إلاّ آلة إليه، فيجمع فيه بين اللحاظين المتنافيين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مع قيد قصد امتثال الأمر ملحوظ قبل الإنشاء، واستعمال الأمر آلة للبعث، فالاستعمال الآلي لا يجتمع مع اللحاظ الاستقلالي الذي لا بدّ منه قبل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الإنشاء فتقييد الموضوع يكون في الآن المتأخّر عن الاستعمال الإيجادي الآلي، فيلحظ ما هو آلة للبعث في الآن المتأخّر بنحو الاستقلال، كما في جميع القيود الواردة على المعاني الحرفية بل الاسمية أيضاً،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يوم الجمعة ظرفاً للكون الرابط الذي هو معنىً حرفي، وهو ملحوظ في الآن المتأخّر استقلالاً، مع أنّك قد عرفت في باب المعاني الحرفية أنّ تقييدها والإخبار عنها وبها لا يمكن استقلالاً، إلاّ أنّه يمكن</w:t>
      </w:r>
    </w:p>
    <w:p>
      <w:pPr>
        <w:pStyle w:val="BookText"/>
        <w:rPr/>
      </w:pPr>
      <w:r>
        <w:rPr>
          <w:rFonts w:ascii="IRNazanin" w:hAnsi="IRNazanin" w:eastAsia="IRNazanin"/>
          <w:color w:val="111111"/>
          <w:sz w:val="28"/>
          <w:sz w:val="28"/>
          <w:szCs w:val="28"/>
          <w:rtl w:val="true"/>
          <w:lang w:bidi="fa-IR"/>
        </w:rPr>
        <w:t>تبعاً، فراجع</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يقرّر</w:t>
      </w:r>
      <w:r>
        <w:rPr>
          <w:rStyle w:val="FootnoteAnchor"/>
          <w:rtl w:val="true"/>
        </w:rPr>
        <w:footnoteReference w:id="327"/>
      </w:r>
      <w:r>
        <w:rPr>
          <w:rFonts w:ascii="Amiri" w:hAnsi="Amiri" w:eastAsia="Amiri" w:cs="Amiri"/>
          <w:color w:val="111111"/>
          <w:sz w:val="28"/>
          <w:sz w:val="28"/>
          <w:szCs w:val="28"/>
          <w:rtl w:val="true"/>
          <w:lang w:bidi="ar-SA"/>
        </w:rPr>
        <w:t>وجه الامتناع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يلزم منه التهافت في اللحاظ والتناقض في العلم؛ لأنّ موضوع الحكم متقدّم عليه في اللحاظ، وقصد الأمر متأخّر عنه </w:t>
      </w:r>
      <w:bookmarkStart w:id="376" w:name="pg15283_146350"/>
    </w:p>
    <w:p>
      <w:pPr>
        <w:pStyle w:val="BookText"/>
        <w:rPr/>
      </w:pPr>
      <w:bookmarkEnd w:id="376"/>
      <w:r>
        <w:rPr>
          <w:rFonts w:ascii="Amiri" w:hAnsi="Amiri" w:eastAsia="Amiri" w:cs="Amiri"/>
          <w:color w:val="111111"/>
          <w:sz w:val="28"/>
          <w:sz w:val="28"/>
          <w:szCs w:val="28"/>
          <w:rtl w:val="true"/>
          <w:lang w:bidi="ar-SA"/>
        </w:rPr>
        <w:t>في اللحاظ، كما أنّه متأخّر عنه في الوجود، فيكون متأخّراً عن موضوع الأمر برتبتين، فإذا اُخذ جزءاً من موضوع الأمر أو قيداً فيه، لزم أن يكون الشيء الواحد في اللحاظ الواحد متقدّماً في اللحاظ ومتأخّراً فيه، وهذا سنخ معنىً في نفسه غير معقول وجداناً؛ إمّا للخلف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أطال القائل الكلام بإيراد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وأجوبتها،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غير الدور والتناقض في المعلوم والملحوظ، بل يرجع إلى لزوم التهافت والتناقض في اللحاظ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ذلك لا يرجع إلى محصّل فضلاً عن كونه إشكالاً؛ ضرورة أنّ نفس اللحاظ بما هو لا حكم له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بنفسه متهافت مع غيره، بل التهافت لو كان فلأجل الملحوظ، وليس في الملحوظ فيما نحن فيه حيثية توجب التهافت إلاّ تقييد الموضوع بما يأتي من قِبل الأمر، فيرجع الكلام إلى أنّ لحاظ الشيئين المترتّبين في الوجود في رتبة موجب للتهافت في اللحاظ والتناقض في العلم، وهذا بمكان من وضوح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تقرير الامتناع الذاتي</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4563341_2142443653"/>
      <w:bookmarkStart w:id="378" w:name="_Toc136"/>
      <w:bookmarkEnd w:id="377"/>
      <w:r>
        <w:rPr>
          <w:rtl w:val="true"/>
        </w:rPr>
        <w:t>فيما استدلّ به على امتناع الأخذ امتناعاً بالغير</w:t>
      </w:r>
      <w:bookmarkEnd w:id="378"/>
    </w:p>
    <w:p>
      <w:pPr>
        <w:pStyle w:val="BookText"/>
        <w:rPr/>
      </w:pPr>
      <w:r>
        <w:rPr>
          <w:rFonts w:ascii="Amiri" w:hAnsi="Amiri" w:eastAsia="Amiri" w:cs="Amiri"/>
          <w:color w:val="111111"/>
          <w:sz w:val="28"/>
          <w:sz w:val="28"/>
          <w:szCs w:val="28"/>
          <w:rtl w:val="true"/>
          <w:lang w:bidi="ar-SA"/>
        </w:rPr>
        <w:t>وأمّا الوجوه التي استدلّ بها للامتناع الغيري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فعلية الحكم الكذائي يلزم منها الدور؛ لأنّ فعلية الحكم تتوقّف على فعلية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متعلّقات 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أنّه ما لم تكن القبلة متحقّقة لا يمكن التكليف الفعلي باستقبالها، وفعلية الموضوع فيما نحن فيه تتوقّف على فعلية الحكم، فما لم يكن أمر فعلي لا يمكن قصده، فإذا كانت </w:t>
      </w:r>
    </w:p>
    <w:p>
      <w:pPr>
        <w:pStyle w:val="BookText"/>
        <w:rPr/>
      </w:pPr>
      <w:r>
        <w:rPr>
          <w:rFonts w:ascii="Amiri" w:hAnsi="Amiri" w:eastAsia="Amiri" w:cs="Amiri"/>
          <w:color w:val="111111"/>
          <w:sz w:val="28"/>
          <w:sz w:val="28"/>
          <w:szCs w:val="28"/>
          <w:rtl w:val="true"/>
          <w:lang w:bidi="ar-SA"/>
        </w:rPr>
        <w:t>فعلية الحكم ممتنعة يصير التكليف ممتنعاً بالغير؛ ضرورة أنّ التكليف إنّما هو بلحاظ صيرورته فعلياً ليعمل به المكلّف</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إنشاء التكليف على الموضوع المقيّد لا يتوقّف إلاّ على تصوّره، فإذا أنشأ التكليف كذلك يصير في الآن المتأخّر فعلياً؛ لأنّ فعليته تتوقّف على الأمر الحاصل بنفس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فعلية التكليف متأخّرة عن الإنشاء رتبةً، وفي رتبة الإنشاء يتحقّق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فعلية التكليف لا تتوقّف على فعلية الموضوع توقّف المعلول على علّته، بل لا بدّ في حال فعلية الحكم من فعلية الموضوع، ولو صار فعلياً بنفس فعلية الحكم؛ لأنّ الممتنع هو التكليف الفعلي بشيء لم يكن متحقّقاً بالفعل، وأمّا التكليف الفعلي بشيء يصير فعلياً بنفس فعلية التكليف، فلم يقم دليل على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الجواب عمّا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يتوقّف على قدرة المكلّف، وهي في المقام تتوقّف على الأمر؛ لأنّ الأمر يتوقّف على قدرة العبد في مقام الامتثال، وفي مقامه يكون الأمر متحقّقاً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امتثال الأمر الكذائي محال، فالتكليف محال لأجله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لا يدعو إلاّ إلى متعلّقه، والمتعلّق هاهنا هو الشيء المقيّد بقصد الأمر، فنفس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مأموراً بها حتّى يقصد </w:t>
      </w:r>
    </w:p>
    <w:p>
      <w:pPr>
        <w:pStyle w:val="BookText"/>
        <w:rPr/>
      </w:pPr>
      <w:r>
        <w:rPr>
          <w:rFonts w:ascii="Amiri" w:hAnsi="Amiri" w:eastAsia="Amiri" w:cs="Amiri"/>
          <w:color w:val="111111"/>
          <w:sz w:val="28"/>
          <w:sz w:val="28"/>
          <w:szCs w:val="28"/>
          <w:rtl w:val="true"/>
          <w:lang w:bidi="ar-SA"/>
        </w:rPr>
        <w:t>المأمور امتثال أمرها، والدعوة إلى امتثال المقيّد محال؛ للزوم كون الأمر داعياً إلى داعوية نفسه ومحرّكاً لمحرّكية نفسه، وهو تقدّم الشيء على نفسه برتبتين، وعلّية الشيء لعلّة نفسه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عرفت أنّ تصوّر هذا الموضوع المقيّد قبل تحقّقه بمكان من الإمكان، وإنشاء الأمر وإيقاعه عليه كذلك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الصادرة من الموالي ليس لها شأن إلاّ إيقاع البعث وإنشاءه، وليس معنى محرّكية الأمر وباعثيته إلاّ المحرّكية الإيقاعية والإنشائية، من غير أن يكون له تأثير في بعث المكلّف تكويناً، فما يكون محرّكاً له هو إرادته الناشئة عن إدراك لزوم إطاعة المولى، الناشئ من الخوف أو الطمع أو شكر نعمائه أو المعرفة بمقامه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فالأمر محقّق موضوع الطاعة لا المحرّك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من كون الأمر محرّكاً إلى محرّكية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على هذا الأمر المقيّد موجب لذلك، فهو ممنوع؛ ضرورة جواز الإيقاع عليه، كما اعترف به المستشكل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يكون الأمر المحرّك للمكلّف تكويناً محرّكاً إلى محرّكية نفسه كذلك، فهو ممنوع أيضاً؛ لأنّ الأمر لا يكون محرّكاً أصلاً، بل ليس له شأن إلاّ إنشاء البعث على موضوع خاصّ، فإن كان العبد مطيعاً للمولى لحصول أحد المبادئ المتقدّمة في نفسه، ورأى أنّ إطاعته لا تتحقّق إلاّ بإتيان الصلاة المتقيّدة، فلا محالة يأتي بها كذلك، وهو أمر 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حديث عدم أمر للصلاة حتّى يقصد امتثاله، فجوابه يظهر بعد العلم بكيفية دعوة الأمر إلى المتعلّقات المركّبة أو المقيّدة،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أنّ المركّبات المتعلّقة للأوامر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 وحدانية ولو في الاعتبار، ولها أمر واحد من غير أن ينحلّ إلى أوامر عديدة، لا في الموضوعات المركّبة ولا في المقيّدة، فلا فرق بينهما وبين الموضوعات البسيطة في ناحية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بعث وحداني سواء تعلّق بالمركّب أو البسيط، فلا ينحلّ الأمر إلى أوامر، ولا الإرادة إلى إرادات كثيرة، فالانحلال في ناحية الموضوع، لكن الموضوع المركّب لمّا كان تحقّقه بإيجاد الأجزاء، يكون الإتيان بكلّ جزء جزء بعين الدعوة إلى الكلّ، والأجزاء مبعوث إليها بعين البعث إلى المركّب، فكلّ جزء يأتي به المكلّف امتثال للأمر المتعلّق بالمركّب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وشرع في بنائه، لا يكون المأمور به إلاّ واحداً، والامتثال كذلك، لكن كيفية امتثاله بإيجاد أجزائه، فلا تكون الأجزاء غير مدعوّ إليها رأساً، ولا مدعوّاً إليها بدعوة خاصّة بها؛ بحيث تكون الدعوة منحلّة إلى الدعوات، بل ما يكون مطابقاً للبرهان والوجدان أنّها مدعوّ إليها بعين دعوة المركّب، فالأمر واحد والمتعلّق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المتقيّدة بقصد الامتثال متعلّقة للأمر، فنفس الصلاة المأتيّ بها إنّما تكون مدعوّاً إليها بعين دعوة الأمر المتعلّق بالمقيّد، لا بأمر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متعلّق بنفسها، وهذا كافٍ في تحقّق الإطاعة، فإذا علم العبد أنّ الأمر متعلّق </w:t>
      </w:r>
      <w:bookmarkStart w:id="379" w:name="pg15283_146354"/>
    </w:p>
    <w:p>
      <w:pPr>
        <w:pStyle w:val="BookText"/>
        <w:rPr/>
      </w:pPr>
      <w:bookmarkEnd w:id="379"/>
      <w:r>
        <w:rPr>
          <w:rFonts w:ascii="Amiri" w:hAnsi="Amiri" w:eastAsia="Amiri" w:cs="Amiri"/>
          <w:color w:val="111111"/>
          <w:sz w:val="28"/>
          <w:sz w:val="28"/>
          <w:szCs w:val="28"/>
          <w:rtl w:val="true"/>
          <w:lang w:bidi="ar-SA"/>
        </w:rPr>
        <w:t>بالصلاة بداعي امتثال أمرها، ويرى أنّ الإتيان بها بداعوية ذلك الأمر موجب لتحقّق المأمور به بجميع قيوده، فلا محالة يأتي بها كذلك، ويكون ممتثلاً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المقدّمة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لو كان محرّكاً وباعثاً وداعياً بحسب الواقع والتكوين، لا يكون تعلّقه بالموضوع الكذائي ممتنعاً؛ لأنّ محرّكيته إلى نفس الصلاة غير ممتنعة، وإلى قيدها وإن كانت ممتنعة لكن لا يحرّك إليه، ولا يحتاج إلى التحريك إليه؛ لأنّ التحريك إلى نفس الصلاة بداعي امتثال الأمر المتعلّق بالمركّب يكفي في تحقّق المتعلّق، بل التحريك إلى القيد لغو بعد ما يكون حاصلاً، بل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النظر في كلام بعض محقّقي العصر في مقام الجواب؛ من دعوى انحلال الأمر إلى أوامر بعضها موضوع لبعض</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0" w:name="__RefHeading___Toc4563343_2142443653"/>
      <w:bookmarkStart w:id="381" w:name="_Toc137"/>
      <w:bookmarkEnd w:id="380"/>
      <w:r>
        <w:rPr>
          <w:rtl w:val="true"/>
        </w:rPr>
        <w:t>في تصحيح أخذ قصد الأمر بأمرين</w:t>
      </w:r>
      <w:bookmarkEnd w:id="381"/>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على فرض امتناع تعلّق الأمر بموضوع كذائي، هل يمكن تصحيحه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أحدهما بنفس الطبيعة، والآخر بإتيانها بداعي الأمر بها؟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استشكل المحقّق الخراساني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القطع بأ نّه ليس في العبادات إلاّ أمر واحد كغيرها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الأوّل إن يسقط بمجرّد موافقته ولو </w:t>
      </w:r>
    </w:p>
    <w:p>
      <w:pPr>
        <w:pStyle w:val="BookText"/>
        <w:rPr/>
      </w:pPr>
      <w:r>
        <w:rPr>
          <w:rFonts w:ascii="Amiri" w:hAnsi="Amiri" w:eastAsia="Amiri" w:cs="Amiri"/>
          <w:color w:val="111111"/>
          <w:sz w:val="28"/>
          <w:sz w:val="28"/>
          <w:szCs w:val="28"/>
          <w:rtl w:val="true"/>
          <w:lang w:bidi="ar-SA"/>
        </w:rPr>
        <w:t>لم يقصد الامتثال، فلا يبقى مجال لموافقة الثاني مع موافقة الأوّل، فلا يتوسّل الآمر إلى غرضه بهذه الوسيلة، وإن لم يسقط فلا يكون إلاّ لعدم حصول الغرض، ومعه لا يحتاج إلى الثاني؛ لاستقلال العقل بوجوب الموافقة بما يحصل به الغرض</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القطع بعدم الأمرين بهذا النحو ممنوعة، بل لولا محذور عقلي يكون مدّعي القطع بخلافه غير مجازف؛ ضرورة أنّ ألفاظ العبادات موضوعة لمعنىً غير مقيّد بشرائط آتية من قِبل الأمر، كما مرّ في الصحيح والأعمّ</w:t>
      </w:r>
      <w:r>
        <w:rPr>
          <w:rStyle w:val="FootnoteAnchor"/>
          <w:rtl w:val="true"/>
        </w:rPr>
        <w:footnoteReference w:id="333"/>
      </w:r>
      <w:r>
        <w:rPr>
          <w:rFonts w:ascii="Amiri" w:hAnsi="Amiri" w:eastAsia="Amiri" w:cs="Amiri"/>
          <w:color w:val="111111"/>
          <w:sz w:val="28"/>
          <w:sz w:val="28"/>
          <w:szCs w:val="28"/>
          <w:rtl w:val="true"/>
          <w:lang w:bidi="ar-SA"/>
        </w:rPr>
        <w:t>، فحينئذٍ لا تكفي الأوامر المتعلّقة بنفس الطبائع لإفادة مثل هذا القيد ولو قلنا بجواز أخذه في المتعلّق، فلا بدّ للمولى لإفادته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بيان متّصل لو جاز، والمفروض عدم الجواز، بل مع جوازه ليس منه في الأوامر المتعلّقة بالطبائع عين ولا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من بيان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قام الإجماع بل الضرورة على لزوم قصد التقرّب أو الأمر أو نحو ذلك في العبادات، وهو يكشف عن أمر آخر لولا المحذور، ومعه لا بدّ من التشبّث بشيء آخر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القطع بأنّ الأمر الأوّل لا يسقط بمجرّد الإتيان؛ لقيام الإجماع والضرورة على عدم صحّة العبادات بلا قصد أمر أو تقرّب أو نحو ذلك، وصحّتها مع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الإجماع وتلك الضرورة كاشفان عن تقيّد الطبائع بمثل هذا </w:t>
      </w:r>
    </w:p>
    <w:p>
      <w:pPr>
        <w:pStyle w:val="BookText"/>
        <w:rPr/>
      </w:pPr>
      <w:r>
        <w:rPr>
          <w:rFonts w:ascii="Amiri" w:hAnsi="Amiri" w:eastAsia="Amiri" w:cs="Amiri"/>
          <w:color w:val="111111"/>
          <w:sz w:val="28"/>
          <w:sz w:val="28"/>
          <w:szCs w:val="28"/>
          <w:rtl w:val="true"/>
          <w:lang w:bidi="ar-SA"/>
        </w:rPr>
        <w:t>القيد، ومع فرض عدم إمكان الأخذ في موضوع الأمر المتعلّق بها يعلم أنّ ذلك كان بأمر آخر وبيان مستقلّ، ولولا هذا الإجماع والضرورة لكنّا شاكّين في اعتبار مثل قصد الامتثال، ومعه كان على المولى بيان ما هو دخيل في غرضه وموضوع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يستقلّ بالاشتغال، ومعه لامجال لأمر 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جريان البراءة في المورد كما سيأتي بيانه</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بالاشتغال لم يكن ضرورياً؛ وإلاّ لما اختلفت فيه الأنظار والآراء، ومعه يبقى للمولى مجال التعبّد والمولوية ولو لردع القائلين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لا يتوسّل لغرضه بهذه الوسيلة، مدفوع بأنّ ترك الأمر الثاني ولو برفع موضوعه موجب للعقوبة، فيحكم العقل بلزوم إطاعته، وليس للمولى وسيلة للتوصّل إلى أغراضه إلاّ الأمر والإيعاد بالعقاب على تركه،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 الطبيعة مع قيد قصد الامتثال قامت بها المصلحة، وكان المقيّد بما هو مقيّد محصّل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تتعلّق الإرادة بالمجرّد عن القيد ثبوتاً ولا البعث الحقيقي إليه، فلا يمكن أن يكون الأمر المتعلّق بنفس الطبيعة الخالية عن القيد صالحاً للباعثية، ومعه كيف يمكن الأمر بإتيانها بباعثية الأمر وداعويته؟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أن يكون باعثاً كيف يمكن الأمر بباعثيته؟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والمفروض أنّ المجرّد عن القيد لم تقم به المصلحة، ولا يسقط به الغرض، فلا تتعلّق به الإرادة، ولا يتعلّق به البعث الحقيقي، فلا يمكن أن يأمر المولى بإتيانه بداعي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 لو فرض جواز تعلّق الأمر به، لم يكن قصد الأمر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يترتّب عليه غرض، ولا يكون متعلّقه ذا مصلحة وحسن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مقرّباً، فقصده مع عدمه سواء، فلا يصل المولى إلى مطلوبه بهذه الوسيلة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الممتنع هو تعلّق الإرادة والبعث بالمجرّد عن القيد مع الاكتفاء به، وأمّا مع إرادة إفهام القيد بدليل آخر فلا، فكما يجوز للآمر الذي تعلّق غرضه بإتيان مركّب أو مقيّد أن يأمر بهما، يجوز له أن يأمر بالأجزاء واحداً بعد واحد مع إفهام أنّ الغرض متعلّق بالمركّب، وأن يأمر بالخالي عن القيد ويأمر بالقيد مستقلاًّ، وهذا ممّا لا محذور فيه، لا سيّما في المقام الذي لا يمكن غير ذلك فرضاً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مقرّبية قصد الأمر المتعلّق بالمجرّد عن القيد، فهو أيضاً ممنوع فيما نحن فيه؛ ضرورة أنّ تمام المحصّل للغرض هو الصلاة مع قصد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الأجزاء والقيود التي لم تكن بتلك المثابة لا يمكن قصد أمرها فقط، ولا يكون قصده مقرّباً، لا في مثل المقام الذي يكون قصد الأمر قيداً متمّماً للغرض</w:t>
      </w:r>
      <w:r>
        <w:rPr>
          <w:rFonts w:eastAsia="Amiri" w:cs="Amiri" w:ascii="Amiri" w:hAnsi="Amiri"/>
          <w:color w:val="111111"/>
          <w:sz w:val="28"/>
          <w:szCs w:val="28"/>
          <w:rtl w:val="true"/>
          <w:lang w:bidi="ar-SA"/>
        </w:rPr>
        <w:t xml:space="preserve">. </w:t>
      </w:r>
      <w:bookmarkStart w:id="382" w:name="pg15283_146358"/>
    </w:p>
    <w:p>
      <w:pPr>
        <w:pStyle w:val="Heading6"/>
        <w:numPr>
          <w:ilvl w:val="5"/>
          <w:numId w:val="1"/>
        </w:numPr>
        <w:rPr/>
      </w:pPr>
      <w:bookmarkStart w:id="383" w:name="__RefHeading___Toc4563345_2142443653"/>
      <w:bookmarkStart w:id="384" w:name="_Toc138"/>
      <w:bookmarkEnd w:id="382"/>
      <w:bookmarkEnd w:id="383"/>
      <w:r>
        <w:rPr>
          <w:rtl w:val="true"/>
        </w:rPr>
        <w:t>تتميم</w:t>
      </w:r>
      <w:r>
        <w:rPr>
          <w:rtl w:val="true"/>
        </w:rPr>
        <w:t xml:space="preserve">: </w:t>
      </w:r>
      <w:r>
        <w:rPr>
          <w:rtl w:val="true"/>
        </w:rPr>
        <w:t>في إمكان أخذ قصد المصلحة ونحوها في المتعلّق</w:t>
      </w:r>
      <w:bookmarkEnd w:id="384"/>
    </w:p>
    <w:p>
      <w:pPr>
        <w:pStyle w:val="BookText"/>
        <w:rPr/>
      </w:pPr>
      <w:r>
        <w:rPr>
          <w:rFonts w:ascii="Amiri" w:hAnsi="Amiri" w:eastAsia="Amiri" w:cs="Amiri"/>
          <w:color w:val="111111"/>
          <w:sz w:val="28"/>
          <w:sz w:val="28"/>
          <w:szCs w:val="28"/>
          <w:rtl w:val="true"/>
          <w:lang w:bidi="ar-SA"/>
        </w:rPr>
        <w:t>هذا كلّه لو قلنا بأنّ المعتبر في العبادات هو قصد الأمر، وأمّا لو قلنا بأنّ المعتبر فيها هو إتيان الفعل بداعي المصلحة أو الحسن أو المحبوبية، فقد ذهب المحقّق الخراساني إلى أنّ أخذها بمكان من الإمكان، لكنّها غير مأخوذة قطعاً؛ لكفاية الاقتصار على قصد الامتثال</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فيه أيضاً نظير بعض الإشكالات المتقدّمة؛ فإنّ داعوية المصلحة مثلاً لمّا كانت مأخوذة في المأمور به، تصير الداعوية متوقّفة على نفسها، وداعية إلى داعوية نفسها؛ لأنّ الفعل لا يكون بنفسه ذا مصلحة حتّى يكون بنفسه داعياً إلى الإتيان، بل بقيد داعويتها، فلا بدّ أن يكون الفعل مع هذا القيد القائم بهما المصلحة داعياً إلى الإتيان</w:t>
      </w:r>
      <w:r>
        <w:rPr>
          <w:rStyle w:val="FootnoteAnchor"/>
          <w:rtl w:val="true"/>
        </w:rPr>
        <w:footnoteReference w:id="337"/>
      </w:r>
      <w:r>
        <w:rPr>
          <w:rFonts w:ascii="Amiri" w:hAnsi="Amiri" w:eastAsia="Amiri" w:cs="Amiri"/>
          <w:color w:val="111111"/>
          <w:sz w:val="28"/>
          <w:sz w:val="28"/>
          <w:szCs w:val="28"/>
          <w:rtl w:val="true"/>
          <w:lang w:bidi="ar-SA"/>
        </w:rPr>
        <w:t>، وهذا عين الإشكال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لمّا كانت المصلحة قائمة بالمقيّد يكون الفعل غير ذي المصلحة، فلا يمكن قصدها إلاّ على وجه دائر؛ لأنّ قصد المصلحة يتوقّف عليها، وهي تتوقّف على قصدها فرضاً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أنّ الداعي مطلقاً في سلسلة علل الإرادة التكوينية، فلو اُخذ في العمل الذي في سلسلة المعاليل لزم أن يكون الشيء علّة لعلّة نفسه، فإذا امتنع تعلّق الإرادة التكوينية امتنع تعلّق التشريعية؛ لأ نّها فرع إمكان الاُولى</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ببعض ما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قصد الأمر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للصلاة مصلحة بنحو الجزء الموضوعي، ولمّا رأى المكلّف أنّ قصدها متمّم للمصلحة فلا محالة يصير داعياً إلى إتيانها بداعي المصلحة، من غير لزوم كون الداعي 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يجاب عن الإشكال الثاني ويقطع الدور؛ فإنّ قصد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عليها، وهي لا تتوقّف على القصد، ولمّا رأى المكلّف أنّ هذا القصد موجب لتمامية الموضوع وحصول الغرض، فلا محالة يدعوه ذلك إلى القصد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يمكن قصد تلك المصلحة مجرّدة ومنفكّة عن الجزء المتمّم، وفيما نحن فيه لا يمكن التفكيك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الجواب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فبمثل ما سبق</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الداعي والمحرّك إلى إتيان المأمور به بعض المبادئ الموجودة في نفس المكلّف، كالحبّ والخوف والطمع، وتصير هذه المبادئ داعية إلى إطاعة المولى بأيّ نحو أمر وشاء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أمر بإتيان الصلاة بداعي المصلحة تصير تلك المبادئ المتقدّمة داعية إلى إتيانها بداعي المصلحة، من غير لزوم تأثير الشيء في علّته، ألا ترى أنّك إذا أحببت شخصاً حبّاً شديداً، فأمرك بإتيان شيء مبغوض أن تأتي به لأجله، صارت تلك المحبّة داعية إلى إتيانه بداعي إطاعته وطلباً لمرضاته من غير لزوم الدور</w:t>
      </w:r>
      <w:r>
        <w:rPr>
          <w:rFonts w:eastAsia="Amiri" w:cs="Amiri" w:ascii="Amiri" w:hAnsi="Amiri"/>
          <w:color w:val="111111"/>
          <w:sz w:val="28"/>
          <w:szCs w:val="28"/>
          <w:rtl w:val="true"/>
          <w:lang w:bidi="ar-SA"/>
        </w:rPr>
        <w:t xml:space="preserve">. </w:t>
      </w:r>
      <w:bookmarkStart w:id="385" w:name="pg15283_146360"/>
    </w:p>
    <w:p>
      <w:pPr>
        <w:pStyle w:val="Heading5"/>
        <w:numPr>
          <w:ilvl w:val="4"/>
          <w:numId w:val="1"/>
        </w:numPr>
        <w:rPr/>
      </w:pPr>
      <w:bookmarkStart w:id="386" w:name="__RefHeading___Toc4563347_2142443653"/>
      <w:bookmarkStart w:id="387" w:name="_Toc139"/>
      <w:bookmarkEnd w:id="385"/>
      <w:bookmarkEnd w:id="386"/>
      <w:r>
        <w:rPr>
          <w:rtl w:val="true"/>
        </w:rPr>
        <w:t>الثالث</w:t>
      </w:r>
      <w:r>
        <w:rPr>
          <w:rtl w:val="true"/>
        </w:rPr>
        <w:t xml:space="preserve">: </w:t>
      </w:r>
      <w:r>
        <w:rPr>
          <w:rtl w:val="true"/>
        </w:rPr>
        <w:t>في مقتضى الأصل اللفظي في المقام</w:t>
      </w:r>
      <w:bookmarkEnd w:id="387"/>
    </w:p>
    <w:p>
      <w:pPr>
        <w:pStyle w:val="Heading6"/>
        <w:numPr>
          <w:ilvl w:val="5"/>
          <w:numId w:val="1"/>
        </w:numPr>
        <w:rPr/>
      </w:pPr>
      <w:bookmarkStart w:id="388" w:name="__RefHeading___Toc4563349_2142443653"/>
      <w:bookmarkStart w:id="389" w:name="_Toc140"/>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بعد ما عرفت جواز أخذ جميع القيود في المأمور به، يرفع الشكّ فيها بإطلاق الدليل، ومقتضاه كون الأصل هو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التمسّك بالإطلاق هاهنا؛ لأنّ دعوة الأمر إلى متعلّقه من شؤونه ولوازمه التي لا تنفكّ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متعلّقه؛ لأنّ الداعي إلى الأمر بالشيء هو جعل الداعي إلى الإتيان به، فمتعلّق الأمر هو طبيعة الفعل التي جعل المولى داعياً للعبد إلى الإتيان بها، لا مطلق طبيعته، ومعه كيف يتصوّر إمكان الإطلاق في متعلّق الأمر ليتمسّك بإطلاق الخطاب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دعوة الأمر لا تنفكّ عن الأمر ولا عن متعلّقه، كان الأمر توصّلياً أو تعبّدياً، لكن الكلام في أنّ هذه الدعوة هل تعلّقت بذات العمل، أو مع قيد الدعوة؛ حتّى يكون القيد مأخوذاً في المتعلّق قبل تعلّق الدعوة، لا جائياً من قِبلها ومنتزعاً من المتعلّق بعد تعلّقها به؛ ضرورة أنّ ما جاء من قِبلها لا يكون مدعوّاً إليه ولا العبد مأخوذاً بإتيانه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البعث تعلّق بنفس الطبيعة بلا قيد، وهذا معنى الإطلاق المقابل للتقييد في المتعلّق، وأمّا القيد الجائي من قِبل البعث فلا يكون مقابلاً للإطلاق فيه، وهذا واضح جدّاً</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4563351_2142443653"/>
      <w:bookmarkStart w:id="391" w:name="_Toc141"/>
      <w:bookmarkEnd w:id="390"/>
      <w:r>
        <w:rPr>
          <w:rtl w:val="true"/>
        </w:rPr>
        <w:t>في كلام شيخنا العلاّمة أعلى الله مقامه</w:t>
      </w:r>
      <w:bookmarkEnd w:id="39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شيخنا العلاّمة رحمه الله علیه  قد رجع في أواخر عمره الشريف إلى أصالة التعبّدية،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العلل التشريعية كالعلل التكوينية طابق النعل بالنعل، فكلّ ما </w:t>
      </w:r>
    </w:p>
    <w:p>
      <w:pPr>
        <w:pStyle w:val="BookText"/>
        <w:rPr/>
      </w:pPr>
      <w:r>
        <w:rPr>
          <w:rFonts w:ascii="Amiri" w:hAnsi="Amiri" w:eastAsia="Amiri" w:cs="Amiri"/>
          <w:color w:val="111111"/>
          <w:sz w:val="28"/>
          <w:sz w:val="28"/>
          <w:szCs w:val="28"/>
          <w:rtl w:val="true"/>
          <w:lang w:bidi="ar-SA"/>
        </w:rPr>
        <w:t>هو من مقتضيات الاُولى يكون من مقتضيات الثانية، كتكثّر المعلول بتكثّر العلّة، وكعدم انفكاك المعلول عنها،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القيود اللبّية ما يمكن أن يؤخذ في المأمور به على نحو القيدية اللحاظية كالإيمان والكفر في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لا يمكن، كقيد الإيصال في المقدّمة على تقدير وجوبها؛ فإنّ المطلقة غير واجبة، والمقيّدة غير ممكنة الوجوب، فالواجب ما ليس بمطلق ولا مقيّد وإن لا ينطبق إلاّ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وكالعلل التكوينية؛ فإنّ تأثيرها ليس في الماهية المطلقة ولا المقيّدة بقيد المتأ ثّرة من قِبلها، فإنّه ممتنع، بل يكون في الماهية التي لا تنطبق إلاّ على المقيّد</w:t>
      </w:r>
    </w:p>
    <w:p>
      <w:pPr>
        <w:pStyle w:val="BookText"/>
        <w:rPr/>
      </w:pPr>
      <w:r>
        <w:rPr>
          <w:rFonts w:ascii="Amiri" w:hAnsi="Amiri" w:eastAsia="Amiri" w:cs="Amiri"/>
          <w:color w:val="111111"/>
          <w:sz w:val="28"/>
          <w:sz w:val="28"/>
          <w:szCs w:val="28"/>
          <w:rtl w:val="true"/>
          <w:lang w:bidi="ar-SA"/>
        </w:rPr>
        <w:t>بهذا القيد، فالنار إنّما تؤثّر في الطبيعة المحترقة من قِبلها واقعاً، لا المطلقة ولا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العلل التشريعية، فإنّ الأوامر تحرّك المكلّف نحو الطبيعة التي لا تنطبق إلاّ على المتقيّدة لبّاً بتحريكها إيّاه نحوها، لا نحو المطلقة ولا المقيّدة بالتقييد</w:t>
      </w:r>
    </w:p>
    <w:p>
      <w:pPr>
        <w:pStyle w:val="BookText"/>
        <w:rPr/>
      </w:pPr>
      <w:r>
        <w:rPr>
          <w:rFonts w:ascii="IRNazanin" w:hAnsi="IRNazanin" w:eastAsia="IRNazanin"/>
          <w:color w:val="111111"/>
          <w:sz w:val="28"/>
          <w:sz w:val="28"/>
          <w:szCs w:val="28"/>
          <w:rtl w:val="true"/>
          <w:lang w:bidi="fa-IR"/>
        </w:rPr>
        <w:t>اللحاظي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أتى المكلّف بالطبيعة من غير داعوية الأمر، لا يكون آتياً بالمأمور به؛ لأنّ المأمور به هو ما لا ينطبق إلاّ على المقيّد بداعوية الأمر وباعثيته وإن كان آتياً بالطبيعة؛ لأ نّها قابلة للتكثّر، فعليه يكون مقتضى الأصل اللفظي هو التعبّدية، انتهى ملخّص ما أفاد رحمه الله علیه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علل التشريع بالتكوين مع الفارق؛ لأنّ المعلول في </w:t>
      </w:r>
    </w:p>
    <w:p>
      <w:pPr>
        <w:pStyle w:val="BookText"/>
        <w:rPr/>
      </w:pPr>
      <w:r>
        <w:rPr>
          <w:rFonts w:ascii="Amiri" w:hAnsi="Amiri" w:eastAsia="Amiri" w:cs="Amiri"/>
          <w:color w:val="111111"/>
          <w:sz w:val="28"/>
          <w:sz w:val="28"/>
          <w:szCs w:val="28"/>
          <w:rtl w:val="true"/>
          <w:lang w:bidi="ar-SA"/>
        </w:rPr>
        <w:t>العلل التكوينية لا شيئية له ولا تشخّص قبل تأثير علّته، فبعلّته يصير موجوداً متشخّصاً، وأمّا المبعوث إليه في الأوامر فتكون رتبته مقدّمة على الأمر، فلا بدّ للآمر من تصوّر المتعلّق بكلّية قيوده حتّى يأمر به، فإذا أمر بنفس الطبيعة بلا قيد</w:t>
      </w:r>
    </w:p>
    <w:p>
      <w:pPr>
        <w:pStyle w:val="BookText"/>
        <w:rPr/>
      </w:pPr>
      <w:r>
        <w:rPr>
          <w:rFonts w:ascii="Amiri" w:hAnsi="Amiri" w:eastAsia="Amiri" w:cs="Amiri"/>
          <w:color w:val="111111"/>
          <w:sz w:val="28"/>
          <w:sz w:val="28"/>
          <w:szCs w:val="28"/>
          <w:rtl w:val="true"/>
          <w:lang w:bidi="ar-SA"/>
        </w:rPr>
        <w:t>تكون هي المأمور بها لا غير، والقيود المنتزعة من تعلّق الأمر بها لا تكون مأموراً بها ومبعوثاً إليها، إلاّ أن تؤخذ في المتعلّق، كسائر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التعبّدي بعد اشتراكه مع التوصّلي في أنّ كلّ واحد منهما إذا تعلّق بشيء ينتزع منه بلحاظه عنوان المأمور به والمبعوث إليه، يفترق عنه بأنّ المطلوب منه والمبعوث إليه فيه لم يكن الطبيعة، بل هي مع قصد الأمر أو التقرّب أو نحوهما، فلا بدّ أن يكون مثل تلك القيود مورداً للبعث والتحريك، ولا يكون كذلك إلاّ بأخذه في المتعلّق، وإلاّ فصرف الأمر بالطبيعة لا يمكن أن يكون محرّكاً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تسليم كون التشريع كالتكوين لا يلزم منه ما ذكره؛ لأنّ النار المحرقة للقطن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تحرق نفس الطبيعة، لا ما لاينطبق إلاّ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بتعلّق الإحراق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الطبيعة موصوفة بوصف لا يمكن أن تنطبق إلاّ على المقيّد، لكن هذا القيد والوصف بعد الإحراق رتبةً وبعلّيته، ولا يمكن أن يصير موجباً لضيق الطبيعة المتعلّقة للإحراق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من عدم صحّة قياس علل التشريع بالتكوين، يظهر حال بقيّة استنتاجاته منه، كاستفادة الفورية من الأمر، وعدم تداخل الأسباب، كما حقّقنا في محلّه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92" w:name="pg15283_146363"/>
    </w:p>
    <w:p>
      <w:pPr>
        <w:pStyle w:val="Heading5"/>
        <w:numPr>
          <w:ilvl w:val="4"/>
          <w:numId w:val="1"/>
        </w:numPr>
        <w:rPr/>
      </w:pPr>
      <w:bookmarkStart w:id="393" w:name="__RefHeading___Toc4563353_2142443653"/>
      <w:bookmarkStart w:id="394" w:name="_Toc142"/>
      <w:bookmarkEnd w:id="392"/>
      <w:bookmarkEnd w:id="393"/>
      <w:r>
        <w:rPr>
          <w:rtl w:val="true"/>
        </w:rPr>
        <w:t>الرابع</w:t>
      </w:r>
      <w:r>
        <w:rPr>
          <w:rtl w:val="true"/>
        </w:rPr>
        <w:t xml:space="preserve">: </w:t>
      </w:r>
      <w:r>
        <w:rPr>
          <w:rtl w:val="true"/>
        </w:rPr>
        <w:t>في تحرير الأصل العملي</w:t>
      </w:r>
      <w:bookmarkEnd w:id="394"/>
    </w:p>
    <w:p>
      <w:pPr>
        <w:pStyle w:val="BookText"/>
        <w:rPr/>
      </w:pPr>
      <w:r>
        <w:rPr>
          <w:rFonts w:ascii="Amiri" w:hAnsi="Amiri" w:eastAsia="Amiri" w:cs="Amiri"/>
          <w:color w:val="111111"/>
          <w:sz w:val="28"/>
          <w:sz w:val="28"/>
          <w:szCs w:val="28"/>
          <w:rtl w:val="true"/>
          <w:lang w:bidi="ar-SA"/>
        </w:rPr>
        <w:t>لا إشكال في جريان البراءة في المقام بناءً على جريانها في الأقلّ والأكثر مع جواز أخذ القيود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امتناعه فقد يفرّق بينهما بأنّ هناك رجع الشكّ إلى مقام الثبوت؛ للشكّ في تعلّق الأمر بالأكثر، وفي المقام إلى مقام السقوط، للعلم بتعلّقه بالمجرّد عن القيد، وإنّما الشكّ في سقوطه مع الإتيان بلا قصد الأمر أو نحوه؛ لأنّ الشكّ في الخروج عن عهدة التكليف</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تحصيل الغرض مبدأ للأمر، فإذا علم أصل الغرض وشكّ في حصوله للشكّ في كون المأتيّ به مسقطاً أو مع قيد التعبّدية، فلا محالة يجب القطع بتحصيل الغرض بإتيان جميع ما له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تحصيله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الاشتغال في الأقلّ والأكثر، لا الفارق بينه وبين المقام؛ لأنّ القائل بالاشتغال هناك يدّعي أنّ الأمر بالأقلّ معلوم ونشكّ في سقوطه لأجل ارتباطية الأجزاء</w:t>
      </w:r>
      <w:r>
        <w:rPr>
          <w:rStyle w:val="FootnoteAnchor"/>
          <w:rtl w:val="true"/>
        </w:rPr>
        <w:footnoteReference w:id="346"/>
      </w:r>
      <w:r>
        <w:rPr>
          <w:rFonts w:ascii="Amiri" w:hAnsi="Amiri" w:eastAsia="Amiri" w:cs="Amiri"/>
          <w:color w:val="111111"/>
          <w:sz w:val="28"/>
          <w:sz w:val="28"/>
          <w:szCs w:val="28"/>
          <w:rtl w:val="true"/>
          <w:lang w:bidi="ar-SA"/>
        </w:rPr>
        <w:t>، أو أنّ الغرض المستكشف من الأمر معلوم ونشكّ في سقوطه بإتيان الأقلّ، فيجب الإتيان بكلّ ما احتمل دخله في الغرض</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مع أنّ الدليل غير تامّ؛ فإنّا لا نفهم من سقوط الأمر شيئاً إلاّ الإتيان بمفاده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حجّة على العبد فيما يبعثه إليه، ولا يعقل أن يكون حجّة على الزائد على المبعوث إليه، فمع الإتيان بجميع قيوده المأخوذة فيه لا يعقل بقاؤه على صفة الحجّية والدعوة، ويكون العقاب على غير المأمور به وما قام عليه الحجّة عقاباً بلا بيان وقبيحاً عند العقلاء، ومجرّد احتمال الغرض لا يصير حجّة على الواقع الغير المبعوث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مجرّد عدم إمكان تقييد المأمور به لا يوجب عدم إمكان البيان مستقلاًّ، فلو توقّف حصول غرض المولى على أمر وراء المأمور به فعليه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يفرض الكلام فيما إذا جاز تقييد المأمور به بالقيود الآتية من قِبل الأمر، واُخرى فيما إذا جاز البيان بأمر آخر فقط، وثالثةً فيما لا يجوز مطلقاً، 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يفرض مع القول بجريان البراءة العقلية، واُخرى مع القول بالاشتغال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جريانها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الجريان مطلقاً بناءً على القول بالاشتغال، وفيما لا يمكن أخذ القيد في المأمور به ولو بأمر آخر حتّى بناءً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الجريان على الاشتغال حتّى فيما يمكن الأخذ في المأمور به بأمر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فلقصور أدلّة البراءة عن شمول مثل المورد؛ فإنّ ملاك البراءة النقلية هو كون الأمر المشكوك فيه إذا لم يبيّنه المولى كان ناقضاً لغرضه، والمورد ليس </w:t>
      </w:r>
    </w:p>
    <w:p>
      <w:pPr>
        <w:pStyle w:val="BookText"/>
        <w:rPr/>
      </w:pPr>
      <w:r>
        <w:rPr>
          <w:rFonts w:ascii="Amiri" w:hAnsi="Amiri" w:eastAsia="Amiri" w:cs="Amiri"/>
          <w:color w:val="111111"/>
          <w:sz w:val="28"/>
          <w:sz w:val="28"/>
          <w:szCs w:val="28"/>
          <w:rtl w:val="true"/>
          <w:lang w:bidi="ar-SA"/>
        </w:rPr>
        <w:t xml:space="preserve">كذلك؛ فإنّ القيد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دخالته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للمولى الاتّكال فيه على حكم العقل بالاشتغال، ولا يوجب عدم البيان نقض الغرض، وإذا كان كذلك لا يكون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المدّعى أنّ حكم العقل بالاحتياط بيان نافٍ لموضوع البراءة حتّى يستشكل بلزوم الدور، بل المدّعى قصور أدلّة البراءة عن مثل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يمكن البيان بأمر آخر فقط؛ فلأنّ جريان البراءة لا يثبت أنّ متعلّق الأمر الأوّل تمام المأمور به إلاّ على الأصل المثبت، بخلاف ما إذا قلنا بإمكان أخذ القيد في متعلّق الأمر الأوّل؛ فإنّ الشكّ يرجع إلى انبساط الأمر على الجزء أو القيد المشكوك فيه، فمع جريان البراءة يكون بنظر العرف باقي الأجزاء تمام المأمور به، فيكون من قبيل خفاء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إمكان الأخذ مطلقاً؛ فلأنّ جريان مثل دليل الرفع موقوف على كون المشكوك فيه قابلاً للوضع والرفع شرعاً، ومع عدم جواز الأخذ لا يمكن الوضع، فلا يمكن الرفع، ودخالته في الغرض واقعية تكوينية غير قابلة للوضع والرفع التشريعيّين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الأجزاء والقيود القابلة للأخذ فيه، فهي وإن كانت دخالتها في تحصيل الغرض واقعية، لكنّها لمّا كانت قابلة لهما فبدليل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أنّه ليس هناك أمر فعلي متعلّق بالمشكوك فيه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الدعوى ترجع إلى انصراف الأدلّة عن مورد </w:t>
      </w:r>
    </w:p>
    <w:p>
      <w:pPr>
        <w:pStyle w:val="BookText"/>
        <w:rPr/>
      </w:pPr>
      <w:r>
        <w:rPr>
          <w:rFonts w:ascii="Amiri" w:hAnsi="Amiri" w:eastAsia="Amiri" w:cs="Amiri"/>
          <w:color w:val="111111"/>
          <w:sz w:val="28"/>
          <w:sz w:val="28"/>
          <w:szCs w:val="28"/>
          <w:rtl w:val="true"/>
          <w:lang w:bidi="ar-SA"/>
        </w:rPr>
        <w:t>يكون العقل فيه حاكماً بالاشتغال، وهو ممنوع جدّاً، بل لو ادّعي عكس ذلك فله وجه؛ لأنّ ظاهر الأدلّة هو المولوية، ومع حكم العقل بالبراءة تصير من قبيل الإرشاد إلى حكم العقل، فمورد حكم العقل بالاشتغال كأ نّه القدر المتيقّن لشمول الأدلّة، فدعوى كون ملاك الأدلّة النقلية في غير مورده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ملزم لإثبات كون البقيّة تمام المأمور به أو تمام المطلوب؛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يثبت إلاّ بالأصل المثبت؛ فإنّ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مأموراً به حتّى يلزم على المكلّف إحرازه، وليس عليه إلاّ الإتيان بما قام عليه الحجّة، وهو بقيّة الأجزاء، كانت تمام المطلوب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الجزء المشكوك فيه ملازم عقلاً لكون البقيّة تمام المطلوب، وهذا عين الأصل المثبت، من غير فرق بين وحدة الأمر وتعدّده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الأمر الثاني ليس أمراً مستقلاًّ، بل هو من قبيل تتميم الجعل ناظراً إلى متعلّق الأمر الأوّل وموجباً لتقييده، فلو كانت الواسطة خفيّة لم يفرّق بينهما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دخالة شيء في تحصيل الغرض ثبوتاً، لا محالة تكون على نحو يمكن بيانه إثباتاً، فعلى المولى بيانه، وذلك كافٍ في جريان دليل الرفع؛ فإنّ أمر وضعه بيد الشارع، ودعوى عدم إمكان ذلك أيضاً كما ترى </w:t>
      </w:r>
      <w:r>
        <w:rPr>
          <w:rFonts w:eastAsia="Amiri" w:cs="Amiri" w:ascii="Amiri" w:hAnsi="Amiri"/>
          <w:color w:val="111111"/>
          <w:sz w:val="28"/>
          <w:szCs w:val="28"/>
          <w:rtl w:val="true"/>
          <w:lang w:bidi="ar-SA"/>
        </w:rPr>
        <w:t xml:space="preserve">. </w:t>
      </w:r>
      <w:bookmarkStart w:id="395" w:name="pg15283_146367"/>
    </w:p>
    <w:p>
      <w:pPr>
        <w:pStyle w:val="Heading4"/>
        <w:numPr>
          <w:ilvl w:val="3"/>
          <w:numId w:val="1"/>
        </w:numPr>
        <w:rPr/>
      </w:pPr>
      <w:bookmarkStart w:id="396" w:name="__RefHeading___Toc4563355_2142443653"/>
      <w:bookmarkStart w:id="397" w:name="_Toc143"/>
      <w:bookmarkEnd w:id="395"/>
      <w:bookmarkEnd w:id="396"/>
      <w:r>
        <w:rPr>
          <w:rtl w:val="true"/>
        </w:rPr>
        <w:t>المبحث الخامس في أصالة النفسية والعينية والتعيينية</w:t>
      </w:r>
      <w:bookmarkEnd w:id="397"/>
    </w:p>
    <w:p>
      <w:pPr>
        <w:pStyle w:val="BookText"/>
        <w:rPr/>
      </w:pPr>
      <w:r>
        <w:rPr>
          <w:rFonts w:ascii="Amiri" w:hAnsi="Amiri" w:eastAsia="Amiri" w:cs="Amiri"/>
          <w:color w:val="111111"/>
          <w:sz w:val="28"/>
          <w:sz w:val="28"/>
          <w:szCs w:val="28"/>
          <w:rtl w:val="true"/>
          <w:lang w:bidi="ar-SA"/>
        </w:rPr>
        <w:t xml:space="preserve">إذا شكّ في كون الوجوب نفسياً تعيينياً عينياً أو مقابلاتها، فالظاهر لزوم الحمل عليها دون المقابلات؛ لأنّ أمر المولى وبعثه بأيّ دالّ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أو إشارة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عند العقلاء لوجوب الطاعة، ومعه يقطع عذر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باب دوران الأمر بين الوجوب والاستحباب</w:t>
      </w:r>
      <w:r>
        <w:rPr>
          <w:rStyle w:val="FootnoteAnchor"/>
          <w:rtl w:val="true"/>
        </w:rPr>
        <w:footnoteReference w:id="349"/>
      </w:r>
      <w:r>
        <w:rPr>
          <w:rFonts w:ascii="Amiri" w:hAnsi="Amiri" w:eastAsia="Amiri" w:cs="Amiri"/>
          <w:color w:val="111111"/>
          <w:sz w:val="28"/>
          <w:sz w:val="28"/>
          <w:szCs w:val="28"/>
          <w:rtl w:val="true"/>
          <w:lang w:bidi="ar-SA"/>
        </w:rPr>
        <w:t>فإنّ الهيئة وإن لم توضع إلاّ لمجرّد البعث والإغراء، وما ذكر ومقابلاتها خارجة عن مدلولها، لكن مجرّد صدور الأمر عن المولى موضوع لوجوب الطاعة، فإذا تعلّق أمر بشيء يصير حجّة عليه، فإذا عدل المكلّف إلى غيره باحتمال التخييرية، أو تركه مع إتيان الغير باحتمال الكفائية، أو تركه مع سقوط الوجوب عن غيره باحتمال الغيرية، لا يكون معذوراً لدى العقلاء، لا لدلالة الهيئة وضعاً على شيء منها؛ ولهذا لو أشار المولى بإتيان شيء يجب عقلاً إتيانه، والأعذار المتقدّمة ليست موجّهة، مع أنّه لا وضع للإشارة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قضيّة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فمحلّ إشكال ومنع؛ لأنّ مقدّمات الحكمة لا يمكن أن تنتج هاهنا؛ لأ نّه إمّا أن يراد أن تنتج مطلق البعث الجامع بين النفسي والغيري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فمع كونه خلاف المقصود ممتنع؛ لعدم إمكان الجامع بين المعاني الحرفية كما سبق </w:t>
      </w:r>
    </w:p>
    <w:p>
      <w:pPr>
        <w:pStyle w:val="BookText"/>
        <w:rPr/>
      </w:pPr>
      <w:r>
        <w:rPr>
          <w:rFonts w:ascii="Amiri" w:hAnsi="Amiri" w:eastAsia="Amiri" w:cs="Amiri"/>
          <w:color w:val="111111"/>
          <w:sz w:val="28"/>
          <w:sz w:val="28"/>
          <w:szCs w:val="28"/>
          <w:rtl w:val="true"/>
          <w:lang w:bidi="ar-SA"/>
        </w:rPr>
        <w:t>بيانه</w:t>
      </w:r>
      <w:r>
        <w:rPr>
          <w:rStyle w:val="FootnoteAnchor"/>
          <w:rtl w:val="true"/>
        </w:rPr>
        <w:footnoteReference w:id="350"/>
      </w:r>
      <w:r>
        <w:rPr>
          <w:rFonts w:ascii="Amiri" w:hAnsi="Amiri" w:eastAsia="Amiri" w:cs="Amiri"/>
          <w:color w:val="111111"/>
          <w:sz w:val="28"/>
          <w:sz w:val="28"/>
          <w:szCs w:val="28"/>
          <w:rtl w:val="true"/>
          <w:lang w:bidi="ar-SA"/>
        </w:rPr>
        <w:t>، هذا، مضافاً إلى القطع بعدم إرادة الجامع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تنتج الوجوب النفسي وأخواته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المحقّق الخراساني</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أيضاً؛ لأنّ النفسية متباينة مع الغيرية؛ كلّ منهما يمتاز عن الآخر بقيد وجودي أو عدمي، فالنفسي ما يكون البعث إليه لذاته أو لا لغيره، والغيري بخلافه، ويحتاج كلاهما في مقام التشريع والبيان إلى قيد زائد ولو من باب زيادة الحدّ على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النفسية ليست إلاّ عدم كون الوجوب للغير، وكذا البواقي، وعدم القرينة على القيود الوجودية دليل على عدمها، وإلاّ لزم نقض الغرض، لا أنّ النفسية والغيرية قيدان وجوديان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 ضرورة امتناع كون النفسية عدم الغيرية على نعت السوالب المحصّلة الصادقة مع عدم الوجوب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الوجوب والوجود لا يمكن أن يكونا نفس العدم، بل النفسية إمّا وجوب لذاته، أو لا لغيره على نعت الموجبة المعدولة أو السالبة المحمول، فحينئذٍ كما أنّ الوجوب لغيره يحتاج إلى بيان زائد على أصل الوجوب، كذلك الوجوب لا لغيره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التحقيق أنّ تعريف النفسي بالوجوب لا لغيره</w:t>
      </w:r>
      <w:r>
        <w:rPr>
          <w:rStyle w:val="FootnoteAnchor"/>
          <w:rtl w:val="true"/>
        </w:rPr>
        <w:footnoteReference w:id="353"/>
      </w:r>
      <w:r>
        <w:rPr>
          <w:rFonts w:ascii="Amiri" w:hAnsi="Amiri" w:eastAsia="Amiri" w:cs="Amiri"/>
          <w:color w:val="111111"/>
          <w:sz w:val="28"/>
          <w:sz w:val="28"/>
          <w:szCs w:val="28"/>
          <w:rtl w:val="true"/>
          <w:lang w:bidi="ar-SA"/>
        </w:rPr>
        <w:t xml:space="preserve">تعريف بلازمه، بل </w:t>
      </w:r>
    </w:p>
    <w:p>
      <w:pPr>
        <w:pStyle w:val="BookText"/>
        <w:rPr/>
      </w:pPr>
      <w:r>
        <w:rPr>
          <w:rFonts w:ascii="Amiri" w:hAnsi="Amiri" w:eastAsia="Amiri" w:cs="Amiri"/>
          <w:color w:val="111111"/>
          <w:sz w:val="28"/>
          <w:sz w:val="28"/>
          <w:szCs w:val="28"/>
          <w:rtl w:val="true"/>
          <w:lang w:bidi="ar-SA"/>
        </w:rPr>
        <w:t xml:space="preserve">النفسية هو الوجوب لذاته والغيرية لغيره، وهما قيدان وجوديان، وعلى أيّ حال لم يكن النفسي هو نفس الطبيعة والغيري هي مع قيد، لا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عرفاً؛ ضرورة أنّ تقسيم الوجوب إلى النفسي والغيري صحيح بحسب نظر العرف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النظر فيما قرّره بعض أعاظم العصر أيضاً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398" w:name="pg15283_146370"/>
    </w:p>
    <w:p>
      <w:pPr>
        <w:pStyle w:val="Heading4"/>
        <w:numPr>
          <w:ilvl w:val="3"/>
          <w:numId w:val="1"/>
        </w:numPr>
        <w:rPr/>
      </w:pPr>
      <w:bookmarkStart w:id="399" w:name="__RefHeading___Toc4563357_2142443653"/>
      <w:bookmarkStart w:id="400" w:name="_Toc144"/>
      <w:bookmarkEnd w:id="398"/>
      <w:bookmarkEnd w:id="399"/>
      <w:r>
        <w:rPr>
          <w:rtl w:val="true"/>
        </w:rPr>
        <w:t>المبحث السادس في المرّة والتكرار</w:t>
      </w:r>
      <w:bookmarkEnd w:id="400"/>
    </w:p>
    <w:p>
      <w:pPr>
        <w:pStyle w:val="Heading5"/>
        <w:numPr>
          <w:ilvl w:val="4"/>
          <w:numId w:val="1"/>
        </w:numPr>
        <w:rPr/>
      </w:pPr>
      <w:bookmarkStart w:id="401" w:name="__RefHeading___Toc4563359_2142443653"/>
      <w:bookmarkStart w:id="402" w:name="_Toc145"/>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الحقّ عدم دلالة الأمر على المرّة والتكرار، وقبل الخوض في المطلوب نقدّم اُموراً</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4563361_2142443653"/>
      <w:bookmarkStart w:id="404" w:name="_Toc146"/>
      <w:bookmarkEnd w:id="403"/>
      <w:r>
        <w:rPr>
          <w:rtl w:val="true"/>
        </w:rPr>
        <w:t>الأوّل</w:t>
      </w:r>
      <w:r>
        <w:rPr>
          <w:rtl w:val="true"/>
        </w:rPr>
        <w:t xml:space="preserve">: </w:t>
      </w:r>
      <w:r>
        <w:rPr>
          <w:rtl w:val="true"/>
        </w:rPr>
        <w:t>في تحرير محلّ النزاع</w:t>
      </w:r>
      <w:bookmarkEnd w:id="404"/>
    </w:p>
    <w:p>
      <w:pPr>
        <w:pStyle w:val="BookText"/>
        <w:rPr/>
      </w:pPr>
      <w:r>
        <w:rPr>
          <w:rFonts w:ascii="Amiri" w:hAnsi="Amiri" w:eastAsia="Amiri" w:cs="Amiri"/>
          <w:color w:val="111111"/>
          <w:sz w:val="28"/>
          <w:sz w:val="28"/>
          <w:szCs w:val="28"/>
          <w:rtl w:val="true"/>
          <w:lang w:bidi="ar-SA"/>
        </w:rPr>
        <w:t xml:space="preserve">جعل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النزاع في الهيئة؛ استشهاداً بنصّ جماعة وبحكاية السكّاكي الاتّفاق على أنّ المصدر المجرّد من اللام والتنوين لا يدلّ إلاّ على الماهية من حيث هي</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يوجب كون النزاع في الهيئة؛ ضرورة أنّ المصدر ليس مادّة لسائر المشتقّات</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الإشكال غير وارد عليه؛ لأنّ مادّة المصدر عين مادّة المشتقّات، ولو لم يكن المصدر مادّة لها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يتمّ إلاّ إذا انضمّ إليه الإجماع على كون المصدر أصل المشتقّات، أو الإجماع على أنّ مادّته مادّتها، وهو ممنوع؛ لوقوع الخلاف في مادّة المشتقّات، وفي وضعها نوعاً وشخصاً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النزاع بحسب التصوّر يحتمل أن يكون في الهيئة، وفي المادّة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مادّة الأمر موضوعة بوضع على حدة، وفي المجموع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لمجموعهما وضعاً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النزاع في الهيئة كأ نّه يرجع إلى النزاع في أمر غير معقول؛ لأنّ المادّة إذا كانت موضوعة للماهية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وضعت للبعث والإغراء، ولازم الإغراء إلى الماهية هو إيجادها، لا أنّه مدلولها اللفظي، فالإغراءات إلى الماهية اللابشرط لا يمكن أن تكون تأسيسية؛ لما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الإرادة والبعث إذا لم يكن متعدّداً لا يمكن أن تتعدّد الإرادة والبعث التأسيسي إليه؛ لأنّ الشيء الواحد لا يمكن أن يكون مراداً ومشتاقاً إليه مرّتين، فكثرة الإرادة والحبّ والاشتياق تابعة لكثرة المتعلّق، وكذا لا يمكن تعدّد البعث التأسيسي إلى شيء واحد، ومعه يكون النزاع في الهيئة هو النزاع في أمر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ما أفاده شيخنا العلاّمة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علّة التشريع كالتكوين يكون المعلول في وحدته وكثرته تابعاً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للنزاع فيها مجال، لكن قد عرفت عدم كونه مرضيّاً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وضعت لطلب الإيجاد؛ بحيث يكون الإيجاد بالمعنى الحرفي مفادها اللغوي، فحينئذٍ وإن جاز النزاع في أنّها وضعت لطلب إيجاد أو إيجادات، لكن الوضع للعنوان المقيّد موجب لاسمية معنى الهيئة، وتقييد المعنى الحرفي في استعمال واحد ممّا لا يمكن؛ فإنّ نفس الإيجاد معنىً حرفي، </w:t>
      </w:r>
      <w:bookmarkStart w:id="405" w:name="pg15283_146372"/>
    </w:p>
    <w:p>
      <w:pPr>
        <w:pStyle w:val="BookText"/>
        <w:rPr/>
      </w:pPr>
      <w:bookmarkEnd w:id="405"/>
      <w:r>
        <w:rPr>
          <w:rFonts w:ascii="Amiri" w:hAnsi="Amiri" w:eastAsia="Amiri" w:cs="Amiri"/>
          <w:color w:val="111111"/>
          <w:sz w:val="28"/>
          <w:sz w:val="28"/>
          <w:szCs w:val="28"/>
          <w:rtl w:val="true"/>
          <w:lang w:bidi="ar-SA"/>
        </w:rPr>
        <w:t>وتقييده لا يمكن إلاّ بلحاظ آخر، والجمع بينهما في استعمال واحد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في باب معاني الحروف</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نوع الاستعمالات لإفادة معاني الحروف، وجوّزنا 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ما ذكرنا هاهنا؛ لأنّ المقصود هناك إمكان تقييدها في ضمن الكلام بلحاظ آخر، فلاتغفل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في الهيئة ممّا لامجال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يمكن أن توضع لطلب إيجادات بالمعنى الحرفي، لا للإيجاد المتقيّد بالمرّة والتكرار، فكما يجوز استعمال الحرف في أكثر من معنىً، يجوز وضع الحرف للكثرة واستعماله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على فرض إمكانه العقلي مقطوع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وأن يرجع النزاع إلى المادّة؛ بدعوى أنّ مادّة الأمر موضوعة مستقلّة إمّا للدفعة أو الدفعات،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المادّة والهيئة موضوعتان مستقلاًّ بحيث يرجع القيد إلى الجزء المادّي لا الصوري</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4563363_2142443653"/>
      <w:bookmarkStart w:id="407" w:name="_Toc147"/>
      <w:bookmarkEnd w:id="406"/>
      <w:r>
        <w:rPr>
          <w:rtl w:val="true"/>
        </w:rPr>
        <w:t>الثاني</w:t>
      </w:r>
      <w:r>
        <w:rPr>
          <w:rtl w:val="true"/>
        </w:rPr>
        <w:t xml:space="preserve">: </w:t>
      </w:r>
      <w:r>
        <w:rPr>
          <w:rtl w:val="true"/>
        </w:rPr>
        <w:t>في تعيين المراد من المرّة والتكرار</w:t>
      </w:r>
      <w:bookmarkEnd w:id="407"/>
    </w:p>
    <w:p>
      <w:pPr>
        <w:pStyle w:val="BookText"/>
        <w:rPr/>
      </w:pPr>
      <w:r>
        <w:rPr>
          <w:rFonts w:ascii="Amiri" w:hAnsi="Amiri" w:eastAsia="Amiri" w:cs="Amiri"/>
          <w:color w:val="111111"/>
          <w:sz w:val="28"/>
          <w:sz w:val="28"/>
          <w:szCs w:val="28"/>
          <w:rtl w:val="true"/>
          <w:lang w:bidi="ar-SA"/>
        </w:rPr>
        <w:t>هل المراد من المرّة والتكرار الدفعة والدفعات، أو الفرد والأفراد؟</w:t>
      </w:r>
    </w:p>
    <w:p>
      <w:pPr>
        <w:pStyle w:val="BookText"/>
        <w:rPr/>
      </w:pPr>
      <w:r>
        <w:rPr>
          <w:rFonts w:ascii="Amiri" w:hAnsi="Amiri" w:eastAsia="Amiri" w:cs="Amiri"/>
          <w:color w:val="111111"/>
          <w:sz w:val="28"/>
          <w:sz w:val="28"/>
          <w:szCs w:val="28"/>
          <w:rtl w:val="true"/>
          <w:lang w:bidi="ar-SA"/>
        </w:rPr>
        <w:t>لا يبعد أن يكون محلّ النزاع هو الثاني؛ نظراً إلى أنّ هذا النزاع نشأ ظاهراً من النظر إلى اختلاف أحكام الشريعة، فإنّ منها مايتكرّر كالصوم والصلاة، ومنها ما لا يتكرّر كالحجّ، فصار موجباً لاختلاف الأنظار، ومعلوم أنّه ليس في الأحكام ما يكون للدفعة والدفعات، وعلى أيّ حال يمكن النزاع على كلا المعنيين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المعنى الأوّل؛ نظراً إلى ظاهر اللفظ، </w:t>
      </w:r>
    </w:p>
    <w:p>
      <w:pPr>
        <w:pStyle w:val="BookText"/>
        <w:rPr/>
      </w:pPr>
      <w:r>
        <w:rPr>
          <w:rFonts w:ascii="Amiri" w:hAnsi="Amiri" w:eastAsia="Amiri" w:cs="Amiri"/>
          <w:color w:val="111111"/>
          <w:sz w:val="28"/>
          <w:sz w:val="28"/>
          <w:szCs w:val="28"/>
          <w:rtl w:val="true"/>
          <w:lang w:bidi="ar-SA"/>
        </w:rPr>
        <w:t>وأنّهم لو أرادوا بالمرّة الفرد لكان الأنسب أن يجعل هذا البحث تتمّة للبحث الآتي من أنّ الأمر هل يتعلّق بالطبيعة أو الفرد،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تعلّقه بالفرد هل يقتضي تعلّقه بالفرد الواحد أو المتعدّد؟ ولم يحتج إلى إفراد كلّ منهما كما فعلوه، وأمّا على الدفعة فلا علاقة بين المسألتين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إذا تعلّق بالطبيعة أيضاً يأتي فيه هذا النزاع بالمعنيين؛ لأنّ القائل بأنّ الأمر تعلّق بالطبيعة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تعلّق بالماهية من حيث هي، بل بما هي موجودة، وبهذا الاعتبار كانت مردّدة بين المرّة والتكرار بكلا المعنيين، فلا يكون هذا البحث من تتمّة البحث الآتي، بل بحث برأسه؛ لاختلاف الجهة المبحوث عنها فيهما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تعلّق الأمر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بأنّ الهيئة موضوعة لطلب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كون متعلّقه هو الطبيعة من حيث هي؛ لأنّ الإيجاد اُخذ في طرف الهيئة، فلو اُخذ الوجود في طرف المادّة يصير معنى الأمر بالصلاة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أوجِد وجود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يكون النزاع في استفادة المرّة والتكرار بالمعنيين راجعاً إلى الهيئة، فيأتي الإشكال المتقدّم في الأمر الأوّل، فلا بدّ من إرجاع البحث إلى المادّة تخلّصاً عن الإشكال، فحينئذٍ لا مجرى للنزاع مع تعلّق الأمر بالطبيعة، سواء </w:t>
      </w:r>
      <w:bookmarkStart w:id="408" w:name="pg15283_146374"/>
    </w:p>
    <w:p>
      <w:pPr>
        <w:pStyle w:val="BookText"/>
        <w:rPr/>
      </w:pPr>
      <w:bookmarkEnd w:id="408"/>
      <w:r>
        <w:rPr>
          <w:rFonts w:ascii="Amiri" w:hAnsi="Amiri" w:eastAsia="Amiri" w:cs="Amiri"/>
          <w:color w:val="111111"/>
          <w:sz w:val="28"/>
          <w:sz w:val="28"/>
          <w:szCs w:val="28"/>
          <w:rtl w:val="true"/>
          <w:lang w:bidi="ar-SA"/>
        </w:rPr>
        <w:t>اُريد الفرد والأفراد أو الدفعة والدفعات؛ ضرورة أنّها خارجة عن الطبيعة، وأمّا مع تعلّق الأمر بالفرد فللنزاع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الهيئة موضوعة للإغراء والبعث، ولازم الإغراء إلى الطبيعة إيجادها؛ لأنّ الماهية من حيث هي ليست مطلوبة، لكن الإيجاد والوجود لم يكونا مدلول الهيئة ولا المادّة، بل من اللوازم العقلية لتعلّق البعث بالطبيعة، فحينئذٍ يكون النزاع بناءً على تعلّق الأمر بالطبيعة في أمر عقلي لا لغوي، وهو خلاف ظاهرهم</w:t>
      </w:r>
      <w:r>
        <w:rPr>
          <w:rStyle w:val="FootnoteAnchor"/>
          <w:rtl w:val="true"/>
        </w:rPr>
        <w:footnoteReference w:id="362"/>
      </w:r>
      <w:r>
        <w:rPr>
          <w:rFonts w:ascii="Amiri" w:hAnsi="Amiri" w:eastAsia="Amiri" w:cs="Amiri"/>
          <w:color w:val="111111"/>
          <w:sz w:val="28"/>
          <w:sz w:val="28"/>
          <w:szCs w:val="28"/>
          <w:rtl w:val="true"/>
          <w:lang w:bidi="ar-SA"/>
        </w:rPr>
        <w:t>، فلا بدّ من إجراء النزاع على فرض تعلّق الأمر بالفرد لا الطبيعة حتّى يدفع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اللتيّا والتي لا يصير هذا البحث من تتمّة البحث الآتي بعد كون الجهة المبحوث عنها مختلفة</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4563365_2142443653"/>
      <w:bookmarkStart w:id="410" w:name="_Toc148"/>
      <w:bookmarkEnd w:id="409"/>
      <w:r>
        <w:rPr>
          <w:rtl w:val="true"/>
        </w:rPr>
        <w:t>الثالث</w:t>
      </w:r>
      <w:r>
        <w:rPr>
          <w:rtl w:val="true"/>
        </w:rPr>
        <w:t xml:space="preserve">: </w:t>
      </w:r>
      <w:r>
        <w:rPr>
          <w:rtl w:val="true"/>
        </w:rPr>
        <w:t>في وحدة الامتثال وتعدّده عند إتيان الأفراد العرضية دفعة</w:t>
      </w:r>
      <w:bookmarkEnd w:id="41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دلالة الأمر على طلب الطبيعة لو أتى المكلّف بعدّة أفراد معاً يكون امتثالات بعدد الأفراد؛ لأنّ الطبيعة متكثّرة بتكثّرها، ولا يكون فردان أو أفراد منها موجودة بوجود واحد؛ لأنّ المجموع ليس له وجود غير وجود الأفراد، فكلّ فرد محقّق الطبيعة، ولمّا كان المطلوب هو الطبيعة بلا تقيّد بالمرّة والتكرار لو أتى المكلّف بأفراد متعدّدة أوجد المطلوب بإيجاد كلّ فرد، ويكون كلٌّ امتثالاً برأسه، كما هو موجود برأسه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ونظير ذلك الواجب الكفائي؛ حيث إنّ الأمر فيه متعلّق بنفس الطبيعة، ويكون جميع المكلّفين مأمورين بإتيانها، فمع إتيان واحد منهم يسقط عن الباقي، وأمّا لو أتى عدّة منهم دفعة يكون كلٌّ ممتثلاً، وتحقّقت امتثالات، لا امتثال واحد من الجميع</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وحدة الامتثال وكثرته بوحدة الطلب وكثرته ولو بالانحلال بوجه، فلو تعلّق أمر بإكرام كلّ فرد من العلماء، يكون إكرام كلّ فرد واجباً برأسه، وله امتثال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تعلّق الأمر بنفس الطبيعة متوجّهاً إلى مكلّف واحد، فلا يعقل أن يتكثّر الامتثال بتكثّر الأفراد ولا بتكثّر الطبيعة؛ فإنّ تكثّرها لا يوجب تكثّر</w:t>
      </w:r>
    </w:p>
    <w:p>
      <w:pPr>
        <w:pStyle w:val="BookText"/>
        <w:rPr/>
      </w:pPr>
      <w:r>
        <w:rPr>
          <w:rFonts w:ascii="Amiri" w:hAnsi="Amiri" w:eastAsia="Amiri" w:cs="Amiri"/>
          <w:color w:val="111111"/>
          <w:sz w:val="28"/>
          <w:sz w:val="28"/>
          <w:szCs w:val="28"/>
          <w:rtl w:val="true"/>
          <w:lang w:bidi="ar-SA"/>
        </w:rPr>
        <w:t>الطلب والوجوب ولو انحلالاً، فلا يوجب تكثّر الامتثال؛ ولهذا لو ترك الطبيعة القابلة للكثرة لم يعاقب بعدد كثرة الأفراد، فلو تعلّق الطلب بإكرام العالم؛ بحيث لو أكرم واحداً منهم سقط الطلب، فترك العبد الإكرام مطلقاً، لم يكن له إلاّ عقاب واحد بالضرورة، ومعه كيف يمكن أن يكون له امتثالات مع الإتيان بإكرام 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فالامتثال فرع الطلب، كما أنّ العقوبة فرع ترك المطلوب، فلا يمكن الامتثالات مع وحدة الطلب، ولا استحقاق عقوبة واحدة مع كثرته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فارق قياسه بالواجب الكفائي؛ فإنّ الطلب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 الكفائي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كلّ مكلّف بإتيان الطبيعة، فكلّ فرد ممتثل مع الإتيان دفعة ومعاقب مع الترك رأساً، ومع إتيان واحد منهم يسقط </w:t>
      </w:r>
      <w:bookmarkStart w:id="411" w:name="pg15283_146376"/>
    </w:p>
    <w:p>
      <w:pPr>
        <w:pStyle w:val="BookText"/>
        <w:rPr/>
      </w:pPr>
      <w:bookmarkEnd w:id="411"/>
      <w:r>
        <w:rPr>
          <w:rFonts w:ascii="Amiri" w:hAnsi="Amiri" w:eastAsia="Amiri" w:cs="Amiri"/>
          <w:color w:val="111111"/>
          <w:sz w:val="28"/>
          <w:sz w:val="28"/>
          <w:szCs w:val="28"/>
          <w:rtl w:val="true"/>
          <w:lang w:bidi="ar-SA"/>
        </w:rPr>
        <w:t>الطلب عن الباقي؛ لرفعه موضوعه، فهناك طلبات كثيرة فامتثالات كثيرة، بخلاف ما نحن فيه، فلا تغفل</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4563367_2142443653"/>
      <w:bookmarkStart w:id="413" w:name="_Toc149"/>
      <w:bookmarkEnd w:id="412"/>
      <w:r>
        <w:rPr>
          <w:rtl w:val="true"/>
        </w:rPr>
        <w:t>التحقيق</w:t>
      </w:r>
      <w:r>
        <w:rPr>
          <w:rtl w:val="true"/>
        </w:rPr>
        <w:t xml:space="preserve">: </w:t>
      </w:r>
      <w:r>
        <w:rPr>
          <w:rtl w:val="true"/>
        </w:rPr>
        <w:t>عدم دلالة الأمر على المرّة والتكرار</w:t>
      </w:r>
      <w:bookmarkEnd w:id="41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الأمر على المرّة والتكرار؛ لأنّ المادّة موضوعة للماهية بلا شرط، والهيئة للإغراء والبعث، أو لطلب الوجود، أو الإيجاد، وليس لهما وضع على حدة، ولا قرائن عامّة تدلّ على واحد منهما، كما لا يخفى</w:t>
      </w:r>
      <w:r>
        <w:rPr>
          <w:rFonts w:eastAsia="Amiri" w:cs="Amiri" w:ascii="Amiri" w:hAnsi="Amiri"/>
          <w:color w:val="111111"/>
          <w:sz w:val="28"/>
          <w:szCs w:val="28"/>
          <w:rtl w:val="true"/>
          <w:lang w:bidi="ar-SA"/>
        </w:rPr>
        <w:t xml:space="preserve">. </w:t>
      </w:r>
      <w:bookmarkStart w:id="414" w:name="pg15283_146377"/>
    </w:p>
    <w:p>
      <w:pPr>
        <w:pStyle w:val="Heading4"/>
        <w:numPr>
          <w:ilvl w:val="3"/>
          <w:numId w:val="1"/>
        </w:numPr>
        <w:rPr/>
      </w:pPr>
      <w:bookmarkStart w:id="415" w:name="__RefHeading___Toc4563369_2142443653"/>
      <w:bookmarkStart w:id="416" w:name="_Toc150"/>
      <w:bookmarkEnd w:id="414"/>
      <w:bookmarkEnd w:id="415"/>
      <w:r>
        <w:rPr>
          <w:rtl w:val="true"/>
        </w:rPr>
        <w:t>المبحث السابع في الفور والتراخي</w:t>
      </w:r>
      <w:bookmarkEnd w:id="416"/>
    </w:p>
    <w:p>
      <w:pPr>
        <w:pStyle w:val="Heading5"/>
        <w:numPr>
          <w:ilvl w:val="4"/>
          <w:numId w:val="1"/>
        </w:numPr>
        <w:rPr/>
      </w:pPr>
      <w:bookmarkStart w:id="417" w:name="__RefHeading___Toc4563371_2142443653"/>
      <w:bookmarkStart w:id="418" w:name="_Toc151"/>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وبمثل ما ذكر في المرّة يعلم أنّه لا دلالة للأمر على الفور والتراخي؛ إذ ليس مفاده إلاّ البعث إلى نفس الطبيعة، ولازمه إيجادها أو البعث إلى إيجادها، وأيّاً ما</w:t>
      </w:r>
    </w:p>
    <w:p>
      <w:pPr>
        <w:pStyle w:val="BookText"/>
        <w:rPr/>
      </w:pPr>
      <w:r>
        <w:rPr>
          <w:rFonts w:ascii="Amiri" w:hAnsi="Amiri" w:eastAsia="Amiri" w:cs="Amiri"/>
          <w:color w:val="111111"/>
          <w:sz w:val="28"/>
          <w:sz w:val="28"/>
          <w:szCs w:val="28"/>
          <w:rtl w:val="true"/>
          <w:lang w:bidi="ar-SA"/>
        </w:rPr>
        <w:t>كان لا دلالة فيه على أمر زائد على ما ذكر</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4563373_2142443653"/>
      <w:bookmarkStart w:id="420" w:name="_Toc152"/>
      <w:bookmarkEnd w:id="419"/>
      <w:r>
        <w:rPr>
          <w:rtl w:val="true"/>
        </w:rPr>
        <w:t>في استدلال العلاّمة الحائري على الفورية</w:t>
      </w:r>
      <w:bookmarkEnd w:id="420"/>
    </w:p>
    <w:p>
      <w:pPr>
        <w:pStyle w:val="BookText"/>
        <w:rPr/>
      </w:pPr>
      <w:r>
        <w:rPr>
          <w:rFonts w:ascii="Amiri" w:hAnsi="Amiri" w:eastAsia="Amiri" w:cs="Amiri"/>
          <w:color w:val="111111"/>
          <w:sz w:val="28"/>
          <w:sz w:val="28"/>
          <w:szCs w:val="28"/>
          <w:rtl w:val="true"/>
          <w:lang w:bidi="ar-SA"/>
        </w:rPr>
        <w:t xml:space="preserve">لكن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يقايس الأوامر بالعلل التكوينية في اقتضائها عدم انفكاك معاليلها عنها،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المتعلّق بموضوع خاصّ غير مقيّد بزمان، وإن لم يكن مدلوله اللفظي ظاهراً في الفور ولا في التراخي، ولكن لا يمكن التمسّك به للتراخي بواسطة الإطلاق، ولا التمسّك بالبراءة العقلية لنفي الفورية؛ لأ 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الفورية وإن</w:t>
      </w:r>
    </w:p>
    <w:p>
      <w:pPr>
        <w:pStyle w:val="BookText"/>
        <w:rPr/>
      </w:pPr>
      <w:r>
        <w:rPr>
          <w:rFonts w:ascii="Amiri" w:hAnsi="Amiri" w:eastAsia="Amiri" w:cs="Amiri"/>
          <w:color w:val="111111"/>
          <w:sz w:val="28"/>
          <w:sz w:val="28"/>
          <w:szCs w:val="28"/>
          <w:rtl w:val="true"/>
          <w:lang w:bidi="ar-SA"/>
        </w:rPr>
        <w:t>كانت غير ملحوظة للآمر قيداً للعمل، إلاّ أنّها من لوازم الأمر المتعلّق به؛ فإنّ الأمر تحريك إلى العمل وعلّة تشريعية له، وكما أنّ العلّة التكوينية لا تنفكّ عن معلولها في الخارج، كذلك العلّة التشريعية تقتضي عدم انفكاكها عن معلولها في الخارج، وإن لم يلاحظ الآمر ترتّبه على العلّة في الخارج قيداً</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التامّة التكوينية لا يمكن أن تنفكّ عن المعلول بالبرهان </w:t>
      </w:r>
      <w:bookmarkStart w:id="421" w:name="pg15283_146378"/>
    </w:p>
    <w:p>
      <w:pPr>
        <w:pStyle w:val="BookText"/>
        <w:rPr/>
      </w:pPr>
      <w:bookmarkEnd w:id="421"/>
      <w:r>
        <w:rPr>
          <w:rFonts w:ascii="Amiri" w:hAnsi="Amiri" w:eastAsia="Amiri" w:cs="Amiri"/>
          <w:color w:val="111111"/>
          <w:sz w:val="28"/>
          <w:sz w:val="28"/>
          <w:szCs w:val="28"/>
          <w:rtl w:val="true"/>
          <w:lang w:bidi="ar-SA"/>
        </w:rPr>
        <w:t>والضرورة، وأمّا الأوامر فكما يمكن أن تتعلّق بالطبائع متقيّدة بالفور يمكن أن تتعلّق بها متقيّدة بالتراخي، ويمكن أن تتعلّق بها بلا تقييد، ولا يمكن أن تدعو إلاّ إلى متعلّقاتها، بل مقتضى الملازمة بين الإيجاب والوجوب أنّ الإيجاب إذا تعلّق بأيّ موضوع على أيّ نحو كان تعلّق الوجوب به لا بغيره، فإذا تعلّق الأمر بنفس الطبيعة لا يمكن أن يدعو إلى أمر زائد عنها، فوزان الزمان وزان المكان وسائر القيود الزائدة، فكما لا يمكن أن يكون البعث إلى نفس الطبيعة بعثاً إلى إيجادها في مكان خاصّ، كذلك بالنسبة إلى زمان خاصّ حاضر أو غابر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بين التكوين والتشريع كما وقع منه ومن غيره من الأعاظم</w:t>
      </w:r>
      <w:r>
        <w:rPr>
          <w:rStyle w:val="FootnoteAnchor"/>
          <w:rtl w:val="true"/>
        </w:rPr>
        <w:footnoteReference w:id="365"/>
      </w: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4563375_2142443653"/>
      <w:bookmarkStart w:id="423" w:name="_Toc153"/>
      <w:bookmarkEnd w:id="422"/>
      <w:r>
        <w:rPr>
          <w:rtl w:val="true"/>
        </w:rPr>
        <w:t>في الاستدلال على الفور بالآيتين الكريمتين</w:t>
      </w:r>
      <w:bookmarkEnd w:id="423"/>
    </w:p>
    <w:p>
      <w:pPr>
        <w:pStyle w:val="BookText"/>
        <w:rPr/>
      </w:pPr>
      <w:r>
        <w:rPr>
          <w:rFonts w:ascii="Amiri" w:hAnsi="Amiri" w:eastAsia="Amiri" w:cs="Amiri"/>
          <w:color w:val="111111"/>
          <w:sz w:val="28"/>
          <w:sz w:val="28"/>
          <w:szCs w:val="28"/>
          <w:rtl w:val="true"/>
          <w:lang w:bidi="ar-SA"/>
        </w:rPr>
        <w:t>ثمّ إنّه قد يتشبّث لاستفادة الفورية بأدلّة النقل</w:t>
      </w:r>
      <w:r>
        <w:rPr>
          <w:rStyle w:val="FootnoteAnchor"/>
          <w:rtl w:val="true"/>
        </w:rPr>
        <w:footnoteReference w:id="366"/>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 إِلَى مَغْفِرَةٍ مِنْ رَبِّكُمْ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الأمر متوجّه إلى تسابق المكلّفين بعضهم مع بعض إلى فعل الخيرات، وإلى مغفرة من ربّهم، </w:t>
      </w:r>
    </w:p>
    <w:p>
      <w:pPr>
        <w:pStyle w:val="BookText"/>
        <w:rPr/>
      </w:pPr>
      <w:r>
        <w:rPr>
          <w:rFonts w:ascii="Amiri" w:hAnsi="Amiri" w:eastAsia="Amiri" w:cs="Amiri"/>
          <w:color w:val="111111"/>
          <w:sz w:val="28"/>
          <w:sz w:val="28"/>
          <w:szCs w:val="28"/>
          <w:rtl w:val="true"/>
          <w:lang w:bidi="ar-SA"/>
        </w:rPr>
        <w:t>ومع حفظ هذا الظهور لا بدّ من حمل الخيرات وأسباب المغفرة على ما لو لم يسبق المكلّف إليه لَفاته بإتيان غيره، مثل الواجبات الكفائية والخيرات التي لا يمكن قيام الكلّ بإتيانها، ومعه يكون الأمر للإرشاد لا للوجوب؛ فإنّ الاستباق والمسارعة في مثلها غير واجب بعد ما قام بأدائها شخص أو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الحمل أولى من رفع اليد عن ظهور الصدر والأخذ بظهور الذيل، ولا أقلّ من الإجمال، مع عدم دلالة آية المسارعة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توصيف النكرة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العموم</w:t>
      </w:r>
      <w:r>
        <w:rPr>
          <w:rStyle w:val="FootnoteAnchor"/>
          <w:rtl w:val="true"/>
        </w:rPr>
        <w:footnoteReference w:id="369"/>
      </w:r>
      <w:r>
        <w:rPr>
          <w:rFonts w:ascii="IRNazanin" w:hAnsi="IRNazanin" w:eastAsia="IRNazanin"/>
          <w:color w:val="111111"/>
          <w:sz w:val="28"/>
          <w:sz w:val="28"/>
          <w:szCs w:val="28"/>
          <w:rtl w:val="true"/>
          <w:lang w:bidi="fa-IR"/>
        </w:rPr>
        <w:t>، كما ترى، ولهذا جرت في الآية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ككون المراد كلمة الشهادة، أو أداء الفرائض كما روي عن أمير المؤمنين علیه السلام ، أو التكبير الأوّل من الجماعة، أو الصفّ الأوّل منها، أو التوبة، أو الإخلاص، أو الهجرة قبل فتح مكّة، أو متابعة الرسول، أو الاستغفار، أو الجهاد، أو أداء الطاعات، أو الصلوات الخمس</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يورد</w:t>
      </w:r>
      <w:r>
        <w:rPr>
          <w:rStyle w:val="FootnoteAnchor"/>
          <w:rtl w:val="true"/>
        </w:rPr>
        <w:footnoteReference w:id="371"/>
      </w:r>
      <w:r>
        <w:rPr>
          <w:rFonts w:ascii="Amiri" w:hAnsi="Amiri" w:eastAsia="Amiri" w:cs="Amiri"/>
          <w:color w:val="111111"/>
          <w:sz w:val="28"/>
          <w:sz w:val="28"/>
          <w:szCs w:val="28"/>
          <w:rtl w:val="true"/>
          <w:lang w:bidi="ar-SA"/>
        </w:rPr>
        <w:t>على التمسّك بهما بوجه عقلي، وهو أنّه يلزم من وجوب الاستباق إلى الخيرات عدمه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الاستباق بمفهومه يقتضي وجود عدد من الخيرات يتحقّق الاستباق بفعل مقدار منه، وينتفي في المقدار الآخر، ولا ريب أنّ المقدار الذي لا يتحقّق الاستباق فيه هو من الخيرات، وعلى فرض وجوب الاستباق في الخيرات يلزم </w:t>
      </w:r>
    </w:p>
    <w:p>
      <w:pPr>
        <w:pStyle w:val="BookText"/>
        <w:rPr/>
      </w:pPr>
      <w:r>
        <w:rPr>
          <w:rFonts w:ascii="Amiri" w:hAnsi="Amiri" w:eastAsia="Amiri" w:cs="Amiri"/>
          <w:color w:val="111111"/>
          <w:sz w:val="28"/>
          <w:sz w:val="28"/>
          <w:szCs w:val="28"/>
          <w:rtl w:val="true"/>
          <w:lang w:bidi="ar-SA"/>
        </w:rPr>
        <w:t>أن يكون المقدار الذي لا يتحقّق به الاستباق غير الخيرات؛ لمزاحمته للمقدار الذي يتحقّق به، وإذا انتفى أن يكون من الخيرات، لزم عدم وجوب الاستباق في المقدار الذي كان الاستباق يتحقّق فيه، فيلزم من وجوبه عدمه،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بعث المكلّفين إلى سبق بعضهم بعضاً في فعل، كما في السبق والرماية، وكما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وَاسْتَبَقَا الْبَابَ</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في قضيّة يوسف علیه السلام ، لا سبق بعض الخيرات على بعض، والخيرات مفعول لا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التكاليف متعلّق بالطبائع لا الأفراد حتّى يلزم أن يكون لكلّ خير مقدار متعلّق للأمر، فيلزم منه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تعلّق الأمر بالأفراد يمكن تعلّقه بجميعها على سبيل تعدّد المطلوب، فالتزاحم على فرضه إنّما يقع في المطلوب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وقوع التزاحم لا يخرج الواجب عن كونه خيراً؛ فإنّ السقوط للمزاحمة، فحينئذٍ يبقى ظهور مفهوم الاستباق على حاله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ذكره رحمه الله علیه  تجشّم وتكلّف، كما لا يخفى على المتدبّر</w:t>
      </w:r>
      <w:r>
        <w:rPr>
          <w:rFonts w:eastAsia="IRNazanin" w:cs="IRNazanin"/>
          <w:color w:val="111111"/>
          <w:sz w:val="28"/>
          <w:szCs w:val="28"/>
          <w:rtl w:val="true"/>
          <w:lang w:bidi="fa-IR"/>
        </w:rPr>
        <w:t xml:space="preserve">. </w:t>
      </w:r>
      <w:bookmarkStart w:id="424" w:name="pg15283_146381"/>
    </w:p>
    <w:p>
      <w:pPr>
        <w:pStyle w:val="Heading3"/>
        <w:numPr>
          <w:ilvl w:val="2"/>
          <w:numId w:val="1"/>
        </w:numPr>
        <w:rPr/>
      </w:pPr>
      <w:bookmarkStart w:id="425" w:name="__RefHeading___Toc4563377_2142443653"/>
      <w:bookmarkStart w:id="426" w:name="_Toc154"/>
      <w:bookmarkEnd w:id="424"/>
      <w:bookmarkEnd w:id="425"/>
      <w:r>
        <w:rPr>
          <w:rtl w:val="true"/>
        </w:rPr>
        <w:t>الفصل الثالث في الإجزاء</w:t>
      </w:r>
      <w:bookmarkEnd w:id="426"/>
    </w:p>
    <w:p>
      <w:pPr>
        <w:pStyle w:val="Heading4"/>
        <w:numPr>
          <w:ilvl w:val="3"/>
          <w:numId w:val="1"/>
        </w:numPr>
        <w:rPr/>
      </w:pPr>
      <w:bookmarkStart w:id="427" w:name="__RefHeading___Toc4563379_2142443653"/>
      <w:bookmarkStart w:id="428" w:name="_Toc155"/>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وقبل الورود في البحث لا بدّ من ذكر مقدّمات</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4563381_2142443653"/>
      <w:bookmarkStart w:id="430" w:name="_Toc156"/>
      <w:bookmarkEnd w:id="429"/>
      <w:r>
        <w:rPr>
          <w:rtl w:val="true"/>
        </w:rPr>
        <w:t>المقدّمة الاُولى</w:t>
      </w:r>
      <w:r>
        <w:rPr>
          <w:rtl w:val="true"/>
        </w:rPr>
        <w:t xml:space="preserve">: </w:t>
      </w:r>
      <w:r>
        <w:rPr>
          <w:rtl w:val="true"/>
        </w:rPr>
        <w:t>في تحرير محلّ النزاع</w:t>
      </w:r>
      <w:bookmarkEnd w:id="430"/>
    </w:p>
    <w:p>
      <w:pPr>
        <w:pStyle w:val="BookText"/>
        <w:rPr/>
      </w:pPr>
      <w:r>
        <w:rPr>
          <w:rFonts w:ascii="Amiri" w:hAnsi="Amiri" w:eastAsia="Amiri" w:cs="Amiri"/>
          <w:color w:val="111111"/>
          <w:sz w:val="28"/>
          <w:sz w:val="28"/>
          <w:szCs w:val="28"/>
          <w:rtl w:val="true"/>
          <w:lang w:bidi="ar-SA"/>
        </w:rPr>
        <w:t>اختلفت كلماتهم في تحرير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بالشيء هل يقتضي الإجزاء إذا اُتي به على وجهه أم لا</w:t>
      </w:r>
      <w:r>
        <w:rPr>
          <w:rStyle w:val="FootnoteAnchor"/>
          <w:rtl w:val="true"/>
        </w:rPr>
        <w:footnoteReference w:id="3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يعبّر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الإتيان بالمأمور به على وجهه هل يقتضي الإجزاء أم لا</w:t>
      </w:r>
      <w:r>
        <w:rPr>
          <w:rStyle w:val="FootnoteAnchor"/>
          <w:rtl w:val="true"/>
        </w:rPr>
        <w:footnoteReference w:id="3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ولعلّ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الأوّل في دلالة الأمر، فصار المبحث من مباحث الألفاظ والدلالات، وفي الثاني في أنّ الإتيان علّة للإجزاء، فصار عقلياً، كذا قيل</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كون النزاع في دلالة الأمر بعيد عن الصواب؛ فإنّ الدلالة المتوهّمة </w:t>
      </w:r>
    </w:p>
    <w:p>
      <w:pPr>
        <w:pStyle w:val="BookText"/>
        <w:rPr/>
      </w:pPr>
      <w:r>
        <w:rPr>
          <w:rFonts w:ascii="Amiri" w:hAnsi="Amiri" w:eastAsia="Amiri" w:cs="Amiri"/>
          <w:color w:val="111111"/>
          <w:sz w:val="28"/>
          <w:sz w:val="28"/>
          <w:szCs w:val="28"/>
          <w:rtl w:val="true"/>
          <w:lang w:bidi="ar-SA"/>
        </w:rPr>
        <w:t>إن كانت وضعية، فلا أظنّ بأحد يتوهّم دلالة هيئة الأمر أو مادّته على الإجزاء إذا أتى المكلّف بالمأمور به على وجهه؛ بحيث يكون جميع هذه المداليل من دلالة الأمر هيئةً أو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الدلالة الالتزامية؛ بأن يدلّ على أنّ المأمور به مشتمل على غرض للآمر، ولا محالة أنّ ذلك الغرض يتحقّق في الخارج بتحقّق المأمور به، وحينئذٍ يسقط الأمر؛ لحصول الغاية الداعية إليه؛ فإنّ عدّ تلك القضايا العقلية المتكثّرة من دلالة الأمر التزاماً ممّا لا مجال للالتزام به، مع ظهور فساده، فحينئذٍ</w:t>
      </w:r>
    </w:p>
    <w:p>
      <w:pPr>
        <w:pStyle w:val="BookText"/>
        <w:rPr/>
      </w:pPr>
      <w:r>
        <w:rPr>
          <w:rFonts w:ascii="Amiri" w:hAnsi="Amiri" w:eastAsia="Amiri" w:cs="Amiri"/>
          <w:color w:val="111111"/>
          <w:sz w:val="28"/>
          <w:sz w:val="28"/>
          <w:szCs w:val="28"/>
          <w:rtl w:val="true"/>
          <w:lang w:bidi="ar-SA"/>
        </w:rPr>
        <w:t>لا يكون في دلالة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غير فرق بين إرجاع النزاع إلى الأوامر الاختيارية الواقعية أو الاضطرارية والظاهرية؛ لأنّ دلالة الأمر لا تخرج عن مادّته وهيئته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يرجع بالأخرة إلى دلالة الأوامر الاضطرارية والظاهرية بتنقيح موضوع الأوامر الاختيارية والواقعية بنحو الحكومة، فيكون من مباحث الألفاظ، لكن هذا خلاف ظاهرهم، وقضيّة تنقيح الموضوع بالحكومة أمر أحدثه المتأخّرون</w:t>
      </w:r>
      <w:r>
        <w:rPr>
          <w:rStyle w:val="FootnoteAnchor"/>
          <w:rtl w:val="true"/>
        </w:rPr>
        <w:footnoteReference w:id="376"/>
      </w:r>
      <w:r>
        <w:rPr>
          <w:rFonts w:ascii="Amiri" w:hAnsi="Amiri" w:eastAsia="Amiri" w:cs="Amiri"/>
          <w:color w:val="111111"/>
          <w:sz w:val="28"/>
          <w:sz w:val="28"/>
          <w:szCs w:val="28"/>
          <w:rtl w:val="true"/>
          <w:lang w:bidi="ar-SA"/>
        </w:rPr>
        <w:t>، فلا يجوز حمل كلام القوم عليه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الإجزاء في الأوامر بالنسبة إلى نفسها والإجزاء بالنسبة إلى أمر آخر ممّا لا يمكن بعنوان واحد؛ لأنّ البحث في الأوّل عقلي صرف، وفي الثاني لفظي راجع إلى دلالة الأدلّة، والجمع بينهما لا يمكن بجامع واحد</w:t>
      </w:r>
      <w:r>
        <w:rPr>
          <w:rFonts w:eastAsia="Amiri" w:cs="Amiri" w:ascii="Amiri" w:hAnsi="Amiri"/>
          <w:color w:val="111111"/>
          <w:sz w:val="28"/>
          <w:szCs w:val="28"/>
          <w:rtl w:val="true"/>
          <w:lang w:bidi="ar-SA"/>
        </w:rPr>
        <w:t xml:space="preserve">. </w:t>
      </w:r>
      <w:bookmarkStart w:id="431" w:name="pg15283_146383"/>
    </w:p>
    <w:p>
      <w:pPr>
        <w:pStyle w:val="BookText"/>
        <w:rPr/>
      </w:pPr>
      <w:bookmarkEnd w:id="43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إبقاء البحث على حاله؛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المأمور به على وجهه هل يجزي أم لا؟ وهذا جامع يشمل جميع العناوين المبحوث عنها، وإنّما الاختلاف بينها في الأدلّة القائمة على المطلوب، فيدلّ دليل عقلي على بعض أقسام المقسم، وشرعي على بعض، ولا يكون النزاع ابتداءً في دلالة الأدلّة، بل في الإجزاء وعدمه، والدليل عليه قد يكون عقلاً، وقد يكون نقلاً، والأمر سهل</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4563383_2142443653"/>
      <w:bookmarkStart w:id="433" w:name="_Toc157"/>
      <w:bookmarkEnd w:id="432"/>
      <w:r>
        <w:rPr>
          <w:rtl w:val="true"/>
        </w:rPr>
        <w:t>المقدّمة الثانية</w:t>
      </w:r>
      <w:r>
        <w:rPr>
          <w:rtl w:val="true"/>
        </w:rPr>
        <w:t xml:space="preserve">: </w:t>
      </w:r>
      <w:r>
        <w:rPr>
          <w:rtl w:val="true"/>
        </w:rPr>
        <w:t>في المراد من الاقتضاء</w:t>
      </w:r>
      <w:bookmarkEnd w:id="433"/>
    </w:p>
    <w:p>
      <w:pPr>
        <w:pStyle w:val="BookText"/>
        <w:rPr/>
      </w:pPr>
      <w:r>
        <w:rPr>
          <w:rFonts w:ascii="Amiri" w:hAnsi="Amiri" w:eastAsia="Amiri" w:cs="Amiri"/>
          <w:color w:val="111111"/>
          <w:sz w:val="28"/>
          <w:sz w:val="28"/>
          <w:szCs w:val="28"/>
          <w:rtl w:val="true"/>
          <w:lang w:bidi="ar-SA"/>
        </w:rPr>
        <w:t>ليس الاقتضاء بمعنى العلّية والتأثير؛ لعدم تأثير لإتيان المكلّف في الإجزاء، سواء فسّر</w:t>
      </w:r>
      <w:r>
        <w:rPr>
          <w:rStyle w:val="FootnoteAnchor"/>
          <w:rtl w:val="true"/>
        </w:rPr>
        <w:footnoteReference w:id="377"/>
      </w:r>
      <w:r>
        <w:rPr>
          <w:rFonts w:ascii="Amiri" w:hAnsi="Amiri" w:eastAsia="Amiri" w:cs="Amiri"/>
          <w:color w:val="111111"/>
          <w:sz w:val="28"/>
          <w:sz w:val="28"/>
          <w:szCs w:val="28"/>
          <w:rtl w:val="true"/>
          <w:lang w:bidi="ar-SA"/>
        </w:rPr>
        <w:t xml:space="preserve">بالمعنى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الكفاية</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فإنّها عنوان انتزاعي ليس مورداً للتأثّر والتأثير، والعجب من المحقّق الخراساني حيث جمع بين الالتزام بكون الاقتضاء بمعنى العلّية، وبين القول بأنّ الإجزاء هو الكفاية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فسّر بإسقاط الأمر</w:t>
      </w:r>
      <w:r>
        <w:rPr>
          <w:rStyle w:val="FootnoteAnchor"/>
          <w:rtl w:val="true"/>
        </w:rPr>
        <w:footnoteReference w:id="380"/>
      </w:r>
      <w:r>
        <w:rPr>
          <w:rFonts w:ascii="Amiri" w:hAnsi="Amiri" w:eastAsia="Amiri" w:cs="Amiri"/>
          <w:color w:val="111111"/>
          <w:sz w:val="28"/>
          <w:sz w:val="28"/>
          <w:szCs w:val="28"/>
          <w:rtl w:val="true"/>
          <w:lang w:bidi="ar-SA"/>
        </w:rPr>
        <w:t>ونحوه؛ فإنّ الإتيان ليس علّة مؤثّرة في الإسقاط،</w:t>
      </w:r>
    </w:p>
    <w:p>
      <w:pPr>
        <w:pStyle w:val="BookText"/>
        <w:rPr/>
      </w:pPr>
      <w:r>
        <w:rPr>
          <w:rFonts w:ascii="Amiri" w:hAnsi="Amiri" w:eastAsia="Amiri" w:cs="Amiri"/>
          <w:color w:val="111111"/>
          <w:sz w:val="28"/>
          <w:sz w:val="28"/>
          <w:szCs w:val="28"/>
          <w:rtl w:val="true"/>
          <w:lang w:bidi="ar-SA"/>
        </w:rPr>
        <w:t>وهو أيضاً ليس شيئاً قابلاً لكونه أثراً لشيء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لمّا صدر لأجل غرض هو حصول المأمور به، فبعد حصوله ينتهي اقتضاء بقائه، فيسقط لذلك، كما أنّ الحال كذلك في إرادة الفاعل المتعلّقة بإتيان شيء لأجل غرض، فإذا حصل الغرض سقطت الإرادة؛ </w:t>
      </w:r>
      <w:bookmarkStart w:id="434" w:name="pg15283_146384"/>
    </w:p>
    <w:p>
      <w:pPr>
        <w:pStyle w:val="BookText"/>
        <w:rPr/>
      </w:pPr>
      <w:bookmarkEnd w:id="434"/>
      <w:r>
        <w:rPr>
          <w:rFonts w:ascii="Amiri" w:hAnsi="Amiri" w:eastAsia="Amiri" w:cs="Amiri"/>
          <w:color w:val="111111"/>
          <w:sz w:val="28"/>
          <w:sz w:val="28"/>
          <w:szCs w:val="28"/>
          <w:rtl w:val="true"/>
          <w:lang w:bidi="ar-SA"/>
        </w:rPr>
        <w:t>لانتهاء أمدها، لا لعلّية الفعل الخارجي لسقوطها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عنوان البحث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بالمأمور به هل مجزٍ أم لا؟</w:t>
      </w:r>
    </w:p>
    <w:p>
      <w:pPr>
        <w:pStyle w:val="Heading4"/>
        <w:numPr>
          <w:ilvl w:val="3"/>
          <w:numId w:val="1"/>
        </w:numPr>
        <w:rPr/>
      </w:pPr>
      <w:bookmarkStart w:id="435" w:name="__RefHeading___Toc4563385_2142443653"/>
      <w:bookmarkStart w:id="436" w:name="_Toc158"/>
      <w:bookmarkEnd w:id="435"/>
      <w:r>
        <w:rPr>
          <w:rtl w:val="true"/>
        </w:rPr>
        <w:t>المقدّمة الثالثة</w:t>
      </w:r>
      <w:r>
        <w:rPr>
          <w:rtl w:val="true"/>
        </w:rPr>
        <w:t xml:space="preserve">: </w:t>
      </w:r>
      <w:r>
        <w:rPr>
          <w:rtl w:val="true"/>
        </w:rPr>
        <w:t xml:space="preserve">في معنى </w:t>
      </w:r>
      <w:r>
        <w:rPr>
          <w:rtl w:val="true"/>
        </w:rPr>
        <w:t>«</w:t>
      </w:r>
      <w:r>
        <w:rPr>
          <w:rtl w:val="true"/>
        </w:rPr>
        <w:t>على وجهه</w:t>
      </w:r>
      <w:r>
        <w:rPr>
          <w:rtl w:val="true"/>
        </w:rPr>
        <w:t>»</w:t>
      </w:r>
      <w:bookmarkEnd w:id="436"/>
    </w:p>
    <w:p>
      <w:pPr>
        <w:pStyle w:val="BookText"/>
        <w:rPr/>
      </w:pPr>
      <w:r>
        <w:rPr>
          <w:rFonts w:ascii="Amiri" w:hAnsi="Amiri" w:eastAsia="Amiri" w:cs="Amiri"/>
          <w:color w:val="111111"/>
          <w:sz w:val="28"/>
          <w:sz w:val="28"/>
          <w:szCs w:val="28"/>
          <w:rtl w:val="true"/>
          <w:lang w:bidi="ar-SA"/>
        </w:rPr>
        <w:t>إنّ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ينبغي أن يؤتى به؛ أي مع كلّ ما يعتبر فيه ويكون دخيلاً في تحصيل الغرض، لا قصد الوجه، ولا ما ذكره المحقّق الخراساني من أنّ المراد منه إفادة ما يعتبر فيه عقلاً ولا يمكن الاعتبار شرعاً</w:t>
      </w:r>
      <w:r>
        <w:rPr>
          <w:rStyle w:val="FootnoteAnchor"/>
          <w:rtl w:val="true"/>
        </w:rPr>
        <w:footnoteReference w:id="381"/>
      </w:r>
      <w:r>
        <w:rPr>
          <w:rFonts w:ascii="Amiri" w:hAnsi="Amiri" w:eastAsia="Amiri" w:cs="Amiri"/>
          <w:color w:val="111111"/>
          <w:sz w:val="28"/>
          <w:sz w:val="28"/>
          <w:szCs w:val="28"/>
          <w:rtl w:val="true"/>
          <w:lang w:bidi="ar-SA"/>
        </w:rPr>
        <w:t>، فإنّ عدم الإمكان غير مسلّم، مع أنّ شبهة عدم إمكان أخذ ما يؤتى من قِبل الأمر في المأمور به حدثت في هذه الأزمنة المتأخّرة، وهذا العنوان مقدّم عليها</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4563387_2142443653"/>
      <w:bookmarkStart w:id="438" w:name="_Toc159"/>
      <w:bookmarkEnd w:id="437"/>
      <w:r>
        <w:rPr>
          <w:rtl w:val="true"/>
        </w:rPr>
        <w:t>المقدّمة الرابعة</w:t>
      </w:r>
      <w:r>
        <w:rPr>
          <w:rtl w:val="true"/>
        </w:rPr>
        <w:t xml:space="preserve">: </w:t>
      </w:r>
      <w:r>
        <w:rPr>
          <w:rtl w:val="true"/>
        </w:rPr>
        <w:t>في فارق المسألة عن المرّة والتكرار</w:t>
      </w:r>
      <w:bookmarkEnd w:id="438"/>
    </w:p>
    <w:p>
      <w:pPr>
        <w:pStyle w:val="BookText"/>
        <w:rPr/>
      </w:pPr>
      <w:r>
        <w:rPr>
          <w:rFonts w:ascii="Amiri" w:hAnsi="Amiri" w:eastAsia="Amiri" w:cs="Amiri"/>
          <w:color w:val="111111"/>
          <w:sz w:val="28"/>
          <w:sz w:val="28"/>
          <w:szCs w:val="28"/>
          <w:rtl w:val="true"/>
          <w:lang w:bidi="ar-SA"/>
        </w:rPr>
        <w:t>الفرق بين هذه المسألة ومسألة المرّة والتكرار واضح، سواء كان البحث في الثانية في دلالة الأمر أو حكم العقل؛ فإنّ البحث هاهنا، بعد الفراغ عن مدلول الأمر أو مقتضى العقل، ومعه لا يمكن وحدتهما، فإذا فرغنا عن دلالة الأمر أو اقتضائه المرّة يقع البحث في أنّ الإتيان بها مجزٍ أم لا؟ كما أنّه لو دلّ على التكرار يقع البحث في إجزاء الإتيان بكلّ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تبعية القضاء للأداء، فلا جهة اشتراك بينها وبين هذه المسألة؛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الكلام هاهنا في أنّ الإتيان بالمأمور به هل مجزٍ عن الأداء والقضاء؟ وفي </w:t>
      </w:r>
      <w:bookmarkStart w:id="439" w:name="pg15283_146385"/>
    </w:p>
    <w:p>
      <w:pPr>
        <w:pStyle w:val="BookText"/>
        <w:rPr/>
      </w:pPr>
      <w:bookmarkEnd w:id="439"/>
      <w:r>
        <w:rPr>
          <w:rFonts w:ascii="Amiri" w:hAnsi="Amiri" w:eastAsia="Amiri" w:cs="Amiri"/>
          <w:color w:val="111111"/>
          <w:sz w:val="28"/>
          <w:sz w:val="28"/>
          <w:szCs w:val="28"/>
          <w:rtl w:val="true"/>
          <w:lang w:bidi="ar-SA"/>
        </w:rPr>
        <w:t>تلك المسألة يكون البحث في أنّ المكلّف إذا لم يأت بالمأمور به في الوقت فهل يدلّ الأمر على الإتيان به بعده؟ فالموضوع هاهنا الإتيان وهناك عدمه، فأيّ تشابه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المحقّق الخراساني تصدّى لبيان الفارق بينهما؛ بأنّ البحث في أحدهما في دلالة الصيغة دون الآخر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4563389_2142443653"/>
      <w:bookmarkStart w:id="441" w:name="_Toc160"/>
      <w:bookmarkEnd w:id="440"/>
      <w:r>
        <w:rPr>
          <w:rtl w:val="true"/>
        </w:rPr>
        <w:t>المقدّمة الخامسة</w:t>
      </w:r>
      <w:r>
        <w:rPr>
          <w:rtl w:val="true"/>
        </w:rPr>
        <w:t xml:space="preserve">: </w:t>
      </w:r>
      <w:r>
        <w:rPr>
          <w:rtl w:val="true"/>
        </w:rPr>
        <w:t>في وحدة الأمر أو تعدّده في المقام</w:t>
      </w:r>
      <w:bookmarkEnd w:id="441"/>
    </w:p>
    <w:p>
      <w:pPr>
        <w:pStyle w:val="Heading5"/>
        <w:numPr>
          <w:ilvl w:val="4"/>
          <w:numId w:val="1"/>
        </w:numPr>
        <w:rPr/>
      </w:pPr>
      <w:bookmarkStart w:id="442" w:name="__RefHeading___Toc4563391_2142443653"/>
      <w:bookmarkStart w:id="443" w:name="_Toc161"/>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هل محطّ البحث في إجزاء الأوامر الاضطرارية والظاهرية عن الاختيارية والواقعية، هو أنّ هاهنا أمرين تعلّقا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بملاحظة حال الاختيار والعلم، والآخر بملاحظة حال الاضطرار والجهل، فيبحث في أنّه هل يجزي الإتيان بمتعلّق الاضطراري أو الظاهري عن الاختياري أو الواقعي؟</w:t>
      </w:r>
    </w:p>
    <w:p>
      <w:pPr>
        <w:pStyle w:val="BookText"/>
        <w:rPr/>
      </w:pPr>
      <w:r>
        <w:rPr>
          <w:rFonts w:ascii="Amiri" w:hAnsi="Amiri" w:eastAsia="Amiri" w:cs="Amiri"/>
          <w:color w:val="111111"/>
          <w:sz w:val="28"/>
          <w:sz w:val="28"/>
          <w:szCs w:val="28"/>
          <w:rtl w:val="true"/>
          <w:lang w:bidi="ar-SA"/>
        </w:rPr>
        <w:t>أو أنّ محطّه أنّه ليس في المقام إلاّ أمر واحد تعلّق بالطبيعة، ولها أفراد مختلفة بحسب حال الاختيار والاضطرار والعلم والشكّ، وقد أمر الشارع بإتيانها في حال الاختيار والعلم بكيفية خاصّة، وفي حال الاضطرار والجهل بكيفية اُخرى، فوقع البحث في أنّ الإتيان بالكيفية الاضطرارية أو الظاهرية موجب للإجزاء عن الأمر المتعلّق بالطبيعة أو لا؟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يدلّ على وجوب الطبيعة في هذا الوقت المضروب لها، ثمّ دلّ دليل على اشتراطها </w:t>
      </w:r>
    </w:p>
    <w:p>
      <w:pPr>
        <w:pStyle w:val="BookText"/>
        <w:rPr/>
      </w:pPr>
      <w:r>
        <w:rPr>
          <w:rFonts w:ascii="Amiri" w:hAnsi="Amiri" w:eastAsia="Amiri" w:cs="Amiri"/>
          <w:color w:val="111111"/>
          <w:sz w:val="28"/>
          <w:sz w:val="28"/>
          <w:szCs w:val="28"/>
          <w:rtl w:val="true"/>
          <w:lang w:bidi="ar-SA"/>
        </w:rPr>
        <w:t>في حال الاختيار بالطهارة المائية، وفي حال فقدان الماء بالترابية، وأمر الشارع بإتيانها في الحال الأوّل بكيفية وفي الآخر بكيفية اُخرى؛ بحيث تكون الكيفيات الطارئة من خصوصيات المصاديق لا من مكثّرات الطبيعة، ولا يكون للطبيعة المتقيّدة بكيفيةٍ أمر، وباُخرى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النزاع في أنّ الإتيان بمصداق الاضطراري للطبيعة هل يوجب سقوط الأمر عنها فيجزي، أم لا، وكذلك الحال في إجزاء الأوامر الظاهرية؟</w:t>
      </w:r>
    </w:p>
    <w:p>
      <w:pPr>
        <w:pStyle w:val="BookText"/>
        <w:rPr/>
      </w:pPr>
      <w:r>
        <w:rPr>
          <w:rFonts w:ascii="Amiri" w:hAnsi="Amiri" w:eastAsia="Amiri" w:cs="Amiri"/>
          <w:color w:val="111111"/>
          <w:sz w:val="28"/>
          <w:sz w:val="28"/>
          <w:szCs w:val="28"/>
          <w:rtl w:val="true"/>
          <w:lang w:bidi="ar-SA"/>
        </w:rPr>
        <w:t>ظاهر كثير منهم هو الأوّل، كما أنّ مقتضى حكمهم بجريان البراءة في المقام الثاني ذلك، وظاهر بعضهم وصريح آخر</w:t>
      </w:r>
      <w:r>
        <w:rPr>
          <w:rStyle w:val="FootnoteAnchor"/>
          <w:rtl w:val="true"/>
        </w:rPr>
        <w:footnoteReference w:id="384"/>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ابتناء هذا الخلاف على الخلاف في كيفية جعل الجزئية والشرطية والمانعية للمأمور به؛ فإن قلنا بعدم إمكان جعلها إلاّ تبعاً للتكليف، فإذا أمر بجملة ينتزع من أبعاضها الجزئية للمأمور به، أو أمر بمقيّد ينتزع الشرطية من قيده، وأمّا إذا أمر بشيء ثمّ أراد جعل شيء آخر جزءاً له أو شرطاً، فهو غير معقول، فلا بدّ بعد ذلك البناء من التزام أمرين؛ أحدهما تعلّق بالصلاة المتقيّدة بالطهارة المائية للمختار، والآخر بالمتقيّدة بالترابية للمضطرّ، وكذا الحال في الأجزاء والموانع لا بدّ من التزام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الالتزام بإمكان الجعل المستقلّ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داعي لرفع اليد عن الأدلّة الظاهرة في جعل الشرائط والأجزاء والموانع مستقلاًّ، فنلتزم بأ نّه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يكون للطبائع إلاّ أمر واحد، وقد أمر الشارع بإتيانها في حال الاختيار </w:t>
      </w:r>
      <w:bookmarkStart w:id="444" w:name="pg15283_146387"/>
    </w:p>
    <w:p>
      <w:pPr>
        <w:pStyle w:val="BookText"/>
        <w:rPr/>
      </w:pPr>
      <w:bookmarkEnd w:id="444"/>
      <w:r>
        <w:rPr>
          <w:rFonts w:ascii="Amiri" w:hAnsi="Amiri" w:eastAsia="Amiri" w:cs="Amiri"/>
          <w:color w:val="111111"/>
          <w:sz w:val="28"/>
          <w:sz w:val="28"/>
          <w:szCs w:val="28"/>
          <w:rtl w:val="true"/>
          <w:lang w:bidi="ar-SA"/>
        </w:rPr>
        <w:t>بكيفية، وفي حال الاضطرار باُخرى، والاختلاف في الأفراد والمصاديق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باب الصلاة التي هي عمدة في الباب، وأمّا في بعض الأبواب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كباب كفّارة الصيد وكفّارة الظهار والقتل الخطائي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الأمر الاضطراري متعلّقاً بعنوانٍ غير ما تعلّق به الأمر الاختياري، فعليه لا بدّ من</w:t>
      </w:r>
    </w:p>
    <w:p>
      <w:pPr>
        <w:pStyle w:val="BookText"/>
        <w:rPr/>
      </w:pPr>
      <w:r>
        <w:rPr>
          <w:rFonts w:ascii="Amiri" w:hAnsi="Amiri" w:eastAsia="Amiri" w:cs="Amiri"/>
          <w:color w:val="111111"/>
          <w:sz w:val="28"/>
          <w:sz w:val="28"/>
          <w:szCs w:val="28"/>
          <w:rtl w:val="true"/>
          <w:lang w:bidi="ar-SA"/>
        </w:rPr>
        <w:t>تعميم البحث لكلا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 فالكلام يقع في مواضع</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4563393_2142443653"/>
      <w:bookmarkStart w:id="446" w:name="_Toc162"/>
      <w:bookmarkEnd w:id="445"/>
      <w:r>
        <w:rPr>
          <w:rtl w:val="true"/>
        </w:rPr>
        <w:t>الموضع الأوّل في إجزاء الإتيان بالمأمور به مطلقاً عن التعبّد به ثانياً</w:t>
      </w:r>
      <w:bookmarkEnd w:id="446"/>
    </w:p>
    <w:p>
      <w:pPr>
        <w:pStyle w:val="BookText"/>
        <w:rPr/>
      </w:pPr>
      <w:r>
        <w:rPr>
          <w:rFonts w:ascii="Amiri" w:hAnsi="Amiri" w:eastAsia="Amiri" w:cs="Amiri"/>
          <w:color w:val="111111"/>
          <w:sz w:val="28"/>
          <w:sz w:val="28"/>
          <w:szCs w:val="28"/>
          <w:rtl w:val="true"/>
          <w:lang w:bidi="ar-SA"/>
        </w:rPr>
        <w:t>إنّ الإتيان بالمأموربه الواقعي أو الاضطراري أو الظاهري، يجزي عن التعبّد به ثانياً بلا إشكال؛ لأنّ الإرادة والبعث من الآمر إنّما تعلّقا بالطبيعة لأجل تحصيلها</w:t>
      </w:r>
    </w:p>
    <w:p>
      <w:pPr>
        <w:pStyle w:val="BookText"/>
        <w:rPr/>
      </w:pPr>
      <w:r>
        <w:rPr>
          <w:rFonts w:ascii="Amiri" w:hAnsi="Amiri" w:eastAsia="Amiri" w:cs="Amiri"/>
          <w:color w:val="111111"/>
          <w:sz w:val="28"/>
          <w:sz w:val="28"/>
          <w:szCs w:val="28"/>
          <w:rtl w:val="true"/>
          <w:lang w:bidi="ar-SA"/>
        </w:rPr>
        <w:t>وحصول الغرض بها، فإذا أوجد المكلّف المأمور به على وجهه وبجميع قيوده فلا يمكن بقاؤهما؛ لحصول الغرض الذي هو علّة الإرادة بماهيته، وبحصوله ينتهي أمد الإرادة والبعث، فبقاؤهما مستلزم لبقاء المعلول بلا علّة</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4563395_2142443653"/>
      <w:bookmarkStart w:id="448" w:name="_Toc163"/>
      <w:bookmarkEnd w:id="447"/>
      <w:r>
        <w:rPr>
          <w:rtl w:val="true"/>
        </w:rPr>
        <w:t>في تبديل الامتثال بالامتثال</w:t>
      </w:r>
      <w:bookmarkEnd w:id="448"/>
    </w:p>
    <w:p>
      <w:pPr>
        <w:pStyle w:val="BookText"/>
        <w:rPr/>
      </w:pPr>
      <w:r>
        <w:rPr>
          <w:rFonts w:ascii="Amiri" w:hAnsi="Amiri" w:eastAsia="Amiri" w:cs="Amiri"/>
          <w:color w:val="111111"/>
          <w:sz w:val="28"/>
          <w:sz w:val="28"/>
          <w:szCs w:val="28"/>
          <w:rtl w:val="true"/>
          <w:lang w:bidi="ar-SA"/>
        </w:rPr>
        <w:t>ثمّ إنّه وقع في المقام بحث آخر، وهو أنّه هل يكون للعبد تبديل امتثال بامتثال آخر أو لا، أو يكون له فيما إذا لم يكن الفعل علّة تامّة لحصول الغرض؟</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عدمه مطلقاً، وتوضيحه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أنّه فرق بين تبديل امتثال بامتثال، وتبديل مصداق المأمور به بمصداق آخر ولو لم يكن امتثالاً؛ فإنّ </w:t>
      </w:r>
    </w:p>
    <w:p>
      <w:pPr>
        <w:pStyle w:val="BookText"/>
        <w:rPr/>
      </w:pPr>
      <w:r>
        <w:rPr>
          <w:rFonts w:ascii="Amiri" w:hAnsi="Amiri" w:eastAsia="Amiri" w:cs="Amiri"/>
          <w:color w:val="111111"/>
          <w:sz w:val="28"/>
          <w:sz w:val="28"/>
          <w:szCs w:val="28"/>
          <w:rtl w:val="true"/>
          <w:lang w:bidi="ar-SA"/>
        </w:rPr>
        <w:t xml:space="preserve">تبديل الامتثال يتوقّف على تحقّق امتثالين مترتّبين؛ بمعنى أنّه يكون للمولى أمر متعلّق بطبيعة، فيمتثل المكلّف ويبقى الأمر، ثمّ يمتثل ثانياً ويجعل المصداق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تحقّق به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الأوّل الذي كان الامتثال تحقّق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تبديل مصداق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تحقّق به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بمصداق آخر، غير محقّق للامتثال، لكن محصِّل للغرض اقتضاءً مثل المصداق الأوّل أو بنحوٍ أوفى، فهو لا يتوقّف على بقاء الأمر، بل من قبيل تبديل مصداق المأمور به بمصداقٍ آخر لا بصفة كونه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كلام الأعلام إنّما هو الأوّل؛ أي تبديل الامتثال بالامتثال، كما هو ظاهر العنوان، ولهذا تصدّى المحقّق الخراساني لإقامة البرهان على بقاء الأمر</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الإمكان مطلقاً فيما هو محلّ كلامهم، والجواز فيما ذكرنا إذا لم يكن المصداق الأوّل علّة تامّة لحصول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فلحكم العقل بحسن تحصيل غرض المولى ولو لم يأمر به، ولزوم تحصيله إذا كان لازم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إذا وقع ابن المولى في هلكة وغفل المولى عنه ولم يأمر عبده بإنجائه، لزم بحكم العقل عليه إنجاؤه، ولو تركه يستحقّ العقوبة؛ وذلك لأنّ الأمر وسيلة لتحصيل الغرض ولا موضوعية له، وبعد علم المكلّف بغرض المولى لا يجوز له التقاعد عنه مع لزوم تحصيله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 له غرض غير لازم التحصيل ولم يأمر بتحصيله واطّلع المكلّف </w:t>
      </w:r>
    </w:p>
    <w:p>
      <w:pPr>
        <w:pStyle w:val="BookText"/>
        <w:rPr/>
      </w:pPr>
      <w:r>
        <w:rPr>
          <w:rFonts w:ascii="Amiri" w:hAnsi="Amiri" w:eastAsia="Amiri" w:cs="Amiri"/>
          <w:color w:val="111111"/>
          <w:sz w:val="28"/>
          <w:sz w:val="28"/>
          <w:szCs w:val="28"/>
          <w:rtl w:val="true"/>
          <w:lang w:bidi="ar-SA"/>
        </w:rPr>
        <w:t>عليه يحسن له تحصيله، ومعه يصير مأجوراً عليه ومورداً للعناية مع عدم كونه امتثالاً، فلو أمره بإتيان الماء للشرب فأتى بمصداق منه، ثمّ رأى مصداقاً آخر أوفى بغرضه فأتى به، ليختار المولى أحبّهما إليه، يكون ممتثلاً بإتيان الأوّل لا غير، ومورداً للعناية لإتيانه ما هو أوفى بغرض المولى، لا لصدق الامتثال وتبديل الامتثال بالامتثال،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الإمكان فيما هو محلّ كلامهم؛ فلعدم تعقّل بقاء الأمر مع الإتيان بمتعلّقه بجميع الخصوصيات المعتبرة فيه؛ لعين ما ذكر من البرهان سابقاً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رجع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يوهمه بعض عباراته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لكنّه لم يكن من تبديل الامتثال، وإن رجع إلى بقاء الطلب والأمر لبقاء الغرض المحدث للأمر، ولهذا لو أهرق الماء يجب عليه إتيانه، فهو خلط بين تبديل الامتثال وبين وجوب تحصيل الغرض المعلوم للمولى، فما هو موجب لصحّة العقوبة ليس عدم امتثال أمره، بل تفويت غرضه ولو لم يكن أمر، مع أنّ الغرض من الأمر هو تمكين المولى من الشرب، وهو حاصل، وأمّا رفع العطش فهو غرض أقصى مترتّب على فعل العبد وفعله، فبقاء الأمر مع تحصيل الغرض المحدث له من قبيل بقاء المعلول بلا علّة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الصلاة المعادة ليست من قبيل تبديل الامتثال بالامتثال، بل من قبيل إتيان مصداق من المأمور به وإتيان مصداق آخر له </w:t>
      </w:r>
    </w:p>
    <w:p>
      <w:pPr>
        <w:pStyle w:val="BookText"/>
        <w:rPr/>
      </w:pPr>
      <w:r>
        <w:rPr>
          <w:rFonts w:ascii="Amiri" w:hAnsi="Amiri" w:eastAsia="Amiri" w:cs="Amiri"/>
          <w:color w:val="111111"/>
          <w:sz w:val="28"/>
          <w:sz w:val="28"/>
          <w:szCs w:val="28"/>
          <w:rtl w:val="true"/>
          <w:lang w:bidi="ar-SA"/>
        </w:rPr>
        <w:t>خصوصية زائدة وإن لم يكن امتثالاً للأمر الواجب؛ ضرورة سقوطه بإتيان الصلاة الجامعة للشرائط، ولا يعقل بقاء الأمر بعد الإتيان بمتعلّقه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حكي</w:t>
      </w:r>
      <w:r>
        <w:rPr>
          <w:rStyle w:val="FootnoteAnchor"/>
          <w:rtl w:val="true"/>
        </w:rPr>
        <w:footnoteReference w:id="387"/>
      </w:r>
      <w:r>
        <w:rPr>
          <w:rFonts w:ascii="Amiri" w:hAnsi="Amiri" w:eastAsia="Amiri" w:cs="Amiri"/>
          <w:color w:val="111111"/>
          <w:sz w:val="28"/>
          <w:sz w:val="28"/>
          <w:szCs w:val="28"/>
          <w:rtl w:val="true"/>
          <w:lang w:bidi="ar-SA"/>
        </w:rPr>
        <w:t xml:space="preserve">عن ظاهر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شذّ من المتأخّرين</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قصد الاستحباب في المعادة؛ للأمر الاستحبابي المتعلّق بها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قضيّة الإيفاء بالغرض واختيار أحبّهما إليه وأمثال هذه التعبيرات التي تنزّه عنها مقام الربوبية، فهي على طبق فهم الناس، ولا بدّ من توجيهها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بعض محقّقي العصر رحمه الله علیه  بعد إنكار إمكان تبديل الامتثال بالامتثال، وتقسيم متعلّقات الأوامر إلى ما يكون علّة تامّة لحصول الغرض، وما يكون مقدّمة لتحصيله بفعل جوارحي من المولى كشرب الماء، أو جوانحي كالصلاة المعادة،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فعل العبد مقدّمة لبعض أفعال المولى، فإن قلنا بوجوب المقدّمة الموصلة كان المتّصف بالوجوب ما أوصل المولى إلى غرضه النفسي، وكان الفعل الآخر الذي أتى به العبد امتثالاً غير متّصف بالوجوب؛ لعدم الإيصال، فعليه لا يعقل تبديل الامتثال، وإن قلنا بالمقدّمة المطلقة فعدم إمكانه في غاية الوضوح؛ لسقوط الأمر بإتيانه</w:t>
      </w:r>
      <w:r>
        <w:rPr>
          <w:rStyle w:val="FootnoteAnchor"/>
          <w:rtl w:val="true"/>
        </w:rPr>
        <w:footnoteReference w:id="390"/>
      </w:r>
      <w:r>
        <w:rPr>
          <w:rFonts w:ascii="IRNazanin" w:hAnsi="IRNazanin" w:eastAsia="IRNazanin"/>
          <w:color w:val="111111"/>
          <w:sz w:val="28"/>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الوجوب المتعلّق بشيء لأجل تحصيل غرض من قبيل الوجوب المقدّمي، كانت جميع الوجوبات النفسية من قبيل المقدّمي، وهو لا يلتزم به، فما نحن فيه من قبيل الوجوب النفسي، لا المقدّمي حتّى يأتي فيه ما ذكر، وقد حقّقنا في محلّه ميزان النفسية والمقدّمية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لا يمكن الالتزام هاهنا بوجوب المقدّمة الموصلة؛ لأنّ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فرضت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تكون تحت قدرة العبد حتّى يتعلّق الوجوب بها، وفي المقام لا يكون الإيصال تحت قدرته؛ فإنّ المفروض أنّ فعل المولى أو اختياره متوسّط بين فعل العبد وحصول الغرض، فلا بدّ أن يتعلّق الأمر بنفس المقدّمة من غير لحاظ الإيصال، أو التقيّد به، أو الحصّة الملازمة، أو بنحو القضيّة الحينية، وأمثال ما ذكر؛ فإنّ الإيجاب بنحو القضيّة الحينية أيضاً إنّما يتصوّر فيما إذا كان الظرف موجوداً أو يكون إيجاده تحت قدرة المكلّف، وهما مفقودان هاهنا؛ فإنّ الوجوب حين وجود ذي المقدّمة لا يتصوّر، والمفروض أنّ إيجاده غير مقدور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هو ما يتعقّبه اختيار المولى بنحو الشرط المتأخّر، فلا يكون الواجب هو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القضيّة الحينية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الإطلاق، حتّى يلزمه تحصيل القيد، بل المشروط بالشرط المتأخّر، فإذا أتى بها ولم يتعقّبها اختياره يكشف ذلك عن عدم وجوبها، فحينئذٍ يخرج عن موضوع تبديل الامتثال، تدبّر</w:t>
      </w:r>
      <w:r>
        <w:rPr>
          <w:rFonts w:eastAsia="Amiri" w:cs="Amiri" w:ascii="Amiri" w:hAnsi="Amiri"/>
          <w:color w:val="111111"/>
          <w:sz w:val="28"/>
          <w:szCs w:val="28"/>
          <w:rtl w:val="true"/>
          <w:lang w:bidi="ar-SA"/>
        </w:rPr>
        <w:t xml:space="preserve">. </w:t>
      </w:r>
      <w:bookmarkStart w:id="449" w:name="pg15283_146392"/>
    </w:p>
    <w:p>
      <w:pPr>
        <w:pStyle w:val="Heading5"/>
        <w:numPr>
          <w:ilvl w:val="4"/>
          <w:numId w:val="1"/>
        </w:numPr>
        <w:rPr/>
      </w:pPr>
      <w:bookmarkStart w:id="450" w:name="__RefHeading___Toc4563397_2142443653"/>
      <w:bookmarkStart w:id="451" w:name="_Toc164"/>
      <w:bookmarkEnd w:id="449"/>
      <w:bookmarkEnd w:id="450"/>
      <w:r>
        <w:rPr>
          <w:rtl w:val="true"/>
        </w:rPr>
        <w:t>الموضع الثاني في أنّ الإتيان بالفرد الاضطراري مقتضٍ للإجزاء</w:t>
      </w:r>
      <w:bookmarkEnd w:id="451"/>
    </w:p>
    <w:p>
      <w:pPr>
        <w:pStyle w:val="BookText"/>
        <w:rPr/>
      </w:pPr>
      <w:r>
        <w:rPr>
          <w:rFonts w:ascii="Amiri" w:hAnsi="Amiri" w:eastAsia="Amiri" w:cs="Amiri"/>
          <w:color w:val="111111"/>
          <w:sz w:val="28"/>
          <w:sz w:val="28"/>
          <w:szCs w:val="28"/>
          <w:rtl w:val="true"/>
          <w:lang w:bidi="ar-SA"/>
        </w:rPr>
        <w:t>وفيه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الإعادة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فرض الكلام فيما إذا كان المكلّف مضطرّاً في بعض الوقت، فأتى بوظيفته الاضطرارية، ثمّ طرأ الاختيار، وأيضاً موضوع البحث ما إذا كان الأمر بإتيان الفرد الاضطراري محقّقاً؛ أي يكون الاضطرار في بعض الوقت موضوعاً للتكليف بالإتيان، وصرف وجود الاضطرار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دلّت الأدلّة على أنّ استيعاب الاضطرار مسوّغ للإتيان، فهو خارج عن موضوع البحث؛ لأ نّه مع عدم الاستيعاب لم يكن مأموراً بالإتيان، ومحلّ البحث هو الإتيان بالمأمور به بالأمر الاضطراري، ومع استيعابه وعدم طروّ الاختيار في الوقت يخرج عن موضوع الإعادة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الإجزاء بناءً على أنّ محطّ البحث هو الوجه الثاني من الوجهين المتقدّمين</w:t>
      </w:r>
      <w:r>
        <w:rPr>
          <w:rStyle w:val="FootnoteAnchor"/>
          <w:rtl w:val="true"/>
        </w:rPr>
        <w:footnoteReference w:id="392"/>
      </w:r>
      <w:r>
        <w:rPr>
          <w:rFonts w:ascii="Amiri" w:hAnsi="Amiri" w:eastAsia="Amiri" w:cs="Amiri"/>
          <w:color w:val="111111"/>
          <w:sz w:val="28"/>
          <w:sz w:val="28"/>
          <w:szCs w:val="28"/>
          <w:rtl w:val="true"/>
          <w:lang w:bidi="ar-SA"/>
        </w:rPr>
        <w:t xml:space="preserve">في كمال الوضوح؛ لأنّ المفروض عدم تعدّد الأمر، وأنّ الأمر متعلّق بالطبيعة التي لها مصاديق اختيارية واضطرارية، فإذا دلّ الدليل على جواز الإتيان في حال الاضطرار بالفرد الاضطراري، يصير العبد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أو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الإتيان بالفرد الاضطراري في حاله، وبين الانتظار إلى زمان طروّ </w:t>
      </w:r>
    </w:p>
    <w:p>
      <w:pPr>
        <w:pStyle w:val="BookText"/>
        <w:rPr/>
      </w:pPr>
      <w:r>
        <w:rPr>
          <w:rFonts w:ascii="Amiri" w:hAnsi="Amiri" w:eastAsia="Amiri" w:cs="Amiri"/>
          <w:color w:val="111111"/>
          <w:sz w:val="28"/>
          <w:sz w:val="28"/>
          <w:szCs w:val="28"/>
          <w:rtl w:val="true"/>
          <w:lang w:bidi="ar-SA"/>
        </w:rPr>
        <w:t>الاختيار والإتيان بالاختياري، فإذا أتى بالفرد الاضطراري فقد أتى بالطبيعة المأمور بها بجميع الخصوصيات المعتبرة فيها، ولا يعقل بقاء الأمر مع الإتيان بالمأمور به، والمفروض أنّ الفرد الاضطراري مصداق الطبيعة المأمور بها، فلا مجال للتشكيك في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 حال القضاء مع استيعاب العذر أيضاً؛ لأنّ وجوب القضاء فرع الفوت، ومع الإتيان بالطبيعة المأمور بها لا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تعلّق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بالطبيعة المقيّدة بالطهارة المائية مثلاً للواجد، والثاني بالمقيّدة بالترابية للفاقد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w:t>
      </w:r>
    </w:p>
    <w:p>
      <w:pPr>
        <w:pStyle w:val="BookText"/>
        <w:rPr/>
      </w:pPr>
      <w:r>
        <w:rPr>
          <w:rFonts w:ascii="Amiri" w:hAnsi="Amiri" w:eastAsia="Amiri" w:cs="Amiri"/>
          <w:color w:val="111111"/>
          <w:sz w:val="28"/>
          <w:sz w:val="28"/>
          <w:szCs w:val="28"/>
          <w:rtl w:val="true"/>
          <w:lang w:bidi="ar-SA"/>
        </w:rPr>
        <w:t>أن يدلّ دليل على وحدة التكليف كما في الصلاة، فيستفاد منه التخيير بين إتيانها في حال العجز مع الطهارة الترابية، وبين الصبر إلى زوال العذر وإتيانها مع المائية، فلا محالة يكون الإتيان بأحد طرفي التخيير موجباً للإجزاء وسقوط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استفدنا من الأدلّة أنّ تعلّق الأمرين بالواجد والفاقد ليس لأجل كون الصلاتين مطلوبتين مستقلّتين، بل لأجل إفادة الشرطية أو الجزئية؛ حيث فرض عدم إمكان جعلهما مستقلاًّ، بل لا بدّ من جعلهما تبعاً للتكليف، فيكون المطلوب هو الصلاة الواحدة، لكن شرطها في ظرف الاختيار شيء وفي ظرف الاضطرار شيء آخر، فتعلّق الأمر المستقلّ بهما لضيق الخناق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بنينا على عدم إمكان أخذ قصد الامتثال في التعبّدي في متعلّق أمره وإمكان إفادته بأمر آخر؛ فإنّ الأمر بإتيان المأمور به مع قصد امتثال أمره ليس لإفادة مطلوب مستقلّ، بل لإفادة خصوصيات المطلوب الأوّل وما هو دخيل في </w:t>
      </w:r>
    </w:p>
    <w:p>
      <w:pPr>
        <w:pStyle w:val="BookText"/>
        <w:rPr/>
      </w:pPr>
      <w:r>
        <w:rPr>
          <w:rFonts w:ascii="Amiri" w:hAnsi="Amiri" w:eastAsia="Amiri" w:cs="Amiri"/>
          <w:color w:val="111111"/>
          <w:sz w:val="28"/>
          <w:sz w:val="28"/>
          <w:szCs w:val="28"/>
          <w:rtl w:val="true"/>
          <w:lang w:bidi="ar-SA"/>
        </w:rPr>
        <w:t>الغرض، ففي هذه الصورة أيضاً مقتضى الأدلّة هو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بنينا على تعدّد الطلب والمطلوب، فلا بدّ من فرض كون الأمر المتعلّق بالبدل من قبيل الترخيص لا الإلزام، فحينئذٍ إن كان للدليلين إطلاق فمقتضى إطلاق دليل المبدل عدم الإجزاء، ولا يضادّه إطلاق دليل البدل؛ لأنّ مقتضاه ليس إلاّ جواز الإتيان به عند طروّ العجز، وأمّا إجزاؤه عن المأمور به بأمر آخر فلا،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إلاّ على جواز الإتيان بالصلاة في ظرف فقدان الماء، فإذا فرض كون الصلاة مع الطهارة الترابية متعلّقة لأمر، ومع المائية لأمر آخر، فمقتضى إطلاق الأوّل جواز البدار، ولازمه سقوط أمره، لاسقوط الأمر المتعلّق بالصلاة مع المائية، كما أنّ مقتضى إطلاقه ليس استيفاء تمام مصلحة الصلاة المشروطة بالمائية، أو استيفاء مقدار لم تبق معه مصلحة ملزمة، أو لم يمكن معه استيفاؤها، فلا بدّ للإجزاء من التماس دليل آخر غير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فرغنا عن دلالة أدلّة الاضطرار على أنّه أعمّ من العذر المستوعب، كما هو مفروض الباب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إهمال الأدلّة في المبدل منه والبدل، فمقتضى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الأمر واحد، وخصوصيات حال الاختيار والاضطرار ترجع إلى أفراد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الاشتغال؛ لأنّ التكليف المتعلّق بالطبيعة متيقّن، ونشكّ في سقوطه بإتيان الفرد الاضطراري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الأمرين بالنحو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للفاقد أمر وللواجد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البراءة؛ لأنّ الفاقد يعلم بعدم توجّه تكليف الواجد إليه حين كونه فاقداً، ويحتمل كونه مرخّصاً في إتيان الصلاة مع الطهارة الترابية؛ لاحتمال كون العجز المأخوذ في موضوع تكليفه هو الغير المستوعب، فإذا أتى بالصلاة مع الترابية رجاءً يحتمل كونه آتياً بما هو وظيفته، وهو إتيان أحد طرفي التخيير، ومعه يشكّ في تعلّق التكليف عليه بالصلاة مع المائية عند وجدان الماء، فيكون شكّه في حدوث التكليف وتعلّقه، لا في سقوطه بعد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قلنا من كونه مخيّراً بين إتيانه للفرد الاضطراري حال الاضطرار وبين الصبر إلى زوال العذر، ليس بمعنى تعلّق تكليف المختار به ولو تعليقاً في حال اضطراره حتّى يكون التخيير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بسقوط الأمر في موارد الاضطرار، وأمّا إذا قلنا بعدمه فالأصل، الاشتغال،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يكون من قبيل دوران الأمر بين التعيين والتخيير؛ لأنّ المكلّف يعلم بأ نّه إمّا يجب عليه الانتظار إلى آخر الوقت وإتيان الصلاة مع الوضوء، أو مخيّر بين الإتيان بالترابية وبين الصبر إلى وجدان الماء والإتيان بالمائية، ومعه تكون قاعدة الاشتغال محكّمة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تعلّق أمرين بعنوانين يعلم المكلّف الفاقد بأ نّه ليس </w:t>
      </w:r>
    </w:p>
    <w:p>
      <w:pPr>
        <w:pStyle w:val="BookText"/>
        <w:rPr/>
      </w:pPr>
      <w:r>
        <w:rPr>
          <w:rFonts w:ascii="Amiri" w:hAnsi="Amiri" w:eastAsia="Amiri" w:cs="Amiri"/>
          <w:color w:val="111111"/>
          <w:sz w:val="28"/>
          <w:sz w:val="28"/>
          <w:szCs w:val="28"/>
          <w:rtl w:val="true"/>
          <w:lang w:bidi="ar-SA"/>
        </w:rPr>
        <w:t>مكلّفاً بتكليف الواجد، بل يحتمل كونه مرخّصاً في إتيان الصلاة مع الترابية، ويحتمل كونه غير مكلّف بالصلاة في الحال، وإنّما يتعلّق التكليف به بالمائية حال وجدانه، بل لا يجب عليه الانتظار أيضاً؛ لأ نّه غير متعلّق لتكليف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حال الفقدان تكليف فعلي متوجّه إليه بإتيان الصلاة مع الطهارة المائية حتّى يكون من قبيل التعيين والتخيير، ولا يكون التخيير بين الإتيان في الحال والإتيان في الاستقبال من قبيل تكليف شرعي تخييري، بل يكون من قبيل أمر انتزاعي من الترخيص في إتيانها في الحال، ومن الإيجاب في الاستقبال حين تعلّق التكليف به على فرض عدم الإتيان، ومثل ذلك لا يرجع إلى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بعدم منجّزية العلم الإجمالي في التدريجيات؛ لعدم العلم بالتكليف الفعلي، وأمّا معها فالظاهر أنّ الأصل الاشتغال؛ لدوران الأمر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الإعادة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القضاء فالأصل فيه البراءة؛ فإنّ وجوب القضاء فرع إحراز الفوت، ومع الإتيان بالمحتمل يشكّ فيه، ولا يمكن إحرازه باستصحاب عدم الإتيان بالفريضة إلاّ على القول بالأصل المثبت</w:t>
      </w:r>
      <w:r>
        <w:rPr>
          <w:rFonts w:eastAsia="Amiri" w:cs="Amiri" w:ascii="Amiri" w:hAnsi="Amiri"/>
          <w:color w:val="111111"/>
          <w:sz w:val="28"/>
          <w:szCs w:val="28"/>
          <w:rtl w:val="true"/>
          <w:lang w:bidi="ar-SA"/>
        </w:rPr>
        <w:t xml:space="preserve">. </w:t>
      </w:r>
      <w:bookmarkStart w:id="452" w:name="pg15283_146397"/>
    </w:p>
    <w:p>
      <w:pPr>
        <w:pStyle w:val="Heading5"/>
        <w:numPr>
          <w:ilvl w:val="4"/>
          <w:numId w:val="1"/>
        </w:numPr>
        <w:rPr/>
      </w:pPr>
      <w:bookmarkStart w:id="453" w:name="__RefHeading___Toc4563399_2142443653"/>
      <w:bookmarkStart w:id="454" w:name="_Toc165"/>
      <w:bookmarkEnd w:id="452"/>
      <w:bookmarkEnd w:id="453"/>
      <w:r>
        <w:rPr>
          <w:rtl w:val="true"/>
        </w:rPr>
        <w:t>الموضع الثالث في الإتيان بالمأمور به بالأمر الظاهري</w:t>
      </w:r>
      <w:bookmarkEnd w:id="454"/>
    </w:p>
    <w:p>
      <w:pPr>
        <w:pStyle w:val="Heading6"/>
        <w:numPr>
          <w:ilvl w:val="5"/>
          <w:numId w:val="1"/>
        </w:numPr>
        <w:rPr/>
      </w:pPr>
      <w:bookmarkStart w:id="455" w:name="__RefHeading___Toc4563401_2142443653"/>
      <w:bookmarkStart w:id="456" w:name="_Toc166"/>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وفيه مقامان</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4563403_2142443653"/>
      <w:bookmarkStart w:id="458" w:name="_Toc167"/>
      <w:bookmarkEnd w:id="457"/>
      <w:r>
        <w:rPr>
          <w:rtl w:val="true"/>
        </w:rPr>
        <w:t>المقام الأوّل</w:t>
      </w:r>
      <w:r>
        <w:rPr>
          <w:rtl w:val="true"/>
        </w:rPr>
        <w:t xml:space="preserve">: </w:t>
      </w:r>
      <w:r>
        <w:rPr>
          <w:rtl w:val="true"/>
        </w:rPr>
        <w:t>في أنّ الإتيان بمقتضى الأمارات هل موجب للإجزاء؟</w:t>
      </w:r>
      <w:bookmarkEnd w:id="458"/>
    </w:p>
    <w:p>
      <w:pPr>
        <w:pStyle w:val="BookText"/>
        <w:rPr/>
      </w:pPr>
      <w:r>
        <w:rPr>
          <w:rFonts w:ascii="Amiri" w:hAnsi="Amiri" w:eastAsia="Amiri" w:cs="Amiri"/>
          <w:color w:val="111111"/>
          <w:sz w:val="28"/>
          <w:sz w:val="28"/>
          <w:szCs w:val="28"/>
          <w:rtl w:val="true"/>
          <w:lang w:bidi="ar-SA"/>
        </w:rPr>
        <w:t>ومحلّ الكلام في المقام وكذا في المقام الآتي أيضاً فيما إذا كان المكلّف مأموراً بمركّب ذي شرائط وموانع، وقام دليل من أمارة أو أصل على تحقّق جزء أو شرط أو عدم تحقّق مانع، ولم يكن الأمر كذلك، أو على نفي جزئية شيء أو شرطية شيء أو مانعية شيء، وكان المأمور به واقعاً بخلاف ذلك، فيقع الكلام في أنّ الإتيان بمصداق الصلاة مثلاً مع ترك ما يعتبر فيها؛ استناداً إلى الأمارة أو</w:t>
      </w:r>
    </w:p>
    <w:p>
      <w:pPr>
        <w:pStyle w:val="BookText"/>
        <w:rPr/>
      </w:pPr>
      <w:r>
        <w:rPr>
          <w:rFonts w:ascii="Amiri" w:hAnsi="Amiri" w:eastAsia="Amiri" w:cs="Amiri"/>
          <w:color w:val="111111"/>
          <w:sz w:val="28"/>
          <w:sz w:val="28"/>
          <w:szCs w:val="28"/>
          <w:rtl w:val="true"/>
          <w:lang w:bidi="ar-SA"/>
        </w:rPr>
        <w:t>الأصل، هل يوجب الإجزاء أم لا؟</w:t>
      </w:r>
    </w:p>
    <w:p>
      <w:pPr>
        <w:pStyle w:val="BookText"/>
        <w:rPr/>
      </w:pPr>
      <w:r>
        <w:rPr>
          <w:rFonts w:ascii="Amiri" w:hAnsi="Amiri" w:eastAsia="Amiri" w:cs="Amiri"/>
          <w:color w:val="111111"/>
          <w:sz w:val="28"/>
          <w:sz w:val="28"/>
          <w:szCs w:val="28"/>
          <w:rtl w:val="true"/>
          <w:lang w:bidi="ar-SA"/>
        </w:rPr>
        <w:t>أمّا إذا قامت أمارة أو أصل على عدم وجوب شيء، فتركه المكلّف ثمّ تبيّن وجوبه، فلا يدخل في محطّ البحث، ولا معنى للإجزاء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فالأمارة تارةً تكون عقلائية ولم يرد من الشرع أمر باتّباعها، ولكن استكشفنا إمضاءها من عدم الردع، واُخرى هذا الفرض مع ورود أمر إرشادي منه باتّباعها، وثالثةً تكون تأسيسية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عنوان القوم خروج الفرض الأوّل عن محطّ البحث، بل الثاني أيضاً؛ لأنّ الأمر الإرشادي لم يكن أمراً حقيقةً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الإجزاء في الأمارات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الفرضين الأوّلين فلأنّ المتّبع فيهما هو طريقة العقلاء؛ لعدم تأسيس للشارع، ولا إشكال في أنّهم إنّما يعملون على طبق الأمارات؛ لمحض الكشف عن الواقع، مع حفظه على ما هو عليه، من غير تصرّف فيه وانقلاب عمّا هو عليه، ومع تبيّن الخلاف لا معنى للإجزاء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الأمارة تأسيسية؛ فلأنّ معنى الأمارة هو الكاشف عن الواقع، وإيجاب العمل على طبقها إنّما هو لمحض الكاشفية عن الواقع المحفوظ، من غير تصرّف فيه وانقلاب، وإلاّ لخرجت الأمارة عن الأمارية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دليل الحجّية في الأمارات والاُصول سواء، وهو وجوب ترتيب الأثر عملاً على قول العادل، فمقتضى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العملي وإتيان المأمور به على طبق قوله، وهو يقتضي الإجزاء كما يأتي في الاُصول</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تامّ؛ لأنّ إيجاب تصديق العادل لأجل ثقته وعدم كذبه وإيصال المكلّف إلى الواقع المحفوظ، كما هو كذلك عند العقلاء في الأمارات العقلائية، ولا يفهم العرف والعقلاء من مثل هذا الدليل إلاّ ما هو المركوز في أذهانهم من الأمارات، لا انقلاب الواقع عمّا هو عليه، بخلاف أدلّة الاُصول على ما سيأتي بيانه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الإجزاء مع جعل الأمارة وإيجاب العمل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الكشف عن الواقع كما هو شأن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متنافيان لدى العرف </w:t>
      </w:r>
      <w:bookmarkStart w:id="459" w:name="pg15283_146399"/>
    </w:p>
    <w:p>
      <w:pPr>
        <w:pStyle w:val="BookText"/>
        <w:rPr/>
      </w:pPr>
      <w:bookmarkEnd w:id="459"/>
      <w:r>
        <w:rPr>
          <w:rFonts w:ascii="Amiri" w:hAnsi="Amiri" w:eastAsia="Amiri" w:cs="Amiri"/>
          <w:color w:val="111111"/>
          <w:sz w:val="28"/>
          <w:sz w:val="28"/>
          <w:szCs w:val="28"/>
          <w:rtl w:val="true"/>
          <w:lang w:bidi="ar-SA"/>
        </w:rPr>
        <w:t>والعقلاء، هذا من غير فرق فيما ذكرنا بين الأمارات القائمة على الأحكام أو الموضوعات</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4563405_2142443653"/>
      <w:bookmarkStart w:id="461" w:name="_Toc168"/>
      <w:bookmarkEnd w:id="460"/>
      <w:r>
        <w:rPr>
          <w:rtl w:val="true"/>
        </w:rPr>
        <w:t>المقام الثاني</w:t>
      </w:r>
      <w:r>
        <w:rPr>
          <w:rtl w:val="true"/>
        </w:rPr>
        <w:t xml:space="preserve">: </w:t>
      </w:r>
      <w:r>
        <w:rPr>
          <w:rtl w:val="true"/>
        </w:rPr>
        <w:t>في أنّ الإتيان بمؤدّى الاُصول هل يقتضي الإجزاء؟</w:t>
      </w:r>
      <w:bookmarkEnd w:id="461"/>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الإجزاء فيها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مثل أصالتي الطهارة والحلّية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فلحكومة أدلّتهما على أدلّة الشرائط؛</w:t>
      </w:r>
    </w:p>
    <w:p>
      <w:pPr>
        <w:pStyle w:val="BookText"/>
        <w:rPr/>
      </w:pP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 نّه قذر</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محقّق 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أي محقّق للطهور 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جواز ترتيب آثار الطهارة على المشكوك فيه بلسان تحقّقه، فيفهم منه عرفاً أنّ الصلاة المشروطة بالطهارة يجوز الإتيان بها في حال الشكّ بهذه الكيفية، ويكون المأتيّ به مع هذه الكيفية مصداقاً للصلاة المأمور بها وواجداً لما هو شرطها، وهو معنى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ينكشف الواقع</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لانكشاف الخلاف هاهنا؛ لأنّ الأصل ليس طريقاً للواقع يطابقه تارةً ويخالفه اُخرى مثل الأمارة؛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 الخلاف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الكلام في أصالة الحلّ ؛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فيه حلال وحرام فهو لك </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Style w:val="FootnoteAnchor"/>
          <w:rtl w:val="true"/>
        </w:rPr>
        <w:footnoteReference w:id="399"/>
      </w:r>
      <w:r>
        <w:rPr>
          <w:rFonts w:ascii="Amiri" w:hAnsi="Amiri" w:eastAsia="Amiri" w:cs="Amiri"/>
          <w:color w:val="111111"/>
          <w:sz w:val="28"/>
          <w:sz w:val="28"/>
          <w:szCs w:val="28"/>
          <w:rtl w:val="true"/>
          <w:lang w:bidi="ar-SA"/>
        </w:rPr>
        <w:t>إلى آخره حاكم على ما دلّ على عدم جواز الصلاة في محرّم الأكل، ويفهم منه عرفاً كون الوظيفة في هذا الحال إتيان الصلاة بهذه الكيفية، فيصير المأتيّ به كذلك مصداقاً للمأمور به تعبّداً، فيسقط الأمر المتعلّق بطبيعة الصلاة بإتيانها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حكومة أدلّة الاُصول على أدلّة اعتبار الشرائط والموانع في المركّبات، لا على أدلّة النجاسات والمحرّمات؛ حتّى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الحكومة بينهما ظاهرية في طول المجعول الواقعي؛ لأنّ الشكّ اُخذ في موضوع الاُصول، ولا تنتج تلك الحكومة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الظاهري إنّما هو واقع في مرتبة إحراز الواقع، والبناء العملي عليه بعد انحفاظ الواقع على ما هو عليه، فلا يمكن أن يكون موسّعاً أو مضيّقاً للمجعول الواقعي، وأيضاً يلزم من ذلك التزام طهارة ملاقي مشكوك الطهارة بعد انكشاف الخلاف، وهو كما ترى</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من الخلط؛ فإنّ القائل بالإجزاء لا يدّعي أنّ أصالة الطهارة حاكمة على أدلّة النجاسات وأنّها في زمان الشكّ طاهرة،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محفوظة على واقعيتها، وملاقيها أيضاً نجس حتّى في زمان الشكّ، لكن يدّعي حكومتها على أدلّة الاشتراط، وأنّ ما هو نجس واقعاً يجوز </w:t>
      </w:r>
    </w:p>
    <w:p>
      <w:pPr>
        <w:pStyle w:val="BookText"/>
        <w:rPr/>
      </w:pPr>
      <w:r>
        <w:rPr>
          <w:rFonts w:ascii="Amiri" w:hAnsi="Amiri" w:eastAsia="Amiri" w:cs="Amiri"/>
          <w:color w:val="111111"/>
          <w:sz w:val="28"/>
          <w:sz w:val="28"/>
          <w:szCs w:val="28"/>
          <w:rtl w:val="true"/>
          <w:lang w:bidi="ar-SA"/>
        </w:rPr>
        <w:t>ترتيب آثار الطهارة عليه في زمان الشكّ، ومن الآثار إتيان الصلاة المشروطة بها بلسان تحقّق الطهارة، ولازمه تحقّق مصداق المأمور به لأجل حكومتها على أدلّة الشرائط والموانع، والخلط بين المقامين أوقع المستشكل فيما أوقعه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إنّما تستقيم إذا كانت الطهارة والحلّية الظاهريتان مجعولتين أوّلاً، ثمّ قام دليل على أنّ ما هو الشرط في الصلاة أعمّ منهما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غاية السقوط؛ ضرورة أنّ الحكومة من كيفية لسان الدليل،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المشكوك فيه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عرفاً على أدلّة اشتراط الطهارة، ولا يلزم فيها التصريح بأنّ الشرط أعمّ من الواقعية والظاهرية، كما لا يحتاج إلى جعل حكمين طوليين ظاهري وواقعي، بل يكفي جعل الظاهري ويكشف منه عرفاً أعمّية الشرط من أوّل الأمر من الواقعي،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أصالتي الطهارة والحلّية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الكلام في حديث الرفع</w:t>
      </w:r>
      <w:r>
        <w:rPr>
          <w:rStyle w:val="FootnoteAnchor"/>
          <w:rtl w:val="true"/>
        </w:rPr>
        <w:footnoteReference w:id="402"/>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جواز حمله على رفع ما لا يعلمون واقعاً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الرفع الظاهري؛ أي ترتيب آثار رفع المشكوك فيه بلسان رفع الموضوع، فإذا شكّ في جزئية شيء أو شرطيته أو مانعية شيء، وكذا إذا شكّ في كون شيء مانعاً موضوعاً، فمقتضى </w:t>
      </w:r>
    </w:p>
    <w:p>
      <w:pPr>
        <w:pStyle w:val="BookText"/>
        <w:rPr/>
      </w:pPr>
      <w:r>
        <w:rPr>
          <w:rFonts w:ascii="Amiri" w:hAnsi="Amiri" w:eastAsia="Amiri" w:cs="Amiri"/>
          <w:color w:val="111111"/>
          <w:sz w:val="28"/>
          <w:sz w:val="28"/>
          <w:szCs w:val="28"/>
          <w:rtl w:val="true"/>
          <w:lang w:bidi="ar-SA"/>
        </w:rPr>
        <w:t>حديث الرفع هو جواز ترتيب آثار الرفع ظاهراً، ومنها جواز إتيان المأمور به على مقتضاه في مقام الفراغ عن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ورد من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ودلّت الأدلّة على اعتبار الأجزاء والشرائط، وورد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يفهم منه عرفاً أنّ كيفية إطاعة الأمر في حال الشكّ في السورة هو الإتيان بالمأمور به بلا سورة مثلاً، ومع الشكّ في مانعية شيء هو جواز الإتيان به معه، فإذا أتى به كذلك أتى بالمأمور به؛ لحكومة دليل الرفع على أدلّة الجزء والشرط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دليله</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بملاحظة مورده وهو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العملي على بقاء المتيقّن في زمان الشكّ، أو وجوب ترتيب آثاره ولو بضميمة الكبريات الكلّية التي هي المجعولات الأوّلية، وانسلاك المستصحب بدليله وحكومته في موضوعها على ما قرّرنا في محلّه</w:t>
      </w:r>
      <w:r>
        <w:rPr>
          <w:rStyle w:val="FootnoteAnchor"/>
          <w:rtl w:val="true"/>
        </w:rPr>
        <w:footnoteReference w:id="405"/>
      </w:r>
      <w:r>
        <w:rPr>
          <w:rFonts w:ascii="Amiri" w:hAnsi="Amiri" w:eastAsia="Amiri" w:cs="Amiri"/>
          <w:color w:val="111111"/>
          <w:sz w:val="28"/>
          <w:sz w:val="28"/>
          <w:szCs w:val="28"/>
          <w:rtl w:val="true"/>
          <w:lang w:bidi="ar-SA"/>
        </w:rPr>
        <w:t>، وعلى أيّ حال يكون حاله حال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التجاوز والفراغ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غالب أدلّتها وجوب المضيّ</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الاعتناء بالشكّ، وفي بعضها البناء العملي على وجود المشكوك فيه تعبّداً، </w:t>
      </w:r>
    </w:p>
    <w:p>
      <w:pPr>
        <w:pStyle w:val="BookText"/>
        <w:rPr/>
      </w:pPr>
      <w:r>
        <w:rPr>
          <w:rFonts w:ascii="Amiri" w:hAnsi="Amiri" w:eastAsia="Amiri" w:cs="Amiri"/>
          <w:color w:val="111111"/>
          <w:sz w:val="28"/>
          <w:sz w:val="28"/>
          <w:szCs w:val="28"/>
          <w:rtl w:val="true"/>
          <w:lang w:bidi="ar-SA"/>
        </w:rPr>
        <w:t>كصحيحة حمّاد</w:t>
      </w:r>
      <w:r>
        <w:rPr>
          <w:rStyle w:val="FootnoteAnchor"/>
          <w:rtl w:val="true"/>
        </w:rPr>
        <w:footnoteReference w:id="406"/>
      </w:r>
      <w:r>
        <w:rPr>
          <w:rFonts w:ascii="Amiri" w:hAnsi="Amiri" w:eastAsia="Amiri" w:cs="Amiri"/>
          <w:color w:val="111111"/>
          <w:sz w:val="28"/>
          <w:sz w:val="28"/>
          <w:szCs w:val="28"/>
          <w:rtl w:val="true"/>
          <w:lang w:bidi="ar-SA"/>
        </w:rPr>
        <w:t>وموثّقة عبدالرحمان</w:t>
      </w:r>
      <w:r>
        <w:rPr>
          <w:rStyle w:val="FootnoteAnchor"/>
          <w:rtl w:val="true"/>
        </w:rPr>
        <w:footnoteReference w:id="407"/>
      </w:r>
      <w:r>
        <w:rPr>
          <w:rFonts w:ascii="Amiri" w:hAnsi="Amiri" w:eastAsia="Amiri" w:cs="Amiri"/>
          <w:color w:val="111111"/>
          <w:sz w:val="28"/>
          <w:sz w:val="28"/>
          <w:szCs w:val="28"/>
          <w:rtl w:val="true"/>
          <w:lang w:bidi="ar-SA"/>
        </w:rPr>
        <w:t xml:space="preserve">، ولازم ذلك الإجزاء، سواء قلنا بأ نّها أصل محرز، أو أنّها أصل تعبّدي غير محرز؛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بالبناء التعبّدي على وجود المشكوك فيه أو بالمضيّ وعدم الاعتناء بالشكّ، هو جواز إتيان المأمور به أو لزومه بهذه الكيفية، فيصير المأتيّ به مصداقاً للمأمور به تعبّداً، فيسقط الأمر، ولا نعني بالإجزاء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فرض استفادة الطريقية من أدلّتها فلازمها عدم الإجزاء، لكنّها ممنوعة، والتفصيل موكول إلى محلّه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عدم الإجزاء في الأمارات والإجزاء</w:t>
      </w:r>
    </w:p>
    <w:p>
      <w:pPr>
        <w:pStyle w:val="BookText"/>
        <w:rPr/>
      </w:pPr>
      <w:r>
        <w:rPr>
          <w:rFonts w:ascii="Amiri" w:hAnsi="Amiri" w:eastAsia="Amiri" w:cs="Amiri"/>
          <w:color w:val="111111"/>
          <w:sz w:val="28"/>
          <w:sz w:val="28"/>
          <w:szCs w:val="28"/>
          <w:rtl w:val="true"/>
          <w:lang w:bidi="ar-SA"/>
        </w:rPr>
        <w:t>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حال تبدّل رأي المجتهد بالنسبة إلى أعماله وأعمال مقلّديه، فقد تصدّينا لتفصيله في بحث الاجتهاد والتقليد</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5283_146404"/>
    </w:p>
    <w:p>
      <w:pPr>
        <w:pStyle w:val="Heading3"/>
        <w:numPr>
          <w:ilvl w:val="2"/>
          <w:numId w:val="1"/>
        </w:numPr>
        <w:rPr/>
      </w:pPr>
      <w:bookmarkStart w:id="463" w:name="__RefHeading___Toc4563407_2142443653"/>
      <w:bookmarkStart w:id="464" w:name="_Toc169"/>
      <w:bookmarkEnd w:id="462"/>
      <w:bookmarkEnd w:id="463"/>
      <w:r>
        <w:rPr>
          <w:rtl w:val="true"/>
        </w:rPr>
        <w:t>الفصل الرابع في مقدّمة الواجب</w:t>
      </w:r>
      <w:bookmarkEnd w:id="464"/>
    </w:p>
    <w:p>
      <w:pPr>
        <w:pStyle w:val="Heading4"/>
        <w:numPr>
          <w:ilvl w:val="3"/>
          <w:numId w:val="1"/>
        </w:numPr>
        <w:rPr/>
      </w:pPr>
      <w:bookmarkStart w:id="465" w:name="__RefHeading___Toc4563409_2142443653"/>
      <w:bookmarkStart w:id="466" w:name="_Toc170"/>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وقبل الخوض في المقصود ينبغي تقديم اُمور</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4563411_2142443653"/>
      <w:bookmarkStart w:id="468" w:name="_Toc171"/>
      <w:bookmarkEnd w:id="467"/>
      <w:r>
        <w:rPr>
          <w:rtl w:val="true"/>
        </w:rPr>
        <w:t>الأمر الأوّل</w:t>
      </w:r>
      <w:r>
        <w:rPr>
          <w:rtl w:val="true"/>
        </w:rPr>
        <w:t xml:space="preserve">: </w:t>
      </w:r>
      <w:r>
        <w:rPr>
          <w:rtl w:val="true"/>
        </w:rPr>
        <w:t>في محطّ البحث</w:t>
      </w:r>
      <w:bookmarkEnd w:id="468"/>
    </w:p>
    <w:p>
      <w:pPr>
        <w:pStyle w:val="BookText"/>
        <w:rPr/>
      </w:pPr>
      <w:r>
        <w:rPr>
          <w:rFonts w:ascii="Amiri" w:hAnsi="Amiri" w:eastAsia="Amiri" w:cs="Amiri"/>
          <w:color w:val="111111"/>
          <w:sz w:val="28"/>
          <w:sz w:val="28"/>
          <w:szCs w:val="28"/>
          <w:rtl w:val="true"/>
          <w:lang w:bidi="ar-SA"/>
        </w:rPr>
        <w:t>ما يمكن أن يكون محطّ البحث فيها هو تحقّق الملازمة بين الإرادة المتعلّقة بذي المقدّمة مع إرادة ما يرى المولى مقدّمة، لا الملازمة بين إرادة ذي المقدّمة مع إرادة المقدّمة، ويتّضح ذلك بعد تصوّر إرادة الفاعل ونحو تعلّقها بذي المقدّمة ومقدّمته، فنقول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أنّ الإرادة من الفاعل إنّما تتعلّق بشيء بعد تصوّره والإذعان بفائدته وسائر مقدّماتها، ولا يمكن تعلّقها به قبل تمام المقدّمات، ولا يلزم أن يكون الشيء بحسب الواقع موافقاً لغرضه وصلاحه؛ لأنّ ما يتوقّف عليه تحقّق الإرادة هو تشخيص الفاعل صلاحه وموافقته لغرضه وتصديقه بذلك ولو كان </w:t>
      </w:r>
    </w:p>
    <w:p>
      <w:pPr>
        <w:pStyle w:val="BookText"/>
        <w:rPr/>
      </w:pPr>
      <w:r>
        <w:rPr>
          <w:rFonts w:ascii="Amiri" w:hAnsi="Amiri" w:eastAsia="Amiri" w:cs="Amiri"/>
          <w:color w:val="111111"/>
          <w:sz w:val="28"/>
          <w:sz w:val="28"/>
          <w:szCs w:val="28"/>
          <w:rtl w:val="true"/>
          <w:lang w:bidi="ar-SA"/>
        </w:rPr>
        <w:t>مخالفاً للواقع، فربّما تتعلّق إرادته بما هو مخالف لصلاحه ومضرّ ومهلك له؛ لسوء تشخيصه وخطائه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تتعلّق الإرادة بشيء لأجل نفسه وتشخيص صلاح فيه، وقد تتعلّق به لأجل غيره وتوقّف الغير عليه، وفي هذا أيضاً لا يمكن تعلّقها به إلاّ بعد تصوّره والتصديق بكونه مقدّمة لمراده النفسي، ولا تتعلّق بما هو في نفس الأمر مقدّمة؛ ضرورة امتناع تعلّقها بالواقع المجهول عنده، ولا بالمعلوم بجهات اُخرى غير المقدّمية، بل قد تتعلّق بما يراه مقدّمة خطأً، فميزان تعلّق الإرادة هو تشخيص الفاعل، لا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تبعية إرادة المقدّمة لذي المقدّمة ليس نشأها وتولّدها منها؛ بحيث تكون إرادة ذي المقدّمة موجدة لإرادتها كما هو ظاهر تعبيراتهم، بل معناها أنّ الفاعل بعد تشخيص التوقّف يريد المقدّمة بعد تحقّق مبادئها لأجل تحصيل ذي المقدّمة لا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في الإرادة الفاعلية إنّما تكون بين إرادة ذي المقدّمة وإرادة ما يراه مقدّمة، لا بمعنى كون إحداهما لازمة للاُخرى، بل بمعنى تحقّق كلٍّ منهما بمبادئها وتبعية إحداهما في تعلّق الإرادة بها لكونها غيرية، ولا تكون الملازمة بين إرادة ذي المقدّمة ومقدّمته الواقعية؛ ضرورة عدم تعلّق الإرادة بها، وعدم إمكان الملازمة الفعلية بين الموجود والمعدوم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يقال بتحقّق الملازمة بين إرادة ذي المقدّمة وبين الإرادة التقديرية؛ فإنّها ليست بموجودة، والتلازم من التضايف المقتضي للتكافؤ قوّةً وفعلاً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ذلك إن يرجع إلى دعوى الملازمة بين الإرادة الفعلية لذي المقدّمة </w:t>
      </w:r>
    </w:p>
    <w:p>
      <w:pPr>
        <w:pStyle w:val="BookText"/>
        <w:rPr/>
      </w:pPr>
      <w:r>
        <w:rPr>
          <w:rFonts w:ascii="Amiri" w:hAnsi="Amiri" w:eastAsia="Amiri" w:cs="Amiri"/>
          <w:color w:val="111111"/>
          <w:sz w:val="28"/>
          <w:sz w:val="28"/>
          <w:szCs w:val="28"/>
          <w:rtl w:val="true"/>
          <w:lang w:bidi="ar-SA"/>
        </w:rPr>
        <w:t>وإرادة المقدّمة على فرض تحقّقها فهي إنكار للملازمة؛ لأنّ مقتضى التلازم أنّ وجود أحدهما ملازم لوجود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يرجع إلى دعوى الملازمة بينها وبين قوّة الإرادة فهي فاسدة؛ لأنّ قوّة الإرادة متحقّقة في النفس من أوّل تحقّقها، فيلزم تحقّق ملزومها أو ملازمها كذلك،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يرجع إلى ما ذكرنا بتعبير آخر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الإرادة التكوينية من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إرادة الآمر، فإنّ ما يمكن أن يقع محلّ البحث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تكون ملازمة بين إرادة بعث المولى عبده نحو ذي المقدّمة وبين إرادة بعثه نحو ما يراه مقدّمة، أو لا، أو تكون ملازمة بين إرادتهما، أو لا؟</w:t>
      </w:r>
    </w:p>
    <w:p>
      <w:pPr>
        <w:pStyle w:val="BookText"/>
        <w:rPr/>
      </w:pPr>
      <w:r>
        <w:rPr>
          <w:rFonts w:ascii="Amiri" w:hAnsi="Amiri" w:eastAsia="Amiri" w:cs="Amiri"/>
          <w:color w:val="111111"/>
          <w:sz w:val="28"/>
          <w:sz w:val="28"/>
          <w:szCs w:val="28"/>
          <w:rtl w:val="true"/>
          <w:lang w:bidi="ar-SA"/>
        </w:rPr>
        <w:t>وأمّا البحث عن الملازمة بين إرادة ذي المقدّمة وإرادة المقدّمة الواقعية بالحمل الشائع فساقط؛ ضرورة عدم تعقّل الملازمة بينهما؛ لعدم تعلّق الإرادة بالواقع، من غير تشخيص مقدّميته، وعدم إمكان تحقّق الملازمة بين الموجود والمعدوم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الملازمة التقديرية أو الفعلية بين المحقّق والمقدّر لا ترجع إلى محصّل، إلاّ أن ترجع إلى ما ذكرنا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النزاع في الملازمة العقلية بين وجوب ذي المقدّمة أو الإرادة المتعلّقة به وبين وجوب عنوان ما يتوقّف عليه ذو المقدّمة، أو عنوان ما يتوصّل به إليه، أو الإرادة المتعلّقة بأحد العنوانين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يصحّ بناءً على تعلّق الوجوب بأحد العنوانين، وتكون حيثية التوقّف أو التوصّل حيثية تقييدية، كما هو التحقيق في 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تعلّق الوجوب بذات المقدّمة؛ وما يتوقّف عليه ذو المقدّمة بالحمل الشائع، وعدم رجوع الحيثيات التعليلية إلى التقييدية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بعضهم</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إمكان تخلّف الواقع عن تشخيص المريد في الوجه الأوّل إنّما هو في غير الشارع، وأمّا فيه فلا يمكن التخلّف كما هو واضح، وفي الموالي العرفية إذا رأى المأمور تخلّف إرادة الآمر عن الواقع لسوء تشخيصه لا يلزم بل لا يجوز في بعض الأحيان اتّباعه، بل يجب عليه تحصيل غرضه بعد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لعلّك قد علمت ممّا ذكرنا في خلال البحث، أنّ الملازمة المدّعاة هاهنا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الملازمات واللوازم والملزومات العقلية الاصطلاحية ممّا يكون الملزوم فيها علّة اللازم إذا كان لازم الوجود ويكون المتلازمان معلولين لعلّة واحدة؛ ضرورة أنّ إرادة المقدّمة وكذا وجوبها ليسا لازمين لإرادة ذي المقدّمة ووجوبه، بل هي مثل إرادة ذيها تحتاج إلى مبادٍ نظير مبادئها من التصوّر والتصديق بالفائدة وغيرهما، ومع عدم تمامية مبادئها لا تتحقّق ولو تحقّقت إرادة ذيها، وكذا الأمر في الإيجاب والوجوب</w:t>
      </w:r>
      <w:r>
        <w:rPr>
          <w:rFonts w:eastAsia="Amiri" w:cs="Amiri" w:ascii="Amiri" w:hAnsi="Amiri"/>
          <w:color w:val="111111"/>
          <w:sz w:val="28"/>
          <w:szCs w:val="28"/>
          <w:rtl w:val="true"/>
          <w:lang w:bidi="ar-SA"/>
        </w:rPr>
        <w:t xml:space="preserve">. </w:t>
      </w:r>
      <w:bookmarkStart w:id="469" w:name="pg15283_146408"/>
    </w:p>
    <w:p>
      <w:pPr>
        <w:pStyle w:val="Heading4"/>
        <w:numPr>
          <w:ilvl w:val="3"/>
          <w:numId w:val="1"/>
        </w:numPr>
        <w:rPr/>
      </w:pPr>
      <w:bookmarkStart w:id="470" w:name="__RefHeading___Toc4563413_2142443653"/>
      <w:bookmarkStart w:id="471" w:name="_Toc172"/>
      <w:bookmarkEnd w:id="469"/>
      <w:bookmarkEnd w:id="470"/>
      <w:r>
        <w:rPr>
          <w:rtl w:val="true"/>
        </w:rPr>
        <w:t>الأمر الثاني في أنّ المسألة عقلية اُصولية</w:t>
      </w:r>
      <w:bookmarkEnd w:id="471"/>
    </w:p>
    <w:p>
      <w:pPr>
        <w:pStyle w:val="BookText"/>
        <w:rPr/>
      </w:pPr>
      <w:r>
        <w:rPr>
          <w:rFonts w:ascii="Amiri" w:hAnsi="Amiri" w:eastAsia="Amiri" w:cs="Amiri"/>
          <w:color w:val="111111"/>
          <w:sz w:val="28"/>
          <w:sz w:val="28"/>
          <w:szCs w:val="28"/>
          <w:rtl w:val="true"/>
          <w:lang w:bidi="ar-SA"/>
        </w:rPr>
        <w:t>إنّ المسألة بناءً على كون النزاع في الملازمة وعدمها، عقلية محضة لا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النزاع في الدلالة الالتزامية، وهي مع كونها عقلية، من الدلالات اللفظية بوجه</w:t>
      </w:r>
      <w:r>
        <w:rPr>
          <w:rStyle w:val="FootnoteAnchor"/>
          <w:rtl w:val="true"/>
        </w:rPr>
        <w:footnoteReference w:id="411"/>
      </w:r>
      <w:r>
        <w:rPr>
          <w:rFonts w:ascii="Amiri" w:hAnsi="Amiri" w:eastAsia="Amiri" w:cs="Amiri"/>
          <w:color w:val="111111"/>
          <w:sz w:val="28"/>
          <w:sz w:val="28"/>
          <w:szCs w:val="28"/>
          <w:rtl w:val="true"/>
          <w:lang w:bidi="ar-SA"/>
        </w:rPr>
        <w:t>،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كون الدلالة الالتزامية من الدلالات اللفظية بحثاً؛ لأنّ اللفظ لا يكون دالاًّ لفظياً إلاّ على ما وضع له، ودلالة الالتزام دلالة المعنى على</w:t>
      </w:r>
    </w:p>
    <w:p>
      <w:pPr>
        <w:pStyle w:val="BookText"/>
        <w:rPr/>
      </w:pPr>
      <w:r>
        <w:rPr>
          <w:rFonts w:ascii="Amiri" w:hAnsi="Amiri" w:eastAsia="Amiri" w:cs="Amiri"/>
          <w:color w:val="111111"/>
          <w:sz w:val="28"/>
          <w:sz w:val="28"/>
          <w:szCs w:val="28"/>
          <w:rtl w:val="true"/>
          <w:lang w:bidi="ar-SA"/>
        </w:rPr>
        <w:t>المعنى، ولهذا لو حصل المعنى في الذهن بأيّ نحوٍ، يحصل لازمه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 يشترط في الدلالة الالتزامية أن يكون اللازم لازماً للمعنى المطابقي أو له وللتضمّني، فإذا دلّ اللفظ على المعنى ويكون له لازم ذهني يدلّ عليه ولو بوسط، تكون الدلالة التزامية، وما نحن فيه ليس كذلك؛ لأنّ دلالة الأمر على كون متعلّقه مراداً للآمر ليس من قبيل دلالة اللفظ، بل من قبيل كشف الفعل الاختياري عن كون فاعله مريداً له، فالبعث المتعلّق بشيء إنّما هو كاشف عن كون فاعله مريداً له لأجل كونه فعلاً اختيارياً له، لا لأجل كونه دالاًّ عليه مطابقةً؛ حتّى يكون لازمه لازم المعنى المطابقي، وتكون الدلالة من الدلالات اللفظية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عرفت من أنّ هذا اللزوم ليس على حذو اللزومات </w:t>
      </w:r>
    </w:p>
    <w:p>
      <w:pPr>
        <w:pStyle w:val="BookText"/>
        <w:rPr/>
      </w:pPr>
      <w:r>
        <w:rPr>
          <w:rFonts w:ascii="Amiri" w:hAnsi="Amiri" w:eastAsia="Amiri" w:cs="Amiri"/>
          <w:color w:val="111111"/>
          <w:sz w:val="28"/>
          <w:sz w:val="28"/>
          <w:szCs w:val="28"/>
          <w:rtl w:val="true"/>
          <w:lang w:bidi="ar-SA"/>
        </w:rPr>
        <w:t>المصطلحة، مع أنّ اللزوم ليس ذهنياً، مع أنّ محلّ الكلام أعمّ من المدلول عليه بالدلالة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بما عرفت في أوائل الكتاب من الميزان في المسائل الاُصولية</w:t>
      </w:r>
      <w:r>
        <w:rPr>
          <w:rStyle w:val="FootnoteAnchor"/>
          <w:rtl w:val="true"/>
        </w:rPr>
        <w:footnoteReference w:id="412"/>
      </w:r>
      <w:r>
        <w:rPr>
          <w:rFonts w:ascii="Amiri" w:hAnsi="Amiri" w:eastAsia="Amiri" w:cs="Amiri"/>
          <w:color w:val="111111"/>
          <w:sz w:val="28"/>
          <w:sz w:val="28"/>
          <w:szCs w:val="28"/>
          <w:rtl w:val="true"/>
          <w:lang w:bidi="ar-SA"/>
        </w:rPr>
        <w:t>تكون المسألة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المبادئ الأحكامية وإن كان البحث عن الملازمة؛ لأنّ موضوع الاُصول هو الحجّة في الفقه، والبحث إذا كان عن حجّية شيء يكون من العوارض، فيبحث في الخبر الواحد عن أنّه حجّة في الفقه أو لا، وكذا سائر المسائل، فعليه يكون البحث عن الملازمات خارجاً عن المسألة الاُصولية؛ لعدم كون البحث في الحجّة في الفقه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محلّه بما لا مزيد عليه</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تطبيق ما ذكر وما ذكروا في موضوع العلوم ومسائلها على الواقع، هذا هو الفقه، فقد جعلوا موضوعه أعمال المكلّفين، وادّعوا أنّ موضوع كلّ علم ما يبحث فيه عن عوارضه الذاتية</w:t>
      </w:r>
      <w:r>
        <w:rPr>
          <w:rStyle w:val="FootnoteAnchor"/>
          <w:rtl w:val="true"/>
        </w:rPr>
        <w:footnoteReference w:id="415"/>
      </w:r>
      <w:r>
        <w:rPr>
          <w:rFonts w:ascii="Amiri" w:hAnsi="Amiri" w:eastAsia="Amiri" w:cs="Amiri"/>
          <w:color w:val="111111"/>
          <w:sz w:val="28"/>
          <w:sz w:val="28"/>
          <w:szCs w:val="28"/>
          <w:rtl w:val="true"/>
          <w:lang w:bidi="ar-SA"/>
        </w:rPr>
        <w:t>، مع أنّ مسائل الفقه ليست كذلك حتّى الأحكام التكليفية؛ فإنّها ليست من العوارض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أعراض ذاتية، ولو سلّم فيها فكثير من مباحث الفقه لا ينطبق عليها هذا العنوان، كالنجاسات والطهارات وأبواب الضمان وأمثالها، وإن ترجع بالأخرة إلى ثمرة عملية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على ما ذكرنا من الضابط، اُصولية</w:t>
      </w:r>
      <w:r>
        <w:rPr>
          <w:rFonts w:eastAsia="Amiri" w:cs="Amiri" w:ascii="Amiri" w:hAnsi="Amiri"/>
          <w:color w:val="111111"/>
          <w:sz w:val="28"/>
          <w:szCs w:val="28"/>
          <w:rtl w:val="true"/>
          <w:lang w:bidi="ar-SA"/>
        </w:rPr>
        <w:t xml:space="preserve">. </w:t>
      </w:r>
      <w:bookmarkStart w:id="472" w:name="pg15283_146410"/>
    </w:p>
    <w:p>
      <w:pPr>
        <w:pStyle w:val="Heading4"/>
        <w:numPr>
          <w:ilvl w:val="3"/>
          <w:numId w:val="1"/>
        </w:numPr>
        <w:rPr/>
      </w:pPr>
      <w:bookmarkStart w:id="473" w:name="__RefHeading___Toc4563415_2142443653"/>
      <w:bookmarkStart w:id="474" w:name="_Toc173"/>
      <w:bookmarkEnd w:id="472"/>
      <w:bookmarkEnd w:id="473"/>
      <w:r>
        <w:rPr>
          <w:rtl w:val="true"/>
        </w:rPr>
        <w:t>الأمر الثالث في تقسيمات المقدّمة</w:t>
      </w:r>
      <w:bookmarkEnd w:id="474"/>
    </w:p>
    <w:p>
      <w:pPr>
        <w:pStyle w:val="Heading5"/>
        <w:numPr>
          <w:ilvl w:val="4"/>
          <w:numId w:val="1"/>
        </w:numPr>
        <w:rPr/>
      </w:pPr>
      <w:bookmarkStart w:id="475" w:name="__RefHeading___Toc4563417_2142443653"/>
      <w:bookmarkStart w:id="476" w:name="_Toc174"/>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تنقسم المقدّمة إلى أقسام</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4563419_2142443653"/>
      <w:bookmarkStart w:id="478" w:name="_Toc175"/>
      <w:bookmarkEnd w:id="477"/>
      <w:r>
        <w:rPr>
          <w:rtl w:val="true"/>
        </w:rPr>
        <w:t>منها</w:t>
      </w:r>
      <w:r>
        <w:rPr>
          <w:rtl w:val="true"/>
        </w:rPr>
        <w:t xml:space="preserve">: </w:t>
      </w:r>
      <w:r>
        <w:rPr>
          <w:rtl w:val="true"/>
        </w:rPr>
        <w:t>الداخلية والخارجية</w:t>
      </w:r>
      <w:bookmarkEnd w:id="478"/>
    </w:p>
    <w:p>
      <w:pPr>
        <w:pStyle w:val="BookText"/>
        <w:rPr/>
      </w:pPr>
      <w:r>
        <w:rPr>
          <w:rFonts w:ascii="Amiri" w:hAnsi="Amiri" w:eastAsia="Amiri" w:cs="Amiri"/>
          <w:color w:val="111111"/>
          <w:sz w:val="28"/>
          <w:sz w:val="28"/>
          <w:szCs w:val="28"/>
          <w:rtl w:val="true"/>
          <w:lang w:bidi="ar-SA"/>
        </w:rPr>
        <w:t>وقد أطالوا نقضاً وإبراماً في الداخلية، ربّما لا يرجع جلّها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حقيقي، وهو بأقسامه خارج عن محطّ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غير حقيقي،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صناعي، وهو ما له نحو وحدة وتركيب مع قطع النظر عن اعتبار معتبر، كالبيت والمسجد، ومنه المعاجين والأدوية المركّبة بالصناعة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يكون تركيبه ووحدته بحسب الاعتبار، كالعشرة والمائة والعسكر، ومنه الماهيات الاختراعية، كالصلاة والحجّ، فإنّ أمثال ذلك مركّبات اعتبارية جعلية، فكون الفوج من العسكر ألفاً أو عشرة آلاف إنّما هو بحسب الجعل والاعتبار، والعشرة مع قطع النظر عن اعتبار الوحدة ليست إلاّ الوحدات المستقلاّت، وهكذا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الغرض قد يكون قائماً بوجود كلّ واحد واحد من أشخاص أو أشياء، من غير ارتباط بين الوَحدات، كمن كان له عدّة أصدقاء يشتاق لقاء كلّ واحد منهم مستقلاًّ؛ من غير ارتباط بعضهم ببعض، فعند تصوّر كلّ واحد يريد لقاءه بإرادة مستقلّة ولا يعقل أن يكون اجتماعهم بما هو كذلك في هذا اللحاظ مورداً لعلاقته وإرادته، بل ربّما يكون اجتماعهم مبغوضاً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يكون قائماً بالمجموع لا بالأفراد، كمن يريد فتح بلد لا يمكن فتحه إلاّ بفوج من العسكر، فحينئذٍ يكون كلّ واحد واحد منه غير مراد له ولا متعلّقاً لغرضه، وإنّما قام غرضه بالفوج، فيتصوّره ويشتاقه ويريد إحضاره، ففي هذا التصوّر تكون الآحاد مندكّة فانية في الفوج، فلا يكون كلّ واحد واحد متصوّراً ولا مشتاقاً إليه، ولا يمكن أن تتعلّق به إرادة نفسية؛ لعدم حصول الغرض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تصوّر كلّ واحد واحد، ورأى توقّف الفوج على وجود كلّ واحد، أراده لأجل غيره لا لنفسه، فالآحاد بنحو العامّ الاستغراقي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ملاك الإرادة الغيرية لا النفسية، وفي الفوج ملاك النفسية لا الغيرية، فكلّ واحد مقدّمة، وموقوف عليه العسكر بالاستقلال، ولا يكون الاثنان أو الثلاثة منها وهكذا، مقدّمةً، ولا فيها ملاك الإرادة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 الذي يراه السلطان فاتحاً للبلد، ففيه ملاك الإرادة النفسية لا غير،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واحد من الأفراد، ففي كلٍّ ملاك الإرادة الغيرية؛ لتوقّف العسكر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اثنين اثنين وثلاثة ثلاثة منها وهكذا سائر التركيبات الاعتبارية فليس ملاك الإرادة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الغيرية؛ لعدم توقّف العسكر عليها زائداً على توقّفه على الآحاد، فزيد موقوف عليه رأساً بالضرورة، وعمرو كذلك، لكن زيد وعمرو معاً لا يكونان موقوفاً عليهما في مقابل كلّ من زيد وعمرو</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الغرض قائم في المركّبات الاعتبارية بالمجموع الخارجي الذي يكون منشأ اعتبار الوحدة، لا بالاعتبار الذهني، ولا بكلّ فرد فرد، فيكون متعلّق الغرض مقدّماً على رؤية الوحدة وعلى الأمر المتعلّق به</w:t>
      </w:r>
      <w:r>
        <w:rPr>
          <w:rFonts w:eastAsia="Amiri" w:cs="Amiri" w:ascii="Amiri" w:hAnsi="Amiri"/>
          <w:color w:val="111111"/>
          <w:sz w:val="28"/>
          <w:szCs w:val="28"/>
          <w:rtl w:val="true"/>
          <w:lang w:bidi="ar-SA"/>
        </w:rPr>
        <w:t xml:space="preserve">. </w:t>
      </w:r>
      <w:bookmarkStart w:id="479" w:name="pg15283_146412"/>
    </w:p>
    <w:p>
      <w:pPr>
        <w:pStyle w:val="BookText"/>
        <w:rPr/>
      </w:pPr>
      <w:bookmarkEnd w:id="479"/>
      <w:r>
        <w:rPr>
          <w:rFonts w:ascii="Amiri" w:hAnsi="Amiri" w:eastAsia="Amiri" w:cs="Amiri"/>
          <w:color w:val="111111"/>
          <w:sz w:val="28"/>
          <w:sz w:val="28"/>
          <w:szCs w:val="28"/>
          <w:rtl w:val="true"/>
          <w:lang w:bidi="ar-SA"/>
        </w:rPr>
        <w:t>وأوضح ممّا ذكر، المركّبات الصناعية التي لها وحدة عرفية وتركيب صناعي، فإنّ تصوّر البيت منفكّ عن تصوّر الأجزاء من الأخشاب والأحجار، فإذا تصوّر البيت يكون متعلّقاً لإرادته النفسية، وليس فيه ملاك الإرادة الغيرية، وإذا رأى توقّف البيت على كلّ من الأحجار والأخشاب وغيرهما، يريدها لأجل تحصيل البيت، ويكون فيها ملاك الغيرية لا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كيفية تعلّق الإرادة الفاعلية يقع البحث في الإرادة الآمرية؛ بأ نّه هل تكون الإرادة الآمرية المتعلّقة بذي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كالبيت والعسكر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للإرادة المتعلّقة بما رآه مقدّمة أو لا؟ من غير فرق من هذه الجهة بين المقدّمات الخارجية والداخلية؛ فإنّ كلّ واحد واحد من الأجزاء في المركّبات، ممّا يتوقّف عليه المركّب، وليس الأجزاء بالأسر شيئاً برأسه في مقابل كلّ واحد، وبهذا يدفع الإشكال الذي استصعبه المحقّقون</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وجه الخلط هو تخيّل أنّ الأجزاء بالأسر مقدّمة وذو المقدّمة، مع أنّها ليست مقدّمة، بل كلّ واحد مقدّمة، وهو غير المركّب بالضرورة حقيقةً، لا اعتباراً حتّى يستشكل بما في كتب المحقّقين</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4563421_2142443653"/>
      <w:bookmarkStart w:id="481" w:name="_Toc176"/>
      <w:bookmarkEnd w:id="480"/>
      <w:r>
        <w:rPr>
          <w:rtl w:val="true"/>
        </w:rPr>
        <w:t xml:space="preserve">دفع وهم </w:t>
      </w:r>
      <w:r>
        <w:rPr>
          <w:rtl w:val="true"/>
        </w:rPr>
        <w:t xml:space="preserve">: </w:t>
      </w:r>
      <w:r>
        <w:rPr>
          <w:rtl w:val="true"/>
        </w:rPr>
        <w:t>کلام المحقّق العراقي حول ما هو خارج عن محل النزاع</w:t>
      </w:r>
      <w:bookmarkEnd w:id="48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الوحدة الاعتبارية قد تكون في الرتبة السابقة على الأمر؛ أعني في ناحية المتعلّق، وقد تكون في الرتبة اللاحقة؛ بحيث تنتزع من نفس الأمر </w:t>
      </w:r>
    </w:p>
    <w:p>
      <w:pPr>
        <w:pStyle w:val="BookText"/>
        <w:rPr/>
      </w:pPr>
      <w:r>
        <w:rPr>
          <w:rFonts w:ascii="Amiri" w:hAnsi="Amiri" w:eastAsia="Amiri" w:cs="Amiri"/>
          <w:color w:val="111111"/>
          <w:sz w:val="28"/>
          <w:sz w:val="28"/>
          <w:szCs w:val="28"/>
          <w:rtl w:val="true"/>
          <w:lang w:bidi="ar-SA"/>
        </w:rPr>
        <w:t>بلحاظ تعلّقه بعدّة اُمور، فيكون تعلّقه بها منشأً لانتزاع الوحدة الملازمة لاتّصافها بعنواني الكلّ والأجزاء، فالوحدة الاعتبارية بالمعنى الثاني لا يعقل أن تكون سبباً لترشّح الوجوب من الكلّ إلى الأجزاء بملاك المقدّمية؛ لأنّ الجزئية والكلّية الملزومة لهذه الوحدة ناشئة من الأمر، فتكون المقدّمية في رتبة متأخّرة عن تعلّق الأمر بالكلّ، ومعه لا يعقل ترشّحه على الأجزاء، فينحصر محلّ النزاع في الوحدة بالمعنى الأوّل</w:t>
      </w:r>
      <w:r>
        <w:rPr>
          <w:rStyle w:val="FootnoteAnchor"/>
          <w:rtl w:val="true"/>
        </w:rPr>
        <w:footnoteReference w:id="417"/>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الأغراض لا تتعلّق بالواحد الاعتباري بما هو كذلك، بل المحصّل لها إنّما هو الواقع،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يتعلّق الغرض بالوحدات كلّ برأسها، وقد يتعلّق بالمجموع بما هو كذلك ولو لم يعتبره المعتبِر، كسَوق العسكر لفتح الأمصار؛ فإنّ الغرض لا يتعلّق بواحد واحد، بل الفاتح هو المجموع وسواد العسكر الموجب لإرعاب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الغرض من قبيل الأوّل لا يعقل أن يتعلّق بالوحدات أمر واحد؛ لعدم تعلّق الغرض بالمجموع، كما أنّه إذا كان من قبيل الثاني لا يعقل أن يتعلّق به إلاّ أمر واحد نفسي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لاحظ المولى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المجموع الذي هو موضوع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أنّ غرضه قائم به، يكون كلّ واحد من الآحاد حين تعلّق الأمر مغفولاً عنه، ولو فرض عدم مغفوليته فلا إشكال في أنّه لم يكن متعلّق غرضه ومحصّله، </w:t>
      </w:r>
    </w:p>
    <w:p>
      <w:pPr>
        <w:pStyle w:val="BookText"/>
        <w:rPr/>
      </w:pPr>
      <w:r>
        <w:rPr>
          <w:rFonts w:ascii="Amiri" w:hAnsi="Amiri" w:eastAsia="Amiri" w:cs="Amiri"/>
          <w:color w:val="111111"/>
          <w:sz w:val="28"/>
          <w:sz w:val="28"/>
          <w:szCs w:val="28"/>
          <w:rtl w:val="true"/>
          <w:lang w:bidi="ar-SA"/>
        </w:rPr>
        <w:t>فالمجموع مورد تصوّره وغرضه وموضوع أمره، وهذا هو المراد بالواحد الاعتباري، لا لزوم اعتبار الوحدة بالحمل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لا يعقل أن تكون الوحدة تابعة لتعلّق الأمر، بل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لوحظ بنحو الوحدة القائم به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لأمر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تأخّر اعتبار الوحدة عن الأمر، لكن ذلك لا يوجب خروجه عن محلّ النزاع؛ لأنّ ملاك تعلّق الإرادة بالمقدّمة هو رؤية توقّف ذي المقدّمة عليها في نفس الأمر، وتوقّف المركّب على كلّ جزء من الأجزاء بحسب الواقع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عنوان الجزئية والكلّية ينتزع بعد تعلّق الأمر، وفي مثله لا يعقل ترشّح الوجوب من الكلّ إلى الأجزاء بملاك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الخلط بين عنوان الكلّية والجزئية للمأمور به بما هو كذلك، وبين ما هو ملاك تعلّق الإرادة الغيرية؛ أي التوقّف الواقعي للمركّب على كلّ جزء من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الجزئية بالحمل الأوّلي لم يكن فيه ملاك النزاع، بل هذا العنوان لا يتأخّر عن عنوان الكلّية؛ ضرورة أنّهما متضايفان، بل الموقوف عليه هو واقع كلّ جزء جزء، والموقوف هو المجموع ولو لم يعتبر فيه الوحدة والكلّية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 في ضمن كلامه، وجرت به الألسن والأفواه</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ترشّح الوجوب من ذي المقدّمة إلى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صار منشأً للاشتباه والخلط، </w:t>
      </w:r>
      <w:bookmarkStart w:id="482" w:name="pg15283_146415"/>
    </w:p>
    <w:p>
      <w:pPr>
        <w:pStyle w:val="BookText"/>
        <w:rPr/>
      </w:pPr>
      <w:bookmarkEnd w:id="482"/>
      <w:r>
        <w:rPr>
          <w:rFonts w:ascii="Amiri" w:hAnsi="Amiri" w:eastAsia="Amiri" w:cs="Amiri"/>
          <w:color w:val="111111"/>
          <w:sz w:val="28"/>
          <w:sz w:val="28"/>
          <w:szCs w:val="28"/>
          <w:rtl w:val="true"/>
          <w:lang w:bidi="ar-SA"/>
        </w:rPr>
        <w:t>ففي غاية السقوط؛ لما أشرنا إليه سالفاً</w:t>
      </w:r>
      <w:r>
        <w:rPr>
          <w:rStyle w:val="FootnoteAnchor"/>
          <w:rtl w:val="true"/>
        </w:rPr>
        <w:footnoteReference w:id="419"/>
      </w:r>
      <w:r>
        <w:rPr>
          <w:rFonts w:ascii="Amiri" w:hAnsi="Amiri" w:eastAsia="Amiri" w:cs="Amiri"/>
          <w:color w:val="111111"/>
          <w:sz w:val="28"/>
          <w:sz w:val="28"/>
          <w:szCs w:val="28"/>
          <w:rtl w:val="true"/>
          <w:lang w:bidi="ar-SA"/>
        </w:rPr>
        <w:t xml:space="preserve">من أنّ الإرادة المتعلّقة بذي المقدّمة لم تكن مبدأً للإرادة المتعلّقة بالمقدّمة بنحو النشوّ والرشح والإيجاد، وإذا كان حال الإرادات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أسوأ حالاً؛ لأ نّه ينتزع من تعلّق البعث بالشيء، ولا يعقل أن يترشّح بعث من بعث آخر،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المقدّمات الداخلية كالخارجية داخلة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المقدّمات الداخلية</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4563423_2142443653"/>
      <w:bookmarkStart w:id="484" w:name="_Toc177"/>
      <w:bookmarkEnd w:id="483"/>
      <w:r>
        <w:rPr>
          <w:rtl w:val="true"/>
        </w:rPr>
        <w:t>تتميم</w:t>
      </w:r>
      <w:r>
        <w:rPr>
          <w:rtl w:val="true"/>
        </w:rPr>
        <w:t xml:space="preserve">: </w:t>
      </w:r>
      <w:r>
        <w:rPr>
          <w:rtl w:val="true"/>
        </w:rPr>
        <w:t>في شمول النزاع لجميع أقسام المقدّمات الخارجية</w:t>
      </w:r>
      <w:bookmarkEnd w:id="484"/>
    </w:p>
    <w:p>
      <w:pPr>
        <w:pStyle w:val="BookText"/>
        <w:rPr/>
      </w:pPr>
      <w:r>
        <w:rPr>
          <w:rFonts w:ascii="Amiri" w:hAnsi="Amiri" w:eastAsia="Amiri" w:cs="Amiri"/>
          <w:color w:val="111111"/>
          <w:sz w:val="28"/>
          <w:sz w:val="28"/>
          <w:szCs w:val="28"/>
          <w:rtl w:val="true"/>
          <w:lang w:bidi="ar-SA"/>
        </w:rPr>
        <w:t>وأمّا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كون ملاك البحث فيها مطلقاً، من غير فرق بين العلل التامّة وغيرها، والأسباب التوليدية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في المسبّبات التوليدية يرجع إلى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أنّه على فرض صحّة التوهّم يكون الخروج من قبيل التخصّص، لا الاستثناء والتخصيص عن مورد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 يقال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المسبّبات غير مقدورة</w:t>
      </w:r>
      <w:r>
        <w:rPr>
          <w:rStyle w:val="FootnoteAnchor"/>
          <w:rtl w:val="true"/>
        </w:rPr>
        <w:footnoteReference w:id="420"/>
      </w:r>
      <w:r>
        <w:rPr>
          <w:rFonts w:ascii="Amiri" w:hAnsi="Amiri" w:eastAsia="Amiri" w:cs="Amiri"/>
          <w:color w:val="111111"/>
          <w:sz w:val="28"/>
          <w:sz w:val="28"/>
          <w:szCs w:val="28"/>
          <w:rtl w:val="true"/>
          <w:lang w:bidi="ar-SA"/>
        </w:rPr>
        <w:t>،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إنّما يتعلّق بما يتعلّق به إرادة الفاعل، ولا يعقل تعلّقها بما ليس من فعله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485" w:name="pg15283_146416"/>
    </w:p>
    <w:p>
      <w:pPr>
        <w:pStyle w:val="BookText"/>
        <w:rPr/>
      </w:pPr>
      <w:bookmarkEnd w:id="485"/>
      <w:r>
        <w:rPr>
          <w:rFonts w:ascii="Amiri" w:hAnsi="Amiri" w:eastAsia="Amiri" w:cs="Amiri"/>
          <w:color w:val="111111"/>
          <w:sz w:val="28"/>
          <w:sz w:val="28"/>
          <w:szCs w:val="28"/>
          <w:rtl w:val="true"/>
          <w:lang w:bidi="ar-SA"/>
        </w:rPr>
        <w:t xml:space="preserve">فاسد؛ لأنّ ملاك صحّة الأمر عقلاً وعند جميع العقلاء هو كون الشيء مقدوراً ولو مع الواسطة، وإرادة الفاعل أيضاً تتعلّق بما هو مقدور مع الواسطة؛ ضرورة تعلّق إرادة القاتل بقتل عدوّه، وإنّما تتعلّق إرادة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بأسبابه لأجل تحصيل مراده النفسي، وهذا كافٍ في تعلّق الأمر المولوي به، ومعه لا معنى لصرف الأوامر إلى الأسباب</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4563425_2142443653"/>
      <w:bookmarkStart w:id="487" w:name="_Toc178"/>
      <w:bookmarkEnd w:id="486"/>
      <w:r>
        <w:rPr>
          <w:rtl w:val="true"/>
        </w:rPr>
        <w:t>ومنها</w:t>
      </w:r>
      <w:r>
        <w:rPr>
          <w:rtl w:val="true"/>
        </w:rPr>
        <w:t xml:space="preserve">: </w:t>
      </w:r>
      <w:r>
        <w:rPr>
          <w:rtl w:val="true"/>
        </w:rPr>
        <w:t>تقسيمها إلى المقارن والمتقدّم والمتأخّر</w:t>
      </w:r>
      <w:bookmarkEnd w:id="487"/>
    </w:p>
    <w:p>
      <w:pPr>
        <w:pStyle w:val="BookText"/>
        <w:rPr/>
      </w:pPr>
      <w:r>
        <w:rPr>
          <w:rFonts w:ascii="Amiri" w:hAnsi="Amiri" w:eastAsia="Amiri" w:cs="Amiri"/>
          <w:color w:val="111111"/>
          <w:sz w:val="28"/>
          <w:sz w:val="28"/>
          <w:szCs w:val="28"/>
          <w:rtl w:val="true"/>
          <w:lang w:bidi="ar-SA"/>
        </w:rPr>
        <w:t>وقد استشكل في الأخيرتين بأنّ المقدّمية تنافي التقدّم والتأخّر؛ لامتناع انفكاك المعلول عن علّته وتقدّمه عليها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4563427_2142443653"/>
      <w:bookmarkStart w:id="489" w:name="_Toc179"/>
      <w:bookmarkEnd w:id="488"/>
      <w:r>
        <w:rPr>
          <w:rtl w:val="true"/>
        </w:rPr>
        <w:t>الإشكال في الشرط المتأخّر</w:t>
      </w:r>
      <w:bookmarkEnd w:id="489"/>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البحث إنّما نشأ من توهّم تأخّر الشرط عن المشروط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المكلّف به، كأغسال الليلة المستقبلة بالنسبة إلى صوم المستحاضة، على ما أفتى بعض الفقهاء باشتراطه بها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الحكم الوضعي، كالإجازة على الكشف الحقيقي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نفس التكليف، كالقدرة المتأخّرة من المكلّف بالنسبة إلى التكليف المتقدّم الصادر من المولى</w:t>
      </w:r>
      <w:r>
        <w:rPr>
          <w:rFonts w:eastAsia="Amiri" w:cs="Amiri" w:ascii="Amiri" w:hAnsi="Amiri"/>
          <w:color w:val="111111"/>
          <w:sz w:val="28"/>
          <w:szCs w:val="28"/>
          <w:rtl w:val="true"/>
          <w:lang w:bidi="ar-SA"/>
        </w:rPr>
        <w:t xml:space="preserve">. </w:t>
      </w:r>
      <w:bookmarkStart w:id="490" w:name="pg15283_146417"/>
    </w:p>
    <w:p>
      <w:pPr>
        <w:pStyle w:val="BookText"/>
        <w:rPr/>
      </w:pPr>
      <w:bookmarkEnd w:id="490"/>
      <w:r>
        <w:rPr>
          <w:rFonts w:ascii="Amiri" w:hAnsi="Amiri" w:eastAsia="Amiri" w:cs="Amiri"/>
          <w:color w:val="111111"/>
          <w:sz w:val="28"/>
          <w:sz w:val="28"/>
          <w:szCs w:val="28"/>
          <w:rtl w:val="true"/>
          <w:lang w:bidi="ar-SA"/>
        </w:rPr>
        <w:t>فقد تصدّى المحقّقون لدفع الإشكال المتراءى بأجوبة فراراً عنه، لا تصحيحاً للشرط المتأخّر، وإن كان الظاهر من بعضهم التصدّي لتصحيحه أيضاً</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4563429_2142443653"/>
      <w:bookmarkStart w:id="492" w:name="_Toc180"/>
      <w:bookmarkEnd w:id="491"/>
      <w:r>
        <w:rPr>
          <w:rtl w:val="true"/>
        </w:rPr>
        <w:t>كلام المحقّق العراقي لدفع الإشكال في الشرط المتأخّر</w:t>
      </w:r>
      <w:bookmarkEnd w:id="492"/>
    </w:p>
    <w:p>
      <w:pPr>
        <w:pStyle w:val="BookText"/>
        <w:rPr/>
      </w:pPr>
      <w:r>
        <w:rPr>
          <w:rFonts w:ascii="Amiri" w:hAnsi="Amiri" w:eastAsia="Amiri" w:cs="Amiri"/>
          <w:color w:val="111111"/>
          <w:sz w:val="28"/>
          <w:sz w:val="28"/>
          <w:szCs w:val="28"/>
          <w:rtl w:val="true"/>
          <w:lang w:bidi="ar-SA"/>
        </w:rPr>
        <w:t>وممّن تصدّى للجواب هو بعض أهل التحقيق، ومحصّل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التحقيق هو إمكان تقدّم الشرط على المشروط في التكوين والتشريع؛ لأنّ المقتضي للمعلول هو حصّة خاصّة من المقتضي لا طبيعيّه، فإنّ النار بحصّتها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تماسّ الجسم المستعدّ باليبوسة لقبول 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في الإحراق، لا الحصص الاُخرى، فتلك الخصوصية التي بها تحصّصت الحصّة لا بدّ لها من محصّل في الخارج، وما به تحصل خصوصية الحصّة المقتضية يسمّى شرطاً، والخصوصية المزبورة عبارة عن نسبة قائمة بتلك الحصّة حاصلة من إضافتها إلى شيء ما، فذلك الشيء المضاف إليه هو الشرط، والمؤثّر في المعلول هو نفس الحصّة الخاصّة، فالشرط هو طرف الإضافة المزبورة، وما كان شأنه كذلك جاز أن يتقدّم على ما يضاف إليه أو يتأخّر عنه أو يقترن به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حاول في تفصيل ما ذكر، وأجاب عن الإشكال في الجميع بنهج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شرطية شيء للمأمور به ترجع إلى كون حصّة من الطبيعي متعلّقة للأمر، وهي تحصل بالتقييد، فكما يمكن التقييد بأمر مقارن يمكن بالمتقدّم والمتأخّر، وكذا الحال في شرط التكليف والوضع؛ فإنّ قيود الوجوب دخيلة في اتّصاف الشيء بكونه صلاحاً، فالقدرة المتأخّرة شرط بوجودها المتأخّر للتكليف المتقدّم، ومعنى شرطيتها له ليس إلاّ كونها بحيث يحصل </w:t>
      </w:r>
    </w:p>
    <w:p>
      <w:pPr>
        <w:pStyle w:val="BookText"/>
        <w:rPr/>
      </w:pPr>
      <w:r>
        <w:rPr>
          <w:rFonts w:ascii="Amiri" w:hAnsi="Amiri" w:eastAsia="Amiri" w:cs="Amiri"/>
          <w:color w:val="111111"/>
          <w:sz w:val="28"/>
          <w:sz w:val="28"/>
          <w:szCs w:val="28"/>
          <w:rtl w:val="true"/>
          <w:lang w:bidi="ar-SA"/>
        </w:rPr>
        <w:t>للشيء بالإضافة إليها خصوصية يكون بها متّصفاً بكونه صلاحاً، وهذا كما قد يحصل بإضافة الشيء إلى المقارن يحصل بإضافته إلى المتقدّم والمتأخّر</w:t>
      </w:r>
      <w:r>
        <w:rPr>
          <w:rStyle w:val="FootnoteAnchor"/>
          <w:rtl w:val="true"/>
        </w:rPr>
        <w:footnoteReference w:id="424"/>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إسراء الأمر إلى التكوين ممّا لا مجال له؛ لأنّ المؤثّر التكويني نحو وجود خاصّ متشخّص لا يكون تشخّصه بالإضافات والاعتبارات، فما هو المؤثّر ليس الحصّة الحاصلة بالإضافة إلى المقارن ولا إلى غيره، بل هو نحو وجود متشخّص بتأثير علله الفاعلية، أو هو مع ضمّ القابل، فالنار بوجودها مقتضية لإحراق ما وقع فيها ممّا هو قابل للاحتراق، من غير أن يكون الوقوع والتماسّ وقابلية المتأثّر محصّلات للحصّة المؤثّرة، وهو أوضح من أن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الإضافة إلى المعدوم ممّا لا يعقل، حتّى الاعتباري منها؛ لأنّ الإضافة الاعتبارية نحو إشارة، ولا تمكن بالنسبة إلى المعدوم، فما يتخيّل أنّه إضافة إلى المعدوم لا يخرج من حدّ الذهن والتخيّل؛ أعني هو تخيّل الإضافة لا نفسها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الإضافة إلى الشيئين ولو بنحو الاعتبار نحو إثبات شيء لهما، وهو إن لم يكشف عن الثبوت في ظرفه لا يكون إلاّ توهّماً وتخيّلاً، ومع كشفه عنه يكون ثبوته له فرع ثبوت المثبت له، فإذا تحقّقت الإضافة بين </w:t>
      </w:r>
    </w:p>
    <w:p>
      <w:pPr>
        <w:pStyle w:val="BookText"/>
        <w:rPr/>
      </w:pPr>
      <w:r>
        <w:rPr>
          <w:rFonts w:ascii="Amiri" w:hAnsi="Amiri" w:eastAsia="Amiri" w:cs="Amiri"/>
          <w:color w:val="111111"/>
          <w:sz w:val="28"/>
          <w:sz w:val="28"/>
          <w:szCs w:val="28"/>
          <w:rtl w:val="true"/>
          <w:lang w:bidi="ar-SA"/>
        </w:rPr>
        <w:t>الموجود والمعدوم يكون المعدوم مضافاً ومضافاً إليه في ظرف تحقّق الإضافة، فلا بدّ من صدق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المعدوم مضاف ومضاف إليه في حال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لتحقّق الإضافة في حاله، فلا بدّ من تحقّق المعدوم في حال عدمه قضاءً لحقّ القضيّة الموجبة وقاعدة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المتضايفين متكافئان قوّةً وفعلاً، حتّى أنّ العلّة لا تكون في تقدّمها على المعلول بالمعنى الإضافي متقدّمة عليه، بل هما في إضافة العلّية والمعلولية متكافئان لا يتقدّم أحدهما على الآخر حتّى في الرتبة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العلّة متقدّمة على المعلول تقدّماً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الزمان لا يكون بين أجزائه الوهمية تقدّم وتأخّر بالمعنى الإضافي، فإنّ ذلك محال ينافي قاعدة الفرعية، أو موجب لثبوت المعدوم واتّصافه بشيء وجودي، بل تقدّم بعض أجزائه على البعض بالذات، فإنّ ذاته نفس التصرّم والتدرّج، وما كان كذلك يكون ذا تقدّم وتأخّر بالذات، لا بالمعنى الإضافي، وهذا بعد تصوّر الأطراف بديهي لا يحتاج تصديقه إلى 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شرائط التكليف كالقدرة دخيلة في اتّصاف الشيء بكونه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بين الشرائط الشرعية والعقلية، فإنّ ما هو دخيل في المصلحة هي الشرائط الشرعية، وأمّا القدرة التي هي شرط عقلي فغير دخيلة في اتّصاف المتعلّق بالمصلحة، فإنقاذ الغريق ذو مصلحة؛ كان المكلّف قادراً أو لا، ومع عدم القدرة تفوت المصلحة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أجاب به عن الإشكال لا يصلح للدفع، وكذا ما هو على هذا المنوال، كالقول بأنّ الشرط في الفضولي عنوان تعقّب العقد بالإجازة، </w:t>
      </w:r>
      <w:bookmarkStart w:id="493" w:name="pg15283_146420"/>
    </w:p>
    <w:p>
      <w:pPr>
        <w:pStyle w:val="BookText"/>
        <w:rPr/>
      </w:pPr>
      <w:bookmarkEnd w:id="493"/>
      <w:r>
        <w:rPr>
          <w:rFonts w:ascii="IRNazanin" w:hAnsi="IRNazanin" w:eastAsia="IRNazanin"/>
          <w:color w:val="111111"/>
          <w:sz w:val="28"/>
          <w:sz w:val="28"/>
          <w:szCs w:val="28"/>
          <w:rtl w:val="true"/>
          <w:lang w:bidi="fa-IR"/>
        </w:rPr>
        <w:t>وهو حاصل</w:t>
      </w:r>
      <w:r>
        <w:rPr>
          <w:rStyle w:val="FootnoteAnchor"/>
          <w:rtl w:val="true"/>
        </w:rPr>
        <w:footnoteReference w:id="425"/>
      </w:r>
      <w:r>
        <w:rPr>
          <w:rFonts w:ascii="Amiri" w:hAnsi="Amiri" w:eastAsia="Amiri" w:cs="Amiri"/>
          <w:color w:val="111111"/>
          <w:sz w:val="28"/>
          <w:sz w:val="28"/>
          <w:szCs w:val="28"/>
          <w:rtl w:val="true"/>
          <w:lang w:bidi="ar-SA"/>
        </w:rPr>
        <w:t>لما عرفت أنّ هذا العنوان الإضافي لا يمكن أن يكون حاصلاً بالفعل للعقد؛ فإنّ الإجازة حين العقد معدومة، وهذا العنوان من العناوين الإضافية</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4563431_2142443653"/>
      <w:bookmarkStart w:id="495" w:name="_Toc181"/>
      <w:bookmarkEnd w:id="494"/>
      <w:r>
        <w:rPr>
          <w:rtl w:val="true"/>
        </w:rPr>
        <w:t>التحقيق في دفع الإشكال عن الشرط المتأخّر</w:t>
      </w:r>
      <w:bookmarkEnd w:id="495"/>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يتراءى من تقدّم المشروط على الشرط ليس شيء منها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شرائط التكليف، كالقدرة المتأخّرة بالنسبة إلى التكليف المتقدّم،</w:t>
      </w:r>
    </w:p>
    <w:p>
      <w:pPr>
        <w:pStyle w:val="BookText"/>
        <w:rPr/>
      </w:pPr>
      <w:r>
        <w:rPr>
          <w:rFonts w:ascii="Amiri" w:hAnsi="Amiri" w:eastAsia="Amiri" w:cs="Amiri"/>
          <w:color w:val="111111"/>
          <w:sz w:val="28"/>
          <w:sz w:val="28"/>
          <w:szCs w:val="28"/>
          <w:rtl w:val="true"/>
          <w:lang w:bidi="ar-SA"/>
        </w:rPr>
        <w:t>فلأنّ ما هو شرط لتمشّي الإرادة من الآمر والبعث الجدّي هو تشخيص الآمر قدرة العبد مع سائر شرائط التكليف في ظرف الإتيان كانت القدرة حاصلة أو لا، فإذا قطع المولى بأنّ العبد قادر غداً على إنقاذ ابنه، يصحّ منه الإرادة والبعث الحقيقي نحوه، فإذا تبيّن عجز العبد لا يكشف ذلك عن عدم الأمر والبعث الحقيقي في موطنه، بل يكشف عن خطائه في التشخيص، وأنّ بعثه الحقيقي صار لغواً غير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الأوامر المتوجّهة إلى الأشخاص</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الأوامر المتوجّهة إلى العناوين الكلّية،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يّها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فشرط تمشّي الإرادة والبعث الحقيقي هو تشخيص كون هذا الخطاب صالحاً للبعث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واجداً لشرائط التكليف، من غير لزوم تقييده بالقدرة وسائر الشرائط العقلية، بل التقييد إخلال في بعض </w:t>
      </w:r>
    </w:p>
    <w:p>
      <w:pPr>
        <w:pStyle w:val="BookText"/>
        <w:rPr/>
      </w:pPr>
      <w:r>
        <w:rPr>
          <w:rFonts w:ascii="Amiri" w:hAnsi="Amiri" w:eastAsia="Amiri" w:cs="Amiri"/>
          <w:color w:val="111111"/>
          <w:sz w:val="28"/>
          <w:sz w:val="28"/>
          <w:szCs w:val="28"/>
          <w:rtl w:val="true"/>
          <w:lang w:bidi="ar-SA"/>
        </w:rPr>
        <w:t>الموارد، فإذا علم المولى بأنّ إنشاء الأمر على العنوان الكلّي صالح لانبعاث طائفة من المكلّفين كلّ في موطنه، يصحّ منه التكليف والأمر، فشرط التكليف حاصل حين 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ذلك يرجع كلام المحقّق الخراساني، وإن كان إلحاق الوضع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شرائط المأمور به، كصوم المستحاضة بناءً على صحّته فعلاً لحصول</w:t>
      </w:r>
    </w:p>
    <w:p>
      <w:pPr>
        <w:pStyle w:val="BookText"/>
        <w:rPr/>
      </w:pPr>
      <w:r>
        <w:rPr>
          <w:rFonts w:ascii="Amiri" w:hAnsi="Amiri" w:eastAsia="Amiri" w:cs="Amiri"/>
          <w:color w:val="111111"/>
          <w:sz w:val="28"/>
          <w:sz w:val="28"/>
          <w:szCs w:val="28"/>
          <w:rtl w:val="true"/>
          <w:lang w:bidi="ar-SA"/>
        </w:rPr>
        <w:t xml:space="preserve">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أغسال الليلة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موطنه، وفي شرائط الوضع، كالإجازة بناءً على الكشف الحقيقي، فتحقيقه يتّضح بعد مقدّمة ،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للزمان بما أنّه أمر متصرّم متجدّد متقضٍّ بذاته، تقدّماً وتأخّراً ذاتياً، لا بالمعنى الإضافي المقولي، وإن كان عنوان المتقدّم والمتأخّر معنيين إضافيين، ولا يلزم أن يكون المنطبق عليه للمعنى الإضافي إضافياً، كالعلّة والمعلول؛ فإنّهما بعنوانهما إضافيان، لكن المنطبق عليهما؛ أي ذات المبدأ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ومعلوله، لا يكونان من الاُمور الإضافية، وكالضدّين، فإنّهما مقابل المتضايفين، لكن عنوان الضدّية من التضايف، وذات الضدّين ضدّان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فالزمان بهويّته التصرّمية، متقدّم ومتأخّر بالذات، والزمانيات متقدّمة بعضها على بعض بتبع الزمان؛ فإنّ الهويّة الواقعة في الزمان الماضي بما أنّ لها نحو اتّحاد معه تكون متقدّمة على الهويّة الواقعة في الزمان الحال، وهي متقدّمة على الواقعة في الزمان المستقبل، وهذا النحو من التقدّم التبعي ثابت لنفس الهويّتين </w:t>
      </w:r>
    </w:p>
    <w:p>
      <w:pPr>
        <w:pStyle w:val="BookText"/>
        <w:rPr/>
      </w:pPr>
      <w:r>
        <w:rPr>
          <w:rFonts w:ascii="Amiri" w:hAnsi="Amiri" w:eastAsia="Amiri" w:cs="Amiri"/>
          <w:color w:val="111111"/>
          <w:sz w:val="28"/>
          <w:sz w:val="28"/>
          <w:szCs w:val="28"/>
          <w:rtl w:val="true"/>
          <w:lang w:bidi="ar-SA"/>
        </w:rPr>
        <w:t>بواسطة وقوعهما في الزمان المتصرّم بالذات، وليس من المعاني الإضافية والإضافات المقولية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فالحوادث الواقعة في هذا الزمان متقدّمة بواقع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بالمفهوم الإضافي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الحوادث الآتية، لكن بتبع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يمكن لك التخلّص عن الإشكال؛ بجعل موضوع الحكم الوضعي والمكلّف به هو ما يكون متقدّماً بحسب الواقع على حادث خاصّ، فالعقدُ الذي هو متقدّم بتبع الزمان على الإجازة تقدّماً واقعياً موضوع للنقل، ولا يكون مقدّماً عليها بواقع التقدّم التبعي إلاّ أن تكون الإجازة متحقّقة في ظرفها، كما أنّ تقدّم الحوادث اليومية إنّما يكون على الحوادث الآتية، لا على ما لم يحدث بعدُ، من غير أن تكون بينها إضافة،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الصحّة في صوم المستحاضة ما يكون متقدّماً تقدّماً واقعياً تبعاً للزمان على أغسال الليلة الآتية، والتقدّم الواقعي عليها لا يمكن إلاّ مع وقوعها في ظرفها، ومع عدم الوقوع يكون الصوم متقدّماً على سائر الحوادث فيها، لا على هذا الذي لم يحدث، والموضوع هو المتقدّم على الحادث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يدفع جميع الإشكالات، وكون ما ذكر خلاف ظواهر الأدلّة مسلّم، لكن الكلام هاهنا في دفع الإشكال العقلي، لا في استظهار الحكم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طريق آخر لدفع الشبهة، وهو أن يقال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موضوعات الأحكام وشرائطها كلّها تكون عرفية لا عقلية، والعرف لمّا يرى إمكان التقييد والإضافة بالأمر المتأخّر والمتقدّم كالمقارن، يكون موضوع النقل هو العقد المتقيّد بنظره، والصوم المتقيّد كذلك، ولو كان العقل </w:t>
      </w:r>
      <w:bookmarkStart w:id="496" w:name="pg15283_146423"/>
    </w:p>
    <w:p>
      <w:pPr>
        <w:pStyle w:val="BookText"/>
        <w:rPr/>
      </w:pPr>
      <w:bookmarkEnd w:id="496"/>
      <w:r>
        <w:rPr>
          <w:rFonts w:ascii="Amiri" w:hAnsi="Amiri" w:eastAsia="Amiri" w:cs="Amiri"/>
          <w:color w:val="111111"/>
          <w:sz w:val="28"/>
          <w:sz w:val="28"/>
          <w:szCs w:val="28"/>
          <w:rtl w:val="true"/>
          <w:lang w:bidi="ar-SA"/>
        </w:rPr>
        <w:t>لا يساعد عليه والبرهان يضادّه، كما هو الحال في سائر الموضوعات الشرعية، وهذا الوجه يرجع إلى ما ذهب إليه القوم</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4563433_2142443653"/>
      <w:bookmarkStart w:id="498" w:name="_Toc182"/>
      <w:bookmarkEnd w:id="497"/>
      <w:r>
        <w:rPr>
          <w:rtl w:val="true"/>
        </w:rPr>
        <w:t>نقل كلام المحقّق النائيني في تحرير محطّ البحث في الشرط المتأخّر</w:t>
      </w:r>
      <w:bookmarkEnd w:id="498"/>
    </w:p>
    <w:p>
      <w:pPr>
        <w:pStyle w:val="BookText"/>
        <w:rPr/>
      </w:pPr>
      <w:r>
        <w:rPr>
          <w:rFonts w:ascii="Amiri" w:hAnsi="Amiri" w:eastAsia="Amiri" w:cs="Amiri"/>
          <w:color w:val="111111"/>
          <w:sz w:val="28"/>
          <w:sz w:val="28"/>
          <w:szCs w:val="28"/>
          <w:rtl w:val="true"/>
          <w:lang w:bidi="ar-SA"/>
        </w:rPr>
        <w:t>إنّ بعض الأعاظم بعد إخراج الاُمور الانتزاعية عن محطّ البحث؛ لأ نّها تنتزع عمّا تقوم به، من غير دخالة الطرف الآخر في الانتزاع؛ لأنّ السبق ينتزع من نفس السابق بالقياس إلى ما يوجد بعد ذلك، وكذا اللحوق من اللاحق، ولا دخل لشيء منهما في انتزاع العنوان عن صاحبه، فما فرض شرطاً هو المقارن لا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إخراج شرائط المأمور به عنه؛ لبداهة أنّ شرطية شيء له ليست إلاّ بمعنى أخذه قيداً فيه، فيجوز التقييد بالمتأخّر كالمقارن، بل لا فرق بين الأجزاء والشرائط، فكما يمكن الأمر بمركّب ذي أجزاء من غير إشكال، يمكن بمقيّد، بل لا يعقل تعلّق الأمر بالانتزاعيات، فلا بدّ من إرجاعه إلى القيد، فكما أنّ الأمر بالمركّب يتعلّق بكلّ واحد من أجزائه، كذا أنّ الأمر بالمقيّد يتعلّق بقيده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فامتثال أمر المقيّد بقيد متأخّر إنّما يكون بإتيان الشرط المتأخّر، كما أنّ امتثال المركّب التدريجي إنّما هو بإتيان الجزء الأخير، فلا إشكال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إخراج العلل الغائية؛ لأ نّها بوجودها العلمي مؤثّرة في التشريع، لا الخارجي، فشرائط الجعل أيضاً خارجة عن محطّه؛ لأ نّها بوجودها العلمي مؤثّرة في الجعل، فيكون الشرط مقارناً دائماً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 النزاع بشرائط الحكم المجعول، وقال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القضايا إمّا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يتوقّف الحكم فيها على غير دواعي الحكم المؤثّرة بوجودها </w:t>
      </w:r>
    </w:p>
    <w:p>
      <w:pPr>
        <w:pStyle w:val="BookText"/>
        <w:rPr/>
      </w:pPr>
      <w:r>
        <w:rPr>
          <w:rFonts w:ascii="Amiri" w:hAnsi="Amiri" w:eastAsia="Amiri" w:cs="Amiri"/>
          <w:color w:val="111111"/>
          <w:sz w:val="28"/>
          <w:sz w:val="28"/>
          <w:szCs w:val="28"/>
          <w:rtl w:val="true"/>
          <w:lang w:bidi="ar-SA"/>
        </w:rPr>
        <w:t>العلمي لا الخارجي، طابق الواقع أم لا، وهي أيضاً خارجة عن محطّ الكلام؛ فإنّ الحكم فيها يدور مدار علم الحاكم، كان المعلوم مقارناً أو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حكم فيها بثبوت الحكم على الموضوعات المقدّر وجودها، فيحتاج الحكم فيها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داعياً إلى جعل الحكم، وهو أيضاً كالعلل الغائية خارج عن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موضوعاً له واُخذ مفروض الوجود في مقام الحكم، ويدخل في ذلك الشرائط؛ لأنّ شرائط الحكم ترجع إلى قيود الموضوع، وهذا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امتناع الشرط المتأخّر فيه، سواء قلنا بأنّ المجعول هو السببية وأمثالها، أو المجعول هو الحكم عند وجود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 نّه يرجع إلى تأخّر أجزاء العلّة العقلية عن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الخلف والمناقضة من وجود الحكم قبل وجود موضوعه، وقد عرفت أنّ الشرائط كلّها ترجع إلى قيود الموضوع</w:t>
      </w:r>
      <w:r>
        <w:rPr>
          <w:rStyle w:val="FootnoteAnchor"/>
          <w:rtl w:val="true"/>
        </w:rPr>
        <w:footnoteReference w:id="427"/>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مواقع للنظر، نذكر بعض مهمّاتها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الاُمور الانتزاعية من جواز الانتزاع عمّا تقوم به من غير دخالة الطرف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أنّه ينتزع الأمر الإضافي من غير إضافة إلى الطرف الآخر فهو واضح البطلان، مع أنّه مخالف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ما يوجد بعد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أنّه ينتزع منه فعلاً بالقياس إلى ما سيصير طرف الإضافة، من غير أن يكون طرفاً فعلاً، فهو أيضاً واضح البطلان؛ لتكافؤ المتضايفين قوّةً وفعلاً، </w:t>
      </w:r>
    </w:p>
    <w:p>
      <w:pPr>
        <w:pStyle w:val="BookText"/>
        <w:rPr/>
      </w:pPr>
      <w:r>
        <w:rPr>
          <w:rFonts w:ascii="Amiri" w:hAnsi="Amiri" w:eastAsia="Amiri" w:cs="Amiri"/>
          <w:color w:val="111111"/>
          <w:sz w:val="28"/>
          <w:sz w:val="28"/>
          <w:szCs w:val="28"/>
          <w:rtl w:val="true"/>
          <w:lang w:bidi="ar-SA"/>
        </w:rPr>
        <w:t>وهل هذا إلاّ دعوى جواز انتزاع الاُبوّة من طفل نعلم أنّه سيولد له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أراد أنّ المعدوم مضاف فعلاً فهو أوضح بطلاناً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إخراج شرائط المأمور به ممّا لا وجه له؛ لأنّ الكلام ليس في جواز تعلّق الأمر بشيء مركّب أو مقيّد، بل في جواز اشتراط صحّة المأمور به بأمر متأخّر، فاشتراط الصوم بأغسال الليلة المستقبلة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صحّة صومها فعلاً إذا أتت بالأغسال في الليلة المستقبلة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محلّ النزاع والإشكال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يأتي الإشكال في أجزاء المركّب أيضاً، إذا قيل بصحّة الجزء الأوّل مشروطاً بوقوع الأجزاء والشرائط التدريجية في محالّها، والجواب هو الجواب عن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ابتناء الامتناع على حقيقية القضايا ممّا لا وجه له، ودعوى رجوع جميع شرائط القضايا الخارجية إلى العلل الغائية التي تكون بوجودها العلمي لا العيني مؤثّرة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اغتراراً ببعض الأمثلة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يكذّبها الوجدان والبرهان؛ ضرورة أنّ الإجازة بوجودها الخارجي دخيلة في صحّة الفضولي، كانت القضيّة التي أنفذته خارجية أو حقيقية، وإنّما الإحراز شرط الجعل لا المجعول، والكلام فيه لا في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كون القضايا حقيقية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بالوجهين المتقدّمين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محطّ البحث أعمّ من شرائط الجعل كالقدرة المتأخّرة، وشرائط المكلّف به كأغسال الليلة المتأخّرة، وشرائط الوضع كالإجازة في الفضولي بناءً على الكشف، والجواب ما مرّ</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499" w:name="pg15283_146426"/>
    </w:p>
    <w:p>
      <w:pPr>
        <w:pStyle w:val="Heading4"/>
        <w:numPr>
          <w:ilvl w:val="3"/>
          <w:numId w:val="1"/>
        </w:numPr>
        <w:rPr/>
      </w:pPr>
      <w:bookmarkStart w:id="500" w:name="__RefHeading___Toc4563435_2142443653"/>
      <w:bookmarkStart w:id="501" w:name="_Toc183"/>
      <w:bookmarkEnd w:id="499"/>
      <w:bookmarkEnd w:id="500"/>
      <w:r>
        <w:rPr>
          <w:rtl w:val="true"/>
        </w:rPr>
        <w:t>الأمر الرابع في تقسيمات الواجب</w:t>
      </w:r>
      <w:bookmarkEnd w:id="501"/>
    </w:p>
    <w:p>
      <w:pPr>
        <w:pStyle w:val="Heading5"/>
        <w:numPr>
          <w:ilvl w:val="4"/>
          <w:numId w:val="1"/>
        </w:numPr>
        <w:rPr/>
      </w:pPr>
      <w:bookmarkStart w:id="502" w:name="__RefHeading___Toc4563437_2142443653"/>
      <w:bookmarkStart w:id="503" w:name="_Toc184"/>
      <w:bookmarkEnd w:id="502"/>
      <w:r>
        <w:rPr>
          <w:rtl w:val="true"/>
        </w:rPr>
        <w:t>الواجب المطلق والمشروط</w:t>
      </w:r>
      <w:bookmarkEnd w:id="503"/>
    </w:p>
    <w:p>
      <w:pPr>
        <w:pStyle w:val="BookText"/>
        <w:rPr/>
      </w:pPr>
      <w:r>
        <w:rPr>
          <w:rFonts w:ascii="Amiri" w:hAnsi="Amiri" w:eastAsia="Amiri" w:cs="Amiri"/>
          <w:color w:val="111111"/>
          <w:sz w:val="28"/>
          <w:sz w:val="28"/>
          <w:szCs w:val="28"/>
          <w:rtl w:val="true"/>
          <w:lang w:bidi="ar-SA"/>
        </w:rPr>
        <w:t>ومن تقسيمات الواجب تقسيمه إلى المطلق والمشروط، والإطلاق والاشتراط وصفان إضافيان، كالإطلاق والتقييد في باب المطلق والمقيّد، فكلّ قيد يلاحظ ويقاس بالنسبة إلى الواجب، فإمّا أن يكون وجوبه بالنسبة إليه مشروطاً أو لا، فيمكن أن يكون الواجب مطلقاً من جهة وبالنسبة إلى قيد، ومشروطاً من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الواجب المشروط يتمّ في ضمن جهات من البحث</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4563439_2142443653"/>
      <w:bookmarkStart w:id="505" w:name="_Toc185"/>
      <w:bookmarkEnd w:id="504"/>
      <w:r>
        <w:rPr>
          <w:rtl w:val="true"/>
        </w:rPr>
        <w:t>الجهة الاُولى</w:t>
      </w:r>
      <w:r>
        <w:rPr>
          <w:rtl w:val="true"/>
        </w:rPr>
        <w:t xml:space="preserve">: </w:t>
      </w:r>
      <w:r>
        <w:rPr>
          <w:rtl w:val="true"/>
        </w:rPr>
        <w:t>في تصوير الواجب المشروط</w:t>
      </w:r>
      <w:bookmarkEnd w:id="505"/>
    </w:p>
    <w:p>
      <w:pPr>
        <w:pStyle w:val="Heading6"/>
        <w:numPr>
          <w:ilvl w:val="5"/>
          <w:numId w:val="1"/>
        </w:numPr>
        <w:rPr/>
      </w:pPr>
      <w:bookmarkStart w:id="506" w:name="__RefHeading___Toc4563441_2142443653"/>
      <w:bookmarkStart w:id="507" w:name="_Toc186"/>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لا إشكال في أنّ مقتضى القواعد العربية والتفاهم العرفي هو رجوع القيد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الهيئة، فلا بدّ في رفع اليد عن الظاهر من دليل، كامتناع الرجوع إليها، أو لزوم الرجوع إلى المادّة لبّاً كما نسب إلى الشيخ الأعظم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هذا وعدم امتناع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فسيأتي الكلام فيه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الأوّل</w:t>
      </w:r>
      <w:r>
        <w:rPr>
          <w:rFonts w:eastAsia="Amiri" w:cs="Amiri" w:ascii="Amiri" w:hAnsi="Amiri"/>
          <w:color w:val="111111"/>
          <w:sz w:val="28"/>
          <w:szCs w:val="28"/>
          <w:rtl w:val="true"/>
          <w:lang w:bidi="ar-SA"/>
        </w:rPr>
        <w:t xml:space="preserve">: </w:t>
      </w:r>
      <w:bookmarkStart w:id="508" w:name="pg15283_146427"/>
    </w:p>
    <w:p>
      <w:pPr>
        <w:pStyle w:val="Heading6"/>
        <w:numPr>
          <w:ilvl w:val="5"/>
          <w:numId w:val="1"/>
        </w:numPr>
        <w:rPr/>
      </w:pPr>
      <w:bookmarkStart w:id="509" w:name="__RefHeading___Toc4563443_2142443653"/>
      <w:bookmarkStart w:id="510" w:name="_Toc187"/>
      <w:bookmarkEnd w:id="508"/>
      <w:bookmarkEnd w:id="509"/>
      <w:r>
        <w:rPr>
          <w:rtl w:val="true"/>
        </w:rPr>
        <w:t>ضابط قيود المادّة والهيئة</w:t>
      </w:r>
      <w:bookmarkEnd w:id="510"/>
    </w:p>
    <w:p>
      <w:pPr>
        <w:pStyle w:val="BookText"/>
        <w:rPr/>
      </w:pPr>
      <w:r>
        <w:rPr>
          <w:rFonts w:ascii="Amiri" w:hAnsi="Amiri" w:eastAsia="Amiri" w:cs="Amiri"/>
          <w:color w:val="111111"/>
          <w:sz w:val="28"/>
          <w:sz w:val="28"/>
          <w:szCs w:val="28"/>
          <w:rtl w:val="true"/>
          <w:lang w:bidi="ar-SA"/>
        </w:rPr>
        <w:t>إنّ لرجوع القيد إلى المادّة وإلى الهيئة ميزاناً بحسب اللبّ، وليس ذلك بجزاف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فالقيود الراجعة إلى المادّة هي كلّ ما يكون بحسب الواقع دخيلاً في تحصيل الغرض المطلق، من غير أن يكون دخيلاً في ثبوت نفس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الغرض اللازم التحصيل هو الصلاة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الصلاة فيه متعلّقة لغرضه الذي لا يحصل إلاّ بها، كان المسجد متحقّقاً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تتعلّق إرادته بها مطلقاً، فيأمر بإيجاد الصلاة فيه، فلا بدّ للمأمور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إطاعةً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يبني المسجد على فرض عدمه ويصلّي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الغرض لا يتعلّق بها كذلك، بل يكون وجود المسجد دخيلاً في تحقّق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لم يكن ذلك لم يتعلّق غرضه بالصلاة كذلك، بل قد يكون وجوده مبغوضاً له، لكن على فرض وجوده تكون الصلاة فيه متعلّقاً لغرضه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تتعلّق إرادته بها على فرض تحقّق المسجد، ففي مثله يرجع القيد إلى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للقيود الراجعة إلى الهيئة موارد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المصلحة في فعل مطلقاً، لكن يكون في بعثه كذلك مانع؛ لجهة في المأمور كالعجز، فلو غرق ابن المولى فأمر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إذا قدرت فأنقذه، لم يعقل رجوع القيد إلى المادّة؛ لأ نّها مطلوبة على الإطلاق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المطلوب مطلقاً، لكن يكون للآمر مانع من إطلاق الأمر، فيأمر مشروطاً</w:t>
      </w:r>
      <w:r>
        <w:rPr>
          <w:rFonts w:eastAsia="Amiri" w:cs="Amiri" w:ascii="Amiri" w:hAnsi="Amiri"/>
          <w:color w:val="111111"/>
          <w:sz w:val="28"/>
          <w:szCs w:val="28"/>
          <w:rtl w:val="true"/>
          <w:lang w:bidi="ar-SA"/>
        </w:rPr>
        <w:t xml:space="preserve">. </w:t>
      </w:r>
      <w:bookmarkStart w:id="511" w:name="pg15283_146428"/>
    </w:p>
    <w:p>
      <w:pPr>
        <w:pStyle w:val="BookText"/>
        <w:rPr/>
      </w:pPr>
      <w:bookmarkEnd w:id="511"/>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لزم من تقييد المادّة محال، كما في قول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مرضت فاشرب المسهل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شربه لدفع المرض، ولا يعقل أن يكون المرض دخيلاً في صلاح شرب المسهل بنحو الموضوعية؛ بحيث يرجع القيد إلى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الكفّارات في الإفطار والظهار وحنث النذور وغيرها؛ فإنّ الأمر بها لرفع منقصة حاصلة لأجل ارتكاب المحرّمات، ولا يعقل أن يكون ارتكابها من قيود المادّة، إلى غير ذلك</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4563445_2142443653"/>
      <w:bookmarkStart w:id="513" w:name="_Toc188"/>
      <w:bookmarkEnd w:id="512"/>
      <w:r>
        <w:rPr>
          <w:rtl w:val="true"/>
        </w:rPr>
        <w:t xml:space="preserve">نقل وتحصيل </w:t>
      </w:r>
      <w:r>
        <w:rPr>
          <w:rtl w:val="true"/>
        </w:rPr>
        <w:t xml:space="preserve">: </w:t>
      </w:r>
      <w:r>
        <w:rPr>
          <w:rtl w:val="true"/>
        </w:rPr>
        <w:t>حول کلام المحقّق العراقي في الضابط في القیدین</w:t>
      </w:r>
      <w:bookmarkEnd w:id="513"/>
    </w:p>
    <w:p>
      <w:pPr>
        <w:pStyle w:val="BookText"/>
        <w:rPr/>
      </w:pPr>
      <w:r>
        <w:rPr>
          <w:rFonts w:ascii="Amiri" w:hAnsi="Amiri" w:eastAsia="Amiri" w:cs="Amiri"/>
          <w:color w:val="111111"/>
          <w:sz w:val="28"/>
          <w:sz w:val="28"/>
          <w:szCs w:val="28"/>
          <w:rtl w:val="true"/>
          <w:lang w:bidi="ar-SA"/>
        </w:rPr>
        <w:t>ومن المحقّقين من قال في الضابط في القيدين بحسب اللبّ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يتوقّف اتّصاف الفعل بكونه ذا مصلحة على حصوله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كالاستطاعة بالنسبة إلى الحجّ؛ فإنّ قبل حصولها لا يتّصف الحجّ بعنوان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مثله يكون القيد راجعاً إلى الهيئة، ويكون الأمر معلّقاً على تحقّقه، وأمّا قبل حصوله فلا يرى المولى 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تتوقّف فعلية المصلحة وحصولها في الخارج على تحقّقه، فلا تحصل المصلحة إلاّ إذا اقترن الفعل به كالطهارة والاستقبال والستر، يكون من قيود المادّة</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الشقّ الأوّل إشكال طرداً وعكساً؛ فإنّ الصلاح الذي يتوقّف على حصول شيء إذا كان لازم التحصيل مطلقاً تتعلّق الإرادة بتحصيله على نحو الإطلاق، ويأمر بإتيان الفعل كذلك، وعلى المكلّف أن يأتي به ولو بإيجاد شرطه</w:t>
      </w:r>
      <w:r>
        <w:rPr>
          <w:rFonts w:eastAsia="Amiri" w:cs="Amiri" w:ascii="Amiri" w:hAnsi="Amiri"/>
          <w:color w:val="111111"/>
          <w:sz w:val="28"/>
          <w:szCs w:val="28"/>
          <w:rtl w:val="true"/>
          <w:lang w:bidi="ar-SA"/>
        </w:rPr>
        <w:t xml:space="preserve">. </w:t>
      </w:r>
      <w:bookmarkStart w:id="514" w:name="pg15283_146429"/>
    </w:p>
    <w:p>
      <w:pPr>
        <w:pStyle w:val="BookText"/>
        <w:rPr/>
      </w:pPr>
      <w:bookmarkEnd w:id="514"/>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الحجّ لا يتّصف بالصلاح إلاّ مع الاستطاعة، لكن يكون للمولى غرض مطلق في تحصيل مصلحة الحجّ، فلا محالة يأمر عبده بتحصيلها بنحو الإطلاق، فلا بدّ له من تحصيل الاستطاعة؛ ليصير الحجّ معنوناً بالصلاح، ويأتي به لتحصيل غرضه المطلق، بل لو فرض غرض للمولى لا يحصل إلاّ بتحصيل المصلحة التي في شرب المسهل، فيأمر عبده بتحصيلها، فلا بدّ له من إمراض نفسه وشربه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بعض القيود لا يكون دخيلاً في اتّصاف الموضوع بالمصلحة، ومع ذلك يكون قيداً للهيئة، كالقدرة وسائر الأمثلة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قيود المادّة كالطهارة والستر والاستقبال دخيلة</w:t>
      </w:r>
    </w:p>
    <w:p>
      <w:pPr>
        <w:pStyle w:val="BookText"/>
        <w:rPr/>
      </w:pPr>
      <w:r>
        <w:rPr>
          <w:rFonts w:ascii="Amiri" w:hAnsi="Amiri" w:eastAsia="Amiri" w:cs="Amiri"/>
          <w:color w:val="111111"/>
          <w:sz w:val="28"/>
          <w:sz w:val="28"/>
          <w:szCs w:val="28"/>
          <w:rtl w:val="true"/>
          <w:lang w:bidi="ar-SA"/>
        </w:rPr>
        <w:t>في اتّصاف الموضوع بالصلاح، فإنّ الصلاة بدون الطهارة والقبلة لا مصلحة فيها، وليس حال تلك القيود كحال آلات الفاعل في إيجاد موضوع ذي صلاح بالضرورة، فما ذكره في ضابط المطلق والمشروط غير تامّ، إلاّ أن يرجع إلى ما ذكرنا، وهو خلاف ظاهره</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4563447_2142443653"/>
      <w:bookmarkStart w:id="516" w:name="_Toc189"/>
      <w:bookmarkEnd w:id="515"/>
      <w:r>
        <w:rPr>
          <w:rtl w:val="true"/>
        </w:rPr>
        <w:t>تذكرة</w:t>
      </w:r>
      <w:r>
        <w:rPr>
          <w:rtl w:val="true"/>
        </w:rPr>
        <w:t xml:space="preserve">: </w:t>
      </w:r>
      <w:r>
        <w:rPr>
          <w:rtl w:val="true"/>
        </w:rPr>
        <w:t>في أدلّة امتناع رجوع القيد إلى الهيئة والجواب عنها</w:t>
      </w:r>
      <w:bookmarkEnd w:id="516"/>
    </w:p>
    <w:p>
      <w:pPr>
        <w:pStyle w:val="BookText"/>
        <w:rPr/>
      </w:pPr>
      <w:r>
        <w:rPr>
          <w:rFonts w:ascii="Amiri" w:hAnsi="Amiri" w:eastAsia="Amiri" w:cs="Amiri"/>
          <w:color w:val="111111"/>
          <w:sz w:val="28"/>
          <w:sz w:val="28"/>
          <w:szCs w:val="28"/>
          <w:rtl w:val="true"/>
          <w:lang w:bidi="ar-SA"/>
        </w:rPr>
        <w:t>قد يقال بامتناع رجوع القيد إلى الهيئة؛ فإنّها من الاُمور الغير المستقلّة في اللحاظ، والاشتراط والتقييد متوقّفان على اللحاظ الاستقلالي للمشروط والمقيّد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التقييد إنّما هو باللحاظ الثاني حتّى في المعاني الاسمية،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دالاًّ إلاّ على معناه لا غير، ففي </w:t>
      </w:r>
    </w:p>
    <w:p>
      <w:pPr>
        <w:pStyle w:val="BookText"/>
        <w:rPr/>
      </w:pPr>
      <w:r>
        <w:rPr>
          <w:rFonts w:ascii="Amiri" w:hAnsi="Amiri" w:eastAsia="Amiri" w:cs="Amiri"/>
          <w:color w:val="111111"/>
          <w:sz w:val="28"/>
          <w:sz w:val="28"/>
          <w:szCs w:val="28"/>
          <w:rtl w:val="true"/>
          <w:lang w:bidi="ar-SA"/>
        </w:rPr>
        <w:t xml:space="preserve">استعماله لا يكون إلاّ حاكياً عن نفس معناه، فإذا وصف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توصيفه بلحاظ ثانٍ، وهذا بعينه ممكن في المعاني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تصوّر التوصيف والوصف والموصوف قبل الاستعمال، سواء في ذلك المعاني الاسمية والحرفية، وتصوّر الحرفيات قبل استعمالها استقلالاً وتصوّر توصيفها، ممّا لا مانع منه،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 لو كان إنّما</w:t>
      </w:r>
    </w:p>
    <w:p>
      <w:pPr>
        <w:pStyle w:val="BookText"/>
        <w:rPr/>
      </w:pPr>
      <w:r>
        <w:rPr>
          <w:rFonts w:ascii="Amiri" w:hAnsi="Amiri" w:eastAsia="Amiri" w:cs="Amiri"/>
          <w:color w:val="111111"/>
          <w:sz w:val="28"/>
          <w:sz w:val="28"/>
          <w:szCs w:val="28"/>
          <w:rtl w:val="true"/>
          <w:lang w:bidi="ar-SA"/>
        </w:rPr>
        <w:t>هو حين الاستعمال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المعاني الحرفية ممكن، بل نوع المحاورات والتفهيم والتفهّمات لإفهام المعاني الحرفية وتفهّمها، وقلّما يتعلّق الغرض بإفهام المعنى الاسمي فقط، فالمطلوب الأوّلي هو إفهام المعاني الحرفية، فتكون هي ملحوظة بنحو يمكن تقييدها وتوصيفها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عنها وبها غير جائز، وأمّا تقييدها في ضمن الكلام فواقع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لا يحتاج إلى اللحاظ الاستقلالي، بل يكفي فيه ما هو حاصل في ضمن الكلام الذي يحكي عن الواقع،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المتكلّم أنّ زيداً في الدار جالس يوم الجمعة، وأراد الإخبار بهذا الأمر، فأخبر عن الواقع المشهود بالألفاظ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قالب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للمعاني، يقع الإخبار عن التقييد والقيد والمقيّد، من غير احتياج إلى غير لحاظ المعاني الاسمية والحرفية على ما هي عليه واقعاً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الحروف الحاكيات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غيرها؛ أي التي تستعمل استعمالاً إيجادياً، فالمتكلّم قبل استعمالها يقدّر المعاني والألفاظ في ذهنه، ويرى أنّ مطلوبه </w:t>
      </w:r>
      <w:bookmarkStart w:id="517" w:name="pg15283_146431"/>
    </w:p>
    <w:p>
      <w:pPr>
        <w:pStyle w:val="BookText"/>
        <w:rPr/>
      </w:pPr>
      <w:bookmarkEnd w:id="517"/>
      <w:r>
        <w:rPr>
          <w:rFonts w:ascii="Amiri" w:hAnsi="Amiri" w:eastAsia="Amiri" w:cs="Amiri"/>
          <w:color w:val="111111"/>
          <w:sz w:val="28"/>
          <w:sz w:val="28"/>
          <w:szCs w:val="28"/>
          <w:rtl w:val="true"/>
          <w:lang w:bidi="ar-SA"/>
        </w:rPr>
        <w:t xml:space="preserve">لا يكون إلاّ مطلوباً على تقدير، فإذا تكلّم بالألفاظ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قالب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هذه المعاني الذهنية فلا محالة تكون الهيئة مقيّدة، من غير احتياج إلى نظر استقلالي حال الاستعمال، وأنت إذا راجعت وجدانك ترى صدق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تقرير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موضوعة بالوضع العامّ والموضوع له الخاصّ، ومثله جزئي حقيقي غير قابل للتقييد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تعليق الجزئي وتقييده ممكن واقع،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للتقييد بالنظر إلى طوارئه؛ ولهذا تجري فيه مقدّمات الحكمة إذا وقع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في الأمر والنهي من الحروف الإيجادية كما سبق، وتعليق الإيجاد مساوق لعدم الإيجاد، كما أنّ تعليق الوجود مساوق لعدمه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الاعتباري والإنشائي قابل للتعليق والتقييد، ومعنى تعليقه أنّه بعث على تقدير، وقياسه بالوجودات الحقيقية مع الفارق</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4563449_2142443653"/>
      <w:bookmarkStart w:id="519" w:name="_Toc190"/>
      <w:bookmarkEnd w:id="518"/>
      <w:r>
        <w:rPr>
          <w:rtl w:val="true"/>
        </w:rPr>
        <w:t>الجهة الثانية</w:t>
      </w:r>
      <w:r>
        <w:rPr>
          <w:rtl w:val="true"/>
        </w:rPr>
        <w:t xml:space="preserve">: </w:t>
      </w:r>
      <w:r>
        <w:rPr>
          <w:rtl w:val="true"/>
        </w:rPr>
        <w:t>في حكم الواجب المشروط قبل تحقّق شرطه</w:t>
      </w:r>
      <w:bookmarkEnd w:id="519"/>
    </w:p>
    <w:p>
      <w:pPr>
        <w:pStyle w:val="BookText"/>
        <w:rPr/>
      </w:pPr>
      <w:r>
        <w:rPr>
          <w:rFonts w:ascii="Amiri" w:hAnsi="Amiri" w:eastAsia="Amiri" w:cs="Amiri"/>
          <w:color w:val="111111"/>
          <w:sz w:val="28"/>
          <w:sz w:val="28"/>
          <w:szCs w:val="28"/>
          <w:rtl w:val="true"/>
          <w:lang w:bidi="ar-SA"/>
        </w:rPr>
        <w:t>هل الوجوب في المشروط قبل تحقّق شرطه فعلي أو لا يصير فعلياً إلاّ بعده؟</w:t>
      </w:r>
    </w:p>
    <w:p>
      <w:pPr>
        <w:pStyle w:val="BookText"/>
        <w:rPr/>
      </w:pPr>
      <w:r>
        <w:rPr>
          <w:rFonts w:ascii="Amiri" w:hAnsi="Amiri" w:eastAsia="Amiri" w:cs="Amiri"/>
          <w:color w:val="111111"/>
          <w:sz w:val="28"/>
          <w:sz w:val="28"/>
          <w:szCs w:val="28"/>
          <w:rtl w:val="true"/>
          <w:lang w:bidi="ar-SA"/>
        </w:rPr>
        <w:t>والتحقيق هو الثاني، وتوضيحه يتوقّف على تحقيق حقيقة الحكم، فنقول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أنّ الآمر قبل إنشاء التكليف يتصوّر المبعوث إليه، ويدرك فائدته ولزوم حصوله بيد المأمور وصدوره منه، وبعد تمامية مقدّمات الإرادة </w:t>
      </w:r>
    </w:p>
    <w:p>
      <w:pPr>
        <w:pStyle w:val="BookText"/>
        <w:rPr/>
      </w:pPr>
      <w:r>
        <w:rPr>
          <w:rFonts w:ascii="Amiri" w:hAnsi="Amiri" w:eastAsia="Amiri" w:cs="Amiri"/>
          <w:color w:val="111111"/>
          <w:sz w:val="28"/>
          <w:sz w:val="28"/>
          <w:szCs w:val="28"/>
          <w:rtl w:val="true"/>
          <w:lang w:bidi="ar-SA"/>
        </w:rPr>
        <w:t>يريد بعثه إليه، فيأمره ويبعثه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الحكم عبارة عن الإرادة، أو الإرادة المظهرة بنحو من الإظهار، أو نفس البعث الناشئ من إرادته؛ بحيث تكون الإرادة كسائر المقدّمات من مبادئ حصوله لا مقوّمات حقيقته؟</w:t>
      </w:r>
    </w:p>
    <w:p>
      <w:pPr>
        <w:pStyle w:val="BookText"/>
        <w:rPr/>
      </w:pPr>
      <w:r>
        <w:rPr>
          <w:rFonts w:ascii="Amiri" w:hAnsi="Amiri" w:eastAsia="Amiri" w:cs="Amiri"/>
          <w:color w:val="111111"/>
          <w:sz w:val="28"/>
          <w:sz w:val="28"/>
          <w:szCs w:val="28"/>
          <w:rtl w:val="true"/>
          <w:lang w:bidi="ar-SA"/>
        </w:rPr>
        <w:t>الحقّ هو الأخير؛ لشهادة العرف والعقلاء بذلك، ألا ترى أنّه بمجرّد صدور الأمر من المولى يرى العبيد وجوب الإتيان، من غير أن يخطر ببالهم كون الأمر ناشئاً من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آلة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لانتزاع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الإيجاب والوجوب واحد ذاتاً مختلف بالاعتبار، والإرادة لا تكون إيجاباً وإلزاماً بالضرورة، بل نفس البعث والإغراء إلزام وإيجاب، وهو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الأحكام التكليفية قسيم الأحكام الوضعية وقرينها، ولا إشكال في أنّ الوضعيات لم تكن من قبيل الإرادات المظهرة، فالولاية والحكومة والقضاء والملكية وغيرها تنتزع من جعلها، 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العناوين منتزعة عن الإرادة، أو عبارة عنها، أو عن مقام إظهارها، كما أنّ حكم السلطان والقاضي عبارة عن نفس الإنشاء الصادر منهما في مقام الحكومة والقضاء، لا الإرادة المظهرة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مشترك معنوي بين الوضع والتكليف إذا لوحظ اسماً، فلا بدّ وأن يكون الاعتبار فيهما واحداً، فنفس البعث عبارة عن الحكم والإيجاب أو هما منتزعان منه، والوجوب عين الإيجاب ذاتاً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ينشأ البعث من الإرادة الجدّية لم ينتزع منه الوجوب والإيجاب، </w:t>
      </w:r>
      <w:bookmarkStart w:id="520" w:name="pg15283_146433"/>
    </w:p>
    <w:p>
      <w:pPr>
        <w:pStyle w:val="BookText"/>
        <w:rPr/>
      </w:pPr>
      <w:bookmarkEnd w:id="520"/>
      <w:r>
        <w:rPr>
          <w:rFonts w:ascii="Amiri" w:hAnsi="Amiri" w:eastAsia="Amiri" w:cs="Amiri"/>
          <w:color w:val="111111"/>
          <w:sz w:val="28"/>
          <w:sz w:val="28"/>
          <w:szCs w:val="28"/>
          <w:rtl w:val="true"/>
          <w:lang w:bidi="ar-SA"/>
        </w:rPr>
        <w:t>وهو لا يوجب أن تكون الإرادة دخيلة في قوام الحكم، أو تكون تمام حقيقته، ويكون الإظهار واسطة لانتزاع الحكم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ادّعى بعض أهل التحقيق من كون الحكم عبارة عن الإرادة التشريعية التي يظهرها المريد بأحد مظهراتها</w:t>
      </w:r>
      <w:r>
        <w:rPr>
          <w:rStyle w:val="FootnoteAnchor"/>
          <w:rtl w:val="true"/>
        </w:rPr>
        <w:footnoteReference w:id="434"/>
      </w:r>
      <w:r>
        <w:rPr>
          <w:rFonts w:ascii="Amiri" w:hAnsi="Amiri" w:eastAsia="Amiri" w:cs="Amiri"/>
          <w:color w:val="111111"/>
          <w:sz w:val="28"/>
          <w:sz w:val="28"/>
          <w:szCs w:val="28"/>
          <w:rtl w:val="true"/>
          <w:lang w:bidi="ar-SA"/>
        </w:rPr>
        <w:t>،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لك التصديق بأنّ الواجب المشروط قبل تحقّق شرطه ليس وجوبه فعلياً كما هو مقتضى تعليق الهيئة، ومعلوم أنّ إنشاء البعث على تقدير لا يمكن أن يكون بعثاً فعلياً قبل حصول التقدير؛ للزوم تخلّف المنشأ عن الإنشاء، كما أنّ إنشاء الملكية على تقدير الموت في الوصية، لا يمكن أن يؤثّر إلاّ في الملكية الفعلية بعد الموت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قلنا بأنّ الإرادة دخيلة في الحكم لم تكن دخالتها إلاّ بنحو منشئية الانتزاع، وأمّا كونها نفس الحكم ذاتاً فهو خلاف الضرورة، فحينئذٍ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المعلّقة على شيء لا ينتزع منها الوجوب الفعلي، بل هي منشأ انتزاع الوجوب المشروط</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4563451_2142443653"/>
      <w:bookmarkStart w:id="522" w:name="_Toc191"/>
      <w:bookmarkEnd w:id="521"/>
      <w:r>
        <w:rPr>
          <w:rtl w:val="true"/>
        </w:rPr>
        <w:t>الجهة الثالثة</w:t>
      </w:r>
      <w:r>
        <w:rPr>
          <w:rtl w:val="true"/>
        </w:rPr>
        <w:t xml:space="preserve">: </w:t>
      </w:r>
      <w:r>
        <w:rPr>
          <w:rtl w:val="true"/>
        </w:rPr>
        <w:t>في إشكالات الواجب المشروط على مسلك المشهور</w:t>
      </w:r>
      <w:bookmarkEnd w:id="522"/>
    </w:p>
    <w:p>
      <w:pPr>
        <w:pStyle w:val="Heading6"/>
        <w:numPr>
          <w:ilvl w:val="5"/>
          <w:numId w:val="1"/>
        </w:numPr>
        <w:rPr/>
      </w:pPr>
      <w:bookmarkStart w:id="523" w:name="__RefHeading___Toc4563453_2142443653"/>
      <w:bookmarkStart w:id="524" w:name="_Toc192"/>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ربما يستشكل على الواجب المشروط على مسلك المشهور بوجوه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بعض أهل التحقيق، وهو أنّه لا ريب في أنّ إنشاء التكليف من مقدّمات التوصّل إلى تحصيل المكلّف به، والواجب المشروط على المشهور ليس بمراد للمولى قبل تحقّق شرطه، فكيف يتصوّر أن يتوصّل العاقل إلى </w:t>
      </w:r>
    </w:p>
    <w:p>
      <w:pPr>
        <w:pStyle w:val="BookText"/>
        <w:rPr/>
      </w:pPr>
      <w:r>
        <w:rPr>
          <w:rFonts w:ascii="Amiri" w:hAnsi="Amiri" w:eastAsia="Amiri" w:cs="Amiri"/>
          <w:color w:val="111111"/>
          <w:sz w:val="28"/>
          <w:sz w:val="28"/>
          <w:szCs w:val="28"/>
          <w:rtl w:val="true"/>
          <w:lang w:bidi="ar-SA"/>
        </w:rPr>
        <w:t>تحصيل ما لا يريده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يلتزم المشهور بوجود غرض نفسي في إنشاء التكليف المشروط،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مذهبنا فلا يرد الإشكال؛ لفعلية الإرادة قبل تحقّق الشرط، فيتوصّل المولى إلى ما يريده فعلاً، وإن كان على تقدير</w:t>
      </w:r>
      <w:r>
        <w:rPr>
          <w:rStyle w:val="FootnoteAnchor"/>
          <w:rtl w:val="true"/>
        </w:rPr>
        <w:footnoteReference w:id="4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عجيب الكلام؛ فإنّ الإنشاء وإن كان للتوصّل إلى المبعوث إليه، لكن في المشروط يتوصّل المولى إليه على تقدير حصول الشرط،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إنشاء الإيجاب أو البعث على تقدير الاستطاعة للتوصّل إليه على هذا التقدير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فائدة هذا الإنشاء قبل حصول الشرط، وهي متصوّرة في الإنشاء المتوجّه إلى مكلّف جزئي، وأمّا الحكم التشريعي القانوني المتعلّق بالعناوين الكلّية فلا يمكن أن ينشأ إلاّ على هذا النحو،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إنشاء البعث المشروط، للتوصّل به إلى المبعوث إليه على تقدير حصول الشرط، سواء في ذلك مذهب المشهور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قبل وجوب ذي المقدّمة ممتنع؛ لأنّ وجوبها ناشئ من وجوبه، وعلى فرض التلازم بين الإرادتين تكون إرادة المقدّمة ناشئة من إرادة ذي المقدّمة، فلا يعقل وجود المعلول قبل علّته وأحد المتلازمين قبل صاحبه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بعض أهل التحقيق فراراً من مثل الإشكال ذهب إلى أنّ الحكم </w:t>
      </w:r>
    </w:p>
    <w:p>
      <w:pPr>
        <w:pStyle w:val="BookText"/>
        <w:rPr/>
      </w:pPr>
      <w:r>
        <w:rPr>
          <w:rFonts w:ascii="Amiri" w:hAnsi="Amiri" w:eastAsia="Amiri" w:cs="Amiri"/>
          <w:color w:val="111111"/>
          <w:sz w:val="28"/>
          <w:sz w:val="28"/>
          <w:szCs w:val="28"/>
          <w:rtl w:val="true"/>
          <w:lang w:bidi="ar-SA"/>
        </w:rPr>
        <w:t>عبارة عن الإرادة المظهرة</w:t>
      </w:r>
      <w:r>
        <w:rPr>
          <w:rStyle w:val="FootnoteAnchor"/>
          <w:rtl w:val="true"/>
        </w:rPr>
        <w:footnoteReference w:id="436"/>
      </w:r>
      <w:r>
        <w:rPr>
          <w:rFonts w:ascii="Amiri" w:hAnsi="Amiri" w:eastAsia="Amiri" w:cs="Amiri"/>
          <w:color w:val="111111"/>
          <w:sz w:val="28"/>
          <w:sz w:val="28"/>
          <w:szCs w:val="28"/>
          <w:rtl w:val="true"/>
          <w:lang w:bidi="ar-SA"/>
        </w:rPr>
        <w:t>بتخيّل أنّه معه يرفع الإشكال عنه، وسيتّضح</w:t>
      </w:r>
    </w:p>
    <w:p>
      <w:pPr>
        <w:pStyle w:val="BookText"/>
        <w:rPr/>
      </w:pPr>
      <w:r>
        <w:rPr>
          <w:rFonts w:ascii="Amiri" w:hAnsi="Amiri" w:eastAsia="Amiri" w:cs="Amiri"/>
          <w:color w:val="111111"/>
          <w:sz w:val="28"/>
          <w:sz w:val="28"/>
          <w:szCs w:val="28"/>
          <w:rtl w:val="true"/>
          <w:lang w:bidi="ar-SA"/>
        </w:rPr>
        <w:t>ما فيه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لا يكون ناشئاً من وجوب</w:t>
      </w:r>
    </w:p>
    <w:p>
      <w:pPr>
        <w:pStyle w:val="BookText"/>
        <w:rPr/>
      </w:pPr>
      <w:r>
        <w:rPr>
          <w:rFonts w:ascii="Amiri" w:hAnsi="Amiri" w:eastAsia="Amiri" w:cs="Amiri"/>
          <w:color w:val="111111"/>
          <w:sz w:val="28"/>
          <w:sz w:val="28"/>
          <w:szCs w:val="28"/>
          <w:rtl w:val="true"/>
          <w:lang w:bidi="ar-SA"/>
        </w:rPr>
        <w:t>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قلنا بأنّ الوجوب هو البعث أو المنتزع منه فواضح؛ ضرورة عدم التلازم بين البعث إلى شيء والبعث إلى مقدّمته، بل غالباً لا يكون للمولى بعث إلى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التلازم بين الإرادة المتعلّقة بذي المقدّمة مع إرادة مقدّمته، فليس بمعنى نشوّ إرادة من إرادة؛ بحيث تكون إرادة ذي المقدّمة علّة موجدة لها؛ لما عرفت سابقاً</w:t>
      </w:r>
      <w:r>
        <w:rPr>
          <w:rStyle w:val="FootnoteAnchor"/>
          <w:rtl w:val="true"/>
        </w:rPr>
        <w:footnoteReference w:id="438"/>
      </w:r>
      <w:r>
        <w:rPr>
          <w:rFonts w:ascii="Amiri" w:hAnsi="Amiri" w:eastAsia="Amiri" w:cs="Amiri"/>
          <w:color w:val="111111"/>
          <w:sz w:val="28"/>
          <w:sz w:val="28"/>
          <w:szCs w:val="28"/>
          <w:rtl w:val="true"/>
          <w:lang w:bidi="ar-SA"/>
        </w:rPr>
        <w:t xml:space="preserve">من أنّ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توقّف ما هو مطلوبه على شيء، فهو يريد البعث إليه لأجل تحصيله، وهذا معنى الإرادة الغيرية، فللإرادة مطلقاً مقدّمات لا تتحقّق بدونها، ولا تكون إرادة ناشئة من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في إرادة المقدّمة هو علمه بتوقّف التوصّل إلى ذي المقدّمة عليها، فإذا كان ذو المقدّمة مراداً فعلياً فلا محالة تتعلّق إرادة بما</w:t>
      </w:r>
    </w:p>
    <w:p>
      <w:pPr>
        <w:pStyle w:val="BookText"/>
        <w:rPr/>
      </w:pPr>
      <w:r>
        <w:rPr>
          <w:rFonts w:ascii="Amiri" w:hAnsi="Amiri" w:eastAsia="Amiri" w:cs="Amiri"/>
          <w:color w:val="111111"/>
          <w:sz w:val="28"/>
          <w:sz w:val="28"/>
          <w:szCs w:val="28"/>
          <w:rtl w:val="true"/>
          <w:lang w:bidi="ar-SA"/>
        </w:rPr>
        <w:t>يراه مقدّمة بملاك التوصّل بناءً على الملازمة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فرض عدم تعلّق إرادة فعلاً بتحصيل ذي المقدّمة فعلاً، لكن يعلم المولى أنّه عند حصول شرطه مطلوب له لا يرضى بتركه، ويرى أنّ له مقدّمات </w:t>
      </w:r>
    </w:p>
    <w:p>
      <w:pPr>
        <w:pStyle w:val="BookText"/>
        <w:rPr/>
      </w:pPr>
      <w:r>
        <w:rPr>
          <w:rFonts w:ascii="Amiri" w:hAnsi="Amiri" w:eastAsia="Amiri" w:cs="Amiri"/>
          <w:color w:val="111111"/>
          <w:sz w:val="28"/>
          <w:sz w:val="28"/>
          <w:szCs w:val="28"/>
          <w:rtl w:val="true"/>
          <w:lang w:bidi="ar-SA"/>
        </w:rPr>
        <w:t>لا بدّ من إتيانها قبل حصول الشرط، وإلاّ يفوت الواجب في محلّه بفوتها، فلا محالة تتعلّق إرادة آمرية بتحصيلها لأجل التوصّل بها إليه في محلّه وبعد تحقّق شرطه، لا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إذا علم المكلّف بأنّ المولى أنشأ البعث على تقدير يعلم حصوله، ويرى أنّه يتوقّف على شيء قبل تحقّق شرطه؛ بحيث يفوت وقت إتيانه، يجب عليه عقلاً إتيانه؛ لحفظ غرض المولى في موطنه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صديقي إذا جاءك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ويتوقّف إكرامه على مقدّمات يكون وقت إتيانها قبل مجيئه، يحكم عقله بإتيانها لتحصيل غرضه، بل لو كان المولى غافلاً عن مجيء صديقه لكن يعلم العبد مجيئه وتعلّق غرض المولى بإكرامه على تقديره وتوقّفه على مقدّمات كذائية، يحكم العقل بإتيانها لحفظ غرضه، ولا يجوز له التقاعد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الملازمة لا محيص عن تعلّق الإرادة بها، وتوهّم لزوم تحقّق المعلول قبل علّته ناشئ من توهّم كون الإرادة المتعلّقة بالمقدّمات ناشئة من إرادة ذي المقدّمة أو كونهما متلازمتين بالمعنى المصطلح، وهما بمكان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قطع النظر عمّا ذكرنا يرد الإشكال حتّى على القول بأنّ الحكم عبارة عن الإرادة المظهرة؛ لأنّ الإرادة المتعلّقة بشيء كما أنّها لاتؤثّر في البعث</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ذي المقدّمة؛ للاشتراط بشيء غير حاصل، لا يمكن أن تؤثّر في البعث نحو مقدّماته، ومجرّد وجود الإرادة الغير المؤثّرة فعلاً لا يكفي في البعث نحو المقدّمة مطلقاً، فالإشكال يأتي على المذهبين، والجواب ما تقدّم، فتدبّر</w:t>
      </w:r>
      <w:r>
        <w:rPr>
          <w:rFonts w:eastAsia="Amiri" w:cs="Amiri" w:ascii="Amiri" w:hAnsi="Amiri"/>
          <w:color w:val="111111"/>
          <w:sz w:val="28"/>
          <w:szCs w:val="28"/>
          <w:rtl w:val="true"/>
          <w:lang w:bidi="ar-SA"/>
        </w:rPr>
        <w:t xml:space="preserve">. </w:t>
      </w:r>
      <w:bookmarkStart w:id="525" w:name="pg15283_146437"/>
    </w:p>
    <w:p>
      <w:pPr>
        <w:pStyle w:val="Heading6"/>
        <w:numPr>
          <w:ilvl w:val="5"/>
          <w:numId w:val="1"/>
        </w:numPr>
        <w:rPr/>
      </w:pPr>
      <w:bookmarkStart w:id="526" w:name="__RefHeading___Toc4563455_2142443653"/>
      <w:bookmarkStart w:id="527" w:name="_Toc193"/>
      <w:bookmarkEnd w:id="525"/>
      <w:bookmarkEnd w:id="526"/>
      <w:r>
        <w:rPr>
          <w:rtl w:val="true"/>
        </w:rPr>
        <w:t>الواجب المعلّق والمنجّز</w:t>
      </w:r>
      <w:bookmarkEnd w:id="527"/>
    </w:p>
    <w:p>
      <w:pPr>
        <w:pStyle w:val="BookText"/>
        <w:rPr/>
      </w:pPr>
      <w:r>
        <w:rPr>
          <w:rFonts w:ascii="Amiri" w:hAnsi="Amiri" w:eastAsia="Amiri" w:cs="Amiri"/>
          <w:color w:val="111111"/>
          <w:sz w:val="28"/>
          <w:sz w:val="28"/>
          <w:szCs w:val="28"/>
          <w:rtl w:val="true"/>
          <w:lang w:bidi="ar-SA"/>
        </w:rPr>
        <w:t xml:space="preserve">ومن تقسيمات الواجب تقسيمه إلى المعلّق والمنجّز، وهذا تقسيم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أبداه لدفع إشكال وجوب المقدّمة قبل وجوب ذي المقدّمة، وبعد تصوير وجوبها قبل وجوبه لا وقع لهذا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على الواجب المعلّق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أهمّها ما حكاه المحقّق الخراساني</w:t>
      </w:r>
      <w:r>
        <w:rPr>
          <w:rStyle w:val="FootnoteAnchor"/>
          <w:rtl w:val="true"/>
        </w:rPr>
        <w:footnoteReference w:id="440"/>
      </w:r>
      <w:r>
        <w:rPr>
          <w:rFonts w:ascii="IRNazanin" w:hAnsi="IRNazanin" w:eastAsia="IRNazanin"/>
          <w:color w:val="111111"/>
          <w:sz w:val="28"/>
          <w:sz w:val="28"/>
          <w:szCs w:val="28"/>
          <w:rtl w:val="true"/>
          <w:lang w:bidi="fa-IR"/>
        </w:rPr>
        <w:t>عن بعض أهل النظر</w:t>
      </w:r>
      <w:r>
        <w:rPr>
          <w:rStyle w:val="FootnoteAnchor"/>
          <w:rtl w:val="true"/>
        </w:rPr>
        <w:footnoteReference w:id="441"/>
      </w:r>
      <w:r>
        <w:rPr>
          <w:rFonts w:ascii="Amiri" w:hAnsi="Amiri" w:eastAsia="Amiri" w:cs="Amiri"/>
          <w:color w:val="111111"/>
          <w:sz w:val="28"/>
          <w:sz w:val="28"/>
          <w:szCs w:val="28"/>
          <w:rtl w:val="true"/>
          <w:lang w:bidi="ar-SA"/>
        </w:rPr>
        <w:t>، وفصّله وقرّره بعض المدقّقين في تعليقته</w:t>
      </w:r>
      <w:r>
        <w:rPr>
          <w:rStyle w:val="FootnoteAnchor"/>
          <w:rtl w:val="true"/>
        </w:rPr>
        <w:footnoteReference w:id="442"/>
      </w:r>
      <w:r>
        <w:rPr>
          <w:rFonts w:ascii="Amiri" w:hAnsi="Amiri" w:eastAsia="Amiri" w:cs="Amiri"/>
          <w:color w:val="111111"/>
          <w:sz w:val="28"/>
          <w:sz w:val="28"/>
          <w:szCs w:val="28"/>
          <w:rtl w:val="true"/>
          <w:lang w:bidi="ar-SA"/>
        </w:rPr>
        <w:t>، ولم يأت بشيء مقنع مع طوله، وتلخيصه</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4563457_2142443653"/>
      <w:bookmarkStart w:id="529" w:name="_Toc194"/>
      <w:bookmarkEnd w:id="528"/>
      <w:r>
        <w:rPr>
          <w:rtl w:val="true"/>
        </w:rPr>
        <w:t>إشكال المحقّق النهاوندي على الواجب المعلّق</w:t>
      </w:r>
      <w:bookmarkEnd w:id="529"/>
    </w:p>
    <w:p>
      <w:pPr>
        <w:pStyle w:val="BookText"/>
        <w:rPr/>
      </w:pPr>
      <w:r>
        <w:rPr>
          <w:rFonts w:ascii="Amiri" w:hAnsi="Amiri" w:eastAsia="Amiri" w:cs="Amiri"/>
          <w:color w:val="111111"/>
          <w:sz w:val="28"/>
          <w:sz w:val="28"/>
          <w:szCs w:val="28"/>
          <w:rtl w:val="true"/>
          <w:lang w:bidi="ar-SA"/>
        </w:rPr>
        <w:t>إنّ الإرادة هي الشوق البالغ حدّ نصاب الباعثية، وهي جزء أخير للعلّة التامّة لتحريك العضلات، فلا يمكن تعلّقها بأمر استقبالي؛ للزوم انفكاك العلّة التامّة عن المعلول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الشوق المتعلّق بالمقدّمات بما هي مقدّمات من الشوق إلى ذي المقدّمة، لكن في المقدّمات يصل إلى حدّ الباعثية، لعدم المزاحمة، دون ذي المقدّمة؛ فإنّ فيه يبقى بحاله إلى أن يرفع المانع، فيصل إلى حدّ النصاب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الإرادة التشريعية فلا يمكن أن تتعلّق بأمر استقبالي؛ لعدم إمكان انبعاث المكلّف، ومعه لا يمكن البعث؛ لأ نّه لغرض جعل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 قلتات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داعي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الإرادة التكوينية، فغاية ما يمكن أن يقال في بيان كونها علّة تامّة لحركة العضلات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القوى العاملة للنفس وآلاتها المنبثّة هي فيها، لمّا</w:t>
      </w:r>
    </w:p>
    <w:p>
      <w:pPr>
        <w:pStyle w:val="BookText"/>
        <w:rPr/>
      </w:pPr>
      <w:r>
        <w:rPr>
          <w:rFonts w:ascii="Amiri" w:hAnsi="Amiri" w:eastAsia="Amiri" w:cs="Amiri"/>
          <w:color w:val="111111"/>
          <w:sz w:val="28"/>
          <w:sz w:val="28"/>
          <w:szCs w:val="28"/>
          <w:rtl w:val="true"/>
          <w:lang w:bidi="ar-SA"/>
        </w:rPr>
        <w:t>كانت تحت سلطان النفس وقدرتها، بل هي من مراتبها النازلة وشؤونها، فلا يمكن لها التعصّي عن إرادتها، فإذا أرادت قبضها تنقبض أو بسطها تنبسط، من غير تعصٍّ وتأخّر مع عدم آفة للآلات، هذا أمر برهاني ووجداني، لكن كون القوى تحت إرادة النفس وإطاعتها أنّها إذا أرادت تحريكها في الحال تحرّكت، لا عدم إمكان تعلّق الإرادة بأمر 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الإرادة علّة تامّة للتحريك، ولا يمكن تخلّفها عن المراد، حتّى أخذوه كالاُصول الموضوعة، ونسجوا على منواله ما نسجوا</w:t>
      </w:r>
      <w:r>
        <w:rPr>
          <w:rStyle w:val="FootnoteAnchor"/>
          <w:rtl w:val="true"/>
        </w:rPr>
        <w:footnoteReference w:id="443"/>
      </w:r>
      <w:r>
        <w:rPr>
          <w:rFonts w:ascii="Amiri" w:hAnsi="Amiri" w:eastAsia="Amiri" w:cs="Amiri"/>
          <w:color w:val="111111"/>
          <w:sz w:val="28"/>
          <w:sz w:val="28"/>
          <w:szCs w:val="28"/>
          <w:rtl w:val="true"/>
          <w:lang w:bidi="ar-SA"/>
        </w:rPr>
        <w:t>، ممّا لم يقم عليه برهان إلاّ ما ذكرنا، ولازم ذلك هو ما عرفت من أنّ الإرادة إذا تعلّقت بتحريك عضلة في الحال ولم يكن مانع في البين تتحرّك إطاعة للنفس</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إمكان التعلّق بأمر استقبالي فيحتاج إلى برهان مستأنف، ولم يقم عليه، لو لم نقل بقيامه على إمكانه، وقضاء الوجدان بوقوعه،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الله تعالى قد تعلّقت أزلاً بإيجاد ما لايزال على الترتيب السببي والمسبّبي، من غير </w:t>
      </w:r>
    </w:p>
    <w:p>
      <w:pPr>
        <w:pStyle w:val="BookText"/>
        <w:rPr/>
      </w:pPr>
      <w:r>
        <w:rPr>
          <w:rFonts w:ascii="Amiri" w:hAnsi="Amiri" w:eastAsia="Amiri" w:cs="Amiri"/>
          <w:color w:val="111111"/>
          <w:sz w:val="28"/>
          <w:sz w:val="28"/>
          <w:szCs w:val="28"/>
          <w:rtl w:val="true"/>
          <w:lang w:bidi="ar-SA"/>
        </w:rPr>
        <w:t>إمكان التغيّر والحدوث في ذاته وإرادته كما برهن عليه في محلّه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أن يقال في حقّه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الشوق ثمّ صار الإرادة وبلغ حدّ النصاب، وما قرع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فيه تعالى هو العلم بالنظام الأصلح</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به اتّحاد صفاته تعالى فهو حقّ، وبهذا النظر كلّها يرجع إلى الوجود الصرف التامّ وفوق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نفي صفة الإرادة فهو إلحاد في أسمائه تعالى، ومستلزم للنقص والتركيب والإمكان،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الإرادة فينا فليست شوقاً مؤكّداً كما تمور به الألسن موراً</w:t>
      </w:r>
      <w:r>
        <w:rPr>
          <w:rStyle w:val="FootnoteAnchor"/>
          <w:rtl w:val="true"/>
        </w:rPr>
        <w:footnoteReference w:id="446"/>
      </w:r>
      <w:r>
        <w:rPr>
          <w:rFonts w:ascii="Amiri" w:hAnsi="Amiri" w:eastAsia="Amiri" w:cs="Amiri"/>
          <w:color w:val="111111"/>
          <w:sz w:val="28"/>
          <w:sz w:val="28"/>
          <w:szCs w:val="28"/>
          <w:rtl w:val="true"/>
          <w:lang w:bidi="ar-SA"/>
        </w:rPr>
        <w:t>، فإنّ الشوق من الصفات الانفعالية للنفس، والإرادة من صفاتها الفعّالة، والشوق لا يبلغ حدّ الباعثية وإن بلغ ما بلغ في الشدّة، والإرادة هي تصميم العزم وإجماع النفس والهمّة، بل قد لا يكون الشوق من مبادئها، فيريد المكروه ولا يريد المشتاق إليه، كمن يشرب الدواء البشيع لتشخيص الصلاح فيه مع النفرة والكراهة الشديدة، ويترك شرب الماء البارد مع شدّة عطشه واشتياقه لشربه؛ تسليماً لحكم العقل بأ نّه مضرّ للاستسقاء</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الإرادة كالشوق تتعلّق بالأمر الحالي والاستقبالي، وليست كالعلل الطبيعية، ولم تكن مطلق الإرادة علّة تامّة لمطلق حركة العضلات، بل العضلات </w:t>
      </w:r>
    </w:p>
    <w:p>
      <w:pPr>
        <w:pStyle w:val="BookText"/>
        <w:rPr/>
      </w:pPr>
      <w:r>
        <w:rPr>
          <w:rFonts w:ascii="Amiri" w:hAnsi="Amiri" w:eastAsia="Amiri" w:cs="Amiri"/>
          <w:color w:val="111111"/>
          <w:sz w:val="28"/>
          <w:sz w:val="28"/>
          <w:szCs w:val="28"/>
          <w:rtl w:val="true"/>
          <w:lang w:bidi="ar-SA"/>
        </w:rPr>
        <w:t>بما هي تابعة للنفس تكون تحت سلطانها، فإذا أرادت إيجاد أمر في المستقبل لا تتعلّق الإرادة بتحريك العضلات في الحال، بل إن بقيت الإرادة إلى زمان العمل تتعلّق إرادة اُخرى بتحريك العضلات؛ لرؤية توقّف الإيجاد على حركتها، لا لأنّ إرادة الإيجاد محرّكة للعضلات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شرب الماء لا يمكن أن تكون محرّكة لعضلات اليد للبطش، بل لمّا ترى النفس توقّف الشرب على تحرّك العضلات، تريد حركتها للتوصّل إلى مطلوبها، فالإرادة المتعلّقة بتحريك العضلات غير الإرادة المتعلّقة بإيجاد المطلوب نوعاً، ألا ترى أنّ المطلوب مراد لذاته وتحريك العضلات توصّلي وغير مشتاق إليه أصلاً ولا مراد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الاشتياق يتعلّق بالمقدّمة من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مطّرد؛ لما عرفت آنفاً أنّ الاشتياق لم يكن من مقدّمات الإرادة في جميع الموارد، وفي كثير من الموارد يريد الشيء مع شدّة كراهته له، والحاكم هو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الأفعال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تتعلّق بمقدّماتها، من غير تصميم العزم بإتيان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حالتنا الوجدانية بالنظر إلى هذا الفعل وغيره بالنسبة إلى المستقبل سواء؛ لقضاء الوجدان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الوجدانية هو العلم بالصلاح فقط، فإنّه أيضاً خلاف الوجدان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أصدق شاهد بأنّ الإنسان قد يشتاق الأمر الاستقبالي كمال الاشتياق، لكن لا يريده ولا يكون عازماً على إتيانه، وقد يريده ويقصده </w:t>
      </w:r>
      <w:bookmarkStart w:id="530" w:name="pg15283_146441"/>
    </w:p>
    <w:p>
      <w:pPr>
        <w:pStyle w:val="BookText"/>
        <w:rPr/>
      </w:pPr>
      <w:bookmarkEnd w:id="530"/>
      <w:r>
        <w:rPr>
          <w:rFonts w:ascii="Amiri" w:hAnsi="Amiri" w:eastAsia="Amiri" w:cs="Amiri"/>
          <w:color w:val="111111"/>
          <w:sz w:val="28"/>
          <w:sz w:val="28"/>
          <w:szCs w:val="28"/>
          <w:rtl w:val="true"/>
          <w:lang w:bidi="ar-SA"/>
        </w:rPr>
        <w:t>من غير اشتياق، بل مع كمال كراهته، ففي الفرض الثاني يتصدّى لإتيان مقدّماته دون الأوّل، ولم يقم برهان يصادم هذا الوجدان، وما قالوا من لزوم انفكاك العلّة عن المعلول،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الإرادة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فإمكان تعلّقها بأمر استقبالي أوضح من أن يخفى ولو سلّمنا امتناعه في التكوينية؛ فإنّها وإن تتعلّق بالأمر لغرض البعث، ومعه لا بدّ وأن يكون الانبعاث ممكناً، لكن يكفي إمكانه على طبق البعث في إمكانه وصحّته، والبعث إلى أمر استقبالي يقتضي إمكان الانبعاث إليه لا إلى غيره، والأغراض المتعلّقة للبعث في الحال كثيرة، بل قد عرفت أنّ البعث القانوني لا يمكن إلاّ بهذا النحو، فلا ينبغي الإشكال فيه</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4563459_2142443653"/>
      <w:bookmarkStart w:id="532" w:name="_Toc195"/>
      <w:bookmarkEnd w:id="531"/>
      <w:r>
        <w:rPr>
          <w:rtl w:val="true"/>
        </w:rPr>
        <w:t>إشكال المحقّق النائيني على الواجب المعلّق</w:t>
      </w:r>
      <w:bookmarkEnd w:id="532"/>
    </w:p>
    <w:p>
      <w:pPr>
        <w:pStyle w:val="BookText"/>
        <w:rPr/>
      </w:pPr>
      <w:r>
        <w:rPr>
          <w:rFonts w:ascii="IRNazanin" w:hAnsi="IRNazanin" w:eastAsia="IRNazanin"/>
          <w:color w:val="111111"/>
          <w:sz w:val="28"/>
          <w:sz w:val="28"/>
          <w:szCs w:val="28"/>
          <w:rtl w:val="true"/>
          <w:lang w:bidi="fa-IR"/>
        </w:rPr>
        <w:t>ومن الإشكالات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بعض الأعاظم رحمه الله علیه  مع تطويل وتفصيل، ولم يأت بشيء إلاّ أنّ القيود الغير الاختيارية لا بدّ وأن تؤخذ مفروضة الوجود وفوق دائرة الطلب، سواء كان لها دخل في مصلحة الوجوب أو الواجب، وسواء كانت القضايا حقيقية أو لا، وعليه بنى بطلان الواجب المعلّق قائلاً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حكم مشروط بوجود الموضوع بما له من القيود، من غير فرق بين الموقّتات وغيرها، وأيّ خصوصية في الوقت حيث يقال بتقدّم الوجوب عليه دون سائر القيود من البلوغ والاستطاعة مع اشتراك الكلّ في كونها قيداً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ما الفرق بين الاستطاعة في الحجّ </w:t>
      </w:r>
    </w:p>
    <w:p>
      <w:pPr>
        <w:pStyle w:val="BookText"/>
        <w:rPr/>
      </w:pPr>
      <w:r>
        <w:rPr>
          <w:rFonts w:ascii="Amiri" w:hAnsi="Amiri" w:eastAsia="Amiri" w:cs="Amiri"/>
          <w:color w:val="111111"/>
          <w:sz w:val="28"/>
          <w:sz w:val="28"/>
          <w:szCs w:val="28"/>
          <w:rtl w:val="true"/>
          <w:lang w:bidi="ar-SA"/>
        </w:rPr>
        <w:t>والوقت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في الوقت أوضح؛ لأ نّه لا يمكن إلاّ أخذه مفروض الوجود؛ لعدم تعلّق القدرة به، ولا يمكن أن تتعلّق إرادة الفاعل به من وجوه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قيود المتعلّق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رجعت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ممتازة عمّا رجعت إلى الهيئة في نفس الأمر، لا يمكن التخلّف عمّا هي عليه، فإذا كان محصّل الغرض هو المتقيّد بأيّ قيد كان، لا يمكن تعلّق الإرادة بالمجرّد عنه؛ لفقدان الملاك فيه، كما أنّه لو كان الملاك في المطلق لم يمكن تعلّق الإرادة بالمقيّد، فسؤال الفرق بين الاستطاعة والتقيّد بالزمان على فرض كونه دخيلاً في تحصيل الغرض، عجيب مع 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عمدة ما أوقعه في الإشكال هو دعوى أنّ القيود في المقيّدات تحت الأمر والبعث، ولمّا رأى عدم إمكان البعث إلى الأمر الغير الاختياري أنكر المعلّق</w:t>
      </w:r>
      <w:r>
        <w:rPr>
          <w:rStyle w:val="FootnoteAnchor"/>
          <w:rtl w:val="true"/>
        </w:rPr>
        <w:footnoteReference w:id="448"/>
      </w:r>
      <w:r>
        <w:rPr>
          <w:rFonts w:ascii="IRNazanin" w:hAnsi="IRNazanin" w:eastAsia="IRNazanin"/>
          <w:color w:val="111111"/>
          <w:sz w:val="28"/>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بمكان من الضعف؛ فإنّ الأمر المتعلّق بالمقيّد لا يمكن أن يتعدّى من متعلّقه إلى أمر آخر، والقيد خارج عن المتعلّق والتقيّد داخل، فالأمر إنّما يتعلّق بالمقيّد لا بالقيد، والعقل يحكم بتحصيل القيد إذا لم يكن حاصلاً، وأمّا مع حصوله بنفسه فلا، فإذا أمر المولى بالصلاة تحت السماء لا يكون ذلك أمراً بإيجاد السماء، بل بإيجاد الصلاة تحتها، وهو أمر مقدور، كذلك الأمر بإيجاد صلاة المغرب ليس أمراً بإيجاد المغرب</w:t>
      </w:r>
      <w:r>
        <w:rPr>
          <w:rFonts w:eastAsia="Amiri" w:cs="Amiri" w:ascii="Amiri" w:hAnsi="Amiri"/>
          <w:color w:val="111111"/>
          <w:sz w:val="28"/>
          <w:szCs w:val="28"/>
          <w:rtl w:val="true"/>
          <w:lang w:bidi="ar-SA"/>
        </w:rPr>
        <w:t xml:space="preserve">. </w:t>
      </w:r>
      <w:bookmarkStart w:id="533" w:name="pg15283_146443"/>
    </w:p>
    <w:p>
      <w:pPr>
        <w:pStyle w:val="BookText"/>
        <w:rPr/>
      </w:pPr>
      <w:bookmarkEnd w:id="533"/>
      <w:r>
        <w:rPr>
          <w:rFonts w:ascii="Amiri" w:hAnsi="Amiri" w:eastAsia="Amiri" w:cs="Amiri"/>
          <w:color w:val="111111"/>
          <w:sz w:val="28"/>
          <w:sz w:val="28"/>
          <w:szCs w:val="28"/>
          <w:rtl w:val="true"/>
          <w:lang w:bidi="ar-SA"/>
        </w:rPr>
        <w:t>نعم، لا يمكن الأمر بمقيّد لا يصير قيده موجوداً في ظرفه، ولا يكون تحت اختيار العبد، وأمّا إذا كان موجوداً في ظرف الإتيان أو كان تحت اختياره، فالأمر بالمقيّد ممكن، والواجب مطلق لا مشروط</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4563461_2142443653"/>
      <w:bookmarkStart w:id="535" w:name="_Toc196"/>
      <w:bookmarkEnd w:id="534"/>
      <w:r>
        <w:rPr>
          <w:rtl w:val="true"/>
        </w:rPr>
        <w:t>تتمّة</w:t>
      </w:r>
      <w:r>
        <w:rPr>
          <w:rtl w:val="true"/>
        </w:rPr>
        <w:t xml:space="preserve">: </w:t>
      </w:r>
      <w:r>
        <w:rPr>
          <w:rtl w:val="true"/>
        </w:rPr>
        <w:t>في دوران القيد بين الهيئة والمادّة</w:t>
      </w:r>
      <w:bookmarkEnd w:id="535"/>
    </w:p>
    <w:p>
      <w:pPr>
        <w:pStyle w:val="BookText"/>
        <w:rPr/>
      </w:pPr>
      <w:r>
        <w:rPr>
          <w:rFonts w:ascii="Amiri" w:hAnsi="Amiri" w:eastAsia="Amiri" w:cs="Amiri"/>
          <w:color w:val="111111"/>
          <w:sz w:val="28"/>
          <w:sz w:val="28"/>
          <w:szCs w:val="28"/>
          <w:rtl w:val="true"/>
          <w:lang w:bidi="ar-SA"/>
        </w:rPr>
        <w:t>لو دار أمر قيد بين رجوعه إلى الهيئة أو المادّة، فمع اتّصاله بالكلام لا إشكال في صيرورة الكلام مجملاً، مع عدم ظهور لغوي أو انصراف وقرينة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انفصاله أيضاً كذلك؛ إذ لا مرجّح لرجوعه إلى أحدهما إلاّ ما عن المحقّق صاحب الحاشية نقلاً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الرجوع إلى الهيئة مستلزم لرجوعه إلى المادّة دون العكس، فدار الأمر بين تقييد وتقييدين</w:t>
      </w:r>
      <w:r>
        <w:rPr>
          <w:rStyle w:val="FootnoteAnchor"/>
          <w:rtl w:val="true"/>
        </w:rPr>
        <w:footnoteReference w:id="449"/>
      </w:r>
      <w:r>
        <w:rPr>
          <w:rFonts w:ascii="Amiri" w:hAnsi="Amiri" w:eastAsia="Amiri" w:cs="Amiri"/>
          <w:color w:val="111111"/>
          <w:sz w:val="28"/>
          <w:sz w:val="28"/>
          <w:szCs w:val="28"/>
          <w:rtl w:val="true"/>
          <w:lang w:bidi="ar-SA"/>
        </w:rPr>
        <w:t>، وهو كما ترى، وإلاّ ما عن الشيخ الأعظم من وجهين</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4563463_2142443653"/>
      <w:bookmarkStart w:id="537" w:name="_Toc197"/>
      <w:bookmarkEnd w:id="536"/>
      <w:r>
        <w:rPr>
          <w:rtl w:val="true"/>
        </w:rPr>
        <w:t>حول الوجهين المنقولين عن الشيخ لترجيح رجوع القيد إلى المادّة</w:t>
      </w:r>
      <w:bookmarkEnd w:id="537"/>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الهيئة شمولي كالعامّ، وإطلاق المادّة بدلي، وتقييد الثاني أولى</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وقرّر بعض الأعاظم وجه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تقديم الإطلاق البدلي يقتضي رفع اليد عن الإطلاق الشمولي في بعض مدلوله، بخلاف تقديم الشمولي؛ فإنّه لا يقتضي رفع اليد عن الإطلاق البدلي، فإنّ المفروض أنّه الواحد على البدل، وهو </w:t>
      </w:r>
    </w:p>
    <w:p>
      <w:pPr>
        <w:pStyle w:val="BookText"/>
        <w:rPr/>
      </w:pPr>
      <w:r>
        <w:rPr>
          <w:rFonts w:ascii="Amiri" w:hAnsi="Amiri" w:eastAsia="Amiri" w:cs="Amiri"/>
          <w:color w:val="111111"/>
          <w:sz w:val="28"/>
          <w:sz w:val="28"/>
          <w:szCs w:val="28"/>
          <w:rtl w:val="true"/>
          <w:lang w:bidi="ar-SA"/>
        </w:rPr>
        <w:t>محفوظ، غاية الأمر أنّ دائرته كانت وسيعة فصارت 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البدلي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كون المولى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إحراز تساوي الأفراد في الوفاء بالغرض؛ حتّى يحكم العقل بالتخيير، بخلاف الإطلاق الشمولي، فإنّه لا يحتاج إلى أزيد من ورود النهي على الطبيعة الغير المقيّدة، فيسري الحكم إلى الأفراد قهراً، فمع الإطلاق الشمولي لا يحرز تساوي الأفراد، فيكون الشمولي حاكماً على البدلي</w:t>
      </w:r>
      <w:r>
        <w:rPr>
          <w:rStyle w:val="FootnoteAnchor"/>
          <w:rtl w:val="true"/>
        </w:rPr>
        <w:footnoteReference w:id="451"/>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تقسيم الإطلاق إلى الشمولي والبدلي غير صحيح، لا في المقام ولا في باب المطلق والمقيّد، أمّا هناك فلأنّ اللفظ الموضوع للطبيعة أو لغيرها لا يمكن أن يدلّ ويحكي عن شيء آخر وراء الموضوع له، وخصوصيات الأفراد أو الحالات لا بدّ لإفادتها من دالّ آخر، ومقدّمات الحكمة لا تجعل غير الدالّ دالاًّ وغير الحاكي حاكياً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يستفاد من مقدّمات الحكمة إلاّ كون ما جعل موضوعاً تمام الموضوع للحكم، من غير دخالة قيد آخر فيه، وهذا ليس من قبيل دلالة اللفظ،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بعد مقدّمات الحكمة يحكم العقلاء بأنّ الطبيعة من غير دخالة شيء فيها محكومة بالحلّية لا أفرادها؛ فإنّها ليست مفاد اللفظ، ولا مفاد الإطلاق ومقدّمات الحكمة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فالإطلاق الشمولي ممّا لا معنى محصّل له، كما أنّ الأمر كذلك في الإطلاق البدلي أيضاً؛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منه البدلية، لا من اللفظ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التنوين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الرقبة وضعت لنفس الطبيعة، والتنوين إذا كان للتنكير يدلّ على تقيّدها بقيد الوحدة الغير المعيّنة لكن بالمعنى الحرفي، وذلك غير البدلية كما يأتي في العامّ والخاصّ توضيحه</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كونها تمام الموضوع فيستفاد من مقدّمات الحكمة، لا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مفاد الإطلاق في المقامين شيء واحد هو كون ما جعل موضوعاً تمام الموضوع من غير تقييد، وأمّا الشمول والبدلية فغير مربوطين بالإطلاق رأساً، بل هما من تقسيمات العامّ، فدوران الأمر بين الإطلاق الشمولي والبدلي ممّا لا معنى محصّل له؛ حتّى يتنازع في ترجيح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استفادة الشمول والبدلية من دليل لفظي فغير مربوطة بما نحن فيه، ومع التسليم فتقديم أحدهما على الآخر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أنّ تقييد الشمولي تصرّف في الدليل، دون البدلي؛ فإنّه على مفاده وإن صارت دائرته مضيّقة، فمن غريب الدعاوى؛ فإنّ التضييق تصرّف وتقييد، ومعه كيف لا يرفع اليد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كدعوى أنّ البدلي يحتاج إلى أمر زائد عن مقدّمات الحكمة لإثبات تساوي الأفراد، بخلاف الشمولي، فإنّ نفس تعلّق النهي يكفي للسراية؛ ضرورة أنّ المستفاد من مقدّمات الحكمة هو عدم دخالة قيد في موضوع الحكم، وهذا معنى تساوي الأفراد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كفاية نفس تعلّق الحكم للسراية إلى الأفراد بخصوصياتها، </w:t>
      </w:r>
    </w:p>
    <w:p>
      <w:pPr>
        <w:pStyle w:val="BookText"/>
        <w:rPr/>
      </w:pPr>
      <w:r>
        <w:rPr>
          <w:rFonts w:ascii="Amiri" w:hAnsi="Amiri" w:eastAsia="Amiri" w:cs="Amiri"/>
          <w:color w:val="111111"/>
          <w:sz w:val="28"/>
          <w:sz w:val="28"/>
          <w:szCs w:val="28"/>
          <w:rtl w:val="true"/>
          <w:lang w:bidi="ar-SA"/>
        </w:rPr>
        <w:t xml:space="preserve">فممنوعة حتّى بعد جريان مقدّمات الحكمة؛ لأنّ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محلّه</w:t>
      </w:r>
      <w:r>
        <w:rPr>
          <w:rStyle w:val="FootnoteAnchor"/>
          <w:rtl w:val="true"/>
        </w:rPr>
        <w:footnoteReference w:id="454"/>
      </w:r>
      <w:r>
        <w:rPr>
          <w:rFonts w:ascii="Amiri" w:hAnsi="Amiri" w:eastAsia="Amiri" w:cs="Amiri"/>
          <w:color w:val="111111"/>
          <w:sz w:val="28"/>
          <w:sz w:val="28"/>
          <w:szCs w:val="28"/>
          <w:rtl w:val="true"/>
          <w:lang w:bidi="ar-SA"/>
        </w:rPr>
        <w:t>أنّ الحكم في الإطلاق لا يسري إلى الأفراد؛ لا شمولياً ولا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فيه ممّا تعلّق البعث بالطبيعة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فالإطلاق الشمولي في الهيئة والبدلي في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صحّتهما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يعقل؛ فإنّ معنى الشمولي أن يكون البعث على جميع التقادير عرضاً، كما مثّلوا له بالعامّ</w:t>
      </w:r>
      <w:r>
        <w:rPr>
          <w:rStyle w:val="FootnoteAnchor"/>
          <w:rtl w:val="true"/>
        </w:rPr>
        <w:footnoteReference w:id="455"/>
      </w:r>
      <w:r>
        <w:rPr>
          <w:rFonts w:ascii="Amiri" w:hAnsi="Amiri" w:eastAsia="Amiri" w:cs="Amiri"/>
          <w:color w:val="111111"/>
          <w:sz w:val="28"/>
          <w:sz w:val="28"/>
          <w:szCs w:val="28"/>
          <w:rtl w:val="true"/>
          <w:lang w:bidi="ar-SA"/>
        </w:rPr>
        <w:t>بحيث يكون في كلّ تقدير إيجاب ووجوب، ومعه كيف يمكن أن يكون إطلاق المادّة بدلياً؟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تتعلّق إرادات أو إيجابات في عرض واحد بفردٍ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المراد من الشمولي هو كون البعث واحداً لكن من غير تقييد بقيد، فالمراد من وجوبه على كلّ تقدير أنّه لا يتعلّق الوجوب بتقدير خاصّ، رجوع عن الإطلاق الشمولي، فحينئذٍ لا فرق بين إطلاق المادّة والهيئة؛ فإنّ المادّة أيضاً</w:t>
      </w:r>
    </w:p>
    <w:p>
      <w:pPr>
        <w:pStyle w:val="BookText"/>
        <w:rPr/>
      </w:pPr>
      <w:r>
        <w:rPr>
          <w:rFonts w:ascii="Amiri" w:hAnsi="Amiri" w:eastAsia="Amiri" w:cs="Amiri"/>
          <w:color w:val="111111"/>
          <w:sz w:val="28"/>
          <w:sz w:val="28"/>
          <w:szCs w:val="28"/>
          <w:rtl w:val="true"/>
          <w:lang w:bidi="ar-SA"/>
        </w:rPr>
        <w:t>مطلقة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الشمولي والبدلي ممّا لا معنى محصّل لهما، وفيما نحن فيه غير معقولين، ومع معقوليتهما لا وجه لتقديم التقييد في أحدهما على الآخر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الهيئة يوجب بطلان محلّ الإطلاق في المادّة، </w:t>
      </w:r>
    </w:p>
    <w:p>
      <w:pPr>
        <w:pStyle w:val="BookText"/>
        <w:rPr/>
      </w:pPr>
      <w:r>
        <w:rPr>
          <w:rFonts w:ascii="Amiri" w:hAnsi="Amiri" w:eastAsia="Amiri" w:cs="Amiri"/>
          <w:color w:val="111111"/>
          <w:sz w:val="28"/>
          <w:sz w:val="28"/>
          <w:szCs w:val="28"/>
          <w:rtl w:val="true"/>
          <w:lang w:bidi="ar-SA"/>
        </w:rPr>
        <w:t>بخلاف العكس، وكلّما دار الأمر بين التقييدين كذلك كان تقييد ما لا يوجب 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يبقى مع تقييد الهيئة محلّ بيان لإطلاق المادّة؛ لأ نّها لا تنفكّ عن وجود قيد الهيئة، بخلاف تقييد المادّة؛ فإنّ محلّ الحاجة إلى إطلاق الهيئة على حاله، فيمكن الحكم بالوجوب على تقدير وجود القيد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التقييد خلاف الأصل، ولا فرق بينه وبين ما يوجب بطلان محلّه في الأثر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معلومية أنّ قيود كلّ من الهيئة والمادّة لا ترجع إلى صاحبتها، وأنّ لكلٍّ مورداً خاصّاً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كلّ منهما يوجب نحو تضييق لصاحبتها وإبطالاً لمحلّ إطلاقها؛ فإنّ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الوجوب بلا قيد، كما يقتضي وجوب نفس طبيعة الإكرام من غير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رجع قيد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الهيئة مقيّدة دون المادّة؛ أي يجب على فرض مجيئه نفس طبيعة الإكرام بلا قيد، لكن يوجب ذلك تضييقاً قهرياً في الإكرام أيضاً، لا بمعنى التقييد، بل بمعنى إبطال محلّ الإطلاق</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إذا ورد قيد على المادّة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 إكراماً حال مجيئه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الهيئة مطلقة ولو من جهة تحقّق المجيء ولا تحقّقه كما في الواجب المعلّق، لكن مع ذلك لا تدعو إلى نفس الإكرام بلا قيد،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نفس </w:t>
      </w:r>
    </w:p>
    <w:p>
      <w:pPr>
        <w:pStyle w:val="BookText"/>
        <w:rPr/>
      </w:pPr>
      <w:r>
        <w:rPr>
          <w:rFonts w:ascii="Amiri" w:hAnsi="Amiri" w:eastAsia="Amiri" w:cs="Amiri"/>
          <w:color w:val="111111"/>
          <w:sz w:val="28"/>
          <w:sz w:val="28"/>
          <w:szCs w:val="28"/>
          <w:rtl w:val="true"/>
          <w:lang w:bidi="ar-SA"/>
        </w:rPr>
        <w:t>الطبيعة،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إكراماً حال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إليها مقيّدة لا مطلقة، فدائرة البعث في الفرض الأوّل أوسع منها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في بيان بقاء محلّ الإطلاق في طرف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الحكم بالوجوب على تقدير وجود القيد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خلط؛ فإنّ الواجب المعلّق وإن كان مطلقاً من حيث تحقّق القيد وعدمه، لكن دائرة دعوته أضيق من المطلق من القيد، فبالنسبة إلى غير محلّ القيد يبطل محلّ إطلاقه وإن لم يصر مقيَّداً، فلا فرق بين تقييد الهيئة والمادّة؛ لا من جهة أنّ تقييد كلّ لا يوجب تقييد</w:t>
      </w:r>
    </w:p>
    <w:p>
      <w:pPr>
        <w:pStyle w:val="BookText"/>
        <w:rPr/>
      </w:pPr>
      <w:r>
        <w:rPr>
          <w:rFonts w:ascii="Amiri" w:hAnsi="Amiri" w:eastAsia="Amiri" w:cs="Amiri"/>
          <w:color w:val="111111"/>
          <w:sz w:val="28"/>
          <w:sz w:val="28"/>
          <w:szCs w:val="28"/>
          <w:rtl w:val="true"/>
          <w:lang w:bidi="ar-SA"/>
        </w:rPr>
        <w:t>الآخر، ولا من جهة أنّ تقييده يوجب إبطال محلّ إطلاقه، ففرق بين البعث قبل وجود القيد وبينه بالنسبة إلى المقيّد لا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يتّضح عدم تمامية ما في تقريرات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تقييد المادّة معلوم تفصيلاً؛ لأ نّها إمّا مقيّدة ذاتاً، أو تبعاً، وتقييد الهيئة مشكوك فيه</w:t>
      </w:r>
    </w:p>
    <w:p>
      <w:pPr>
        <w:pStyle w:val="BookText"/>
        <w:rPr/>
      </w:pPr>
      <w:r>
        <w:rPr>
          <w:rFonts w:ascii="Amiri" w:hAnsi="Amiri" w:eastAsia="Amiri" w:cs="Amiri"/>
          <w:color w:val="111111"/>
          <w:sz w:val="28"/>
          <w:sz w:val="28"/>
          <w:szCs w:val="28"/>
          <w:rtl w:val="true"/>
          <w:lang w:bidi="ar-SA"/>
        </w:rPr>
        <w:t>بدوياً، فيصحّ التمسّك بإطلاقها لإلغائه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 نّه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ذكرنا في بيان عدم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إبطال محلّ الإطلاق غير التقييد ولو تبعاً، فلا يكون تقييدها متيقّناً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الكبرى أيضاً مجال؛ لعدم الدليل على الترجيح المذكور</w:t>
      </w:r>
      <w:r>
        <w:rPr>
          <w:rFonts w:eastAsia="Amiri" w:cs="Amiri" w:ascii="Amiri" w:hAnsi="Amiri"/>
          <w:color w:val="111111"/>
          <w:sz w:val="28"/>
          <w:szCs w:val="28"/>
          <w:rtl w:val="true"/>
          <w:lang w:bidi="ar-SA"/>
        </w:rPr>
        <w:t xml:space="preserve">. </w:t>
      </w:r>
      <w:bookmarkStart w:id="538" w:name="pg15283_146449"/>
    </w:p>
    <w:p>
      <w:pPr>
        <w:pStyle w:val="Heading6"/>
        <w:numPr>
          <w:ilvl w:val="5"/>
          <w:numId w:val="1"/>
        </w:numPr>
        <w:rPr/>
      </w:pPr>
      <w:bookmarkStart w:id="539" w:name="__RefHeading___Toc4563465_2142443653"/>
      <w:bookmarkStart w:id="540" w:name="_Toc198"/>
      <w:bookmarkEnd w:id="538"/>
      <w:bookmarkEnd w:id="539"/>
      <w:r>
        <w:rPr>
          <w:rtl w:val="true"/>
        </w:rPr>
        <w:t>الواجب النفسي والغيري</w:t>
      </w:r>
      <w:bookmarkEnd w:id="540"/>
    </w:p>
    <w:p>
      <w:pPr>
        <w:pStyle w:val="BookText"/>
        <w:rPr/>
      </w:pPr>
      <w:r>
        <w:rPr>
          <w:rFonts w:ascii="Amiri" w:hAnsi="Amiri" w:eastAsia="Amiri" w:cs="Amiri"/>
          <w:color w:val="111111"/>
          <w:sz w:val="28"/>
          <w:sz w:val="28"/>
          <w:szCs w:val="28"/>
          <w:rtl w:val="true"/>
          <w:lang w:bidi="ar-SA"/>
        </w:rPr>
        <w:t>ومن تقسيمات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النفسي والغيري،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الفاعل والآمر لشيء وإن كانت لأغراض متصاعدة إلى أن تبلغ إلى ما هو المقصود بالذات، لكن تقسيم الواجب إلى أقسامه ليس باعتبار الإرادة أو الغرض؛ فإنّهما خارجان عن اعتبار الوجوب والواجب، بل تقسيم الواجب إلى النفسي والغيري باعتبار تعلّق البعث والوجوب، فقد يتعلّق البعث بشيء لأجل التوصّل إلى مبعوث إليه فوقه وتوقّفه عليه، وقد يتعلّق به من غير أن يكون فوقه مبعوث إليه، فالأوّل غيري، والثاني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هذا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الواجبات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w:t>
      </w:r>
    </w:p>
    <w:p>
      <w:pPr>
        <w:pStyle w:val="BookText"/>
        <w:rPr/>
      </w:pPr>
      <w:r>
        <w:rPr>
          <w:rFonts w:ascii="Amiri" w:hAnsi="Amiri" w:eastAsia="Amiri" w:cs="Amiri"/>
          <w:color w:val="111111"/>
          <w:sz w:val="28"/>
          <w:sz w:val="28"/>
          <w:szCs w:val="28"/>
          <w:rtl w:val="true"/>
          <w:lang w:bidi="ar-SA"/>
        </w:rPr>
        <w:t>التوصّل إلى أغراض ولأجل حصول ملاكات، فتكون كلّها غيريات</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التقسيم باعتبار الوجوب والبعث من غير دخالة الأغراض والملاكات فيه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أمر المولى ببناء مسجد ولم يكن فوق ذلك أمر متوجّه إلى المأمور يكون ذلك نفسياً وإن كان لأجل غرض، وإذا أمر ذلك المأمور بإحضار الأحجار والأخشاب لأجل التوصّل إلى ذلك المبعوث إليه وتوقّفه عليها يكون غيرياً، لكن إذا صدر منه أوامر ابتداءً إلى أشخاص، فأمر شخصاً بشراء الأحجار، وآخر بإحضارها، وثالثاً بتحجيرها وتنقيشها، تكون تلك الأوامر نفسية، وإذا أمر </w:t>
      </w:r>
      <w:bookmarkStart w:id="541" w:name="pg15283_146450"/>
    </w:p>
    <w:p>
      <w:pPr>
        <w:pStyle w:val="BookText"/>
        <w:rPr/>
      </w:pPr>
      <w:bookmarkEnd w:id="541"/>
      <w:r>
        <w:rPr>
          <w:rFonts w:ascii="Amiri" w:hAnsi="Amiri" w:eastAsia="Amiri" w:cs="Amiri"/>
          <w:color w:val="111111"/>
          <w:sz w:val="28"/>
          <w:sz w:val="28"/>
          <w:szCs w:val="28"/>
          <w:rtl w:val="true"/>
          <w:lang w:bidi="ar-SA"/>
        </w:rPr>
        <w:t>لأجل التوصّل إلى تلك المبعوث إليها يكون غيرياً، مع أنّ كلّها لأغراض، وهي ترجع إلى غرض أقصى فوقها، والأمر سهل</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4563467_2142443653"/>
      <w:bookmarkStart w:id="543" w:name="_Toc199"/>
      <w:bookmarkEnd w:id="542"/>
      <w:r>
        <w:rPr>
          <w:rtl w:val="true"/>
        </w:rPr>
        <w:t>مقتضى الأصل اللفظي عند الشكّ في الغيرية</w:t>
      </w:r>
      <w:bookmarkEnd w:id="543"/>
    </w:p>
    <w:p>
      <w:pPr>
        <w:pStyle w:val="BookText"/>
        <w:rPr/>
      </w:pPr>
      <w:r>
        <w:rPr>
          <w:rFonts w:ascii="Amiri" w:hAnsi="Amiri" w:eastAsia="Amiri" w:cs="Amiri"/>
          <w:color w:val="111111"/>
          <w:sz w:val="28"/>
          <w:sz w:val="28"/>
          <w:szCs w:val="28"/>
          <w:rtl w:val="true"/>
          <w:lang w:bidi="ar-SA"/>
        </w:rPr>
        <w:t>ثمّ إذا شككنا في واجب بأ نّه نفسي أو غيري يحمل على النفسي لأجل الانصراف كما لا يبعد، لا بمعنى انصراف جامع إلى أحد أقسامه؛ فإنّ التحقيق أنّ الموضوع له في الهيئة خاصّ، وأنّها في النفسي والغيري لا تستعمل إلاّ استعمالاً إيجادياً لنفس البعث والإغراء، والنفسية والغيرية انتزاعيتان، لا من مقوّماته، بل لمّا كان البعث لأجل الغير نادراً، لا يعتني باحتماله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البعث المتعلّق بشيء حجّة على العبد، ولا يجوز التقاعد عن طاعته باحتمال كونه مقدّمة لغيره إذا سقط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الإطلاق يرفع القيد الزائد</w:t>
      </w:r>
      <w:r>
        <w:rPr>
          <w:rStyle w:val="FootnoteAnchor"/>
          <w:rtl w:val="true"/>
        </w:rPr>
        <w:footnoteReference w:id="459"/>
      </w:r>
      <w:r>
        <w:rPr>
          <w:rFonts w:ascii="Amiri" w:hAnsi="Amiri" w:eastAsia="Amiri" w:cs="Amiri"/>
          <w:color w:val="111111"/>
          <w:sz w:val="28"/>
          <w:sz w:val="28"/>
          <w:szCs w:val="28"/>
          <w:rtl w:val="true"/>
          <w:lang w:bidi="ar-SA"/>
        </w:rPr>
        <w:t>فغير تامّ؛ لأنّ كلاًّ من النفسية والغيرية متقوّم بقيد زائد على فرض كون البعث موضوعاً لجامعهما، مع أنّه خلاف التحقيق</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الغيري لمّا كان مترشّحاً عن وجوب الغير كان وجوبه مشروطاً بوجوب الغير، كما أنّ الغير يكون مشروطاً بالواجب الغيري، فيكون وجوب الغير من المقدّمات الوجوبية للواجب الغيري، ووجود الواجب الغيري من المقدّمات الوجودية لذلك الغير، كالصلاة والوضوء، فهي مشروطة به ووجوبه مشروط بوجوبها، فحينئذٍ يرجع الشكّ في كون وجوب غيرياً إلى </w:t>
      </w:r>
    </w:p>
    <w:p>
      <w:pPr>
        <w:pStyle w:val="BookText"/>
        <w:rPr/>
      </w:pPr>
      <w:r>
        <w:rPr>
          <w:rFonts w:ascii="Amiri" w:hAnsi="Amiri" w:eastAsia="Amiri" w:cs="Amiri"/>
          <w:color w:val="111111"/>
          <w:sz w:val="28"/>
          <w:sz w:val="28"/>
          <w:szCs w:val="28"/>
          <w:rtl w:val="true"/>
          <w:lang w:bidi="ar-SA"/>
        </w:rPr>
        <w:t>شكّين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الشكّ في تقييد وجوبه بوجوب الغير، وثانيهما الشكّ في تقييد مادّة الغير به، فيرفع الشكّان بإطلاق المادّة والهيئة، بل إطلاق أحدهما كافٍ لرفعهما؛ لحجّية مثبتات الاُصول اللفظية</w:t>
      </w:r>
      <w:r>
        <w:rPr>
          <w:rStyle w:val="FootnoteAnchor"/>
          <w:rtl w:val="true"/>
        </w:rPr>
        <w:footnoteReference w:id="460"/>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تقييد المادّة إنّما يكون في بعض الواجبات الغيرية كالشرائط، لا في جميعها كنصب السلّم بالنسبة إلى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الغيري إذا كان مترشّحاً من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ظاهرهم</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معلوله، ولا يمكن أن يكون المعلول متقيّداً ومشروطاً بعلّته؛ بحيث يكون المعلول هو المشروط بما هو كذلك، فإنّ الوجوب الغيري على فرض المعلولية يكون بحقيقته وهويّته معلولاً، واشتراط الشيء فرع وجوده؛ ضرورة أنّ المعدوم لا يمكن أن يشترط بشيء، فلا بدّ وأن يكون الواجب الغيري متحقّقاً قبل تحقّقه حتّى يكون المشروط بما هو مشروط معلولاً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المعلول بوجود علّته مستلزم لوجوده قبل وجودها أو اشتراط المعدوم في حال عدمه، وأمّا المعلولية وتوقّف وجود شيء على وجود شيء آخر فغير اشتراطه به، واستناد المعلول إلى العلّة وضيقه الذاتي غير التقيّد والاشتراط، فالتمسّك بإطلاق الهيئة لرفع الشكّ ممّا لا مجال 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الاُصول اللفظية</w:t>
      </w:r>
      <w:r>
        <w:rPr>
          <w:rFonts w:eastAsia="Amiri" w:cs="Amiri" w:ascii="Amiri" w:hAnsi="Amiri"/>
          <w:color w:val="111111"/>
          <w:sz w:val="28"/>
          <w:szCs w:val="28"/>
          <w:rtl w:val="true"/>
          <w:lang w:bidi="ar-SA"/>
        </w:rPr>
        <w:t xml:space="preserve">. </w:t>
      </w:r>
      <w:bookmarkStart w:id="544" w:name="pg15283_146452"/>
    </w:p>
    <w:p>
      <w:pPr>
        <w:pStyle w:val="Heading6"/>
        <w:numPr>
          <w:ilvl w:val="5"/>
          <w:numId w:val="1"/>
        </w:numPr>
        <w:rPr/>
      </w:pPr>
      <w:bookmarkStart w:id="545" w:name="__RefHeading___Toc4563469_2142443653"/>
      <w:bookmarkStart w:id="546" w:name="_Toc200"/>
      <w:bookmarkEnd w:id="544"/>
      <w:bookmarkEnd w:id="545"/>
      <w:r>
        <w:rPr>
          <w:rtl w:val="true"/>
        </w:rPr>
        <w:t>مقتضى الأصل العملي عند الشكّ في الغيرية</w:t>
      </w:r>
      <w:bookmarkEnd w:id="546"/>
    </w:p>
    <w:p>
      <w:pPr>
        <w:pStyle w:val="Heading6"/>
        <w:numPr>
          <w:ilvl w:val="5"/>
          <w:numId w:val="1"/>
        </w:numPr>
        <w:rPr/>
      </w:pPr>
      <w:bookmarkStart w:id="547" w:name="__RefHeading___Toc4563471_2142443653"/>
      <w:bookmarkStart w:id="548" w:name="_Toc201"/>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أمّا الأصل العملي، فقد قال بعض الأعاظم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الوجوب الغيري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بوجوب الغير والغيري من دون اشتراط وجوب الغير بشرط غير حاصل، كما إذا علم بعد الزوال بوجوب الوضوء والصلاة، وشكّ في وجوب الوضوء أنّه غيري أو نفسي، ففي هذا القسم يرجع الشكّ إلى تقييد الصلاة بالوضوء، فيكون مجرى البراءة؛ لكونه من صغريات الأقلّ والأكثر الارتباطيين، وأمّا الوضوء فيجب على أيّ حال نفسياً كان أو غيرياً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البراءة في الصلاة غير جائز بعد العلم الإجمالي بوجوب الوضوء نفسياً أو وجوب الصلاة المتقيّدة به، والعلم التفصيلي بوجوب الوضوء الأعمّ من النفسي والغيري لا يوجب انحلاله إلاّ على وجه محال، كما اعترف به القائل في الأقلّ والأكثر، فراجع كلامه في بابهما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بوجوب الغير والغيري، لكن كان وجوب الغير مشروطاً بشرط غير حاصل، كالوضوء قبل الوقت بناءً على اشتراط الصلاة بالوقت، ففي هذا القسم لا مانع من جريان البراءة؛ لعدم العلم بالوجوب الفعلي قبل الوقت</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يرجع إلى العلم الإجمالي بوجوب الوضوء نفساً، أو وجوب الصلاة المتقيّدة به بعد الوقت، والعلم الإجمالي بالواجب المشروط إذا علم تحقّق شرطه أو الواجب المطلق في الحال منجّز عقلاً، فيجب عليه الوضوء في الحال، والصلاة مع الوضوء بعد حضور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بعدم منجّزية العلم الإجمالي المذكور كان إجراء البراءة في الطرفين بلا مانع، لكنّه خلاف التحقيق، وقد اعترف بتنجيز العلم الإجمالي في التدريجيات ولو كان للزمان دخل خطاباً وملاكاً، فراجع كلامه في الاشتغال</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بوجوب ما شكّ في غيريته ولكن شكّ في وجوب الغير، كما إذا شكّ في وجوب الصلاة في المثال المتقدّم وعلم بوجوب الوضوء، ولكن شكّ في كونه غيرياً حتّى لا يجب لعدم وجوب الصلاة ظاهراً بمقتضى البراءة، أو نفسياً حتّى يجب، ففي هذا القسم يجب الوضوء دون الصلاة؛ لأ نّه من قبيل الأقلّ والأكثر الارتباطيين؛ حيث إنّ العلم بوجوب ما عدا السورة مع الشكّ في وجوبها يقتضي وجوب امتثال ما علم، ولا يجوز إجراء البراءة فيه، مع أنّه يحتمل كون ما عدا السورة واجباً غيرياً، وكون المقام من قبيل المقدّمات الخارجية وهناك من الداخلية لا يوجب فارقاً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التفصيلي بوجوب الوضوء وتردّده بين الوجوب النفسي والغيري، لا يمكن إلاّ مع العلم الإجمالي بوجوب الصلاة المتقيّدة بالوضوء أو </w:t>
      </w:r>
      <w:bookmarkStart w:id="549" w:name="pg15283_146454"/>
    </w:p>
    <w:p>
      <w:pPr>
        <w:pStyle w:val="BookText"/>
        <w:rPr/>
      </w:pPr>
      <w:bookmarkEnd w:id="549"/>
      <w:r>
        <w:rPr>
          <w:rFonts w:ascii="Amiri" w:hAnsi="Amiri" w:eastAsia="Amiri" w:cs="Amiri"/>
          <w:color w:val="111111"/>
          <w:sz w:val="28"/>
          <w:sz w:val="28"/>
          <w:szCs w:val="28"/>
          <w:rtl w:val="true"/>
          <w:lang w:bidi="ar-SA"/>
        </w:rPr>
        <w:t>وجوب الوضوء نفسياً، وهذا العلم الإجمالي لاينحلّ إلاّ بوجه محال،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وتصوّر الشكّ البدوي للصلاة مع العلم التفصيلي الكذائي بوجوب الوضوء جمع بين المتنافيين، والعجب منه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بوجوب الوضوء، ولكن شكّ في كونه غيرياً حتّى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جمع بين العلم بالوجوب والشكّ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المقام والأقلّ والأكثر في الأجزاء واضح، اعترف به في باب الأقلّ والأكثر</w:t>
      </w:r>
      <w:r>
        <w:rPr>
          <w:rStyle w:val="FootnoteAnchor"/>
          <w:rtl w:val="true"/>
        </w:rPr>
        <w:footnoteReference w:id="467"/>
      </w:r>
      <w:r>
        <w:rPr>
          <w:rFonts w:ascii="Amiri" w:hAnsi="Amiri" w:eastAsia="Amiri" w:cs="Amiri"/>
          <w:color w:val="111111"/>
          <w:sz w:val="28"/>
          <w:sz w:val="28"/>
          <w:szCs w:val="28"/>
          <w:rtl w:val="true"/>
          <w:lang w:bidi="ar-SA"/>
        </w:rPr>
        <w:t>، وأوضحنا سبيله؛ فإنّ المانع من الانحلال هو الدوران بين النفسية والغيرية، وفي الأجزاء ليس الدوران بينهما، والتفصيل موكول إلى محلّه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في المقام تنبيهات</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4563473_2142443653"/>
      <w:bookmarkStart w:id="551" w:name="_Toc202"/>
      <w:bookmarkEnd w:id="550"/>
      <w:r>
        <w:rPr>
          <w:rtl w:val="true"/>
        </w:rPr>
        <w:t>التنبيه الأوّل في ترتّب الثواب والعقاب على التكاليف الغيرية</w:t>
      </w:r>
      <w:bookmarkEnd w:id="551"/>
    </w:p>
    <w:p>
      <w:pPr>
        <w:pStyle w:val="BookText"/>
        <w:rPr/>
      </w:pPr>
      <w:r>
        <w:rPr>
          <w:rFonts w:ascii="Amiri" w:hAnsi="Amiri" w:eastAsia="Amiri" w:cs="Amiri"/>
          <w:color w:val="111111"/>
          <w:sz w:val="28"/>
          <w:sz w:val="28"/>
          <w:szCs w:val="28"/>
          <w:rtl w:val="true"/>
          <w:lang w:bidi="ar-SA"/>
        </w:rPr>
        <w:t>اختلفت الأنظار في كيفية الثواب والعقاب الاُخرويين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بعض إلى أنّها من قبيل التمثّل الملكوتي عملاً وخلقاً واعتقاداً، وأنّ النفس بواسطة الأعمال الحسنة تستعدّ لإعطاء كمال تقتدر به على تمثيل الصور الغيبية البهيّة، وإيجاد الحور والقصور، وكذا في جانب الأعمال السيّئة، وكذا الحال في الأخلاق والعقائد على ما فصّلوا في كتبهم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وذهب آخر إلى أنّهما بحسب الجعل</w:t>
      </w:r>
      <w:r>
        <w:rPr>
          <w:rStyle w:val="FootnoteAnchor"/>
          <w:rtl w:val="true"/>
        </w:rPr>
        <w:footnoteReference w:id="470"/>
      </w:r>
      <w:r>
        <w:rPr>
          <w:rFonts w:ascii="Amiri" w:hAnsi="Amiri" w:eastAsia="Amiri" w:cs="Amiri"/>
          <w:color w:val="111111"/>
          <w:sz w:val="28"/>
          <w:sz w:val="28"/>
          <w:szCs w:val="28"/>
          <w:rtl w:val="true"/>
          <w:lang w:bidi="ar-SA"/>
        </w:rPr>
        <w:t>، كالجعل في الجعالة، وكالجزائيات العرفية في الحكومات السياسية، كباب الحدود، كما هو ظاهر الكتاب والسنّة،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آخر إلى أنّهما بالاستحقاق وجزاء العمل</w:t>
      </w:r>
      <w:r>
        <w:rPr>
          <w:rStyle w:val="FootnoteAnchor"/>
          <w:rtl w:val="true"/>
        </w:rPr>
        <w:footnoteReference w:id="472"/>
      </w:r>
      <w:r>
        <w:rPr>
          <w:rFonts w:ascii="Amiri" w:hAnsi="Amiri" w:eastAsia="Amiri" w:cs="Amiri"/>
          <w:color w:val="111111"/>
          <w:sz w:val="28"/>
          <w:sz w:val="28"/>
          <w:szCs w:val="28"/>
          <w:rtl w:val="true"/>
          <w:lang w:bidi="ar-SA"/>
        </w:rPr>
        <w:t>، بمعنى أنّه لو أمر الله تعالى بشيء، فعمله أحد وتركه الآخر، يكون المطيع مستحقّاً من الله تعالى أجر عمله، ولا يجوز له تعالى التخلّف عنه عقلاً، والعاصي مستحقّاً للعقوبة، لكن يجوز له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المسلك الأوّل، يكون الاستحقاق واللااستحقاق بمعنى غير ما هو المعروف لدى الناس، وأمّا بناءً على جعلية الثواب فلا إشكال في قبح تخلّفه بعد الجعل؛ للزومِ الكذب لو أخبر عنه مع علمه بالتخلّف، وتخلّفِ الوعد والعهد مع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وقبحهما وامتناعهما عليه تعالى واضحان، ولا 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أنّ إطاعة أوامره تعالى هل توجب الاستحقاق، أو لا، ويكون الإعطاء على سبيل التفضّل؟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عرف مقامه تعالى ونسبته إلى الخلق ونسبة الخلق إليه، وتأمّل في قوى العبد وأعضائه ونسبتهما إلى بارئهما جلّ شأنه، لا يتفوّه </w:t>
      </w:r>
    </w:p>
    <w:p>
      <w:pPr>
        <w:pStyle w:val="BookText"/>
        <w:rPr/>
      </w:pPr>
      <w:r>
        <w:rPr>
          <w:rFonts w:ascii="Amiri" w:hAnsi="Amiri" w:eastAsia="Amiri" w:cs="Amiri"/>
          <w:color w:val="111111"/>
          <w:sz w:val="28"/>
          <w:sz w:val="28"/>
          <w:szCs w:val="28"/>
          <w:rtl w:val="true"/>
          <w:lang w:bidi="ar-SA"/>
        </w:rPr>
        <w:t>بأنّ صَرف بعض نعمه في طريق طاعته تعالى موجب للاستحقاق، والأولى إيكال هذه المباحث إلى أهلها ومحلّها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البناء على الاستحقاق في الواجبات النفسية، هل يكون الواجب الغيري مثلها فيه أم لا؟</w:t>
      </w:r>
    </w:p>
    <w:p>
      <w:pPr>
        <w:pStyle w:val="BookText"/>
        <w:rPr/>
      </w:pPr>
      <w:r>
        <w:rPr>
          <w:rFonts w:ascii="Amiri" w:hAnsi="Amiri" w:eastAsia="Amiri" w:cs="Amiri"/>
          <w:color w:val="111111"/>
          <w:sz w:val="28"/>
          <w:sz w:val="28"/>
          <w:szCs w:val="28"/>
          <w:rtl w:val="true"/>
          <w:lang w:bidi="ar-SA"/>
        </w:rPr>
        <w:t xml:space="preserve">وأمّا بناءً على 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الثواب والعقاب من قبيل اللوازم والتمثّلات الملكوتية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بخصوصياتها وتناسب الأفعال وصورها الغيبية لا يمكن لأمثالنا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شبهة في أنّ الإتيان بالمقدّمات لأجل الله تعالى موجب لصفاء النفس وتحكيم ملكة الانقياد والطاعة،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مراتب النيّات وخلوصها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تأثيرات في العوالم الغيبية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على مسلك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فالثواب تابع للجعل، فقد يجعل على ذي المقدّمة، وقد يجعل عليها أيضاً، كما في زيارة مولانا أبي عبدالله الحسين علیه السلام  حيث ورد الثواب على كلّ خطوة لمن زاره ماشياً</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المسلك غير بعيد في الجملة، ومعه لا إشكال في الثواب الوارد على المقدّمات، والالتزام بكونها عبادة بنفسها بعيد عن الصواب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المسلك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عدم الاستحقاق على الغيريات؛ لأنّ الاستحقاق إنّما هو على الطاعة، ولا يعقل ذلك في الأوامر الغيرية؛ لأ نّها </w:t>
      </w:r>
    </w:p>
    <w:p>
      <w:pPr>
        <w:pStyle w:val="BookText"/>
        <w:rPr/>
      </w:pPr>
      <w:r>
        <w:rPr>
          <w:rFonts w:ascii="Amiri" w:hAnsi="Amiri" w:eastAsia="Amiri" w:cs="Amiri"/>
          <w:color w:val="111111"/>
          <w:sz w:val="28"/>
          <w:sz w:val="28"/>
          <w:szCs w:val="28"/>
          <w:rtl w:val="true"/>
          <w:lang w:bidi="ar-SA"/>
        </w:rPr>
        <w:t>لا يمكن أن تبعث نحو متعلّقاتها؛ فإنّ المكلّف بذي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عازماً على إتيانه ويكون أمره داعياً إليه،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بما يراه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تتعلّق إرادته بها من حيث مقدّميتها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الأمر الغيري بما هو كذلك داعياً وباعثاً مطلقاً، وما هو كذلك لا يعقل استحقاق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استحقاق الثواب عليها باعتبار الواجب النفسي</w:t>
      </w:r>
      <w:r>
        <w:rPr>
          <w:rStyle w:val="FootnoteAnchor"/>
          <w:rtl w:val="true"/>
        </w:rPr>
        <w:footnoteReference w:id="474"/>
      </w:r>
      <w:r>
        <w:rPr>
          <w:rFonts w:ascii="Amiri" w:hAnsi="Amiri" w:eastAsia="Amiri" w:cs="Amiri"/>
          <w:color w:val="111111"/>
          <w:sz w:val="28"/>
          <w:sz w:val="28"/>
          <w:szCs w:val="28"/>
          <w:rtl w:val="true"/>
          <w:lang w:bidi="ar-SA"/>
        </w:rPr>
        <w:t>فهو أيضاً غير صحيح؛ فإنّ الآتي بالمقدّمات لأجل الإتيان بالواجب النفسي، لو لم يأت به لعذر أو لغيره لم يأت بمتعلّق الأمر النفسي، ومعه لا يعقل الاستحقاق بالمعنى الذي هو مورد البحث؛ أي كون ترك الثواب ظلماً وقبيحاً؛ لأنّ استحقاق من لم يأت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للأمر الغيري فقد عرفت حاله، وإمّا للأمر النفسي فمع عدم الإتيان بمتعلّقه لا وجه للاستحقاق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أمر شخص أحداً بردّ ضالّته، فتحمّل المشقّة الكثيرة ولم يوفّق إلى ردّها ورجع صفر الكفّ، فطالب بالأجر، فهل تراه محقّاً أو مبطلاً؟ لا أظنّك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تشخيص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تشكّ في عدم الاستحقاق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لذي المقدّمة مقدّمات كثيرة وتحصيلها مستلزم للمشقّات، يكون أجر نفس العمل بحسب المقدّمات مختلفاً، لا بمعنى التقسيط عليها، بل يكون التفاوت بلحاظها، فالآتي بالحجّ من البلاد النائية بأمر شخص يكون اُجرته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اُجرة الآتي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غيرها، ولو أتى بجميع المقدّمات ولم يأت بالحجّ </w:t>
      </w:r>
    </w:p>
    <w:p>
      <w:pPr>
        <w:pStyle w:val="BookText"/>
        <w:rPr/>
      </w:pPr>
      <w:r>
        <w:rPr>
          <w:rFonts w:ascii="Amiri" w:hAnsi="Amiri" w:eastAsia="Amiri" w:cs="Amiri"/>
          <w:color w:val="111111"/>
          <w:sz w:val="28"/>
          <w:sz w:val="28"/>
          <w:szCs w:val="28"/>
          <w:rtl w:val="true"/>
          <w:lang w:bidi="ar-SA"/>
        </w:rPr>
        <w:t>فليس له استحقاق للاُجرة؛ لعدم الإتيان بمتعلّق الأمر، فكذا الحال في أوامره تعالى بناءً على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أنّهم خلطوا بين الاستحقاق وممدوحية العبد؛ بمعنى إدراك العقل صفاء نفسه، وكونه بصدد إطاعة أمره، وكونه ذا ملكة فاضلة وسريرة حسنة؛ ضرورة أنّ الآتي بالمقدّمات مع عدم توفيقه لإتيان ذي المقدّمة ممدوح، لا مستحقّ للأجر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الآتي بالمقدّمة بقصد التوصّل إلى ذي المقدّمة مشتغل بامتثال الواجب النفسي ومستحقّ للمدح والثواب، وهما من رشحات الثواب الذي للواجب النفسي</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الاشتغال بالواجب النفسي لا يكون إلاّ بالشروع فيه نفسه لا مقدّماته، ولو اُطلق عليه لا يكون إلاّ من باب التوسّع، وهو لا يوجب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مجرّد الاشتغال بالنفسي أيضاً لا يوجب الاستحقاق، فالاشتغال بالصلاة لا يوجب استحقاق الأجر عند الله، ولا الاُجرة على الآمر أو المستأجر، وإنّما الأجر والاُجرة على الإتيان بمتعلّق الأمر، ولا يكون ذلك إلاّ بإتمام الواجب، والأمر لا يقسّط على أجزاء المتعلّق كما مرّ في الصحيح والأعمّ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رشح ثواب الواجب النفسي على المقدّمات، فممّا لا يرجع إلى محصّل ومعنىً معقول، مع أنّه على فرض صحّته لازمه عدم كثرة الثواب مع كثرة </w:t>
      </w:r>
      <w:bookmarkStart w:id="552" w:name="pg15283_146459"/>
    </w:p>
    <w:p>
      <w:pPr>
        <w:pStyle w:val="BookText"/>
        <w:rPr/>
      </w:pPr>
      <w:bookmarkEnd w:id="552"/>
      <w:r>
        <w:rPr>
          <w:rFonts w:ascii="Amiri" w:hAnsi="Amiri" w:eastAsia="Amiri" w:cs="Amiri"/>
          <w:color w:val="111111"/>
          <w:sz w:val="28"/>
          <w:sz w:val="28"/>
          <w:szCs w:val="28"/>
          <w:rtl w:val="true"/>
          <w:lang w:bidi="ar-SA"/>
        </w:rPr>
        <w:t>المقدّمات؛ لأنّ ثواب الواجب النفسي على الفرض مقدار محدود يترشّح منه إلى المقدّمات، فكلّما كثرت المقدّمات يقسّط ذلك الثواب عليها، فيكون الثواب مقداراً محدوداً لا يتجاوزه؛ قلّت المقدّمات أو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المقدّمات توجب كثرة الثواب بلحاظها على ذي المقدّمة، ثمّ يترشّح منه إليها، وهذا خيال في خيال</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4563475_2142443653"/>
      <w:bookmarkStart w:id="554" w:name="_Toc203"/>
      <w:bookmarkEnd w:id="553"/>
      <w:r>
        <w:rPr>
          <w:rtl w:val="true"/>
        </w:rPr>
        <w:t>التنبيه الثاني في الإشكالات الواردة على الطهارات الثلاث</w:t>
      </w:r>
      <w:bookmarkEnd w:id="554"/>
    </w:p>
    <w:p>
      <w:pPr>
        <w:pStyle w:val="BookText"/>
        <w:rPr/>
      </w:pPr>
      <w:r>
        <w:rPr>
          <w:rFonts w:ascii="Amiri" w:hAnsi="Amiri" w:eastAsia="Amiri" w:cs="Amiri"/>
          <w:color w:val="111111"/>
          <w:sz w:val="28"/>
          <w:sz w:val="28"/>
          <w:szCs w:val="28"/>
          <w:rtl w:val="true"/>
          <w:lang w:bidi="ar-SA"/>
        </w:rPr>
        <w:t>قد استشكل في الطهارات الثلاث التي جعلت مقدّمة للعبادة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ترتّب الثواب عليها، مع أنّ الواجب الغيري لا يترتّب عليه ثواب</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الثواب جعلي ليس باستحقاقي، وهو تابع للجعل، وقد يجعل على المقدّمات، لكن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فإنّ الطهارات بما هي عبادات جعلت مقدّمة، وعباديتها تتوقّف على الأمر الغيري، ولا يترشّح الوجوب الغيري إلاّ إلى ما هو مقدّمة، فكلّ من الأمر الغيري والعبادية يتوقّف على صاحبه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يقرّر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الغيري لا يدعو إلاّ إلى ما هو مقدّمة، والمقدّمة هاهنا ما يؤتى بها بداعوية الأمر الغيري؛ فإنّ نفس الأفعال الخاصّة لم تكن مقدّمة بأيّ نحو اتّفقت، فيلزم أن يكون الأمر داعياً إلى داعوية نفسه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ذات الأفعال بما هي لمّا كانت مقدّمة تكون مأموراً بها بناءً على الملازمة، وقيدها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إتيانها بداعوية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مأمور به بملاك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إشكال الدور مطلقاً قد دفع في محلّه</w:t>
      </w:r>
      <w:r>
        <w:rPr>
          <w:rStyle w:val="FootnoteAnchor"/>
          <w:rtl w:val="true"/>
        </w:rPr>
        <w:footnoteReference w:id="480"/>
      </w:r>
      <w:r>
        <w:rPr>
          <w:rFonts w:ascii="Amiri" w:hAnsi="Amiri" w:eastAsia="Amiri" w:cs="Amiri"/>
          <w:color w:val="111111"/>
          <w:sz w:val="28"/>
          <w:sz w:val="28"/>
          <w:szCs w:val="28"/>
          <w:rtl w:val="true"/>
          <w:lang w:bidi="ar-SA"/>
        </w:rPr>
        <w:t>، والأمر هاهنا أهون؛ لما عرفت من أنّ ذوات الأفعال مأمور بها لأجل المقدّمية، لكن هذا الجواب إلزامي، وإلاّ فقد عرفت أنّ الأمر الغيري لا يصلح للداعوية، والداعي لإتيان المقدّمة بما هي كذلك لا يكون إلاّ الأمر النفسي المتعلّق بذي المقدّمة، وسيأتي الجواب عن جميع الإشكالات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الغيرية توصّلية لا يعتبر في سقوطها قصد التعبّد، مع أنّ الطهارات معتبر فيها قصده بلا إشكال</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الطهارات الثلاث بما هي عبادات جعلت مقدّمة للصلاة وغيرها، وعباديتها لا تتوقّف على الأمر الغيري حتّى ترد الإشكالات المتقدّمة، 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صحّة العبادة ليس الأمر الفعلي النفسي أيضاً، بل مناط الصحّة صلوح الشيء للتعبّد به، وهذا ممّا لا يمكن الاطّلاع عليه غالباً إلاّ </w:t>
      </w:r>
    </w:p>
    <w:p>
      <w:pPr>
        <w:pStyle w:val="BookText"/>
        <w:rPr/>
      </w:pPr>
      <w:r>
        <w:rPr>
          <w:rFonts w:ascii="Amiri" w:hAnsi="Amiri" w:eastAsia="Amiri" w:cs="Amiri"/>
          <w:color w:val="111111"/>
          <w:sz w:val="28"/>
          <w:sz w:val="28"/>
          <w:szCs w:val="28"/>
          <w:rtl w:val="true"/>
          <w:lang w:bidi="ar-SA"/>
        </w:rPr>
        <w:t>بوحي الله تعالى، وبعد ما علم صلوح شيء للتعبّد به واُتي به بقصد التقرّب إليه تعالى يقع صحيحاً، قصد الأمر أو لا، بل لا يبعد دعوى ارتكاز المتشرّعة في إتيان الواجبات التعبّدية بقصد التقرّب إليه تعالى مع الغفلة عن الأمر بها،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سقوط الأمر بواسطة عروض شيء، فأتى به متقرّباً، تكون العبادة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يتمّ في التيمّم؛ فإنّه ليس عبادة نفسية، والاستشهاد لعباديته بظواهر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لإعراض الأصحاب عنها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عبادة في ظرف خاصّ، وهو حال كونه مأتيّاً به بقصد التوصّل إلى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صالح ذاتاً للعبادية، لكن في غير ذلك الظرف ينطبق عليه عنوان مانع عن عباديته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المكلّف بالطهارات بداعوية الأمر الغيري ولأجل التوصّل إلى الغايات مع الغفلة عن الأوامر النفسية أو عباديتها في نفسها تقع صحيحة، بل في ارتكاز المتشرّعة إتيانها لأجل الغير لا لأجل رجحانها النفسي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فإنّه لو أتى بها لصرف التوصّل إلى الغايات من غير قصد التعبّد والتقرّب بها تقع باطلة قطعاً، وارتكاز المتشرّعة على خلاف ما ذكرت، بل كلّ متشرّع يرى من نفسه أنّ إتيانه للستر وغسل الثوب لأجل التوصّل إلى الصلاة مخالف لإتيانه بالطهارات لأجل التوصّل إليها، فإنّ فيها يقصد التعبّد بها ويجعل </w:t>
      </w:r>
      <w:bookmarkStart w:id="555" w:name="pg15283_146462"/>
    </w:p>
    <w:p>
      <w:pPr>
        <w:pStyle w:val="BookText"/>
        <w:rPr/>
      </w:pPr>
      <w:bookmarkEnd w:id="555"/>
      <w:r>
        <w:rPr>
          <w:rFonts w:ascii="Amiri" w:hAnsi="Amiri" w:eastAsia="Amiri" w:cs="Amiri"/>
          <w:color w:val="111111"/>
          <w:sz w:val="28"/>
          <w:sz w:val="28"/>
          <w:szCs w:val="28"/>
          <w:rtl w:val="true"/>
          <w:lang w:bidi="ar-SA"/>
        </w:rPr>
        <w:t>ما هو عبادة وسيلةً للتوصّل إلى الغايات، فيأتي بالوضوء المتقرّب به إليه تعالى للصلاة، وإن كان غافلاً عن أمره النفسي، لكنّه غير غافل عن التعبّد والتقرّب به، ولا يحتاج في عبادية الشيء ووقوعه صحيحاً زائداً عن قصد التقرّب بما هو صالح للتعبّد به إلى شيء آخر، فالأمر النفسي المتعلّق بذي المقدّمة يدعو إلى الوضوء بقصد التقرّب؛ فإنّه مقدّمة للصلاة، فلا محالة يأتي المكلّف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ينحلّ جميع الشبهات المتقدّمة؛ لأنّ ترتّب الثواب لأجل إتيانها على وجه العبودية، وشبهة الدور إنّما ترد لو قلنا بأنّ عباديتها موقوفة على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أجوبة غير تامّة في نفسها أو غير دافعة لجميع الشبهات، لا داعي لذكرها وما فيها بعد تحقيق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يقرب ممّا ذكره المحقّق الخراساني</w:t>
      </w:r>
      <w:r>
        <w:rPr>
          <w:rStyle w:val="FootnoteAnchor"/>
          <w:rtl w:val="true"/>
        </w:rPr>
        <w:footnoteReference w:id="483"/>
      </w:r>
      <w:r>
        <w:rPr>
          <w:rFonts w:ascii="Amiri" w:hAnsi="Amiri" w:eastAsia="Amiri" w:cs="Amiri"/>
          <w:color w:val="111111"/>
          <w:sz w:val="28"/>
          <w:sz w:val="28"/>
          <w:szCs w:val="28"/>
          <w:rtl w:val="true"/>
          <w:lang w:bidi="ar-SA"/>
        </w:rPr>
        <w:t>، وإن اختلف معه من بعض الجهات، ويسلم عن بعض المناقشات الواردة عليه</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4563477_2142443653"/>
      <w:bookmarkStart w:id="557" w:name="_Toc204"/>
      <w:bookmarkEnd w:id="556"/>
      <w:r>
        <w:rPr>
          <w:rtl w:val="true"/>
        </w:rPr>
        <w:t>التنبيه الثالث في منشأ عبادية الطهارات</w:t>
      </w:r>
      <w:bookmarkEnd w:id="55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الطهارات بما هي عبادات جعلت مقدّمة للصلاة، وأمّا صيرورتها عبادة بواسطة الأمر الغيري أو النفسي المتعلّق بذي المقدّمة فغير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إمكان داعويته، والغضّ عمّا تقدّم من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دعوته ليست إلاّ إلى إتيان المقدّمة للتوصّل إلى ذي المقدّمة، وليست له نفسية وصلاحية للتقرّب، ولم تكن المقدّمة محبوبة للمولى، بل لو أمكنه أن يأمر بإتيان ذي المقدّمة مع عدم الإتيان بمقدّمته لأمر أحياناً، فالأمر</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اللابدّية، ومثل ذلك لا يصلح للمقرّبية، ولهذا لو أتى بالمقدّمة بناءً على وجوب المقدّمة المطلقة بانياً على عدم إتيان ذي المقدّمة لم يصر مقرّباً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بواسطة الأمر النفسي المتعلّق بذي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النفسي لا يدعو إلاّ إلى متعلّقه، ولا يعقل أن يدعو إلى المقدّمات؛ لعدم تعلّقه بها، فلا يكون الإتيان بها إطاعة له، بل مقدّمة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نحو شروع في الواجب النفسي قد تقدّم ما فيه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فالإتيان بالمقدّمة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بحكم العقل، وإمّا بداعوية الأمر الغيري على القول به، والظاهر وقوع الخلط بين حكم العقل وداعوية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عبادية الشيء أن يؤتى به لأجل المولى ولو بمثل هذه الداعوية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مقدوح فيه؛ فإنّ العبادية فرع صلوح الشيء للتقرّب، والمقدّمة لا تصلح لذلك ولو قلنا بتعلّق الأمر الغيري بها، مع أنّه ممنوع أيضاً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الوضوء قبل الوقت بداعوية أمره النفسي صحيح يجوز الدخول معه في </w:t>
      </w:r>
    </w:p>
    <w:p>
      <w:pPr>
        <w:pStyle w:val="BookText"/>
        <w:rPr/>
      </w:pPr>
      <w:r>
        <w:rPr>
          <w:rFonts w:ascii="Amiri" w:hAnsi="Amiri" w:eastAsia="Amiri" w:cs="Amiri"/>
          <w:color w:val="111111"/>
          <w:sz w:val="28"/>
          <w:sz w:val="28"/>
          <w:szCs w:val="28"/>
          <w:rtl w:val="true"/>
          <w:lang w:bidi="ar-SA"/>
        </w:rPr>
        <w:t>الصلاة بعد حضور الوقت، كما أنّه لو لم يكن للمكلّف داعٍ إلى إتيان الوضوء الاستحبابي قبل الوقت، لكن لمّا رأى أنّ الصلاة في الوقت مشروطة به، فصار ذلك داعياً إلى إتيانه لله، يقع صحيحاً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أتى به بداعي أمره الغيري لكن متقرّباً به إلى الله، يقع صحيحاً؛ لصلوح الموضوع للتقرّب، وهو كافٍ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بداعي أمره الاستحبابي فصحّته فرع بقاء أمره، وهو فرع أن يكون الوضوء بما هو مأمور به بالأمر النفسي مقدّمةً، ولم نقل بانحلاله إلى الذات والقيد، وتكون الذات أيضاً متعلّقة للأمر الغيري، وإلاّ فلا يبقى الأمر النفسي مع الغيري، وسيأتي التحقيق في متعلّق الأمر الغيري حتّى يتّضح عدم المنافاة بينه وبين الأمر الاستحبابي؛ لتعدّد العنوان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الإتيان به لأجل التوصّل إلى الغير من دون قصد التقرّب فلا يوجب الصحّة كما تقدّم</w:t>
      </w:r>
      <w:r>
        <w:rPr>
          <w:rFonts w:eastAsia="Amiri" w:cs="Amiri" w:ascii="Amiri" w:hAnsi="Amiri"/>
          <w:color w:val="111111"/>
          <w:sz w:val="28"/>
          <w:szCs w:val="28"/>
          <w:rtl w:val="true"/>
          <w:lang w:bidi="ar-SA"/>
        </w:rPr>
        <w:t xml:space="preserve">. </w:t>
      </w:r>
      <w:bookmarkStart w:id="558" w:name="pg15283_146465"/>
    </w:p>
    <w:p>
      <w:pPr>
        <w:pStyle w:val="Heading4"/>
        <w:numPr>
          <w:ilvl w:val="3"/>
          <w:numId w:val="1"/>
        </w:numPr>
        <w:rPr/>
      </w:pPr>
      <w:bookmarkStart w:id="559" w:name="__RefHeading___Toc4563479_2142443653"/>
      <w:bookmarkStart w:id="560" w:name="_Toc205"/>
      <w:bookmarkEnd w:id="558"/>
      <w:bookmarkEnd w:id="559"/>
      <w:r>
        <w:rPr>
          <w:rtl w:val="true"/>
        </w:rPr>
        <w:t>الأمر الخامس ما هو الواجب في باب المقدّمة ؟</w:t>
      </w:r>
      <w:bookmarkEnd w:id="560"/>
    </w:p>
    <w:p>
      <w:pPr>
        <w:pStyle w:val="Heading5"/>
        <w:numPr>
          <w:ilvl w:val="4"/>
          <w:numId w:val="1"/>
        </w:numPr>
        <w:rPr/>
      </w:pPr>
      <w:bookmarkStart w:id="561" w:name="__RefHeading___Toc4563481_2142443653"/>
      <w:bookmarkStart w:id="562" w:name="_Toc206"/>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بناءً على الملازمة هل الواجب هو مطلق المقدّمة، أو المقدّمة التي اُريد الإتيان بصاحبها، أو التي قصد بها التوصّل إليه، أو المقدّمة الموصلة، أو التي في حال الإيصال؟ أقوال</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4563483_2142443653"/>
      <w:bookmarkStart w:id="564" w:name="_Toc207"/>
      <w:bookmarkEnd w:id="563"/>
      <w:r>
        <w:rPr>
          <w:rtl w:val="true"/>
        </w:rPr>
        <w:t>حول ما نسب إلى صاحب المعالم في المقام</w:t>
      </w:r>
      <w:bookmarkEnd w:id="564"/>
    </w:p>
    <w:p>
      <w:pPr>
        <w:pStyle w:val="BookText"/>
        <w:rPr/>
      </w:pPr>
      <w:r>
        <w:rPr>
          <w:rFonts w:ascii="IRNazanin" w:hAnsi="IRNazanin" w:eastAsia="IRNazanin"/>
          <w:color w:val="111111"/>
          <w:sz w:val="28"/>
          <w:sz w:val="28"/>
          <w:szCs w:val="28"/>
          <w:rtl w:val="true"/>
          <w:lang w:bidi="fa-IR"/>
        </w:rPr>
        <w:t>نسب</w:t>
      </w:r>
      <w:r>
        <w:rPr>
          <w:rStyle w:val="FootnoteAnchor"/>
          <w:rtl w:val="true"/>
        </w:rPr>
        <w:footnoteReference w:id="486"/>
      </w:r>
      <w:r>
        <w:rPr>
          <w:rFonts w:ascii="Amiri" w:hAnsi="Amiri" w:eastAsia="Amiri" w:cs="Amiri"/>
          <w:color w:val="111111"/>
          <w:sz w:val="28"/>
          <w:sz w:val="28"/>
          <w:szCs w:val="28"/>
          <w:rtl w:val="true"/>
          <w:lang w:bidi="ar-SA"/>
        </w:rPr>
        <w:t xml:space="preserve">إلى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وجوبها بإرادة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المقدّمة تابعة لصاحبها في الإطلاق والاشتراط، فيلزم أن يشترط وجوب الشيء بإرادة وجوده، وهو واضح البطلان</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ذكر الاشتراط، بل نصّ في أنّ الوجوب في حال كون المكلّف مريداً للفعل المتوقّف عليها</w:t>
      </w:r>
      <w:r>
        <w:rPr>
          <w:rStyle w:val="FootnoteAnchor"/>
          <w:rtl w:val="true"/>
        </w:rPr>
        <w:footnoteReference w:id="488"/>
      </w:r>
      <w:r>
        <w:rPr>
          <w:rFonts w:ascii="Amiri" w:hAnsi="Amiri" w:eastAsia="Amiri" w:cs="Amiri"/>
          <w:color w:val="111111"/>
          <w:sz w:val="28"/>
          <w:sz w:val="28"/>
          <w:szCs w:val="28"/>
          <w:rtl w:val="true"/>
          <w:lang w:bidi="ar-SA"/>
        </w:rPr>
        <w:t>، وهو وإن كان غير صحيح، لكن لم يكن بذلك الوضوح من الفساد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إرادة ذي المقدّمة غير دخيلة في ملاك وجوبها، مع أنّه حال إرادته لا معنى لإيجاب مقدّمته؛ لأ نّه يريدها لا محالة</w:t>
      </w:r>
      <w:r>
        <w:rPr>
          <w:rFonts w:eastAsia="Amiri" w:cs="Amiri" w:ascii="Amiri" w:hAnsi="Amiri"/>
          <w:color w:val="111111"/>
          <w:sz w:val="28"/>
          <w:szCs w:val="28"/>
          <w:rtl w:val="true"/>
          <w:lang w:bidi="ar-SA"/>
        </w:rPr>
        <w:t xml:space="preserve">. </w:t>
      </w:r>
      <w:bookmarkStart w:id="565" w:name="pg15283_146466"/>
    </w:p>
    <w:p>
      <w:pPr>
        <w:pStyle w:val="Heading5"/>
        <w:numPr>
          <w:ilvl w:val="4"/>
          <w:numId w:val="1"/>
        </w:numPr>
        <w:rPr/>
      </w:pPr>
      <w:bookmarkStart w:id="566" w:name="__RefHeading___Toc4563485_2142443653"/>
      <w:bookmarkStart w:id="567" w:name="_Toc208"/>
      <w:bookmarkEnd w:id="565"/>
      <w:bookmarkEnd w:id="566"/>
      <w:r>
        <w:rPr>
          <w:rtl w:val="true"/>
        </w:rPr>
        <w:t>حول ما نسب إلى الشيخ الأعظم في المقام</w:t>
      </w:r>
      <w:bookmarkEnd w:id="567"/>
    </w:p>
    <w:p>
      <w:pPr>
        <w:pStyle w:val="BookText"/>
        <w:rPr/>
      </w:pPr>
      <w:r>
        <w:rPr>
          <w:rFonts w:ascii="IRNazanin" w:hAnsi="IRNazanin" w:eastAsia="IRNazanin"/>
          <w:color w:val="111111"/>
          <w:sz w:val="28"/>
          <w:sz w:val="28"/>
          <w:szCs w:val="28"/>
          <w:rtl w:val="true"/>
          <w:lang w:bidi="fa-IR"/>
        </w:rPr>
        <w:t>ونسب</w:t>
      </w:r>
      <w:r>
        <w:rPr>
          <w:rStyle w:val="FootnoteAnchor"/>
          <w:rtl w:val="true"/>
        </w:rPr>
        <w:footnoteReference w:id="489"/>
      </w:r>
      <w:r>
        <w:rPr>
          <w:rFonts w:ascii="Amiri" w:hAnsi="Amiri" w:eastAsia="Amiri" w:cs="Amiri"/>
          <w:color w:val="111111"/>
          <w:sz w:val="28"/>
          <w:sz w:val="28"/>
          <w:szCs w:val="28"/>
          <w:rtl w:val="true"/>
          <w:lang w:bidi="ar-SA"/>
        </w:rPr>
        <w:t>إلى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المقدّمة بقصد التوصّل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النسبة غير صحيحة جدّاً؛ فإنّ كلامه من أوّله إلى آخره يأبى عن ذلك</w:t>
      </w:r>
      <w:r>
        <w:rPr>
          <w:rStyle w:val="FootnoteAnchor"/>
          <w:rtl w:val="true"/>
        </w:rPr>
        <w:footnoteReference w:id="490"/>
      </w:r>
      <w:r>
        <w:rPr>
          <w:rFonts w:ascii="Amiri" w:hAnsi="Amiri" w:eastAsia="Amiri" w:cs="Amiri"/>
          <w:color w:val="111111"/>
          <w:sz w:val="28"/>
          <w:sz w:val="28"/>
          <w:szCs w:val="28"/>
          <w:rtl w:val="true"/>
          <w:lang w:bidi="ar-SA"/>
        </w:rPr>
        <w:t xml:space="preserve">، بل يستشمّ من أوّل كلامه في ردّ توجيه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أنكر قيد قصد التوصّل، بل مطلق القيود، وظاهر كلامه في خلال الردّ على مقالة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وجوب ذات المقدّمة بما هي مقدّمة؛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الحاكم بوجوب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وهو القاضي فيما وقع من الاختلافات، ونحن بعد ما استقصينا التأمّل لا نرى للحكم بوجوب المقدّمة وجهاً إلاّ من حيث إنّ عدمها يوجب عدم المطلوب، وهذه الحيثية هي التي يشترك فيها جميع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فملاك الطلب الغيري في المقدّمة هذه الحيثية، وهي ممّا يكفي في انتزاعها عن المقدّمة ملاحظة ذات المقدّمة</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كلام المحقّق المقرّر وإن كان مشوّشاً، لكن لا يحتمل فيه ما احتمله بعض المحقّقين من الاحتمالات الكثيرة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محتمل كلامه أمران بعد الفراغ عن أنّ كلامه ليس في نفس الملازمة بين </w:t>
      </w:r>
    </w:p>
    <w:p>
      <w:pPr>
        <w:pStyle w:val="BookText"/>
        <w:rPr/>
      </w:pPr>
      <w:r>
        <w:rPr>
          <w:rFonts w:ascii="Amiri" w:hAnsi="Amiri" w:eastAsia="Amiri" w:cs="Amiri"/>
          <w:color w:val="111111"/>
          <w:sz w:val="28"/>
          <w:sz w:val="28"/>
          <w:szCs w:val="28"/>
          <w:rtl w:val="true"/>
          <w:lang w:bidi="ar-SA"/>
        </w:rPr>
        <w:t>وجوب ذي المقدّمة وبين وجوبها، بل كلامه في وقوع المقدّمة على صفة الوجوب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الامتثال بالواجب لا يحصل إلاّ بقصد التوصّل إلى ذي المقدّمة، كما صرّح به في خلال كلامه من تخصيص النزاع بما اُريد الامتثال 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برهن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الامتثال لا يمكن إلاّ أن يكون الداعي إلى إيجاد الفعل هو الأمر، ولمّا كان الأمر لا يدعو إلاّ إلى متعلّقه فلا بدّ في الامتثال من قصد عنوان المأمور به، والمأمور به هاهنا هو المقدّمة بالحيثية التقييدية؛ لأنّ الكاشف عن وجوب المقدّمة هو العقل بالملاك العقلي، والعقل يحكم بوجوب المقدّمة من حيث هي مقدّمة، فلا بدّ من كشف الحكم الشرعي بذلك الملاك على الحيثية التقييدية، ولمّا كان القصد بهذه الحيثية لا ينفكّ عن القصد بالتوصّل إلى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التفكيك للتناقض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امتثال أمر المقدّمة من قصد التوصّل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أنّه لا يرد على هذا الاحتمال شيء ممّا وقع في كلام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 رجوع الحيثيات التعليلية في الأحكام العقلية إلى التقييدية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إنكاره مستلزم لإسراء حكم العقل من موضوعه إلى غيره بلا ملاك؛ فإنّ الظلم مثلاً إذا كان قبيحاً عقلاً، فوقع عمل في الخارج معنوناً بعنوان الظلم وعناوين اُخر، فحكم العقل بقبحه إذا لم يرجع إلى حيثية الظلم، </w:t>
      </w:r>
    </w:p>
    <w:p>
      <w:pPr>
        <w:pStyle w:val="BookText"/>
        <w:rPr/>
      </w:pPr>
      <w:r>
        <w:rPr>
          <w:rFonts w:ascii="Amiri" w:hAnsi="Amiri" w:eastAsia="Amiri" w:cs="Amiri"/>
          <w:color w:val="111111"/>
          <w:sz w:val="28"/>
          <w:sz w:val="28"/>
          <w:szCs w:val="28"/>
          <w:rtl w:val="true"/>
          <w:lang w:bidi="ar-SA"/>
        </w:rPr>
        <w:t>فإمّا أن يرجع إلى حيثيات اُخر، وهو كما ترى، أو إلى الذات بعلّية الظلم بحيث تكون الذات قبيحة، لا الظلم وإن كان هو علّة لقبحها، فهو أيضاً فاسد وخلف؛ فإنّ الذات تكون قبيحة بالعرض، فلا بدّ وأن يكون الظلم قبيحاً بالذات، فيصير الظلم موضوعاً بالحقيقة للقبح، وهذا معنى رجوع الحيثيات التعليلية إلى التقييدية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 رجوعها إليها فيما كان الوجوب بحكم الشرع ولم يكن للعقل دخل فيه إلاّ بنحو الكاشفية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إذا كشف عن حكم بملاكه العقلي لا يمكن أن يكشف أوسع أو أضيق من ملاكه، ولا في موضوع آخر غير حيثية الملاك،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يشعر به صدر كلامه ويظهر من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المقدّمة على صفة الوجوب مطلقاً يتوقّف على قصد التوصّل، لكن لا تظهر الثمرة في غير العباديات إلاّ في المقدّمات المحرّمة، فمع عدم قصد التوصّل يبقى الفعل على حكمه السابق، فيحرم الدخول في ملك الغير مع عدم قصد التوصّل، وصريح كلامه أنّه لا يختصّ النزاع بالمقدّمة المحرّمة، لكن تظهر الثمرة في غير العباديات فيها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وقوع الفعل على صفة الوجوب في التوصّليات لا يتوقّف على القصد، وإن كان الوقوع على صفة الامتثال موقوفاً عليه، فإذا كان غسل الثوب واجباً متعلّقاً لإرادة المولى، فغسله بلا توجّه إلى وجوبه وإن لم يعدّ </w:t>
      </w:r>
      <w:bookmarkStart w:id="568" w:name="pg15283_146469"/>
    </w:p>
    <w:p>
      <w:pPr>
        <w:pStyle w:val="BookText"/>
        <w:rPr/>
      </w:pPr>
      <w:bookmarkEnd w:id="568"/>
      <w:r>
        <w:rPr>
          <w:rFonts w:ascii="Amiri" w:hAnsi="Amiri" w:eastAsia="Amiri" w:cs="Amiri"/>
          <w:color w:val="111111"/>
          <w:sz w:val="28"/>
          <w:sz w:val="28"/>
          <w:szCs w:val="28"/>
          <w:rtl w:val="true"/>
          <w:lang w:bidi="ar-SA"/>
        </w:rPr>
        <w:t>امتثالاً لأمره، لكن يقع في الخارج مصداق ما هو واجب ومتعلّق إرادته، ولا نعني بالوقوع على صفة الوجوب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قيدية قصد التوصّل في وجوب المقدّمة ممنوعة؛ أمّا كونه شرطاً للوجوب فواضح، وأمّا كونه قيداً للواجب؛ بحيث يكون قصد التوصّل أيضاً متعلّقاً للبعث، ويكون الأمر داعياً إلى المقدّمة بقصد التوصّل إلى صاحبها، فهو وإن لم يكن محالاً؛ لأنّ القصد قابل لتعلّق البعث به كقيديته في العباديات، لكن قصد المكلّف غير دخيل في ملاك المقدّمية قطعاً، فتعلّق الوجوب به يكون بلا ملاك، وهو ممتنع</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4563487_2142443653"/>
      <w:bookmarkStart w:id="570" w:name="_Toc209"/>
      <w:bookmarkEnd w:id="569"/>
      <w:r>
        <w:rPr>
          <w:rtl w:val="true"/>
        </w:rPr>
        <w:t xml:space="preserve">حول وجوب المقدّمة الموصلة </w:t>
      </w:r>
      <w:r>
        <w:rPr>
          <w:rtl w:val="true"/>
        </w:rPr>
        <w:t>(</w:t>
      </w:r>
      <w:r>
        <w:rPr>
          <w:rtl w:val="true"/>
        </w:rPr>
        <w:t>مقالة صاحب الفصول</w:t>
      </w:r>
      <w:r>
        <w:rPr>
          <w:rtl w:val="true"/>
        </w:rPr>
        <w:t>)</w:t>
      </w:r>
      <w:bookmarkEnd w:id="570"/>
    </w:p>
    <w:p>
      <w:pPr>
        <w:pStyle w:val="BookText"/>
        <w:rPr/>
      </w:pPr>
      <w:r>
        <w:rPr>
          <w:rFonts w:ascii="Amiri" w:hAnsi="Amiri" w:eastAsia="Amiri" w:cs="Amiri"/>
          <w:color w:val="111111"/>
          <w:sz w:val="28"/>
          <w:sz w:val="28"/>
          <w:szCs w:val="28"/>
          <w:rtl w:val="true"/>
          <w:lang w:bidi="ar-SA"/>
        </w:rPr>
        <w:t>وقد ذهب إلى أنّ الواجب هو خصوص المقدّمة الموصلة، وصرّح بأنّ الإيصال قيد للواجب، لا شرط في الوجوب</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أوردوا عليه باُمور</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4563489_2142443653"/>
      <w:bookmarkStart w:id="572" w:name="_Toc210"/>
      <w:bookmarkEnd w:id="571"/>
      <w:r>
        <w:rPr>
          <w:rtl w:val="true"/>
        </w:rPr>
        <w:t>إشكالات المقدّمة الموصلة وأجوبتها</w:t>
      </w:r>
      <w:bookmarkEnd w:id="57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لأنّ وجود ذي المقدّمة يتوقّف على وجود المقدّمة، وبناءً على قيدية الإيصال وجود المقدّمة يصير متوقّفاً على وجود صاحبها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ذي المقدّمة يتوقّف على ذات المقدّمة لا بقيد الإيصال، </w:t>
      </w:r>
    </w:p>
    <w:p>
      <w:pPr>
        <w:pStyle w:val="BookText"/>
        <w:rPr/>
      </w:pPr>
      <w:r>
        <w:rPr>
          <w:rFonts w:ascii="Amiri" w:hAnsi="Amiri" w:eastAsia="Amiri" w:cs="Amiri"/>
          <w:color w:val="111111"/>
          <w:sz w:val="28"/>
          <w:sz w:val="28"/>
          <w:szCs w:val="28"/>
          <w:rtl w:val="true"/>
          <w:lang w:bidi="ar-SA"/>
        </w:rPr>
        <w:t>واتّصافها بالموصلية يتوقّف على وجود ذي المقدّمة، فالموقوف غير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أنّ متعلّق الوجوب أخصّ من الموقوف عليه، فلا تكون المقدّمة بقيد الإيصال موقوفاً عليها، فلا يرد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النظر في تقرير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مناط وجوب المقدّمة ليس إلاّ التوقّف، فحينئذٍ يكون اعتبار قيد الإيصال لملاكه، فيلزم توقّف كلّ من المقدّمة وذيها على الآخر</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الوجوب ليس التوقّف على مسلكه، بل التوصّل إلى ذي المقدّمة، فمتعلّقه أخصّ من التوقّف، بل دعوى بداهة كون المناط هو التوقّف مساوقة لدعوى بداهة وجوب المقدّمة المطلقة، وهي تنافي ما ذهب إليه من وجوبها حال 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تقرير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يلزم بناءً عليه أن يكون الواجب النفسي مقدّمة للمقدّمة واجباً بوجوب ناشئ من وجوبها، وهو يستلزم الدور؛ لأنّ وجوب المقدّمة ناشئ من وجوب ذي المقدّمة، فلو ترشّح وجوب ذي المقدّمة من وجوبها لزم الدور</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ما لا يخفى؛ لأنّ وجوب ذي المقدّمة الناشئ منه وجوب المقدّمة، لم ينشأ من وجوب المقدّمة حتّى يدور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التسلسل؛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المقدّمة الموصلة تنحلّ إلى ذات وقيد، </w:t>
      </w:r>
    </w:p>
    <w:p>
      <w:pPr>
        <w:pStyle w:val="BookText"/>
        <w:rPr/>
      </w:pPr>
      <w:r>
        <w:rPr>
          <w:rFonts w:ascii="Amiri" w:hAnsi="Amiri" w:eastAsia="Amiri" w:cs="Amiri"/>
          <w:color w:val="111111"/>
          <w:sz w:val="28"/>
          <w:sz w:val="28"/>
          <w:szCs w:val="28"/>
          <w:rtl w:val="true"/>
          <w:lang w:bidi="ar-SA"/>
        </w:rPr>
        <w:t>وفي كلّ منهما مناط الوجوب للتوقّف، فعلى وجوب المقدّمة الموصلة يجب أن تكون الذات بقيد الإيصال واجبة، وقيد الإيصال أيضاً بقيد الإيصال واجباً، فيتقيّد كلّ منهما بإيصال 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المقدّمة بقيد هذا الإيصال لا إيصال آخر، ولا معنى لفرض إيصال زائد على الإيصال، بل لا يتعقّل إيصال آخر؛ لأ نّه حقيقة لا يمكن تكرّرها، فالواجب هو المقدّمة الموصلة بهذا الإيصال، وأمّا الإيصال فلا يكون فيه ملاك المقدّمية حتّى يتقيّد بإيصال آخر، بل لا يمكن أن يكون للإيصال 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المقدّمة الموصلة تنحلّ إلى ذات وقيد، فتكون الذات مقدّمة لحصول المقدّمة المقيّدة، فلا بدّ من اعتبار قيد الإيصال فيها، وهكذا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المقدّمة الموصلة إلى ذي المقدّمة لا إلى المقدّمة، فالذات لم تكن واجبة بقيد الإيصال إلى المقيّد، بل واجبة بقيد الإيصال إلى ذي المقدّمة، وهو حاصل بلا قيد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ذي المقدّمة مقدّمة لمقدّمته ، فيتعلّق به الوجوب الغيري، بل وجوبات غيرية بعدد المقدّمات، بل يلزم أن يجب ذو المقدّمة الموصل إلى نفسه ولو بوسط، وهو أفحش</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بهذه المقالة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يتعلّق به الوجوب الغيري هو المقدّمة مع قيد الإيصال إلى ذي المقدّمة، فلا بدّ فيه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كونه </w:t>
      </w:r>
    </w:p>
    <w:p>
      <w:pPr>
        <w:pStyle w:val="BookText"/>
        <w:rPr/>
      </w:pPr>
      <w:r>
        <w:rPr>
          <w:rFonts w:ascii="Amiri" w:hAnsi="Amiri" w:eastAsia="Amiri" w:cs="Amiri"/>
          <w:color w:val="111111"/>
          <w:sz w:val="28"/>
          <w:sz w:val="28"/>
          <w:szCs w:val="28"/>
          <w:rtl w:val="true"/>
          <w:lang w:bidi="ar-SA"/>
        </w:rPr>
        <w:t>موقوفاً عليه، والثانية كونه موصلاً إلى ذي المقدّمة، ونفس ذي المقدّمة لا يكون موقوفاً على نفسه، ولا يكون موصلاً إلى نفسه، فلا يتعلّق به الوجوب الغيري، وتوقّف وصف المقدّمة على وجوده لا يوجب تعلّق الوجوب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الإيصال ليس أثر كلّ مقدّمة، فلا بدّ من الالتزام إمّا باختصاص الوجوب بالأسباب التوليدية، أو الالتزام بوجوب الإرادة، وهو التزام بالتسلسل</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بالإيصال أعمّ من الإيصال مع الواسطة، فالقدم الأوّل بالنسبة إلى الحجّ قد يكون موصلاً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أي يتعقّبه الحجّ، وقد لا يكون كذلك، والواجب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بالإرادة،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قابلة لتعلّق الوجوب بها كما في الواجب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فيها مشترك الورود؛ إذ بناءً على وجوب المقدّمة المطلقة تكون الإرادة غير متعلّقة للوجوب لو لزم منه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بالمقدّمة بناءً على وجوب الموصلة لا يوجب سقوط الطلب منها إلاّ أن يترتّب الواجب عليها، مع أنّ السقوط بالإتيان واضح، فلا بدّ وأن يكون بالموافقة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غير ساقط بعد فرض تعلّقه بالمقيّد، وهو لا يتحقّق إلاّ بقيده كما في المركّبات؛ فإنّ التحقيق فيها أنّ الأمر بها لا يسقط إلاّ بإتيان تمام </w:t>
      </w:r>
      <w:bookmarkStart w:id="573" w:name="pg15283_146473"/>
    </w:p>
    <w:p>
      <w:pPr>
        <w:pStyle w:val="BookText"/>
        <w:rPr/>
      </w:pPr>
      <w:bookmarkEnd w:id="573"/>
      <w:r>
        <w:rPr>
          <w:rFonts w:ascii="Amiri" w:hAnsi="Amiri" w:eastAsia="Amiri" w:cs="Amiri"/>
          <w:color w:val="111111"/>
          <w:sz w:val="28"/>
          <w:sz w:val="28"/>
          <w:szCs w:val="28"/>
          <w:rtl w:val="true"/>
          <w:lang w:bidi="ar-SA"/>
        </w:rPr>
        <w:t>المركّب، وليس للأجزاء أمر أصلاً، فبناءً على المقدّمة الموصلة ليست ذات المقدّمة متعلّقة للأمر، بل للمتقيّدة أمر واحد لا يسقط إلاّ بإتيان قيدها، فدعوى وضوح سقوطه في غير محلّها</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4563491_2142443653"/>
      <w:bookmarkStart w:id="575" w:name="_Toc211"/>
      <w:bookmarkEnd w:id="574"/>
      <w:r>
        <w:rPr>
          <w:rtl w:val="true"/>
        </w:rPr>
        <w:t>في حال وجوب المقدّمة حال الإيصال</w:t>
      </w:r>
      <w:bookmarkEnd w:id="575"/>
    </w:p>
    <w:p>
      <w:pPr>
        <w:pStyle w:val="BookText"/>
        <w:rPr/>
      </w:pPr>
      <w:r>
        <w:rPr>
          <w:rFonts w:ascii="Amiri" w:hAnsi="Amiri" w:eastAsia="Amiri" w:cs="Amiri"/>
          <w:color w:val="111111"/>
          <w:sz w:val="28"/>
          <w:sz w:val="28"/>
          <w:szCs w:val="28"/>
          <w:rtl w:val="true"/>
          <w:lang w:bidi="ar-SA"/>
        </w:rPr>
        <w:t xml:space="preserve">قد تخلّص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هو المقدّمات في لحاظ الإيصال لا مقيّدة به، فإذا تصوّر المولى جميع المقدّمات الملازمة لوجود المطلوب يريدها بذاتها؛ لأ نّها بهذه الملاحظة لا تنفكّ عن المطلوب الأصلي، ولو لاحظ مقدّمة منفكّة عمّا عداها لا يريدها جزماً؛ فإنّ ذاتها وإن كانت مورداً للإرادة، لكن لمّا كانت المطلوبية في ظرف ملاحظة باقي المقدّمات، لم يكن كلّ واحدة منها مرادة بنحو الإطلاق؛ بحيث تسرّى الإرادة إلى حال الانفكاك، وهذا موافق للوجدان من غير ورود إشكال عليه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من لحاظ الإيصال ليس دخالة اللحاظ فيه، بل كونه مرآة إلى ما هو الواجب، فالواجب هو ذات المقدّمات في حال ترتّبها وعدم انفكاكها عن ذي المقدّمة، لا مطلقة ولا مقيّدة، وإن لا تنطبق إلاّ على المقيّدة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ما في تقريرات بعض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هو المقدّمة في ظرف الإيصال بنحو القضيّة الحينية؛ أي الحصّة من المقدّمة التوأمة مع وجود سائر المقدّمات الملازمة لوجود ذي المقدّمة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على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عدم انفكاك المقدّمات عن المطلوب إن لم تكن دخيلة في وجوب المقدّمة يكن تعلّق الوجوب بها في هذه الحالة من باب الاتّفاق لا الدخالة، فلا يعقل رفع الوجوب عنها مع زوال تلك الحالة، ولا توقّف تعلّقه عليها؛ لأنّ تمام الموضوع للوجوب إذا كان ذات المقدّمة من غير دخالة شيء آخر، فمع بقائها على ما هي عليه لا يمكن انفكاك الحكم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المحقّق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لا يعقل أن تصير حصّة إلاّ بانضمام قيد إليها، ومعه تصير مقيّدة، والتوأمية إذا صارت موجبة لصيرورتها حصّة خاصّة، تصير قيداً لها، وهو يفرّ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أن يوجّه به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واجبة لغاية التوصّل إلى ذي المقدّمة، فالموصلية من قبيل العلّة الغائية لتعلّق الوجوب بالمقدّمة، فلا يمكن أن تكون واجبة مطلقاً؛ لأنّ الوجوب إذا تعلّق بشيء لغاية لا يعقل أن يسري إلى ما لا تترتّب عليه تلك الغاية؛ للزوم أن يكون التعلّق بلا علّة غائية ولا فاعلية؛ لأنّ الغاية علّة فاعلية الفاعل، وكذا لا يمكن أن تكون المقدّمة المقيّدة واجبة؛ لأنّ الغاية متقدّمة على ذي الغاية ماهيةً وتصوّراً، ومتأخّرة عنه وجوداً وتحقّقاً، وما يكون كذلك لا يمكن أن يصير قيداً لما لا يكون في رتبته؛ للزوم التجافي عن المرتبة، فالواجب لا يكون مطلقاً ولا مقيّداً وإن لا ينطبق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تصوير الحصّة أيضاً بتبع تعلّق الوجوب المعلول لعلّة خاصّة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هاهنا مستكشف من حكم العقل، ولا يمكن تخلّفه عمّا هو مناطه في نظره؛ ضرورة أنّ العقل إذا أدرك حيثية تكون تمام المناط لتعلّق </w:t>
      </w:r>
    </w:p>
    <w:p>
      <w:pPr>
        <w:pStyle w:val="BookText"/>
        <w:rPr/>
      </w:pPr>
      <w:r>
        <w:rPr>
          <w:rFonts w:ascii="Amiri" w:hAnsi="Amiri" w:eastAsia="Amiri" w:cs="Amiri"/>
          <w:color w:val="111111"/>
          <w:sz w:val="28"/>
          <w:sz w:val="28"/>
          <w:szCs w:val="28"/>
          <w:rtl w:val="true"/>
          <w:lang w:bidi="ar-SA"/>
        </w:rPr>
        <w:t xml:space="preserve">حكم مولوي 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متعلّقاً بتلك الحيثية من غير دخالة شيءٍ آخر جزءاً للموضوع أو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المقدّمة إذا كان لأجل التوصّل إلى ذي المقدّمة، تكون تلك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التوصّل إلى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لمناط حكم العقل، فيكشف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المقدّمة بهذه الحيثية لا غيرها، فاللازم</w:t>
      </w:r>
    </w:p>
    <w:p>
      <w:pPr>
        <w:pStyle w:val="BookText"/>
        <w:rPr/>
      </w:pPr>
      <w:r>
        <w:rPr>
          <w:rFonts w:ascii="Amiri" w:hAnsi="Amiri" w:eastAsia="Amiri" w:cs="Amiri"/>
          <w:color w:val="111111"/>
          <w:sz w:val="28"/>
          <w:sz w:val="28"/>
          <w:szCs w:val="28"/>
          <w:rtl w:val="true"/>
          <w:lang w:bidi="ar-SA"/>
        </w:rPr>
        <w:t>هو وجوب المقدّمة المتحيّثة بها من حيث هي كذلك، ولا يمكن أن تصير تلك الحيثية علّة لسراية الحكم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تعلّق بعث مولوي بشيء لأجل غاية؛ بحيث يكون البعث متوجّهاً إلى عنوان تترتّب عليه الغاية، لكن الكلام في الوجوب المنكشف بحكم العقل، ولا يمكن كشف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غير ما هو المناط ذاتاً، فكون الأحكام الشرعية متعلّقة بالعناوين لأجل المصالح والمفاسد، لا يكون نقضاً على ما ذكرنا لو اُعطي التدبّر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النظر في كلام بعض أهل التدقيق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لأجل الفرار عن الإشكالات المتقدّمة على المقدّمة الموصلة وجّه كلام القائل بها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الأصيل حيث يترتّب على وجود المعلول، فالغرض التبعي من أجزاء علّته هو ترتّب وجوده على وجودها إذا وقعت على ما هي عليه من اتّصاف السبب بالسببية والشرط بالشرطية، فوقوع كلّ مقدّمة على صفة المقدّمية الفعلية ملازم لوقوع الاُخرى على تلك الصفة ووقوع ذيها في الخارج، فالواجب هو المقدّمة الفعلية التي لا تنفكّ عن ذيها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متعلّق الغرض التبعي هو العلّة التامّة؛ حيث إنّها محصّلة لغرضه الأصيل، لا كلّ ما له دخل وإن لم يكن محصّلاً له، وإنّما تعلّقت بالعلّة التامّة إرادة واحدة لوحدة الغرض، وهو حصول ذيها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لوجوب المقدّمة إذا كانت التوصّل إلى ذيها، يكون المتعلّق بالذات للإرادة هو المقدّمة بهذه الحيثية لا بحيثيات اُخر، فالسبب الفعلي بما هو كذلك لا تتعلّق به الإرادة بهذه الحيثية بل بحيثية الموصلية، وكون حيثية فعلية السبب ملازمة للمطلوب خارجاً لا يوجب أن تكون مطلوبة بالذات، وكذا الحال في العلّة التامّة وسائر العناوين والحيثيات الملازمة للمطلوب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منه حيث اعترف أنّ الحيثيات التعليلية في الأحكام العقلية كلّها ترجع إلى التقييدية، وأنّ الغايات عناوين للموضوعات</w:t>
      </w:r>
      <w:r>
        <w:rPr>
          <w:rStyle w:val="FootnoteAnchor"/>
          <w:rtl w:val="true"/>
        </w:rPr>
        <w:footnoteReference w:id="508"/>
      </w:r>
      <w:r>
        <w:rPr>
          <w:rFonts w:ascii="Amiri" w:hAnsi="Amiri" w:eastAsia="Amiri" w:cs="Amiri"/>
          <w:color w:val="111111"/>
          <w:sz w:val="28"/>
          <w:sz w:val="28"/>
          <w:szCs w:val="28"/>
          <w:rtl w:val="true"/>
          <w:lang w:bidi="ar-SA"/>
        </w:rPr>
        <w:t>، ومع ذلك ذهب إلى ما ذكر وارتضاه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التامّة إذا كانت مركّبة من شرط ومعدّ وسبب وعدم مانع ممّا لا يكون بينها جامع ذاتي، ولا تكون من قبيل التوليديات لا تتعلّق بها إرادة واحدة، مع أنّ العقل إذا فصّل بينها ورأى أنّ في كلّ</w:t>
      </w:r>
    </w:p>
    <w:p>
      <w:pPr>
        <w:pStyle w:val="BookText"/>
        <w:rPr/>
      </w:pPr>
      <w:r>
        <w:rPr>
          <w:rFonts w:ascii="Amiri" w:hAnsi="Amiri" w:eastAsia="Amiri" w:cs="Amiri"/>
          <w:color w:val="111111"/>
          <w:sz w:val="28"/>
          <w:sz w:val="28"/>
          <w:szCs w:val="28"/>
          <w:rtl w:val="true"/>
          <w:lang w:bidi="ar-SA"/>
        </w:rPr>
        <w:t>منها مناط الوجوب والتوصّل إلى ذي المقدّمة، فلا محالة تتعلّق إرادته به، فلا معنى لتعلّق إرادة واحدة بالمجموع بعد كون المناط في كلّ منها، وشأن العقل تفصيل الاُمور وتحليلها، لا رؤية المجموع وإهمال الحيثيات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توهّم ورود الإشكالات ألجأهم إلى تلك التكلّفات</w:t>
      </w:r>
      <w:r>
        <w:rPr>
          <w:rFonts w:eastAsia="Amiri" w:cs="Amiri" w:ascii="Amiri" w:hAnsi="Amiri"/>
          <w:color w:val="111111"/>
          <w:sz w:val="28"/>
          <w:szCs w:val="28"/>
          <w:rtl w:val="true"/>
          <w:lang w:bidi="ar-SA"/>
        </w:rPr>
        <w:t xml:space="preserve">. </w:t>
      </w:r>
      <w:bookmarkStart w:id="576" w:name="pg15283_146477"/>
    </w:p>
    <w:p>
      <w:pPr>
        <w:pStyle w:val="Heading5"/>
        <w:numPr>
          <w:ilvl w:val="4"/>
          <w:numId w:val="1"/>
        </w:numPr>
        <w:rPr/>
      </w:pPr>
      <w:bookmarkStart w:id="577" w:name="__RefHeading___Toc4563493_2142443653"/>
      <w:bookmarkStart w:id="578" w:name="_Toc212"/>
      <w:bookmarkEnd w:id="576"/>
      <w:bookmarkEnd w:id="577"/>
      <w:r>
        <w:rPr>
          <w:rtl w:val="true"/>
        </w:rPr>
        <w:t>التحقيق وجوب المقدّمة الموصلة</w:t>
      </w:r>
      <w:bookmarkEnd w:id="578"/>
    </w:p>
    <w:p>
      <w:pPr>
        <w:pStyle w:val="BookText"/>
        <w:rPr/>
      </w:pPr>
      <w:r>
        <w:rPr>
          <w:rFonts w:ascii="Amiri" w:hAnsi="Amiri" w:eastAsia="Amiri" w:cs="Amiri"/>
          <w:color w:val="111111"/>
          <w:sz w:val="28"/>
          <w:sz w:val="28"/>
          <w:szCs w:val="28"/>
          <w:rtl w:val="true"/>
          <w:lang w:bidi="ar-SA"/>
        </w:rPr>
        <w:t xml:space="preserve">ثمّ 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مذهبه باُمور، عمدتها هو ما ذكره أخيراً من الوجه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المطلوب بالمقدّمة مجرّد التوصّل بها إلى الواجب وحصوله، فلا جرم يكون التوصّل بها إليه وحصوله معتبراً في مطلوبيتها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ومقصوده بتوضيح منّا يرجع إلى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مطلوبية المقدّمة ليس مجرّد التوقّف، بل ملاكها هو حيثية التوصّل بها إلى ذي المقدّمة، فذات المقدّمة وحيثية توقّف ذي المقدّمة عليها لا تكونان مطلوبتين بالذات، وهذه مقدّمة وجدانية يرى كلّ أحد من نفسه أنّ المطلوبية الغيرية إنّما هي لأجل الوصول إليه، بل لو فرض انفكاك التوقّف عن التوصّل خارجاً كان المطلوب هو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الغايات عناوين الموضوعات في الأحكام العقلية، والجهات التعليلية فيها ترجع إلى التقييدية، وهذه مقدّمة برهانية كما تقدّم بيانها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ونتيجتهما وجوب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يدفع الإشكال الذي أورده المحقّق الخراساني على كلتا المقدّمتين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وجوب المقدّمة الموصلة على فرض وجوب المقدّمة</w:t>
      </w:r>
      <w:r>
        <w:rPr>
          <w:rFonts w:eastAsia="Amiri" w:cs="Amiri" w:ascii="Amiri" w:hAnsi="Amiri"/>
          <w:color w:val="111111"/>
          <w:sz w:val="28"/>
          <w:szCs w:val="28"/>
          <w:rtl w:val="true"/>
          <w:lang w:bidi="ar-SA"/>
        </w:rPr>
        <w:t xml:space="preserve">. </w:t>
      </w:r>
      <w:bookmarkStart w:id="579" w:name="pg15283_146478"/>
    </w:p>
    <w:p>
      <w:pPr>
        <w:pStyle w:val="Heading5"/>
        <w:numPr>
          <w:ilvl w:val="4"/>
          <w:numId w:val="1"/>
        </w:numPr>
        <w:rPr/>
      </w:pPr>
      <w:bookmarkStart w:id="580" w:name="__RefHeading___Toc4563495_2142443653"/>
      <w:bookmarkStart w:id="581" w:name="_Toc213"/>
      <w:bookmarkEnd w:id="579"/>
      <w:bookmarkEnd w:id="580"/>
      <w:r>
        <w:rPr>
          <w:rtl w:val="true"/>
        </w:rPr>
        <w:t>ثمرة القول بالمقدّمة الموصلة</w:t>
      </w:r>
      <w:bookmarkEnd w:id="581"/>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ثمرة القول بالمقدّمة الموصلة تصحيح العبادة التي يتوقّف على تركها فعل الواجب، بناءً على كون ترك الضدّ مقدّمةً لفعل ضدّه؛ فإنّ نقيض الترك الموصل ترك هذا الترك، وهو مقارن لفعل الضدّ، ومجرّد المقارنة لا يوجب سراية الحكم إلى مقارنه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نقيض ترك الصلاة هو فعل الصلاة؛ لأنّ النقيضين هما المتقابلان إيجاباً وسلباً، أو نقيض الشيء رفعه، أو كونه مرفوعاً به، فإذا وجب الترك حرمت الصلاة، فتصير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نقيض الترك الموصل فلا يمكن أن يكون الفعل والترك المجرّد؛ لأنّ نقيض الواحد واحد، وإلاّ لزم إمكان اجتماع النقيضين وارتفاعهما، فلا محالة يكون نقيض الترك الموصل ترك هذا الترك المقيّد، وهو منطبق على الفعل بالعرض؛ لعدم إمكان انطباقه عليه ذاتاً؛ للزوم كون الحيثية الوجودية عين الحيثية العدمية، والانطباق العرضي لا يوجب سراية الحرمة، فتقع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يدفع ما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 الضدّ لازم لما هو من أفراد النقيض؛</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نقيض الترك الخاصّ رفعه، وهو أعمّ من الفعل والترك الآخر المجرّد، وهذا يكفي في إثبات الحرمة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وجه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الترك الخاصّ لا يمكن أن ينطبق عليه ذاتاً، فلا يكون الفعل مصداقاً ذاتياً له، والانطباق العرضي لا يكفي في الحرمة، وسيأتي الإشكال في الانطباق العرضي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وإن لم يكن عين مايناقض الترك المطلق مفهوماً، لكنّه متّحد معه عيناً وخارجاً، فيعانده وينافيه، وأمّا الفعل</w:t>
      </w:r>
    </w:p>
    <w:p>
      <w:pPr>
        <w:pStyle w:val="BookText"/>
        <w:rPr/>
      </w:pPr>
      <w:r>
        <w:rPr>
          <w:rFonts w:ascii="Amiri" w:hAnsi="Amiri" w:eastAsia="Amiri" w:cs="Amiri"/>
          <w:color w:val="111111"/>
          <w:sz w:val="28"/>
          <w:sz w:val="28"/>
          <w:szCs w:val="28"/>
          <w:rtl w:val="true"/>
          <w:lang w:bidi="ar-SA"/>
        </w:rPr>
        <w:t>في الترك الموصل فلا يكون إلاّ مقارناً لما هو النقيض من رفع الترك المجامع له أحياناً بنحو المقارنة، ومثله لا يوجب السراية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عين النقيض في الترك المطلق؛ فإنّ بينهما تقابل الإيجاب والسلب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نقيض الترك رفعه، فلا يمكن أن يتّحد مع الفعل خارجاً اتّحاداً ذاتياً، فلو كفى الاتّحاد الغير الذاتي في سراية الحكم يكون متحقّقاً في الترك الموصل بالنسبة إلى الفعل؛ فإنّه أيضاً منطبق عليه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المقارن المجامع له أحياناً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مصداق الترك الموصل ومنطبق عليه دائماً من غير انفكاك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لا يكون المصداق متحقّقاً، وعدم الانطباق بعدم الموضوع لا يوجب المقارنة؛ ضرورة أنّ العناوين لا تنطبق على مصاديقها الذاتية أيضاً حال 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العلّة التامّة، وإمّا المقدّمة التي</w:t>
      </w:r>
    </w:p>
    <w:p>
      <w:pPr>
        <w:pStyle w:val="BookText"/>
        <w:rPr/>
      </w:pPr>
      <w:r>
        <w:rPr>
          <w:rFonts w:ascii="Amiri" w:hAnsi="Amiri" w:eastAsia="Amiri" w:cs="Amiri"/>
          <w:color w:val="111111"/>
          <w:sz w:val="28"/>
          <w:sz w:val="28"/>
          <w:szCs w:val="28"/>
          <w:rtl w:val="true"/>
          <w:lang w:bidi="ar-SA"/>
        </w:rPr>
        <w:t>لا تنفكّ عن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المقدّمة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ووجود الإرادة، ونقيض المجموع من الأمرين مجموع النقيضين، وإلاّ فليس لهما معاً نقيض؛ لأنّ المجموع ليس موجوداً على حدة حتّى يكون له نقيض، فحينئذٍ يكون نقيض ترك الصلاة فعلها، ونقيض إرادة ذي المقدّمة عدمها، فإذا وجب مجموع العينين بوجوب واحد حرم مجموع النقيضين بحرمة واحدة، ومن الواضح تحقّق مجموع الفعل وعدم الإرادة عند إيجاد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فالمقدّمة هو الترك الخاصّ، وحيث إنّ الخصوصية ثبوتية فالترك الخاصّ لا رفع لشيء ولا مرفوع بشيء، فلا نقيض له بما هو، بل نقيض الترك هو الفعل، ونقيض الخصوصية عدمها، فيكون الفعل محرّماً لوجوب نقيضه، ومن الواضح أنّ الفعل مقترن بنقيض الخصوصية المأخوذة في طرف الترك</w:t>
      </w:r>
      <w:r>
        <w:rPr>
          <w:rStyle w:val="FootnoteAnchor"/>
          <w:rtl w:val="true"/>
        </w:rPr>
        <w:footnoteReference w:id="5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الغضّ عمّا مرّ من الإشكال في كون الواجب هو العلّة التامّة، أو المقدّمة الفعلية الغير المنفكّة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التامّة إذا كانت متعلّقة للإرادة الواحدة،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محالة تكون ملحوظة في مقام الموضوعية بنعت الوحدة، وإلاّ فالمتكثّر بما هو كذلك لا يمكن أن تتعلّق به إرادة واحدة؛ لأنّ تشخّص الإرادة بالمراد وتكثّرها تابع لتكثّره، فالموضوع للحكم إذا كان واحداً يكون نقيضه رفعه، وهو </w:t>
      </w:r>
    </w:p>
    <w:p>
      <w:pPr>
        <w:pStyle w:val="BookText"/>
        <w:rPr/>
      </w:pPr>
      <w:r>
        <w:rPr>
          <w:rFonts w:ascii="Amiri" w:hAnsi="Amiri" w:eastAsia="Amiri" w:cs="Amiri"/>
          <w:color w:val="111111"/>
          <w:sz w:val="28"/>
          <w:sz w:val="28"/>
          <w:szCs w:val="28"/>
          <w:rtl w:val="true"/>
          <w:lang w:bidi="ar-SA"/>
        </w:rPr>
        <w:t>رفع الواحد الاعتباري في المقام، لا فعل الصلاة وعدم الإرادة؛ ضرورة أنّ نقيض كلّ شيء رفعه، أو كونه مرفوعاً به، والصلاة لم تكن رفع هذا الواحد الاعتباري ولا مرفوعة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كونها رفعاً فواضح، وأمّا عدم كونها مرفوعة به فلأ نّه أمر وجودي لا يمكن أن يكون رفعاً، فرفعه عدمه المنطبق على الصلاة عرضياً وعلى الترك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المقدّمة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الترك الغير المنفكّ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مقام الموضوعية للإرادة الواحدة غير متكثّر، وعدم هذا الواحد نقيضه، والمفردات في مقام الموضوعية غير ملحوظة حتّى تلاحظ نقائضها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قطع النظر عن الوحدة الاعتبارية العارضة للموضوع يكون نقيض الترك هو الفعل، ونقيض الخصوصية عدمها، ولم يكن للخاصّ بما هو وجود حتّى يكون له رفع، وكذا المجموع في الفرض الأوّل، فالخلط إنّما هو من أجل إهمال الحيثيات والوحدة الاعتبارية اللاحقة لموضوع الحكم الذي هو محطّ البحث</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يتّضح الإشكال في كلام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 بحثه</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الإضافات تركناه مخافة التطويل</w:t>
      </w:r>
      <w:r>
        <w:rPr>
          <w:rFonts w:eastAsia="Amiri" w:cs="Amiri" w:ascii="Amiri" w:hAnsi="Amiri"/>
          <w:color w:val="111111"/>
          <w:sz w:val="28"/>
          <w:szCs w:val="28"/>
          <w:rtl w:val="true"/>
          <w:lang w:bidi="ar-SA"/>
        </w:rPr>
        <w:t xml:space="preserve">. </w:t>
      </w:r>
      <w:bookmarkStart w:id="582" w:name="pg15283_146482"/>
    </w:p>
    <w:p>
      <w:pPr>
        <w:pStyle w:val="Heading5"/>
        <w:numPr>
          <w:ilvl w:val="4"/>
          <w:numId w:val="1"/>
        </w:numPr>
        <w:rPr/>
      </w:pPr>
      <w:bookmarkStart w:id="583" w:name="__RefHeading___Toc4563497_2142443653"/>
      <w:bookmarkStart w:id="584" w:name="_Toc214"/>
      <w:bookmarkEnd w:id="582"/>
      <w:bookmarkEnd w:id="583"/>
      <w:r>
        <w:rPr>
          <w:rtl w:val="true"/>
        </w:rPr>
        <w:t>الواجب الأصلي والتبعي</w:t>
      </w:r>
      <w:bookmarkEnd w:id="584"/>
    </w:p>
    <w:p>
      <w:pPr>
        <w:pStyle w:val="BookText"/>
        <w:rPr/>
      </w:pPr>
      <w:r>
        <w:rPr>
          <w:rFonts w:ascii="Amiri" w:hAnsi="Amiri" w:eastAsia="Amiri" w:cs="Amiri"/>
          <w:color w:val="111111"/>
          <w:sz w:val="28"/>
          <w:sz w:val="28"/>
          <w:szCs w:val="28"/>
          <w:rtl w:val="true"/>
          <w:lang w:bidi="ar-SA"/>
        </w:rPr>
        <w:t>من تقسيمات الواجب تقسيمه إلى الأصلي والتبعي، والظاهر أنّ هذا التقسيم بحسب مقام الإثبات ولحاظ الخطاب، وهو تقسيم معقول في مقابل سائر التقسيمات، وإن لا يترتّب عليه أثر مرغوب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الخراساني</w:t>
      </w:r>
      <w:r>
        <w:rPr>
          <w:rStyle w:val="FootnoteAnchor"/>
          <w:rtl w:val="true"/>
        </w:rPr>
        <w:footnoteReference w:id="516"/>
      </w:r>
      <w:r>
        <w:rPr>
          <w:rFonts w:ascii="Amiri" w:hAnsi="Amiri" w:eastAsia="Amiri" w:cs="Amiri"/>
          <w:color w:val="111111"/>
          <w:sz w:val="28"/>
          <w:sz w:val="28"/>
          <w:szCs w:val="28"/>
          <w:rtl w:val="true"/>
          <w:lang w:bidi="ar-SA"/>
        </w:rPr>
        <w:t>أرجعه إلى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الشيء إذا كان متعلّقاً للإرادة والطلب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للالتفات إليه بما هو عليه ممّا يوجب طلبه، سواء كان طلبه نفسياً أو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الطلب أصلياً، وإذا كان متعلّقاً لها تبعاً لإرادة</w:t>
      </w:r>
    </w:p>
    <w:p>
      <w:pPr>
        <w:pStyle w:val="BookText"/>
        <w:rPr/>
      </w:pPr>
      <w:r>
        <w:rPr>
          <w:rFonts w:ascii="Amiri" w:hAnsi="Amiri" w:eastAsia="Amiri" w:cs="Amiri"/>
          <w:color w:val="111111"/>
          <w:sz w:val="28"/>
          <w:sz w:val="28"/>
          <w:szCs w:val="28"/>
          <w:rtl w:val="true"/>
          <w:lang w:bidi="ar-SA"/>
        </w:rPr>
        <w:t>غيره لأجل كون إرادته لازمة لإرادته من دون التفات إليه بما يوجب إرادته يكون تبعياً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الاستقلال إن كان بمعنى الالتفات التفصيلي يكون في مقابله الإجمال والارتكاز، لا عدم الاستقلال بمعنى التبعية، فيكون الواجب النفسي أيضاً تارةً مستقلاًّ، وتارةً غير مستقلّ، مع أنّه لا شبهة في أنّ إرادته أصلية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تبعية، وإن كان بمعنى عدم التبعية فلا يكون الواجب الغيري مستقلاًّ، سواء التفت إليه تفصيلاً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تشبّث بعض محقّقي المحشّين للتقسيم في مقام الثبوت في مقابل الواجب النفسي والغيري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مقدّمته جهتين من العلّية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الغائية؛ حيث إنّ المقدّمة إنّما تراد لمراد آخر، دون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الفاعلية، وهي أنّ إرادة ذي المقدّمة علّة لإرادة مقدّمته، ومنها تنشأ وتترشّح عليها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الاُولى مناط الغيرية، والجهة الثانية مناط التبعية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بما فيه من التكلّف، مع أنّ الإرادة المتعلّقة بذي المقدّمة ليست علّة فاعلية لإرادة المقدّمة؛ بحيث تنشأ منها، وإلاّ لصارت متحقّقة من غير لزوم مقدّمات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التصوّر، والتصديق بالفائدة، وسائر المبادئ، ولا شبهة في أنّ الإرادة لا تتعلّق بها إلاّ مع هذه المبادئ كما يحتاج إليها ذو المقدّمة بلا افتراق</w:t>
      </w:r>
    </w:p>
    <w:p>
      <w:pPr>
        <w:pStyle w:val="BookText"/>
        <w:rPr/>
      </w:pPr>
      <w:r>
        <w:rPr>
          <w:rFonts w:ascii="Amiri" w:hAnsi="Amiri" w:eastAsia="Amiri" w:cs="Amiri"/>
          <w:color w:val="111111"/>
          <w:sz w:val="28"/>
          <w:sz w:val="28"/>
          <w:szCs w:val="28"/>
          <w:rtl w:val="true"/>
          <w:lang w:bidi="ar-SA"/>
        </w:rPr>
        <w:t>بينهما من هذه الجهة، وسيأتي مزيد بيان لهذا، فالجهة الثانية ممّا لا أصل لها حتّى يكون التقسيم بلحاظها، بل كلامه لا يخلو من تهافت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أصل لتنقيح الأصلية والتبعية، سواء كانتا وجوديتين أو عدميتين أو مختلفتين، وسواء قلنا بأنّ المناط في التقسيم هو ما ذكره المحقّق الخراساني أو المحقّق المحشّي أو غيره؛ لأنّ عدم تفصيلية القصد والإرادة لإحراز التبعية وعدم ترشّح الإرادة من إرادة اُخرى لإحراز الأصلية، إنّما هي من قبيل الموجبات المعدولة أو الموجبة السالبة المحمول، وفي مثلها لا يجري الأصل كما في أصالة عدم القرشية، والتفصيل موكول إلى محلّه</w:t>
      </w:r>
      <w:r>
        <w:rPr>
          <w:rFonts w:eastAsia="Amiri" w:cs="Amiri" w:ascii="Amiri" w:hAnsi="Amiri"/>
          <w:color w:val="111111"/>
          <w:sz w:val="28"/>
          <w:szCs w:val="28"/>
          <w:rtl w:val="true"/>
          <w:lang w:bidi="ar-SA"/>
        </w:rPr>
        <w:t xml:space="preserve">. </w:t>
      </w:r>
      <w:bookmarkStart w:id="585" w:name="pg15283_146484"/>
    </w:p>
    <w:p>
      <w:pPr>
        <w:pStyle w:val="Heading5"/>
        <w:numPr>
          <w:ilvl w:val="4"/>
          <w:numId w:val="1"/>
        </w:numPr>
        <w:rPr/>
      </w:pPr>
      <w:bookmarkStart w:id="586" w:name="__RefHeading___Toc4563499_2142443653"/>
      <w:bookmarkStart w:id="587" w:name="_Toc215"/>
      <w:bookmarkEnd w:id="585"/>
      <w:bookmarkEnd w:id="586"/>
      <w:r>
        <w:rPr>
          <w:rtl w:val="true"/>
        </w:rPr>
        <w:t xml:space="preserve">تتميم </w:t>
      </w:r>
      <w:r>
        <w:rPr>
          <w:rtl w:val="true"/>
        </w:rPr>
        <w:t xml:space="preserve">: </w:t>
      </w:r>
      <w:r>
        <w:rPr>
          <w:rtl w:val="true"/>
        </w:rPr>
        <w:t>في ثمرة بحث مقدّمة الواجب</w:t>
      </w:r>
      <w:bookmarkEnd w:id="587"/>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ثمرة في هذه المسألة؛ لأنّ الوجوب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سواء؛ لأ نّه وجوب غير قابل للباعثية، ولا يترتّب عليه ثواب وعقاب، ولزوم الإتيان بالمقدّمة عقلي، كانت واجبة أو لم تكن، والثمرات التي ذكروها</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ليست ثمرة في المسألة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محقّقي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بأنّ وجوب المقدّمة ليس بنفسه ثمرة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يمكن تحقّق الثمرة بتطبيق كبريات اُخر عليها، فإنّه على فرض الوجوب يمكن تحقّق التقرّب بقصد أمرها، كما يمكن التقرّب بقصد التوصّل بها إلى ذي المقدّمة، فيتّسع بذلك نطاق التقرّب بها، وأيضاً إذا أمر شخص بما له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كبناء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بالمقدّمات المأمور بها ولم يأت بذي المقدّمة، فعلى فرض تعلّق الأمر بها يكون ضامناً للمأمور اُجرة المقدّمات المأمور بها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صالح للباعثية والإطاعة؛ لأنّ المكلّف إن كان مريداً لإتيان ذي المقدّمة، ويكون أمره باعثاً له، فلا محالة </w:t>
      </w:r>
      <w:bookmarkStart w:id="588" w:name="pg15283_146485"/>
    </w:p>
    <w:p>
      <w:pPr>
        <w:pStyle w:val="BookText"/>
        <w:rPr/>
      </w:pPr>
      <w:bookmarkEnd w:id="588"/>
      <w:r>
        <w:rPr>
          <w:rFonts w:ascii="Amiri" w:hAnsi="Amiri" w:eastAsia="Amiri" w:cs="Amiri"/>
          <w:color w:val="111111"/>
          <w:sz w:val="28"/>
          <w:sz w:val="28"/>
          <w:szCs w:val="28"/>
          <w:rtl w:val="true"/>
          <w:lang w:bidi="ar-SA"/>
        </w:rPr>
        <w:t>تتعلّق إرادته بمقدّماته، فيكون البعث التبعي غير صالح للباعثية، ومع عدم باعثية أمر ذي المقدّمة لا يمكن أن يكون أمر المقدّمة الداعي إلى التوصّل به باعثاً، ومعه لا يمكن التقرّب به، مضافاً إلى أنّه على فرض باعثيته غير قربي، كما مرّ</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 يظهر ما في الثمرة الثانية؛ لأنّ الضمان الآتي من قِبل الأمر فرع إطاعته، وإلاّ فلو أتى بمتعلّق الأمر بلا باعثية له لم يستحقّ شيئاً كما لو كان جاهلاً بأمره، فمع عدم صلوح الأمر المقدّمي للباعثية لا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مبنى المستدلّ وجوب المقدّمة الملازمة لوجود ذي المقدّمة، وهو ينافي ما ذكره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المفروض بعد تسليم وجوب المقدّمة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لهذا وجه صحّة كان ثمرة بين المقدّمة المطلقة والموصلة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كون ما ذكر ثمرةً للمسألة الاُصولية ممنوعاً</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4563501_2142443653"/>
      <w:bookmarkStart w:id="590" w:name="_Toc216"/>
      <w:bookmarkEnd w:id="589"/>
      <w:r>
        <w:rPr>
          <w:rtl w:val="true"/>
        </w:rPr>
        <w:t>حول تأسيس الأصل في مقدّمة الواجب</w:t>
      </w:r>
      <w:bookmarkEnd w:id="59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أصل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الملازمة؛ فلأ نّها وإن كانت بين إرادة ذي المقدّمة وبين إرادة ما يرى مقدّمة لا بنحو لازم الماهية أو لازم الوجود؛ بمعنى المعلولية والعلّية، لكن ليس لها حالة سابقة معلومة، بل لو كانت معلومة بنحو الليس الناقص لما جرى الأصل؛ لعدم ترتّب حكم عليها بلا توسّط </w:t>
      </w:r>
      <w:bookmarkStart w:id="591" w:name="pg15283_146486"/>
    </w:p>
    <w:p>
      <w:pPr>
        <w:pStyle w:val="BookText"/>
        <w:rPr/>
      </w:pPr>
      <w:bookmarkEnd w:id="591"/>
      <w:r>
        <w:rPr>
          <w:rFonts w:ascii="Amiri" w:hAnsi="Amiri" w:eastAsia="Amiri" w:cs="Amiri"/>
          <w:color w:val="111111"/>
          <w:sz w:val="28"/>
          <w:sz w:val="28"/>
          <w:szCs w:val="28"/>
          <w:rtl w:val="true"/>
          <w:lang w:bidi="ar-SA"/>
        </w:rPr>
        <w:t>أمر عقلي؛ لأنّ الملازمة لم تكن موضوعة لحكم شرعي، بل العقل يحكم بعدم الوجوب على فرض عدم الملازمة، وبتحقّقه على فرض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الحكمي؛ فلأنّ جريانه فرع الأثر الشرعي، وقد عرفت أنّه لا أثر لهذا الوجوب ولا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جريانه مستلزم للتفكيك بين المتلازمين؛ لكونه من قبيل لوازم الماهية أو الوجود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في دعوى كونه من قبيلهما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التفكيك الواقعي، والظاهري منه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يلزم احتمال التفكيك، وهو لا يمنع جريان الأصل؛ لعدم جواز رفع اليد عن الأدلّة الشرعية بمجرّد احتمال الامتناع</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4563503_2142443653"/>
      <w:bookmarkStart w:id="593" w:name="_Toc217"/>
      <w:bookmarkEnd w:id="592"/>
      <w:r>
        <w:rPr>
          <w:rtl w:val="true"/>
        </w:rPr>
        <w:t>التحقيق عدم وجوب المقدّمة</w:t>
      </w:r>
      <w:bookmarkEnd w:id="593"/>
    </w:p>
    <w:p>
      <w:pPr>
        <w:pStyle w:val="BookText"/>
        <w:rPr/>
      </w:pPr>
      <w:r>
        <w:rPr>
          <w:rFonts w:ascii="Amiri" w:hAnsi="Amiri" w:eastAsia="Amiri" w:cs="Amiri"/>
          <w:color w:val="111111"/>
          <w:sz w:val="28"/>
          <w:sz w:val="28"/>
          <w:szCs w:val="28"/>
          <w:rtl w:val="true"/>
          <w:lang w:bidi="ar-SA"/>
        </w:rPr>
        <w:t>إذا عرفت ما تقدّم 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المقدّمة وعدم الملازمة بين الإرادتين، ولا بين البعثين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فأوضح من أن يخفى؛ لأنّ الهيئات الدالّة على البعث لا يمكن أن تبعث إلاّ إلى متعلّقاتها، وهي الواجبات النفسية، وكون البعث إلى المقدّمات من قبيل لوازم الماهيات ضروري الفساد، وكونه علّة للبعث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w:t>
      </w:r>
    </w:p>
    <w:p>
      <w:pPr>
        <w:pStyle w:val="BookText"/>
        <w:rPr/>
      </w:pPr>
      <w:r>
        <w:rPr>
          <w:rFonts w:ascii="Amiri" w:hAnsi="Amiri" w:eastAsia="Amiri" w:cs="Amiri"/>
          <w:color w:val="111111"/>
          <w:sz w:val="28"/>
          <w:sz w:val="28"/>
          <w:szCs w:val="28"/>
          <w:rtl w:val="true"/>
          <w:lang w:bidi="ar-SA"/>
        </w:rPr>
        <w:t xml:space="preserve">نفس البعث؛ أي الهيئة بما لها من المعنى، علّةً فاعلية لبعث المولى بالنسبة إلى المقدّمات؛ بحيث يكون مؤثّراً قهراً في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بطلاناً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لابدّية البعث إلى المقدّمات بعد العلم بمقدّميتها</w:t>
      </w:r>
      <w:r>
        <w:rPr>
          <w:rStyle w:val="FootnoteAnchor"/>
          <w:rtl w:val="true"/>
        </w:rPr>
        <w:footnoteReference w:id="522"/>
      </w:r>
      <w:r>
        <w:rPr>
          <w:rFonts w:ascii="Amiri" w:hAnsi="Amiri" w:eastAsia="Amiri" w:cs="Amiri"/>
          <w:color w:val="111111"/>
          <w:sz w:val="28"/>
          <w:sz w:val="28"/>
          <w:szCs w:val="28"/>
          <w:rtl w:val="true"/>
          <w:lang w:bidi="ar-SA"/>
        </w:rPr>
        <w:t>كما ترى؛ ضرورة عدم البعث إلى المقدّمات من الموالي غالباً، مع أنّ البعث إلى المقدّمة لغو، وما يرى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إرشاد إلى الشرطية كالوضوء والغسل، وإمّا بعث إلى ذي المقدّمة بنحو الكناية تأكيداً، أو إرشاد إلى حكم العقل كالأمر بإطاعة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بين الإرادتين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إرادة المقدّمة من قبيل لازم الماهية ضروري</w:t>
      </w:r>
    </w:p>
    <w:p>
      <w:pPr>
        <w:pStyle w:val="BookText"/>
        <w:rPr/>
      </w:pPr>
      <w:r>
        <w:rPr>
          <w:rFonts w:ascii="Amiri" w:hAnsi="Amiri" w:eastAsia="Amiri" w:cs="Amiri"/>
          <w:color w:val="111111"/>
          <w:sz w:val="28"/>
          <w:sz w:val="28"/>
          <w:szCs w:val="28"/>
          <w:rtl w:val="true"/>
          <w:lang w:bidi="ar-SA"/>
        </w:rPr>
        <w:t>الفساد؛ لأنّ لوازمها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معلولة لها؛ بمعنى كون إرادة ذي المقدّمة علّة فاعلية لإرادتها من غير احتياج إلى مبادٍ اُخر، كالتصوّر والتصديق بالفائدة وغيرهما، فهو أيضاً مثله في وضوح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وكفاية صرف تصوّر المقدّمية أو هو مع التصديق بكونها مقدّمة من غير التصديق بالفائدة، خلاف الوجدان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فتعلّق الإرادة بها كتعلّقها بسائر المرادات من الاحتياج إلى المبادئ والغايات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تعلّق الإرادة المولوية بها هو التوصّل إلى ذي المقدّمة، وبعد إرادة ذي المقدّمة والبعث نحوه، لمّا رأى المولى أنّ إرادة المقدّمات ممّا لا فائدة لها، ولا يمكن أن تكون تلك الإرادة مؤثّرة في العبد ولو بعد إظهارها وبعد البعث نحو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تعلّقها بها </w:t>
      </w:r>
    </w:p>
    <w:p>
      <w:pPr>
        <w:pStyle w:val="BookText"/>
        <w:rPr/>
      </w:pPr>
      <w:r>
        <w:rPr>
          <w:rFonts w:ascii="Amiri" w:hAnsi="Amiri" w:eastAsia="Amiri" w:cs="Amiri"/>
          <w:color w:val="111111"/>
          <w:sz w:val="28"/>
          <w:sz w:val="28"/>
          <w:szCs w:val="28"/>
          <w:rtl w:val="true"/>
          <w:lang w:bidi="ar-SA"/>
        </w:rPr>
        <w:t>لغواً بلا غاية، وفي مثله لا يعقل 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التعلّق قهري لا يحتاج إلى الغاية</w:t>
      </w:r>
      <w:r>
        <w:rPr>
          <w:rStyle w:val="FootnoteAnchor"/>
          <w:rtl w:val="true"/>
        </w:rPr>
        <w:footnoteReference w:id="523"/>
      </w:r>
      <w:r>
        <w:rPr>
          <w:rFonts w:ascii="Amiri" w:hAnsi="Amiri" w:eastAsia="Amiri" w:cs="Amiri"/>
          <w:color w:val="111111"/>
          <w:sz w:val="28"/>
          <w:sz w:val="28"/>
          <w:szCs w:val="28"/>
          <w:rtl w:val="true"/>
          <w:lang w:bidi="ar-SA"/>
        </w:rPr>
        <w:t>، في غاية السقوط،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الإرادة التشريعية تابعة للتكوينية إمكاناً وامتناعاً، ووجوداً وعدماً، فكلّ ما يكون مورداً للإرادة التكوينية عند تحقّقها من نفس المريد، يكون مورداً للتشريعية عند صدورها من غير المريد</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برهان عليه، بل البرهان على خلافه؛ لأنّ المريد لإيجاد الفعل لمّا رأى توقّفه على المقدّمة، فلا محالة يكون جميع مبادئ إرادة المقدّمة موجودة في نفسه من التصوّر والتصديق بالفائدة، والاشتياق التبعي في بعض الأحيان، والغاية هي التوصّل إلى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الإرادة التشريعية، فليست إلاّ إرادة البعث إلى الشيء، وأمّا إرادة نفس عمل الغير فغير معقولة؛ لأنّ عمل كلّ أحد متعلّق إرادة نفسه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اشتياق صدور عمل من الغير، لكن قد عرفت مراراً أنّ الاشتياق غير الإرادة التي هي تصميم العزم على الإيجاد، وهذا ممّا لا يتصوّر تعلّقه بفعل الغير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فإرادة البعث لا بدّ لها من مبادٍ موجودة في نفس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ذي المقدّمة موجودة؛ لأنّ غاية البعث هو التوصّل إلى المبعوث إليه ولو إمكاناً، وهو 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إرادة البعث إلى المقدّمات فممّا لا فائدة لها ولا غاية؛ لأنّ البعث إلى ذي المقدّمة إن كان مؤثّراً في نفس العبد، فلا يمكن انبعاث فوق الانبعاث، وإلاّ فلا يمكن أن يكون البعث الغيري موجباً لانبعاثه مع كونه لنفس التوصّل إلى ذي المقدّمة، ومع عدم ترتّب أثر عليه من الثواب والعقاب، فحينئذٍ تكون إرادة البعث من دون تمامية المبادئ من قبيل وجود المعلول بلا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تعلّقها بها إرشاداً، أو لتأكيد ذي المقدّمة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الضرورة قاضية بعدم إرادة البعث نحو المقدّمات؛ لعدم تحقّق البعث في غالب الموارد، فيلزم تفكيك الإرادة عن معلولها، فإرادة البعث غير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والتأمّل الصادق فيما ذكرنا يوجب التصديق به، والمظنون أنّ كلّ ما صدر عن الأعاظم</w:t>
      </w:r>
      <w:r>
        <w:rPr>
          <w:rStyle w:val="FootnoteAnchor"/>
          <w:rtl w:val="true"/>
        </w:rPr>
        <w:footnoteReference w:id="525"/>
      </w:r>
      <w:r>
        <w:rPr>
          <w:rFonts w:ascii="Amiri" w:hAnsi="Amiri" w:eastAsia="Amiri" w:cs="Amiri"/>
          <w:color w:val="111111"/>
          <w:sz w:val="28"/>
          <w:sz w:val="28"/>
          <w:szCs w:val="28"/>
          <w:rtl w:val="true"/>
          <w:lang w:bidi="ar-SA"/>
        </w:rPr>
        <w:t>من دعوى الوجدان والبرهان نشأ من قياس الإرادة التشريعية بالإرادة الفاعلية، كما تقدّم التصريح به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w:t>
      </w:r>
      <w:r>
        <w:rPr>
          <w:rStyle w:val="FootnoteAnchor"/>
          <w:rtl w:val="true"/>
        </w:rPr>
        <w:footnoteReference w:id="526"/>
      </w:r>
      <w:r>
        <w:rPr>
          <w:rFonts w:ascii="Amiri" w:hAnsi="Amiri" w:eastAsia="Amiri" w:cs="Amiri"/>
          <w:color w:val="111111"/>
          <w:sz w:val="28"/>
          <w:sz w:val="28"/>
          <w:szCs w:val="28"/>
          <w:rtl w:val="true"/>
          <w:lang w:bidi="ar-SA"/>
        </w:rPr>
        <w:t>عن أبي الحسن</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البصري</w:t>
      </w:r>
      <w:r>
        <w:rPr>
          <w:rStyle w:val="FootnoteAnchor"/>
          <w:rtl w:val="true"/>
        </w:rPr>
        <w:footnoteReference w:id="52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يستأهل الجواب، مضافاً إلى أنّه منقوض بالمتلازمين؛ لأنّ برهانه آتٍ فيهما، مع أنّ تعلّق الإرادة بملازمِ ما فيه المصلحة مع خلوّه عنها ممّا لا يعقل؛ للزوم تعلّقها بلا ملاك، وهو ممتنع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التفصيل بين السبب وغيره</w:t>
      </w:r>
      <w:r>
        <w:rPr>
          <w:rStyle w:val="FootnoteAnchor"/>
          <w:rtl w:val="true"/>
        </w:rPr>
        <w:footnoteReference w:id="529"/>
      </w:r>
      <w:r>
        <w:rPr>
          <w:rFonts w:ascii="Amiri" w:hAnsi="Amiri" w:eastAsia="Amiri" w:cs="Amiri"/>
          <w:color w:val="111111"/>
          <w:sz w:val="28"/>
          <w:sz w:val="28"/>
          <w:szCs w:val="28"/>
          <w:rtl w:val="true"/>
          <w:lang w:bidi="ar-SA"/>
        </w:rPr>
        <w:t>فليس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بين الشرط الشرعي وغيره فقد استدلّ على الوجوب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لولا وجوبه شرعاً لما كان شرطاً؛ حيث إنّه ليس ممّا لا بدّ منه عقلاً أو عادةً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ممّا ذكر توقّف الشرطية ثبوتاً على الأمر الغيري، فهو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أنّه لولا وجوبه لم يكن في مقام الإثبات دليل عليها، فالعلم بالشرطية يتوقّف على الوجوب الغيري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التبعي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محلّ البحث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كاشفاً عن الشرطية؛ لأنّ الملازمة الواقعية بين الإرادتين بنحو الكبرى الكلّية لا يمكن أن تكون كاشفة عن الصغرى، وكذا بين البعث إلى ذي المقدّمة والبعث التبعي إلى مقدّمته، فلا بدّ للكشف عن الشرطية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بعث نفسي إلى ذي المقدّمة متقيّداً بالشرط،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متطهّراً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بعث إرشادي إلى المقدّمة،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الصَّلَوةِ فَاغْسِلُوا وُجُوهَكُم</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إلى آخره، وبعد هذا الكشف تكون المقدّمة عقلية لا شرعية</w:t>
      </w:r>
      <w:r>
        <w:rPr>
          <w:rFonts w:eastAsia="Amiri" w:cs="Amiri" w:ascii="Amiri" w:hAnsi="Amiri"/>
          <w:color w:val="111111"/>
          <w:sz w:val="28"/>
          <w:szCs w:val="28"/>
          <w:rtl w:val="true"/>
          <w:lang w:bidi="ar-SA"/>
        </w:rPr>
        <w:t xml:space="preserve">. </w:t>
      </w:r>
      <w:bookmarkStart w:id="594" w:name="pg15283_146491"/>
    </w:p>
    <w:p>
      <w:pPr>
        <w:pStyle w:val="Heading5"/>
        <w:numPr>
          <w:ilvl w:val="4"/>
          <w:numId w:val="1"/>
        </w:numPr>
        <w:rPr/>
      </w:pPr>
      <w:bookmarkStart w:id="595" w:name="__RefHeading___Toc4563505_2142443653"/>
      <w:bookmarkStart w:id="596" w:name="_Toc218"/>
      <w:bookmarkEnd w:id="594"/>
      <w:bookmarkEnd w:id="595"/>
      <w:r>
        <w:rPr>
          <w:rtl w:val="true"/>
        </w:rPr>
        <w:t xml:space="preserve">تتمّة </w:t>
      </w:r>
      <w:r>
        <w:rPr>
          <w:rtl w:val="true"/>
        </w:rPr>
        <w:t xml:space="preserve">: </w:t>
      </w:r>
      <w:r>
        <w:rPr>
          <w:rtl w:val="true"/>
        </w:rPr>
        <w:t>في مقدّمة الحرام</w:t>
      </w:r>
      <w:bookmarkEnd w:id="596"/>
    </w:p>
    <w:p>
      <w:pPr>
        <w:pStyle w:val="BookText"/>
        <w:rPr/>
      </w:pPr>
      <w:r>
        <w:rPr>
          <w:rFonts w:ascii="Amiri" w:hAnsi="Amiri" w:eastAsia="Amiri" w:cs="Amiri"/>
          <w:color w:val="111111"/>
          <w:sz w:val="28"/>
          <w:sz w:val="28"/>
          <w:szCs w:val="28"/>
          <w:rtl w:val="true"/>
          <w:lang w:bidi="ar-SA"/>
        </w:rPr>
        <w:t>وممّا ذكرنا من البرهان على عدم وجوب مقدّمة الواجب يظهر حال مقدّمة الحرام، وأنّها ليست بحرام، كانت من التوليديات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 المحقّق الخراساني بينهما، فاختار الحرمة في التوليديات؛ لعدم توسّط الاختيار بينها وبين الفعل، دون غيرها لتوسّطه، فيكون المكلّف متمكّناً من ترك الحرام بعد حصوله، كما كان متمكّناً قبله، فلا ملاك لتعلّق الحرمة بها، وأمّا الاختيار فلا يمكن أن يتعلّق به التكليف؛ للزوم التسلسل</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لمّا كانت فاعلة بالآلة في العالم الطبيعي، لا يمكن أن تكون إرادتها بالنسبة إلى الأفعال الخارجية المادّية جزءاً أخيراً للعلّة؛ بحيث لا يتوسّط بينها وبين الفعل الخارجي شيء حتّى من آلاتها، وتكون النفس خلاّقة بالإرادة، بل هي مؤثّرة في الآلات والعضلات بالقبض والبسط، حتّى تحصل الحركات العضوية، وترتبط بواسطتها بالخارج، وتتحقّق الأفعال الخارجية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المولى بشرب الماء، فالشرب عبارة عن بلع الماء وإدخاله في الباطن بتوسّط الحلقوم، ولم يحصل هذا العنوان بمجرّد الإرادة، بل تتوسّط بينه وبينها حركات العضلات المربوطة بهذا العمل، وهي اُمور اختيارية للنفس وتوليدية للشرب، فالمتوسّط بينها وبين الشرب والضرب والمشي </w:t>
      </w:r>
    </w:p>
    <w:p>
      <w:pPr>
        <w:pStyle w:val="BookText"/>
        <w:rPr/>
      </w:pPr>
      <w:r>
        <w:rPr>
          <w:rFonts w:ascii="Amiri" w:hAnsi="Amiri" w:eastAsia="Amiri" w:cs="Amiri"/>
          <w:color w:val="111111"/>
          <w:sz w:val="28"/>
          <w:sz w:val="28"/>
          <w:szCs w:val="28"/>
          <w:rtl w:val="true"/>
          <w:lang w:bidi="ar-SA"/>
        </w:rPr>
        <w:t>والقيام وهكذا، تحريكات اختيارية وأفعال إرادية قابلة لتعلّق التكليف بها، فالمشي مثلاً لا يتحقّق بنفس الإرادة؛ بحيث تكون هي مبدأً خلاّقاً له بلا توسّط الآلات وحركاتها وتحريك النفس إيّاها بتوسّط القوى المنبثّة التي تحت 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يتوسّط بين الإرادة والمظاهر الأوّلية للنفس في عالم الطبيعة متوسّط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ذكره رحمه الله علیه  وإن يصحّ بنظر العرف، لكن المسألة لمّا كانت عقلية لا بدّ فيها من الدقّة وتحصيل المقدّمات والمتوسّطات بين الإرادة والأفعال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الذي ذكره غير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النظر فيما أفاده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فصّل بين ما هو محرّم بعنوانه من غير تقييده بالاختيار فتحرم مقدّمته، وبين ما هو مبغوض إذا صدر عن إرادة واختيار فلا تحرم المقدّمات الخارجية؛ لأنّ الإرادة على الثاني تكون من أجزاء العلّة، فلا تتّصف الأجزاء الخارجية بالحرمة؛ لعدم صحّة استناد الترك إلاّ إلى عدم الإرادة؛ لأ نّه أسبق رتبةً من سائر المقدّمات الخارجية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عرفت من أنّ إرادة الفعل ليست جزءاً أخيراً للعلّة، بل الجزء الأخير فعل اختياري للنفس، وهو بمنزلة الفعل التوليدي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حرم الشرب العمدي الإرادي يتوقّف تحقّقه على الشرب والإرادة </w:t>
      </w:r>
    </w:p>
    <w:p>
      <w:pPr>
        <w:pStyle w:val="BookText"/>
        <w:rPr/>
      </w:pPr>
      <w:r>
        <w:rPr>
          <w:rFonts w:ascii="Amiri" w:hAnsi="Amiri" w:eastAsia="Amiri" w:cs="Amiri"/>
          <w:color w:val="111111"/>
          <w:sz w:val="28"/>
          <w:sz w:val="28"/>
          <w:szCs w:val="28"/>
          <w:rtl w:val="true"/>
          <w:lang w:bidi="ar-SA"/>
        </w:rPr>
        <w:t>المتعلّقة به، فإذا أراد الشرب يتحقّق جزء من الموضوع، وجزؤه الآخر يتوقّف على أفعال اختيارية، منها تحريك عضلات الحلقوم وقبضها حتّى يتحقّق الازدراد، والجزء الأخير لتحقّق الموضوع هو هذا الفعل الاختياري، فتتعيّن الحرمة فيه بعد تحقّق سائر المقدّمات المتقدّمة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قضيّة استناد الترك إلى عدم إرادة الفعل، فصحيحة في الأفعال الاختيارية، لكن الكلام في مقدّمات وجود المبغوض، وأنّ الإرادة التشريعية إذا تعلّقت بالزجر عنه فهل تتعلّق إرادة بالزجر عن المقدّمات الخارجية أم لا؟ ومع كون بعض المقدّمات الخارجية متوسّطاً بين إرادة الفعل وتحقّقه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الأفعال الاختيارية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على الملازمة يصير مبغوضاً بعد تحقّق سائر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الملازمة هل يحرم جميع المقدّمات، كما تجب جميع مقدّمات الواجب، أو يحرم الجزء الأخير إذا كانت أجزاء العلّة مترتّبة، وأحد الأجزاء إذا كانت عرضية؟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لمساعدة الوجدان عليه، ولأنّ الزجر عن الفعل مستلزم للزجر عمّا يخرج الفعل من العدم إلى الوجود، لا عن كلّ ما هو دخيل في تحقّقه؛ لأنّ وجود سائر المقدّمات وعدمها سواء في بقاء المبغوض على عدمه، والمبغوض هو انتقاض العدم بالوجود، وما هو سبب لذلك هو الجزء الأخير في المترتّبات؛ بمعنى أنّ وجود سائر الأجزاء مع عدم هذا الجزء لا يوجب انتقاض العدم وتحقّق المبغوض، فلا ملاك لمبغوضيتها، وفي غير المترتّبات </w:t>
      </w:r>
    </w:p>
    <w:p>
      <w:pPr>
        <w:pStyle w:val="BookText"/>
        <w:rPr/>
      </w:pPr>
      <w:r>
        <w:rPr>
          <w:rFonts w:ascii="Amiri" w:hAnsi="Amiri" w:eastAsia="Amiri" w:cs="Amiri"/>
          <w:color w:val="111111"/>
          <w:sz w:val="28"/>
          <w:sz w:val="28"/>
          <w:szCs w:val="28"/>
          <w:rtl w:val="true"/>
          <w:lang w:bidi="ar-SA"/>
        </w:rPr>
        <w:t>يكون المجموع كذلك، وعدمه بعدم جزء منه، وقياس مقدّمات الحرام بالواجب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تقريرات بعض محقّقي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مقوّم الحرمة هو مبغوضية الوجود، كما أنّ مقوّم الوجوب محبوبيته، ومقتضاه سراية البغض إلى علّة الفعل المبغوض، فيكون كلّ جزء من أجزاء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التوأم مع وجود سائر الأجزاء بنحو القضيّة الحينية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مبغوضاً بالبغض التبعي، وحراماً بالحرمة الغيرية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المبغوضية لا يمكن أن تكون مقوّمة للحرمة، ولا المحبوبية للوجوب؛ لأ نّهما في الرتبة السابقة على الإرادة المتقدّمة على البعث والزجر المنتزع منهما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مبغوضية الفعل لا يمكن أن تكون منشأً لمبغوضية جميع المقدّمات؛ لعدم المناط فيها على نحو العامّ الاستغراقي؛ لأنّ البغض لشيء يسري إلى ما هو محقّق وجوده وناقض عدمه، وغير الجزء الأخير من العلّة أو مجموع الأجزاء في المركّب الغير المترتّب، لا ينقض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التوأم مع سائر الأجزاء مبغوض، من قبيل ضمّ ما ليس بالدخيل إلى ما هو الدخيل؛ فإنّ المجموع بما هو مجموع وإن كان مبغوضاً؛ لأ نّه العلّة التامّة لتحقّق الحرام، لكن كلّ واحد ليس كذلك بنحو القضيّة الحينية؛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الملاك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أنّه قاس الإرادة التشريعية بالتكوينية في مقدّمات الواجب</w:t>
      </w:r>
      <w:r>
        <w:rPr>
          <w:rStyle w:val="FootnoteAnchor"/>
          <w:rtl w:val="true"/>
        </w:rPr>
        <w:footnoteReference w:id="5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ومقتضى قياسه عدم الحرمة هاهنا؛ ضرورة أنّ من أراد ترك شيء لا تتعلّق إرادته بترك كلّ واحد من مقدّماته، بل تتعلّق بترك ما هو مخرج مبغوضه إلى الوجود، وهذا واضح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الجزء الأوّل من الكتاب حسب تجزئتنا ويليه إن شاء الله تعالى الجزء الثاني منه بحول الله وقوّته وصلّى الله على محمّدٍ وآله الطاهرين</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7" w:name="pg15283_146497"/>
      <w:bookmarkStart w:id="598" w:name="pg15283_146497"/>
      <w:bookmarkEnd w:id="598"/>
    </w:p>
    <w:p>
      <w:pPr>
        <w:pStyle w:val="Heading2"/>
        <w:numPr>
          <w:ilvl w:val="1"/>
          <w:numId w:val="1"/>
        </w:numPr>
        <w:rPr/>
      </w:pPr>
      <w:bookmarkStart w:id="599" w:name="pg15283_146497"/>
      <w:bookmarkStart w:id="600" w:name="__RefHeading___Toc4563507_2142443653"/>
      <w:bookmarkStart w:id="601" w:name="_Toc219"/>
      <w:bookmarkEnd w:id="599"/>
      <w:bookmarkEnd w:id="600"/>
      <w:r>
        <w:rPr>
          <w:rtl w:val="true"/>
        </w:rPr>
        <w:t>الفهارس العامّة</w:t>
      </w:r>
      <w:bookmarkEnd w:id="601"/>
    </w:p>
    <w:p>
      <w:pPr>
        <w:pStyle w:val="Heading3"/>
        <w:numPr>
          <w:ilvl w:val="2"/>
          <w:numId w:val="1"/>
        </w:numPr>
        <w:rPr/>
      </w:pPr>
      <w:bookmarkStart w:id="602" w:name="__RefHeading___Toc4563509_2142443653"/>
      <w:bookmarkStart w:id="603" w:name="_Toc220"/>
      <w:bookmarkEnd w:id="602"/>
      <w:r>
        <w:rPr>
          <w:rtl w:val="true"/>
        </w:rPr>
        <w:t>اشارة</w:t>
      </w:r>
      <w:bookmarkEnd w:id="6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4" w:name="pg15283_146499"/>
      <w:bookmarkStart w:id="605" w:name="pg15283_146499"/>
      <w:bookmarkEnd w:id="605"/>
    </w:p>
    <w:p>
      <w:pPr>
        <w:pStyle w:val="Heading3"/>
        <w:numPr>
          <w:ilvl w:val="2"/>
          <w:numId w:val="1"/>
        </w:numPr>
        <w:rPr/>
      </w:pPr>
      <w:bookmarkStart w:id="606" w:name="pg15283_146499"/>
      <w:bookmarkStart w:id="607" w:name="__RefHeading___Toc4563511_2142443653"/>
      <w:bookmarkStart w:id="608" w:name="_Toc221"/>
      <w:bookmarkEnd w:id="606"/>
      <w:bookmarkEnd w:id="607"/>
      <w:r>
        <w:rPr/>
        <w:t>1</w:t>
      </w:r>
      <w:r>
        <w:rPr>
          <w:rtl w:val="true"/>
        </w:rPr>
        <w:t xml:space="preserve"> - </w:t>
      </w:r>
      <w:r>
        <w:rPr>
          <w:rtl w:val="true"/>
        </w:rPr>
        <w:t>فهرس الآيات الكريمة</w:t>
      </w:r>
      <w:bookmarkEnd w:id="608"/>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إِلَى مَغْفِرَةٍ مِنْ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اُمَّهَاتُكُمْ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اُمَّهَاتُ نِسَائِكُمْ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الصَّلَوةِ فَاغْسِلُوا</w:t>
      </w:r>
    </w:p>
    <w:p>
      <w:pPr>
        <w:pStyle w:val="BookText"/>
        <w:rPr/>
      </w:pP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w:t>
      </w:r>
    </w:p>
    <w:p>
      <w:pPr>
        <w:pStyle w:val="BookText"/>
        <w:rPr/>
      </w:pP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ascii="Amiri" w:hAnsi="Amiri" w:eastAsia="Amiri" w:cs="Amiri"/>
          <w:color w:val="111111"/>
          <w:sz w:val="28"/>
          <w:sz w:val="28"/>
          <w:szCs w:val="28"/>
          <w:rtl w:val="true"/>
          <w:lang w:bidi="ar-SA"/>
        </w:rPr>
        <w:t>السَّارِقُ وَالسَّارِقَةُ فَاقْطَعُوا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p>
    <w:p>
      <w:pPr>
        <w:pStyle w:val="BookText"/>
        <w:rPr/>
      </w:pPr>
      <w:r>
        <w:rPr>
          <w:rFonts w:ascii="Amiri" w:hAnsi="Amiri" w:eastAsia="Amiri" w:cs="Amiri"/>
          <w:color w:val="111111"/>
          <w:sz w:val="28"/>
          <w:sz w:val="28"/>
          <w:szCs w:val="28"/>
          <w:rtl w:val="true"/>
          <w:lang w:bidi="ar-SA"/>
        </w:rPr>
        <w:t>وَمَنْ جَاءَ بِالسَّيِّئَةِ فَلاَ يُجْزَى إِلاَّ</w:t>
      </w:r>
    </w:p>
    <w:p>
      <w:pPr>
        <w:pStyle w:val="BookText"/>
        <w:rPr/>
      </w:pP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فَأ ْتُوا بِعَشْرِ</w:t>
      </w:r>
    </w:p>
    <w:p>
      <w:pPr>
        <w:pStyle w:val="BookText"/>
        <w:rPr/>
      </w:pPr>
      <w:r>
        <w:rPr>
          <w:rFonts w:ascii="Amiri" w:hAnsi="Amiri" w:eastAsia="Amiri" w:cs="Amiri"/>
          <w:color w:val="111111"/>
          <w:sz w:val="28"/>
          <w:sz w:val="28"/>
          <w:szCs w:val="28"/>
          <w:rtl w:val="true"/>
          <w:lang w:bidi="ar-SA"/>
        </w:rPr>
        <w:t>سُوَرٍ مِثْلِهِ مُفْتَرَيَاتٍ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وَاسْتَبَقَا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 إِنْ هَذَا إِلاَّ مَلَكٌ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الصَّلَوةَ لِدُلُوكِ الشَّمْسِ إِلَى</w:t>
      </w:r>
    </w:p>
    <w:p>
      <w:pPr>
        <w:pStyle w:val="BookText"/>
        <w:rPr/>
      </w:pPr>
      <w:r>
        <w:rPr>
          <w:rFonts w:ascii="Amiri" w:hAnsi="Amiri" w:eastAsia="Amiri" w:cs="Amiri"/>
          <w:color w:val="111111"/>
          <w:sz w:val="28"/>
          <w:sz w:val="28"/>
          <w:szCs w:val="28"/>
          <w:rtl w:val="true"/>
          <w:lang w:bidi="ar-SA"/>
        </w:rPr>
        <w:t>غَسَقِ الَّيْلِ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وَالزَّانِى فَاجْلِدُوا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w:t>
      </w:r>
    </w:p>
    <w:p>
      <w:pPr>
        <w:pStyle w:val="BookText"/>
        <w:rPr/>
      </w:pPr>
      <w:r>
        <w:rPr>
          <w:rFonts w:ascii="Amiri" w:hAnsi="Amiri" w:eastAsia="Amiri" w:cs="Amiri"/>
          <w:color w:val="111111"/>
          <w:sz w:val="28"/>
          <w:sz w:val="28"/>
          <w:szCs w:val="28"/>
          <w:rtl w:val="true"/>
          <w:lang w:bidi="ar-SA"/>
        </w:rPr>
        <w:t>أَقْدَامَكُمْ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الصَّلَوةَ وَآتُوا الزَّكَوةَ</w:t>
      </w:r>
    </w:p>
    <w:p>
      <w:pPr>
        <w:pStyle w:val="BookText"/>
        <w:rPr/>
      </w:pPr>
      <w:r>
        <w:rPr>
          <w:rFonts w:ascii="Amiri" w:hAnsi="Amiri" w:eastAsia="Amiri" w:cs="Amiri"/>
          <w:color w:val="111111"/>
          <w:sz w:val="28"/>
          <w:sz w:val="28"/>
          <w:szCs w:val="28"/>
          <w:rtl w:val="true"/>
          <w:lang w:bidi="ar-SA"/>
        </w:rPr>
        <w:t>وَأَقْرِضُوا الله قَرْضاً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609" w:name="pg15283_146502"/>
    </w:p>
    <w:p>
      <w:pPr>
        <w:pStyle w:val="BookText"/>
        <w:rPr/>
      </w:pPr>
      <w:bookmarkEnd w:id="609"/>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الَّذِى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w:t>
      </w:r>
    </w:p>
    <w:p>
      <w:pPr>
        <w:pStyle w:val="BookText"/>
        <w:rPr/>
      </w:pP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Heading3"/>
        <w:numPr>
          <w:ilvl w:val="2"/>
          <w:numId w:val="1"/>
        </w:numPr>
        <w:rPr/>
      </w:pPr>
      <w:bookmarkStart w:id="610" w:name="__RefHeading___Toc4563513_2142443653"/>
      <w:bookmarkStart w:id="611" w:name="_Toc222"/>
      <w:bookmarkEnd w:id="610"/>
      <w:r>
        <w:rPr/>
        <w:t>2</w:t>
      </w:r>
      <w:r>
        <w:rPr>
          <w:rtl w:val="true"/>
        </w:rPr>
        <w:t xml:space="preserve"> - </w:t>
      </w:r>
      <w:r>
        <w:rPr>
          <w:rtl w:val="true"/>
        </w:rPr>
        <w:t>فهرس الأحاديث الشريفة</w:t>
      </w:r>
      <w:bookmarkEnd w:id="611"/>
    </w:p>
    <w:p>
      <w:pPr>
        <w:pStyle w:val="BookText"/>
        <w:rPr/>
      </w:pP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كلّ شيء فيه حلال وحرام فهو لك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كلّ شيء نظيف حتّى تعلم أنّه قذر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لو أنّ رجلاً تزوّج جارية رضيعة، فأرضعتها امرأته فسد النكاح </w:t>
      </w:r>
      <w:r>
        <w:rPr>
          <w:rFonts w:eastAsia="Amiri" w:cs="Amiri" w:ascii="Amiri" w:hAnsi="Amiri"/>
          <w:color w:val="111111"/>
          <w:sz w:val="28"/>
          <w:szCs w:val="28"/>
          <w:lang w:bidi="ar-SA"/>
        </w:rPr>
        <w:t>143</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أن أشقّ على اُمّتي لأمرتُهم بالسواك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bookmarkStart w:id="612" w:name="pg15283_146503"/>
    </w:p>
    <w:p>
      <w:pPr>
        <w:pStyle w:val="Heading3"/>
        <w:numPr>
          <w:ilvl w:val="2"/>
          <w:numId w:val="1"/>
        </w:numPr>
        <w:rPr/>
      </w:pPr>
      <w:bookmarkStart w:id="613" w:name="__RefHeading___Toc4563515_2142443653"/>
      <w:bookmarkStart w:id="614" w:name="_Toc223"/>
      <w:bookmarkEnd w:id="612"/>
      <w:bookmarkEnd w:id="613"/>
      <w:r>
        <w:rPr/>
        <w:t>3</w:t>
      </w:r>
      <w:r>
        <w:rPr>
          <w:rtl w:val="true"/>
        </w:rPr>
        <w:t xml:space="preserve"> - </w:t>
      </w:r>
      <w:r>
        <w:rPr>
          <w:rtl w:val="true"/>
        </w:rPr>
        <w:t>فهرس أسماء المعصومين علیهم السلام</w:t>
      </w:r>
      <w:bookmarkEnd w:id="614"/>
    </w:p>
    <w:p>
      <w:pPr>
        <w:pStyle w:val="BookText"/>
        <w:rPr/>
      </w:pPr>
      <w:r>
        <w:rPr>
          <w:rFonts w:ascii="IRNazanin" w:hAnsi="IRNazanin" w:eastAsia="IRNazanin"/>
          <w:color w:val="111111"/>
          <w:sz w:val="28"/>
          <w:sz w:val="28"/>
          <w:szCs w:val="28"/>
          <w:rtl w:val="true"/>
          <w:lang w:bidi="fa-IR"/>
        </w:rPr>
        <w:t xml:space="preserve">النبي، محمّد،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نبي الإسلام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ascii="IRNazanin" w:hAnsi="IRNazanin" w:eastAsia="IRNazanin"/>
          <w:color w:val="111111"/>
          <w:sz w:val="28"/>
          <w:sz w:val="28"/>
          <w:szCs w:val="28"/>
          <w:rtl w:val="true"/>
          <w:lang w:bidi="fa-IR"/>
        </w:rPr>
        <w:t xml:space="preserve">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الحسين، أبو عبدالله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علیه السلام ، الإمام الثالث</w:t>
      </w:r>
    </w:p>
    <w:p>
      <w:pPr>
        <w:pStyle w:val="BookText"/>
        <w:rPr/>
      </w:pPr>
      <w:r>
        <w:rPr>
          <w:rFonts w:ascii="IRNazanin" w:hAnsi="IRNazanin" w:eastAsia="IRNazanin"/>
          <w:color w:val="111111"/>
          <w:sz w:val="28"/>
          <w:sz w:val="28"/>
          <w:szCs w:val="28"/>
          <w:rtl w:val="true"/>
          <w:lang w:bidi="fa-IR"/>
        </w:rPr>
        <w:t xml:space="preserve">الحسين بن علي علیه السلام ، الإمام الثالث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علیه السلام ، الإمام الخامس</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 الإمام السادس</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الصادقين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 الإمام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إبراهيم، النبي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يوسف، النبي </w:t>
      </w:r>
      <w:r>
        <w:rPr>
          <w:rFonts w:eastAsia="Amiri" w:cs="Amiri" w:ascii="Amiri" w:hAnsi="Amiri"/>
          <w:color w:val="111111"/>
          <w:sz w:val="28"/>
          <w:szCs w:val="28"/>
          <w:lang w:bidi="ar-SA"/>
        </w:rPr>
        <w:t>236</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النبي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5" w:name="pg15283_146505"/>
      <w:bookmarkStart w:id="616" w:name="pg15283_146505"/>
      <w:bookmarkEnd w:id="616"/>
    </w:p>
    <w:p>
      <w:pPr>
        <w:pStyle w:val="Heading3"/>
        <w:numPr>
          <w:ilvl w:val="2"/>
          <w:numId w:val="1"/>
        </w:numPr>
        <w:rPr/>
      </w:pPr>
      <w:bookmarkStart w:id="617" w:name="pg15283_146505"/>
      <w:bookmarkStart w:id="618" w:name="__RefHeading___Toc4563517_2142443653"/>
      <w:bookmarkStart w:id="619" w:name="_Toc224"/>
      <w:bookmarkEnd w:id="617"/>
      <w:bookmarkEnd w:id="618"/>
      <w:r>
        <w:rPr/>
        <w:t>4</w:t>
      </w:r>
      <w:r>
        <w:rPr>
          <w:rtl w:val="true"/>
        </w:rPr>
        <w:t xml:space="preserve"> - </w:t>
      </w:r>
      <w:r>
        <w:rPr>
          <w:rtl w:val="true"/>
        </w:rPr>
        <w:t>فهرس الأعلام</w:t>
      </w:r>
      <w:bookmarkEnd w:id="619"/>
    </w:p>
    <w:p>
      <w:pPr>
        <w:pStyle w:val="BookText"/>
        <w:rPr/>
      </w:pPr>
      <w:r>
        <w:rPr>
          <w:rFonts w:ascii="Amiri" w:hAnsi="Amiri" w:eastAsia="Amiri" w:cs="Amiri"/>
          <w:color w:val="111111"/>
          <w:sz w:val="28"/>
          <w:sz w:val="28"/>
          <w:szCs w:val="28"/>
          <w:rtl w:val="true"/>
          <w:lang w:bidi="ar-SA"/>
        </w:rPr>
        <w:t xml:space="preserve">الآخوند الخراساني، محمّد كاظم بن الحسين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الآغا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 xml:space="preserve">ابن إدريس، محمّد بن أحمد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ابن سينا، الحسين بن عبدالله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ابن مالك، محمّد بن عبدالله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w:t>
      </w:r>
    </w:p>
    <w:p>
      <w:pPr>
        <w:pStyle w:val="BookText"/>
        <w:rPr/>
      </w:pPr>
      <w:r>
        <w:rPr>
          <w:rFonts w:ascii="Amiri" w:hAnsi="Amiri" w:eastAsia="Amiri" w:cs="Amiri"/>
          <w:color w:val="111111"/>
          <w:sz w:val="28"/>
          <w:sz w:val="28"/>
          <w:szCs w:val="28"/>
          <w:rtl w:val="true"/>
          <w:lang w:bidi="ar-SA"/>
        </w:rPr>
        <w:t>أبو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محمّد بن علي</w:t>
      </w:r>
    </w:p>
    <w:p>
      <w:pPr>
        <w:pStyle w:val="BookText"/>
        <w:rPr/>
      </w:pPr>
      <w:r>
        <w:rPr>
          <w:rFonts w:ascii="Amiri" w:hAnsi="Amiri" w:eastAsia="Amiri" w:cs="Amiri"/>
          <w:color w:val="111111"/>
          <w:sz w:val="28"/>
          <w:sz w:val="28"/>
          <w:szCs w:val="28"/>
          <w:rtl w:val="true"/>
          <w:lang w:bidi="ar-SA"/>
        </w:rPr>
        <w:t xml:space="preserve">الأصفهاني، محمّد تقي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الأصفهاني، محمّد حسين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الأصفهاني، محمّد حسين بن عبدالرحيم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الأصفهاني، محمّد رضا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الباقلاني، محمّد بن الطيّب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البصري، محمّد بن علي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بعض أجلّة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 رضا</w:t>
      </w:r>
    </w:p>
    <w:p>
      <w:pPr>
        <w:pStyle w:val="BookText"/>
        <w:rPr/>
      </w:pPr>
      <w:r>
        <w:rPr>
          <w:rFonts w:ascii="Amiri" w:hAnsi="Amiri" w:eastAsia="Amiri" w:cs="Amiri"/>
          <w:color w:val="111111"/>
          <w:sz w:val="28"/>
          <w:sz w:val="28"/>
          <w:szCs w:val="28"/>
          <w:rtl w:val="true"/>
          <w:lang w:bidi="ar-SA"/>
        </w:rPr>
        <w:t>بعض أجلّة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أعاظم فنّ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الشيرازي، محمّد بن إبراهيم</w:t>
      </w:r>
    </w:p>
    <w:p>
      <w:pPr>
        <w:pStyle w:val="BookText"/>
        <w:rPr/>
      </w:pPr>
      <w:r>
        <w:rPr>
          <w:rFonts w:ascii="Amiri" w:hAnsi="Amiri" w:eastAsia="Amiri" w:cs="Amiri"/>
          <w:color w:val="111111"/>
          <w:sz w:val="28"/>
          <w:sz w:val="28"/>
          <w:szCs w:val="28"/>
          <w:rtl w:val="true"/>
          <w:lang w:bidi="ar-SA"/>
        </w:rPr>
        <w:t>بعض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بعض أهل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النهاوندي النجفي، علي بن فتح الله</w:t>
      </w:r>
    </w:p>
    <w:p>
      <w:pPr>
        <w:pStyle w:val="BookText"/>
        <w:rPr/>
      </w:pPr>
      <w:r>
        <w:rPr>
          <w:rFonts w:ascii="Amiri" w:hAnsi="Amiri" w:eastAsia="Amiri" w:cs="Amiri"/>
          <w:color w:val="111111"/>
          <w:sz w:val="28"/>
          <w:sz w:val="28"/>
          <w:szCs w:val="28"/>
          <w:rtl w:val="true"/>
          <w:lang w:bidi="ar-SA"/>
        </w:rPr>
        <w:t>بعض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 تقي</w:t>
      </w:r>
    </w:p>
    <w:p>
      <w:pPr>
        <w:pStyle w:val="BookText"/>
        <w:rPr/>
      </w:pP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بعض محقّقي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بعض المدقّقين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بعض المدقّقين من أهل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 xml:space="preserve">الحائري، عبدالكريم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الحسيني الأسترآبادي، محمّد بن علي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الحلبي، عبيدالله بن علي </w:t>
      </w:r>
      <w:r>
        <w:rPr>
          <w:rFonts w:eastAsia="Amiri" w:cs="Amiri" w:ascii="Amiri" w:hAnsi="Amiri"/>
          <w:color w:val="111111"/>
          <w:sz w:val="28"/>
          <w:szCs w:val="28"/>
          <w:lang w:bidi="ar-SA"/>
        </w:rPr>
        <w:t>143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محمّد بن أحمد </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Amiri" w:hAnsi="Amiri" w:eastAsia="Amiri" w:cs="Amiri"/>
          <w:color w:val="111111"/>
          <w:sz w:val="28"/>
          <w:sz w:val="28"/>
          <w:szCs w:val="28"/>
          <w:rtl w:val="true"/>
          <w:lang w:bidi="ar-SA"/>
        </w:rPr>
        <w:t xml:space="preserve">الدواني، محمّد بن أسعد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الرشتي، حبيب الله بن محمّد علي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السكّاكي، يوسف بن أبي بكر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الشهيد الثاني، زين الدين بن علي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الشيخ أبو علي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الحسين بن عبدالله</w:t>
      </w:r>
    </w:p>
    <w:p>
      <w:pPr>
        <w:pStyle w:val="BookText"/>
        <w:rPr/>
      </w:pP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عبدالكريم</w:t>
      </w:r>
    </w:p>
    <w:p>
      <w:pPr>
        <w:pStyle w:val="BookText"/>
        <w:rPr/>
      </w:pPr>
      <w:r>
        <w:rPr>
          <w:rFonts w:ascii="IRNazanin" w:hAnsi="IRNazanin" w:eastAsia="IRNazanin"/>
          <w:color w:val="111111"/>
          <w:sz w:val="28"/>
          <w:sz w:val="28"/>
          <w:szCs w:val="28"/>
          <w:rtl w:val="true"/>
          <w:lang w:bidi="fa-IR"/>
        </w:rPr>
        <w:t xml:space="preserve">صاحب الجواهر، محمّد حسن بن باقر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صاحب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 تقي</w:t>
      </w:r>
    </w:p>
    <w:p>
      <w:pPr>
        <w:pStyle w:val="BookText"/>
        <w:rPr/>
      </w:pPr>
      <w:r>
        <w:rPr>
          <w:rFonts w:ascii="Amiri" w:hAnsi="Amiri" w:eastAsia="Amiri" w:cs="Amiri"/>
          <w:color w:val="111111"/>
          <w:sz w:val="28"/>
          <w:sz w:val="28"/>
          <w:szCs w:val="28"/>
          <w:rtl w:val="true"/>
          <w:lang w:bidi="ar-SA"/>
        </w:rPr>
        <w:t>صاحب الفصول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 حسين بن عبدالرحيم</w:t>
      </w:r>
    </w:p>
    <w:p>
      <w:pPr>
        <w:pStyle w:val="BookText"/>
        <w:rPr/>
      </w:pP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الشهيد الثاني، الحسن بن زين الدين</w:t>
      </w:r>
    </w:p>
    <w:p>
      <w:pPr>
        <w:pStyle w:val="BookText"/>
        <w:rPr/>
      </w:pPr>
      <w:r>
        <w:rPr>
          <w:rFonts w:ascii="Amiri" w:hAnsi="Amiri" w:eastAsia="Amiri" w:cs="Amiri"/>
          <w:color w:val="111111"/>
          <w:sz w:val="28"/>
          <w:sz w:val="28"/>
          <w:szCs w:val="28"/>
          <w:rtl w:val="true"/>
          <w:lang w:bidi="ar-SA"/>
        </w:rPr>
        <w:t xml:space="preserve">صدر الدين الشيرازي، محمّد بن إبراهيم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الصدوقان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ابن الشهيد الثاني، الحسن بن زين‌الدين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عبدالرحمان بن أبي عبدالله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العراقي، ضياء الدين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العلاّمة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فخر المحقّقين، محمّد بن الحسن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المحقّق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الأسترآبادي، محمّد بن علي</w:t>
      </w:r>
    </w:p>
    <w:p>
      <w:pPr>
        <w:pStyle w:val="BookText"/>
        <w:rPr/>
      </w:pPr>
      <w:r>
        <w:rPr>
          <w:rFonts w:ascii="Amiri" w:hAnsi="Amiri" w:eastAsia="Amiri" w:cs="Amiri"/>
          <w:color w:val="111111"/>
          <w:sz w:val="28"/>
          <w:sz w:val="28"/>
          <w:szCs w:val="28"/>
          <w:rtl w:val="true"/>
          <w:lang w:bidi="ar-SA"/>
        </w:rPr>
        <w:t>المحقّق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 الطوسي، محمّد بن محمّد</w:t>
      </w:r>
    </w:p>
    <w:p>
      <w:pPr>
        <w:pStyle w:val="BookText"/>
        <w:rPr/>
      </w:pPr>
      <w:r>
        <w:rPr>
          <w:rFonts w:ascii="Amiri" w:hAnsi="Amiri" w:eastAsia="Amiri" w:cs="Amiri"/>
          <w:color w:val="111111"/>
          <w:sz w:val="28"/>
          <w:sz w:val="28"/>
          <w:szCs w:val="28"/>
          <w:rtl w:val="true"/>
          <w:lang w:bidi="ar-SA"/>
        </w:rPr>
        <w:t>المحقّق المحشّي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 حسين</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النائيني، محمّد حسين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lang w:bidi="ar-SA"/>
        </w:rPr>
        <w:t>72</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النهاوندي النجفي، علي بن فتح الله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bookmarkStart w:id="620" w:name="pg15283_146509"/>
    </w:p>
    <w:p>
      <w:pPr>
        <w:pStyle w:val="Heading3"/>
        <w:numPr>
          <w:ilvl w:val="2"/>
          <w:numId w:val="1"/>
        </w:numPr>
        <w:rPr/>
      </w:pPr>
      <w:bookmarkStart w:id="621" w:name="__RefHeading___Toc4563519_2142443653"/>
      <w:bookmarkStart w:id="622" w:name="_Toc225"/>
      <w:bookmarkEnd w:id="620"/>
      <w:bookmarkEnd w:id="621"/>
      <w:r>
        <w:rPr/>
        <w:t>5</w:t>
      </w:r>
      <w:r>
        <w:rPr>
          <w:rtl w:val="true"/>
        </w:rPr>
        <w:t xml:space="preserve"> - </w:t>
      </w:r>
      <w:r>
        <w:rPr>
          <w:rtl w:val="true"/>
        </w:rPr>
        <w:t>فهرس الكتب الواردة في المتن</w:t>
      </w:r>
      <w:bookmarkEnd w:id="622"/>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w:t>
      </w:r>
    </w:p>
    <w:p>
      <w:pPr>
        <w:pStyle w:val="BookText"/>
        <w:rPr/>
      </w:pP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التعليقة على الكفاية للمحقّق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رسالة الطلب والإرادة للإمام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شرح المفصّل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الصلاة للمحقّق الحائري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الفصول الغروية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الاُصول</w:t>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w:t>
      </w:r>
    </w:p>
    <w:p>
      <w:pPr>
        <w:pStyle w:val="BookText"/>
        <w:rPr/>
      </w:pPr>
      <w:r>
        <w:rPr>
          <w:rFonts w:ascii="Amiri" w:hAnsi="Amiri" w:eastAsia="Amiri" w:cs="Amiri"/>
          <w:color w:val="111111"/>
          <w:sz w:val="28"/>
          <w:sz w:val="28"/>
          <w:szCs w:val="28"/>
          <w:rtl w:val="true"/>
          <w:lang w:bidi="ar-SA"/>
        </w:rPr>
        <w:t xml:space="preserve">معالم الدين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وقاية الأذهان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3" w:name="pg15283_146511"/>
      <w:bookmarkStart w:id="624" w:name="pg15283_146511"/>
      <w:bookmarkEnd w:id="624"/>
    </w:p>
    <w:p>
      <w:pPr>
        <w:pStyle w:val="Heading3"/>
        <w:numPr>
          <w:ilvl w:val="2"/>
          <w:numId w:val="1"/>
        </w:numPr>
        <w:rPr/>
      </w:pPr>
      <w:bookmarkStart w:id="625" w:name="pg15283_146511"/>
      <w:bookmarkStart w:id="626" w:name="__RefHeading___Toc4563521_2142443653"/>
      <w:bookmarkStart w:id="627" w:name="_Toc226"/>
      <w:bookmarkEnd w:id="625"/>
      <w:bookmarkEnd w:id="626"/>
      <w:r>
        <w:rPr/>
        <w:t>6</w:t>
      </w:r>
      <w:r>
        <w:rPr>
          <w:rtl w:val="true"/>
        </w:rPr>
        <w:t xml:space="preserve"> - </w:t>
      </w:r>
      <w:r>
        <w:rPr>
          <w:rtl w:val="true"/>
        </w:rPr>
        <w:t>فهرس مصادر التحقيق</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والتقليد،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w:t>
      </w:r>
    </w:p>
    <w:p>
      <w:pPr>
        <w:pStyle w:val="BookText"/>
        <w:rPr/>
      </w:pPr>
      <w:r>
        <w:rPr>
          <w:rFonts w:ascii="Amiri" w:hAnsi="Amiri" w:eastAsia="Amiri" w:cs="Amiri"/>
          <w:color w:val="111111"/>
          <w:sz w:val="28"/>
          <w:sz w:val="28"/>
          <w:szCs w:val="28"/>
          <w:rtl w:val="true"/>
          <w:lang w:bidi="ar-SA"/>
        </w:rPr>
        <w:t xml:space="preserve">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مطبعة ستارة،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قم، مكتبة آية الله المرعشي،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الشرح للمحقّق نصير الدين الطوسي وشرح الشرح للعلاّمة قطب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دفتر نشر كتاب،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باقر بن محمّد تقيّ المجلسي، تحقيق السيّد مهديّ الرجائي، الطبعة الاُولى، أصفهان، مكتبة العلاّمة المجلسي،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الهداية في التعليقة على الكفاية،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الفوائد في شرح إشكالات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الشيخ أبو طالب محمّد بن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عدّة من العلماء،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المطبعة العلمية،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بدائع الأفكار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حبيب الله الرشتي، الطبعة الحجرية، مؤسّسة آل البيت علیهم السلام  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الأفكار في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هاشم الآملي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النجف الأشرف،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البصائر النصيرية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عمر بن سهلان الساوجي، قم، مدرسة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البهجة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تعليق مصطفى الحسيني الدشتي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الشيعة لعلوم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مكتبة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تشريح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مولى علي بن مولى فتح الله 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طهران، دار الخلافة،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دار إحياء التراث العربي،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مكتب الإعلام الإسلامي،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تقريرات آية الله المجدّد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علي الروزدري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الطبعة الاُولى، قم، مطبعة مهر،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الحسيني الطهراني، قم، مؤسّسة النشر الإسلامي،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الرابعة،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الوصول إلى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جمال الدين أبو منصور الحسن بن يوسف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محمّد حسين الرضوي الكشميري، الطبعة الاُولى، لندن، مؤسّسة الإمام علي علیه السلام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عبّاس القوچاني، الطبعة الثالثة،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طهران، دار الكتب الإسلامية،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النضيد في شرح منطق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ابن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بيدار،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عبدالله بن شهاب الدين الحسيني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العاشرة، قم، مؤسّسة النشر الإسلامي،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الحسن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سامي الخفّاجي،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منشورات دار الحكمة،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المتعالية في الأسفار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 مكتبة المصطفوي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الطبعة الثانية، جزءان في مجلّد واحد، قم، مؤسّسة النشر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عبدالكريم الحائري اليزدي، تعليق آية الله الشيخ محمّد علي الأراكي والمؤلّف، تحقيق الشيخ محمّد المؤمن القمّي، الطبعة الخامسة، جزءان في مجلّد واحد، قم، مؤسّسة النشر الإسلامي،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عمر فاروق الطبّاع، بيروت، شركة دار الأرقم بن أبي الأرقم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ذكرى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شمس الدين محمّد بن مكّي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الطبعة الاُولى،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قم، مؤسّسة آل البيت علیهم السلام  لإحياء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مكتبة البيدار،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 الجنان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الأبحاث والآثار الإسلامية، الطبعة الاُولى، مجلّدان، قم، مكتب الإعلام الإسلامي،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المسائل في بيان أحكام الشرع بالدلائل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النشر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مؤسّسة النشر الإسلامي،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عبدالحسين محمّد علي بقّال، الطبعة الثالثة،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قم، مؤسّسة إسماعيليان،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ابن عقيل على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عقيل العقيلي الهمداني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عشرة، القاهرة، المكتبة التجارية الكبرى،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محمّد بن الحسن الأسترآبادي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يوسف حسن عمر،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تهران، منشورات مؤسّسة الصادق،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محمود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طهران، انتشارات علميه إسلامية،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العضدي على مختصر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عبدالرحمان بن أحمد بن عبد الغفّار، تصحيح أحمد رامز الشهير بشهري المدرّس بدار الخلافة، إسلامبول، مطبعة العالم،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انتشارات الكتبي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وتحقيق حسن حسن‌زاده الآملي ومسعود الطالبي،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نشر ناب،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w:t>
      </w:r>
    </w:p>
    <w:p>
      <w:pPr>
        <w:pStyle w:val="BookText"/>
        <w:rPr/>
      </w:pPr>
      <w:r>
        <w:rPr>
          <w:rFonts w:ascii="Amiri" w:hAnsi="Amiri" w:eastAsia="Amiri" w:cs="Amiri"/>
          <w:color w:val="111111"/>
          <w:sz w:val="28"/>
          <w:sz w:val="28"/>
          <w:szCs w:val="28"/>
          <w:rtl w:val="true"/>
          <w:lang w:bidi="ar-SA"/>
        </w:rPr>
        <w:t xml:space="preserve">محمّد بدرالدين النسعاني، الطبعة الاُولى،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منشورات الشريف الرضيّ،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بالاُفست عن طبعة 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قم،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حكمة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بن مصلح المشهور بقطب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القاساني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محسن بيدارفر، الطبعة الاُولى، قم، انتشارات بيدار،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عدّة من الأساتذة،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آية الله المرعشي،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الشواهد الربوبية في المناهج السلوكية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 لّهين محمّد بن إبراهيم الشيرازي، تصحيح السيّد جلال الدين الآشتياني، الطبعة الثانية، مشهد، مركز نشر دانشگاهى،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عبدالغفور عطّار، الطبعة الرابعة،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العلم للملايين،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 الإعلام الإسلامي،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لجنة تحقيق تراث الشيخ الأعظم،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المكتبة الفقهية،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الطلب والإرادة،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لجنة تحقيق تراث الشيخ الأعظم،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المكتبة الفقهية،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مجتبى العراقي، الطبعة الاُولى، قم، مطبعة سيّد 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عبدالرحمان الخليل بن أحمد الفراهيدي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مهديّ المخزومي وإبراهيم السامرائي،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ومكتبة الهلال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العوائد من 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الثقفي الطهراني، مطبعة الحيدرية،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علي الحاتمي الطائي المعروف بابن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لجنة تحقيق تراث الشيخ الأعظم،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مجمع الفكر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الغروية في الاُصول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عبدالرحيم الطهراني الأصفهاني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إحياء العلوم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بالاُفست عن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بن محمّد بن علي بن الحسين بن بابويه القمّي</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النجف الأشرف، دار الكتب الإسلامية،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الأحكام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قوانين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ميرزا أبو القاسم القمّي بن المولى محمّد حسين الجيلاني المعروف بالميرزا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الطبعة الحجرية، المجلّد الأوّل، طهران، المكتبة العلمية الإسلامية،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والمجلّد الثاني، طهران، المستنسخة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الطبعة الخامسة،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قولويه القمّي، الشيخ جواد القيّومي، الطبعة الاُولى، قم، مؤسّسة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تحقيق الشيخ حسن حسن زاده الآملي، قم، مؤسّسة النشر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النشر الإسلامي، قم، مؤسّسة النشر الإسلامي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الفقه المشتهر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الشريف الخراساني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مرتضى الواعظي الأراكي، الطبعة الاُولى، مجلّدان، قم، مؤسّسة النشر الإسلامي،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لمحات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مبادئ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عبدالحسين محمّد علي البقّال، الطبعة الثالثة، قم، مكتب الإعلام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وتصحيح السيّد هاشم الرسولي المحلاّتي والسيّد فضل الله اليزدي الطباطبائي، الطبعة الاُولى،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المعرفة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جلال الدين الحسيني الاُرموي، الطبعة الثانية، قم، دار الكتب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مدارك الأحكام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الطبعة الاُولى،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قم، مؤسّسة آل البيت علیهم السلام  لإحياء التراث،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المعارف الإسلامية، الطبعة الاُولى،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المعارف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p>
    <w:p>
      <w:pPr>
        <w:pStyle w:val="BookText"/>
        <w:rPr/>
      </w:pPr>
      <w:r>
        <w:rPr>
          <w:rFonts w:ascii="IRNazanin" w:hAnsi="IRNazanin" w:eastAsia="IRNazanin"/>
          <w:color w:val="111111"/>
          <w:sz w:val="28"/>
          <w:sz w:val="28"/>
          <w:szCs w:val="28"/>
          <w:rtl w:val="true"/>
          <w:lang w:bidi="fa-IR"/>
        </w:rPr>
        <w:t xml:space="preserve">مؤسّسة آل البيت علیهم السلام  لإحياء التراث، الطبعة الاُولى،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قم، مؤسّسة آل البيت علیهم السلام  لإحياء التراث،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القاسم الكلانتري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مجمع الفكر الإسلامي، الطبعة الاُولى، مجلّدان، قم، مجمع الفكر الإسلامي،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المطوّل في شرح 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الهروي مسعود بن عمر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وبهامشه حاشية المير سيّد شريف، قم، مكتبة آية الله المرعشي النجفى،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جعفر بن الحسن بن يحيى بن سعيد الهُذلي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محمّد حسين الرضوي، الطبعة الاُولى، قم، مؤسّسة آل البيت علیهم السلام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جمال الدين الحسن بن زين‌الدين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الطبعة الحادي عشر، قم، مؤسّسة النشر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قم، مؤسّسة النشر الإسلامي،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المعتمد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علي بن الطيّب البصري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مجلّدان، بيروت، دار الكتب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مفاتيح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الحجرية، قم، مؤسّسة آل البيت علیهم السلام  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يوسف بن أبي بكر محمّد بن علي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ضياء 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محسن </w:t>
      </w:r>
    </w:p>
    <w:p>
      <w:pPr>
        <w:pStyle w:val="BookText"/>
        <w:rPr/>
      </w:pPr>
      <w:r>
        <w:rPr>
          <w:rFonts w:ascii="Amiri" w:hAnsi="Amiri" w:eastAsia="Amiri" w:cs="Amiri"/>
          <w:color w:val="111111"/>
          <w:sz w:val="28"/>
          <w:sz w:val="28"/>
          <w:szCs w:val="28"/>
          <w:rtl w:val="true"/>
          <w:lang w:bidi="ar-SA"/>
        </w:rPr>
        <w:t xml:space="preserve">العراقي والسيّد منذر الحكيم والشيخ مجتبى المحمودي، الطبعة الاُولى، مجلّدان، قم، مجمع الفكر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في 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موسى بن محمّد النجفي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تنظيم ونشر آثار الإمام الخميني قدّس سرّه ،</w:t>
      </w:r>
    </w:p>
    <w:p>
      <w:pPr>
        <w:pStyle w:val="BookText"/>
        <w:rPr/>
      </w:pPr>
      <w:r>
        <w:rPr>
          <w:rFonts w:ascii="Amiri" w:hAnsi="Amiri" w:eastAsia="Amiri" w:cs="Amiri"/>
          <w:color w:val="111111"/>
          <w:sz w:val="28"/>
          <w:sz w:val="28"/>
          <w:szCs w:val="28"/>
          <w:rtl w:val="true"/>
          <w:lang w:bidi="ar-SA"/>
        </w:rPr>
        <w:t xml:space="preserve">الطبعة الاُولى، قم،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حسينعلي المنتظري، الطبعة الاُولى، قم، نشر تفكّر،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آغا ضياء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الدراية في شرح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حسين الأصفهاني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الطبعة الاُولى،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قم، مؤسّسة</w:t>
      </w:r>
    </w:p>
    <w:p>
      <w:pPr>
        <w:pStyle w:val="BookText"/>
        <w:rPr/>
      </w:pPr>
      <w:r>
        <w:rPr>
          <w:rFonts w:ascii="IRNazanin" w:hAnsi="IRNazanin" w:eastAsia="IRNazanin"/>
          <w:color w:val="111111"/>
          <w:sz w:val="28"/>
          <w:sz w:val="28"/>
          <w:szCs w:val="28"/>
          <w:rtl w:val="true"/>
          <w:lang w:bidi="fa-IR"/>
        </w:rPr>
        <w:t xml:space="preserve">آل البيت علیهم السلام  لإحياء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السعادات المبارك بن محمّد بن محمّد الجزري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طاهر أحمد التراوي ومحمود محمّد الطناحي،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إسماعيليان،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الطبعة الاُولى،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قم، مؤسّسة آل البيت علیهم السلام لإحياء التراث،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وقاية الأذهان مع رسالتي سمطا اللآل في مسألتي الوضع والاستعمال وإماطة الغين عن استعمال العين في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المجد محمّد رضا بن محمّد حسين النجفي الأصفهاني، تحقيق مؤسّسة آل البيت علیهم السلام لإحياء التراث، الطبعة الاُولى، قم، مؤسّسة آل البيت علیهم السلام  لإحياء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المسترشدين في شرح اُصول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الرازي النجفي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628" w:name="pg15283_146523"/>
    </w:p>
    <w:p>
      <w:pPr>
        <w:pStyle w:val="Heading3"/>
        <w:numPr>
          <w:ilvl w:val="2"/>
          <w:numId w:val="1"/>
        </w:numPr>
        <w:rPr/>
      </w:pPr>
      <w:bookmarkStart w:id="629" w:name="__RefHeading___Toc4563523_2142443653"/>
      <w:bookmarkStart w:id="630" w:name="_Toc227"/>
      <w:bookmarkEnd w:id="628"/>
      <w:bookmarkEnd w:id="629"/>
      <w:r>
        <w:rPr/>
        <w:t>7</w:t>
      </w:r>
      <w:r>
        <w:rPr>
          <w:rtl w:val="true"/>
        </w:rPr>
        <w:t xml:space="preserve"> - </w:t>
      </w:r>
      <w:r>
        <w:rPr>
          <w:rtl w:val="true"/>
        </w:rPr>
        <w:t>فهرس الموضوعات</w:t>
      </w:r>
      <w:bookmarkEnd w:id="630"/>
    </w:p>
    <w:p>
      <w:pPr>
        <w:pStyle w:val="BookText"/>
        <w:rPr/>
      </w:pPr>
      <w:r>
        <w:rPr>
          <w:rFonts w:ascii="Amiri" w:hAnsi="Amiri" w:eastAsia="Amiri" w:cs="Amiri"/>
          <w:color w:val="111111"/>
          <w:sz w:val="28"/>
          <w:sz w:val="28"/>
          <w:szCs w:val="28"/>
          <w:rtl w:val="true"/>
          <w:lang w:bidi="ar-SA"/>
        </w:rPr>
        <w:t>مقدّمة موسوعة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 xml:space="preserve">مقدّمة بقلم آية الله العظمى الشيخ محمّد الفاضل اللنكراني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وفيها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علم الاُصول وتعريفه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اعتبارية وحدة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تدريجية تكامل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عدم لزوم موضوع واحد لكلّ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به امتياز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بحث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في تحقيق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الواضع وكيفية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حقيقة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وتنقيح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المحقّق العراقي لعموم الوضع والموضوع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 امتناع عموم الوضع وإبطاله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بالعموم في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أمثلة أقسام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القول في معاني 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بحث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بعض أقسام 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الخلط من بعض الأعاظم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كلام بعض المحقّقين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مقالة المحقّق العراقي في مدلول 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الوضع في الحروف عامّ والموضوع له 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نقل كلمات الأعلام في وضع الحروف ونقدها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القول في معاني الهيئات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التامّة وغير التامّة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الكلام في الإنشاء والإخبار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أنحاء الإنشاء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الكلام في ألفاظ الإشارات وأخواتها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معاني الحروف ليست مغفولاً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التحقيق في 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استعمال اللفظ في اللفظ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إطلاق اللفظ وإرادة شخصه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إطلاق اللفظ وإرادة 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إطلاق اللفظ وإرادة نوعه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الألفاظ موضوعة لذات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له في الهيئات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اللفظ إلى المفرد والمركّب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العلائم التي يمتاز بها المعنى الحقيقي من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في طرق إحراز كون التبادر من حاقّ اللفظ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صحّة الحمل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صحّة السلب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الاطّراد وعدمه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الأحوال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الأصل في صورة دوران الأمر بين النقل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الأصل في صورة الشكّ في تقدّم النقل على الاستعمال وتأخّره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المبحث المعروف بالصحيح والأعمّ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ونذكر قبل المقصد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كلماتهم في عقد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 على التعبير عن المبحث بالصحيح والأعمّ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تصوير الجامع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التحقيق في تصوير الجامع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الثمرة بين القول بالصحيح والأعمّ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الثمرة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أصل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التمسّك بالإطلاق على 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حول أدلّة الصحيحي والأعمّي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في استدلال الصحيحي بالتبادر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في استدلال الصحيحي بصحّة السلب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دفع الإشكال وتصحيح دعوى التبادر للصحيحي ثبوتاً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استدلال الأعمّي بصحّة تعلّق النذر بترك الصلاة في الأمكنة المكروهة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القول في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يتمّ الكلام فيها في ضمن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جريان النزاع بناءً على الوضع للمسبّبات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الشرع والعرف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التمسّك بالإطلاق لو كانت الأسامي للمسبّبات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 جزء الفرد في المركّبات الاعتبارية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الأمر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الاشتراك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الأمر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 اللفظ في أكثر من 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أدلّة الامتناع والجواب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الأمر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قبل تحقيق المقام لابدّ من 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النزاع لغوياً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العناوين الداخلة في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كلام فخر المحقّقين في الرضاع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أسماء الزمان عن محطّ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وضع المشتقّات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وفيها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وضع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وضع الهيئات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دلالة الفعل المضارع على الحال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مبادئ المشتقّات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امتناع تصوير الجامع على 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التحقيق كون المشتقّ حقيقة في خصوص المتلبّس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نقد الوجوه التي استدلّ بها للأعمّ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بقي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بساطة المشتقّ وتركيبه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تحقيق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استدلال المحقّق الشريف على بساطة المشتقّ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المشتقّ ومبدئه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صاحب الفصول ومناقشته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 على الصفات الجارية على ذاته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بمادّة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وفيه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لفظ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العلوّ والاستعلاء في مادّة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مادّة الأمر على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بصيغة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صيغة الأمر موضوعة للبعث والإغراء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المعاني الاُخر لهيئة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الهيئة تدلّ على الوجوب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منشأ ظهور الصيغة في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الخبرية المستعملة في مقام الإنشاء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التعبّدي والتوصّلي وأنّ مقتضى الأصل ماذا؟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ويتمّ البحث بتقديم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التعبّدية والتوصّلية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أخذ قصد الأمر في المتعلّق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فيما استدلّ به على امتناع الأخذ امتناعاً ذاتياً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فيما استدلّ به على امتناع الأخذ امتناعاً بالغير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 تصحيح أخذ قصد الأمر بأمرين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أخذ قصد المصلحة ونحوها في المتعلّق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الأصل اللفظي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كلام شيخنا العلاّمة أعلى الله مقامه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الأصل 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النفسية والعينية والتعيينية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المرّة والتكرار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وقبل الخوض في المقصود نقدّم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المراد من المرّة والتكرار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وحدة الامتثال وتعدّده عند إتيان الأفراد العرضية دفعة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الأمر على المرّة والتكرار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الفور والتراخي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 استدلال العلاّمة الحائري على الفورية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الاستدلال على الفور بالآيتين الكريمتين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وقبل الورود في البحث لابدّ من ذكر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الاقتضاء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فارق المسألة عن المرّة والتكرار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وحدة الأمر أو تعدّده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إذا عرفت ما ذكر فالكلام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الإتيان بالمأمور به مطلقاً عن التعبّد به ثانياً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في تبديل الامتثال بالامتثال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الإتيان بالفرد الاضطراري مقتضٍ للإجزاء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الإتيان بالمأمور به بالأمر 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وفيه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الإتيان بمقتضى الأمارات هل موجب للإجزاء؟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الإتيان بمؤدّى الاُصول هل يقتضي الإجزاء؟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وقبل الخوض في المقصود ينبغي 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محطّ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المسألة عقلية اُصولية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تقسيمات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تنقسم المقدّمة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الداخلية والخارجية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العراقي حول ما هو خارج عن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النزاع لجميع أقسام المقدّمات الخارجية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إلى المقارن والمتقدّم والمتأخّر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الإشكال في الشرط المتأخّر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كلام المحقّق العراقي لدفع الإشكال في الشرط المتأخّر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التحقيق في دفع الإشكال عن الشرط المتأخّر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نقل كلام المحقّق النائيني في تحرير محطّ البحث في الشرط المتأخّر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تقسيمات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الواجب المطلق والمشروط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والكلام في الواجب المشروط يتمّ في ضمن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 الواجب المشروط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ضابط قيود المادّة والهيئة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نقل وتحصيل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كلام المحقّق العراقي في الضابط في القيدين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امتناع رجوع القيد إلى الهيئة والجواب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الواجب المشروط قبل تحقّق شرطه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إشكالات الواجب المشروط على مسلك المشهور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الواجب المعلّق والمنجّز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إشكال المحقّق النهاوندي على الواجب المعلّق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إشكال المحقّق النائيني على الواجب المعلّق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القيد بين الهيئة والمادّة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حول الوجهين المنقولين عن الشيخ لترجيح رجوع القيد إلى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الواجب النفسي والغيري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مقتضى الأصل اللفظي عند الشكّ في الغيرية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مقتضى الأصل العملي عند الشكّ في الغيرية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بقي في المقام تنبيهات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ترتّب الثواب والعقاب على التكاليف الغيرية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الإشكالات الواردة على الطهارات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منشأ عبادية الطهارات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الواجب في باب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حول ما نسب إلى صاحب المعالم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حول ما نسب إلى الشيخ الأعظم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حول وجوب المقدّمة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صاحب الفصول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إشكالات المقدّمة الموصلة وأجوبتها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 حال وجوب المقدّمة حال الإيصال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التحقيق وجوب 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ثمرة القول بالمقدّمة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الواجب الأصلي والتبعي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بحث مقدّمة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حول تأسيس الأصل في مقدّمة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التحقيق عدم 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نقّحه وقوّمه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قسم المنطق، السفسطة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اُنظر شرح حكمة الإشراق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شرح المحقّق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البصائر النصيرية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الشمسية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الحكيم السبزواري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كفاية الاُصول،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اُنظر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الحاشية على تهذيب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البصائر النصيرية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وراجع أيضاً الاجتهاد والتقليد، الإمام الخميني قدس‌سره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 أن تدرج المسائل المتداخلة، في هذا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كالمسائل المتقدّمة اللغوية والأدبية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وتميّزها عن غيرها بقولنا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آلية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فسّرناها، وتكون المسألة الأدبية بما أ نّها آلة اُصوليةً، وبما أ نّها استقلالية أو بجهات اُخر من مسائل الأدب أو غيره، لكن لابدّ أن يراد بالاستنتاج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 ممّا بلا واسطة، لكن التحقيق هو ما تقدّم، والدليل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الوجدان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 المشهور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الخدمة العسكرية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بدائع الأفكار للمحقّق الرشتي رحمه‌الله، ولكن هذا القول منسوب إلى المحقّق النهاوندي، كما هو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اُنظر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اُنظر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شرح المحقّق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لخصوص الموضوع له صوراً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وعجزه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وكذاكَ عُمْرُ كواكبِ الأسحارِ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قصيدة للشاعر أبي الحسن التهامي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شرح الشمسية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الحاشية على تهذيب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مبادئ الوصول إلى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قامت تظلّلني ومن عجب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زرّ أزراره على القمر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تأمّل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شرح المحقّق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الأخير؛ الشفاء، المنطق، الفنّ الأوّل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الإشارات والتنبيهات، شرح المحقّق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التفسير منّي، لا من المشهور؛ لأنّ هذا التفصيل غير مذكور في كلامهم، بل خلافه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الدراية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شرح الشمسية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الحاشية على تهذيب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تقريرات السيّد المجدّد الشيرازي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مختاره قدس‌سره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عمود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أعداد الفرائض،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جريانها على جميع المسالك على الصحيح، وتجري على جميع المسالك على الأعمّ؛ لأ نّه على المسلكين لا بدّ من إتيان المسمّى يقيناً، ولا يحصل ذلك إلاّ بإتيان المشكوك فيه على الصحيح دون الأعمّ،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تقسيمها إلى الصحيحة والفاسدة بلا تأوّل، آية على كونها موضوعة للأسباب لا المسبّبات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اُنظر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منع لزومه إلاّ إذا استعمل في معنيين، وإلاّ فمع الاستعمال في أحدهما وإقامة القرينة فلا يلزم الانتقالان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حاشية كفاية الاُصول،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كفاية الاُصول،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الفتوحات المكّية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شرح منازل السائرين، القاساني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الأفكار،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بدائع الأفكار،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إلى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الطهراني رحمه‌الله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بالرضاع،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بالرضاع،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بالرضاع،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الزمان هوية متّصلة إلى الأبد، وتقسّماته إلى الأيّام والشهور اعتبارية حسب احتياج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نهاية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البهجة المرضيّة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العقائد، القوشجي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تعليقة المحقّق الدواني، ذيل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ويستفاد منه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العقائد، القوشجي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تعليقة المحقّق الدواني، ذيل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ويستفاد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الشواهد الربوبية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الشواهد الربوبية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المحقّق الشريف استدلّ على بساطة المشتقّ بامتناع دخول الشيء في مفهوم الناطق؛ لاستلزامه دخول العرضي العامّ في الفصل المميّز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 الأوّل من الهامش</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فَلْيَحْذَرِ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أوردنا هذه الرسالة الشريفة في آخر مجلّد الثاني، فراجع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؛هدايةالمسترشدين</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؛كفايةالاُصول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بصُبْحٍ وما الإصباحُ منكَ بأمثلِ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والإرادة، الإمام الخميني قدس‌سره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اُنظر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أفاده في مجلس بحثه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الوصول إلى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النهاية،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ضمن تراث الشيخ الأعظم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مايكتسب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 وأنا ساجد فلا أدري ركعت أم لا؟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الركوع،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أهوى إلى السجود فلم يدر أركع أم لم يركع؟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ركع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الركوع،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قدس‌سره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اُنظر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تقريرات السيد المجدّد الشيرازي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اُنظر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اُنظر 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إرشاد الطالبين إلى نهج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كتاب الحجّ، أبواب المزار وما يناسبه،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ضمن تراث الشيخ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سائر المصادر الاُصولية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اُصول الفقه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اُنظر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48148</Words>
  <Characters>219972</Characters>
  <CharactersWithSpaces>266440</CharactersWithSpaces>
  <Paragraphs>1978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2026-08-24T22:34:17Z</dcterms:created>
  <dc:creator>ghaemiyeh.com</dc:creator>
  <dc:description/>
  <dc:language>en-US</dc:language>
  <cp:lastModifiedBy/>
  <dcterms:modified xsi:type="dcterms:W3CDTF">2026-08-25T02:04:28Z</dcterms:modified>
  <cp:revision>1</cp:revision>
  <dc:subject/>
  <dc:title>موسوعة الامام الخمینی قدس سرة الشریف المجلد 1 و 2 منهاج الوصول الی علم الاصول جلد 1</dc:title>
</cp:coreProperties>
</file>

<file path=docProps/custom.xml><?xml version="1.0" encoding="utf-8"?>
<Properties xmlns="http://schemas.openxmlformats.org/officeDocument/2006/custom-properties" xmlns:vt="http://schemas.openxmlformats.org/officeDocument/2006/docPropsVTypes"/>
</file>