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37.xml" ContentType="application/vnd.openxmlformats-officedocument.wordprocessingml.footer+xml"/>
  <Override PartName="/word/footer218.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160.xml" ContentType="application/vnd.openxmlformats-officedocument.wordprocessingml.footer+xml"/>
  <Override PartName="/word/footer161.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80.xml" ContentType="application/vnd.openxmlformats-officedocument.wordprocessingml.footer+xml"/>
  <Override PartName="/word/numbering.xml" ContentType="application/vnd.openxmlformats-officedocument.wordprocessingml.numbering+xml"/>
  <Override PartName="/word/footer149.xml" ContentType="application/vnd.openxmlformats-officedocument.wordprocessingml.footer+xml"/>
  <Override PartName="/word/footer137.xml" ContentType="application/vnd.openxmlformats-officedocument.wordprocessingml.footer+xml"/>
  <Override PartName="/word/footer148.xml" ContentType="application/vnd.openxmlformats-officedocument.wordprocessingml.footer+xml"/>
  <Override PartName="/word/footer136.xml" ContentType="application/vnd.openxmlformats-officedocument.wordprocessingml.footer+xml"/>
  <Override PartName="/word/footer162.xml" ContentType="application/vnd.openxmlformats-officedocument.wordprocessingml.footer+xml"/>
  <Override PartName="/word/footer200.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191.xml" ContentType="application/vnd.openxmlformats-officedocument.wordprocessingml.footer+xml"/>
  <Override PartName="/word/footer139.xml" ContentType="application/vnd.openxmlformats-officedocument.wordprocessingml.footer+xml"/>
  <Override PartName="/word/footer190.xml" ContentType="application/vnd.openxmlformats-officedocument.wordprocessingml.footer+xml"/>
  <Override PartName="/word/footer138.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181.xml" ContentType="application/vnd.openxmlformats-officedocument.wordprocessingml.footer+xml"/>
  <Override PartName="/word/footer3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6.xml" ContentType="application/vnd.openxmlformats-officedocument.wordprocessingml.footer+xml"/>
  <Override PartName="/word/footer4.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4.xml" ContentType="application/vnd.openxmlformats-officedocument.wordprocessingml.footer+xml"/>
  <Override PartName="/word/footer2.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3.xml" ContentType="application/vnd.openxmlformats-officedocument.wordprocessingml.footer+xml"/>
  <Override PartName="/word/footer1.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90.xml" ContentType="application/vnd.openxmlformats-officedocument.wordprocessingml.footer+xml"/>
  <Override PartName="/word/footer94.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26.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91.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الوسیط فی اصول الفقه کتاب یبحث عن الادلة اللفظیة و العقلیة بین الایجاز و الاطناب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2860_1878427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32862_1878427129">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432864_1878427129">
            <w:r>
              <w:rPr>
                <w:webHidden/>
                <w:rStyle w:val="IndexLink"/>
                <w:rtl w:val="true"/>
              </w:rPr>
              <w:t>مقدّمة المؤلّف</w:t>
            </w:r>
            <w:r>
              <w:rPr>
                <w:rStyle w:val="IndexLink"/>
                <w:rtl w:val="true"/>
              </w:rPr>
              <w:tab/>
            </w:r>
            <w:r>
              <w:rPr>
                <w:rStyle w:val="IndexLink"/>
              </w:rPr>
              <w:t>13</w:t>
            </w:r>
          </w:hyperlink>
        </w:p>
        <w:p>
          <w:pPr>
            <w:pStyle w:val="Contents2"/>
            <w:tabs>
              <w:tab w:val="clear" w:pos="8743"/>
              <w:tab w:val="right" w:pos="9026" w:leader="dot"/>
            </w:tabs>
            <w:rPr/>
          </w:pPr>
          <w:hyperlink w:anchor="__RefHeading___Toc3432866_1878427129">
            <w:r>
              <w:rPr>
                <w:webHidden/>
                <w:rStyle w:val="IndexLink"/>
                <w:rtl w:val="true"/>
              </w:rPr>
              <w:t>المقصد السادس</w:t>
            </w:r>
            <w:r>
              <w:rPr>
                <w:rStyle w:val="IndexLink"/>
                <w:rtl w:val="true"/>
              </w:rPr>
              <w:t xml:space="preserve">: </w:t>
            </w:r>
            <w:r>
              <w:rPr>
                <w:rStyle w:val="IndexLink"/>
                <w:rtl w:val="true"/>
              </w:rPr>
              <w:t>في الحجج و الأمارات</w:t>
            </w:r>
            <w:r>
              <w:rPr>
                <w:rStyle w:val="IndexLink"/>
                <w:rtl w:val="true"/>
              </w:rPr>
              <w:tab/>
            </w:r>
            <w:r>
              <w:rPr>
                <w:rStyle w:val="IndexLink"/>
              </w:rPr>
              <w:t>17</w:t>
            </w:r>
          </w:hyperlink>
        </w:p>
        <w:p>
          <w:pPr>
            <w:pStyle w:val="Contents3"/>
            <w:tabs>
              <w:tab w:val="clear" w:pos="8459"/>
              <w:tab w:val="right" w:pos="9026" w:leader="dot"/>
            </w:tabs>
            <w:rPr/>
          </w:pPr>
          <w:hyperlink w:anchor="__RefHeading___Toc3432868_187842712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3432870_1878427129">
            <w:r>
              <w:rPr>
                <w:webHidden/>
                <w:rStyle w:val="IndexLink"/>
                <w:rtl w:val="true"/>
              </w:rPr>
              <w:t>تمهيد</w:t>
            </w:r>
            <w:r>
              <w:rPr>
                <w:rStyle w:val="IndexLink"/>
                <w:rtl w:val="true"/>
              </w:rPr>
              <w:tab/>
            </w:r>
            <w:r>
              <w:rPr>
                <w:rStyle w:val="IndexLink"/>
              </w:rPr>
              <w:t>19</w:t>
            </w:r>
          </w:hyperlink>
        </w:p>
        <w:p>
          <w:pPr>
            <w:pStyle w:val="Contents3"/>
            <w:tabs>
              <w:tab w:val="clear" w:pos="8459"/>
              <w:tab w:val="right" w:pos="9026" w:leader="dot"/>
            </w:tabs>
            <w:rPr/>
          </w:pPr>
          <w:hyperlink w:anchor="__RefHeading___Toc3432872_1878427129">
            <w:r>
              <w:rPr>
                <w:webHidden/>
                <w:rStyle w:val="IndexLink"/>
                <w:rtl w:val="true"/>
              </w:rPr>
              <w:t>الأدلّة الأربعة</w:t>
            </w:r>
            <w:r>
              <w:rPr>
                <w:rStyle w:val="IndexLink"/>
                <w:rtl w:val="true"/>
              </w:rPr>
              <w:tab/>
            </w:r>
            <w:r>
              <w:rPr>
                <w:rStyle w:val="IndexLink"/>
              </w:rPr>
              <w:t>20</w:t>
            </w:r>
          </w:hyperlink>
        </w:p>
        <w:p>
          <w:pPr>
            <w:pStyle w:val="Contents4"/>
            <w:tabs>
              <w:tab w:val="clear" w:pos="8176"/>
              <w:tab w:val="right" w:pos="9026" w:leader="dot"/>
            </w:tabs>
            <w:rPr/>
          </w:pPr>
          <w:hyperlink w:anchor="__RefHeading___Toc3432874_1878427129">
            <w:r>
              <w:rPr>
                <w:webHidden/>
                <w:rStyle w:val="IndexLink"/>
              </w:rPr>
              <w:t>1</w:t>
            </w:r>
            <w:r>
              <w:rPr>
                <w:rStyle w:val="IndexLink"/>
                <w:rtl w:val="true"/>
              </w:rPr>
              <w:t xml:space="preserve">- </w:t>
            </w:r>
            <w:r>
              <w:rPr>
                <w:rStyle w:val="IndexLink"/>
                <w:rtl w:val="true"/>
              </w:rPr>
              <w:t>العقل أحد مصادر التشريع</w:t>
            </w:r>
            <w:r>
              <w:rPr>
                <w:rStyle w:val="IndexLink"/>
                <w:rtl w:val="true"/>
              </w:rPr>
              <w:tab/>
            </w:r>
            <w:r>
              <w:rPr>
                <w:rStyle w:val="IndexLink"/>
              </w:rPr>
              <w:t>20</w:t>
            </w:r>
          </w:hyperlink>
        </w:p>
        <w:p>
          <w:pPr>
            <w:pStyle w:val="Contents5"/>
            <w:tabs>
              <w:tab w:val="clear" w:pos="7892"/>
              <w:tab w:val="right" w:pos="9026" w:leader="dot"/>
            </w:tabs>
            <w:rPr/>
          </w:pPr>
          <w:hyperlink w:anchor="__RefHeading___Toc3432876_1878427129">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3432878_1878427129">
            <w:r>
              <w:rPr>
                <w:webHidden/>
                <w:rStyle w:val="IndexLink"/>
                <w:rtl w:val="true"/>
              </w:rPr>
              <w:t>المقام الأوّل</w:t>
            </w:r>
            <w:r>
              <w:rPr>
                <w:rStyle w:val="IndexLink"/>
                <w:rtl w:val="true"/>
              </w:rPr>
              <w:t xml:space="preserve">: </w:t>
            </w:r>
            <w:r>
              <w:rPr>
                <w:rStyle w:val="IndexLink"/>
                <w:rtl w:val="true"/>
              </w:rPr>
              <w:t>في أحكام القطع و أقسامه</w:t>
            </w:r>
            <w:r>
              <w:rPr>
                <w:rStyle w:val="IndexLink"/>
                <w:rtl w:val="true"/>
              </w:rPr>
              <w:tab/>
            </w:r>
            <w:r>
              <w:rPr>
                <w:rStyle w:val="IndexLink"/>
              </w:rPr>
              <w:t>21</w:t>
            </w:r>
          </w:hyperlink>
        </w:p>
        <w:p>
          <w:pPr>
            <w:pStyle w:val="Contents6"/>
            <w:tabs>
              <w:tab w:val="clear" w:pos="7609"/>
              <w:tab w:val="right" w:pos="9026" w:leader="dot"/>
            </w:tabs>
            <w:rPr/>
          </w:pPr>
          <w:hyperlink w:anchor="__RefHeading___Toc3432880_1878427129">
            <w:r>
              <w:rPr>
                <w:webHidden/>
                <w:rStyle w:val="IndexLink"/>
                <w:rtl w:val="true"/>
              </w:rPr>
              <w:t>اشارة</w:t>
            </w:r>
            <w:r>
              <w:rPr>
                <w:rStyle w:val="IndexLink"/>
                <w:rtl w:val="true"/>
              </w:rPr>
              <w:tab/>
            </w:r>
            <w:r>
              <w:rPr>
                <w:rStyle w:val="IndexLink"/>
              </w:rPr>
              <w:t>21</w:t>
            </w:r>
          </w:hyperlink>
        </w:p>
        <w:p>
          <w:pPr>
            <w:pStyle w:val="Contents6"/>
            <w:tabs>
              <w:tab w:val="clear" w:pos="7609"/>
              <w:tab w:val="right" w:pos="9026" w:leader="dot"/>
            </w:tabs>
            <w:rPr/>
          </w:pPr>
          <w:hyperlink w:anchor="__RefHeading___Toc3432882_1878427129">
            <w:r>
              <w:rPr>
                <w:webHidden/>
                <w:rStyle w:val="IndexLink"/>
                <w:rtl w:val="true"/>
              </w:rPr>
              <w:t>الأمر الاوّل</w:t>
            </w:r>
            <w:r>
              <w:rPr>
                <w:rStyle w:val="IndexLink"/>
                <w:rtl w:val="true"/>
              </w:rPr>
              <w:t xml:space="preserve">: </w:t>
            </w:r>
            <w:r>
              <w:rPr>
                <w:rStyle w:val="IndexLink"/>
                <w:rtl w:val="true"/>
              </w:rPr>
              <w:t>في حجّية القطع</w:t>
            </w:r>
            <w:r>
              <w:rPr>
                <w:rStyle w:val="IndexLink"/>
                <w:rtl w:val="true"/>
              </w:rPr>
              <w:tab/>
            </w:r>
            <w:r>
              <w:rPr>
                <w:rStyle w:val="IndexLink"/>
              </w:rPr>
              <w:t>21</w:t>
            </w:r>
          </w:hyperlink>
        </w:p>
        <w:p>
          <w:pPr>
            <w:pStyle w:val="Contents6"/>
            <w:tabs>
              <w:tab w:val="clear" w:pos="7609"/>
              <w:tab w:val="right" w:pos="9026" w:leader="dot"/>
            </w:tabs>
            <w:rPr/>
          </w:pPr>
          <w:hyperlink w:anchor="__RefHeading___Toc3432884_1878427129">
            <w:r>
              <w:rPr>
                <w:webHidden/>
                <w:rStyle w:val="IndexLink"/>
                <w:rtl w:val="true"/>
              </w:rPr>
              <w:t>الأمر الثاني</w:t>
            </w:r>
            <w:r>
              <w:rPr>
                <w:rStyle w:val="IndexLink"/>
                <w:rtl w:val="true"/>
              </w:rPr>
              <w:t xml:space="preserve">: </w:t>
            </w:r>
            <w:r>
              <w:rPr>
                <w:rStyle w:val="IndexLink"/>
                <w:rtl w:val="true"/>
              </w:rPr>
              <w:t>تقسيم القطع إلى طريقي و موضوعي</w:t>
            </w:r>
            <w:r>
              <w:rPr>
                <w:rStyle w:val="IndexLink"/>
                <w:rtl w:val="true"/>
              </w:rPr>
              <w:tab/>
            </w:r>
            <w:r>
              <w:rPr>
                <w:rStyle w:val="IndexLink"/>
              </w:rPr>
              <w:t>24</w:t>
            </w:r>
          </w:hyperlink>
        </w:p>
        <w:p>
          <w:pPr>
            <w:pStyle w:val="Contents6"/>
            <w:tabs>
              <w:tab w:val="clear" w:pos="7609"/>
              <w:tab w:val="right" w:pos="9026" w:leader="dot"/>
            </w:tabs>
            <w:rPr/>
          </w:pPr>
          <w:hyperlink w:anchor="__RefHeading___Toc3432886_1878427129">
            <w:r>
              <w:rPr>
                <w:webHidden/>
                <w:rStyle w:val="IndexLink"/>
                <w:rtl w:val="true"/>
              </w:rPr>
              <w:t>الأمر الثالث</w:t>
            </w:r>
            <w:r>
              <w:rPr>
                <w:rStyle w:val="IndexLink"/>
                <w:rtl w:val="true"/>
              </w:rPr>
              <w:t xml:space="preserve">: </w:t>
            </w:r>
            <w:r>
              <w:rPr>
                <w:rStyle w:val="IndexLink"/>
                <w:rtl w:val="true"/>
              </w:rPr>
              <w:t>تقسيم القطع الموضوعي إلى طريقي و وصفي</w:t>
            </w:r>
            <w:r>
              <w:rPr>
                <w:rStyle w:val="IndexLink"/>
                <w:rtl w:val="true"/>
              </w:rPr>
              <w:tab/>
            </w:r>
            <w:r>
              <w:rPr>
                <w:rStyle w:val="IndexLink"/>
              </w:rPr>
              <w:t>26</w:t>
            </w:r>
          </w:hyperlink>
        </w:p>
        <w:p>
          <w:pPr>
            <w:pStyle w:val="Contents6"/>
            <w:tabs>
              <w:tab w:val="clear" w:pos="7609"/>
              <w:tab w:val="right" w:pos="9026" w:leader="dot"/>
            </w:tabs>
            <w:rPr/>
          </w:pPr>
          <w:hyperlink w:anchor="__RefHeading___Toc3432888_1878427129">
            <w:r>
              <w:rPr>
                <w:webHidden/>
                <w:rStyle w:val="IndexLink"/>
                <w:rtl w:val="true"/>
              </w:rPr>
              <w:t>الأمر الرابع</w:t>
            </w:r>
            <w:r>
              <w:rPr>
                <w:rStyle w:val="IndexLink"/>
                <w:rtl w:val="true"/>
              </w:rPr>
              <w:t xml:space="preserve">: </w:t>
            </w:r>
            <w:r>
              <w:rPr>
                <w:rStyle w:val="IndexLink"/>
                <w:rtl w:val="true"/>
              </w:rPr>
              <w:t>الموافقة الالتزامية</w:t>
            </w:r>
            <w:r>
              <w:rPr>
                <w:rStyle w:val="IndexLink"/>
                <w:rtl w:val="true"/>
              </w:rPr>
              <w:tab/>
            </w:r>
            <w:r>
              <w:rPr>
                <w:rStyle w:val="IndexLink"/>
              </w:rPr>
              <w:t>27</w:t>
            </w:r>
          </w:hyperlink>
        </w:p>
        <w:p>
          <w:pPr>
            <w:pStyle w:val="Contents6"/>
            <w:tabs>
              <w:tab w:val="clear" w:pos="7609"/>
              <w:tab w:val="right" w:pos="9026" w:leader="dot"/>
            </w:tabs>
            <w:rPr/>
          </w:pPr>
          <w:hyperlink w:anchor="__RefHeading___Toc3432890_1878427129">
            <w:r>
              <w:rPr>
                <w:webHidden/>
                <w:rStyle w:val="IndexLink"/>
                <w:rtl w:val="true"/>
              </w:rPr>
              <w:t>اشارة</w:t>
            </w:r>
            <w:r>
              <w:rPr>
                <w:rStyle w:val="IndexLink"/>
                <w:rtl w:val="true"/>
              </w:rPr>
              <w:tab/>
            </w:r>
            <w:r>
              <w:rPr>
                <w:rStyle w:val="IndexLink"/>
              </w:rPr>
              <w:t>27</w:t>
            </w:r>
          </w:hyperlink>
        </w:p>
        <w:p>
          <w:pPr>
            <w:pStyle w:val="Contents6"/>
            <w:tabs>
              <w:tab w:val="clear" w:pos="7609"/>
              <w:tab w:val="right" w:pos="9026" w:leader="dot"/>
            </w:tabs>
            <w:rPr/>
          </w:pPr>
          <w:hyperlink w:anchor="__RefHeading___Toc3432892_1878427129">
            <w:r>
              <w:rPr>
                <w:webHidden/>
                <w:rStyle w:val="IndexLink"/>
                <w:rtl w:val="true"/>
              </w:rPr>
              <w:t>ثمرة البحث</w:t>
            </w:r>
            <w:r>
              <w:rPr>
                <w:rStyle w:val="IndexLink"/>
                <w:rtl w:val="true"/>
              </w:rPr>
              <w:tab/>
            </w:r>
            <w:r>
              <w:rPr>
                <w:rStyle w:val="IndexLink"/>
              </w:rPr>
              <w:t>29</w:t>
            </w:r>
          </w:hyperlink>
        </w:p>
        <w:p>
          <w:pPr>
            <w:pStyle w:val="Contents5"/>
            <w:tabs>
              <w:tab w:val="clear" w:pos="7892"/>
              <w:tab w:val="right" w:pos="9026" w:leader="dot"/>
            </w:tabs>
            <w:rPr/>
          </w:pPr>
          <w:hyperlink w:anchor="__RefHeading___Toc3432894_1878427129">
            <w:r>
              <w:rPr>
                <w:webHidden/>
                <w:rStyle w:val="IndexLink"/>
                <w:rtl w:val="true"/>
              </w:rPr>
              <w:t>المقام الثاني</w:t>
            </w:r>
            <w:r>
              <w:rPr>
                <w:rStyle w:val="IndexLink"/>
                <w:rtl w:val="true"/>
              </w:rPr>
              <w:t xml:space="preserve">: </w:t>
            </w:r>
            <w:r>
              <w:rPr>
                <w:rStyle w:val="IndexLink"/>
                <w:rtl w:val="true"/>
              </w:rPr>
              <w:t>كشف العقل عن حكم الشرع</w:t>
            </w:r>
            <w:r>
              <w:rPr>
                <w:rStyle w:val="IndexLink"/>
                <w:rtl w:val="true"/>
              </w:rPr>
              <w:tab/>
            </w:r>
            <w:r>
              <w:rPr>
                <w:rStyle w:val="IndexLink"/>
              </w:rPr>
              <w:t>30</w:t>
            </w:r>
          </w:hyperlink>
        </w:p>
        <w:p>
          <w:pPr>
            <w:pStyle w:val="Contents4"/>
            <w:tabs>
              <w:tab w:val="clear" w:pos="8176"/>
              <w:tab w:val="right" w:pos="9026" w:leader="dot"/>
            </w:tabs>
            <w:rPr/>
          </w:pPr>
          <w:hyperlink w:anchor="__RefHeading___Toc3432896_1878427129">
            <w:r>
              <w:rPr>
                <w:webHidden/>
                <w:rStyle w:val="IndexLink"/>
              </w:rPr>
              <w:t>2</w:t>
            </w:r>
            <w:r>
              <w:rPr>
                <w:rStyle w:val="IndexLink"/>
                <w:rtl w:val="true"/>
              </w:rPr>
              <w:t xml:space="preserve">- </w:t>
            </w:r>
            <w:r>
              <w:rPr>
                <w:rStyle w:val="IndexLink"/>
                <w:rtl w:val="true"/>
              </w:rPr>
              <w:t>الإجماع المحصّل</w:t>
            </w:r>
            <w:r>
              <w:rPr>
                <w:rStyle w:val="IndexLink"/>
                <w:rtl w:val="true"/>
              </w:rPr>
              <w:tab/>
            </w:r>
            <w:r>
              <w:rPr>
                <w:rStyle w:val="IndexLink"/>
              </w:rPr>
              <w:t>39</w:t>
            </w:r>
          </w:hyperlink>
        </w:p>
        <w:p>
          <w:pPr>
            <w:pStyle w:val="Contents5"/>
            <w:tabs>
              <w:tab w:val="clear" w:pos="7892"/>
              <w:tab w:val="right" w:pos="9026" w:leader="dot"/>
            </w:tabs>
            <w:rPr/>
          </w:pPr>
          <w:hyperlink w:anchor="__RefHeading___Toc3432898_1878427129">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3432900_1878427129">
            <w:r>
              <w:rPr>
                <w:webHidden/>
                <w:rStyle w:val="IndexLink"/>
                <w:rtl w:val="true"/>
              </w:rPr>
              <w:t>موقف أهل السنّة من الإجماع المحصَّل</w:t>
            </w:r>
            <w:r>
              <w:rPr>
                <w:rStyle w:val="IndexLink"/>
                <w:rtl w:val="true"/>
              </w:rPr>
              <w:tab/>
            </w:r>
            <w:r>
              <w:rPr>
                <w:rStyle w:val="IndexLink"/>
              </w:rPr>
              <w:t>40</w:t>
            </w:r>
          </w:hyperlink>
        </w:p>
        <w:p>
          <w:pPr>
            <w:pStyle w:val="Contents5"/>
            <w:tabs>
              <w:tab w:val="clear" w:pos="7892"/>
              <w:tab w:val="right" w:pos="9026" w:leader="dot"/>
            </w:tabs>
            <w:rPr/>
          </w:pPr>
          <w:hyperlink w:anchor="__RefHeading___Toc3432902_1878427129">
            <w:r>
              <w:rPr>
                <w:webHidden/>
                <w:rStyle w:val="IndexLink"/>
                <w:rtl w:val="true"/>
              </w:rPr>
              <w:t>مكانة الإجماع المحصّل عند الشيعة</w:t>
            </w:r>
            <w:r>
              <w:rPr>
                <w:rStyle w:val="IndexLink"/>
                <w:rtl w:val="true"/>
              </w:rPr>
              <w:tab/>
            </w:r>
            <w:r>
              <w:rPr>
                <w:rStyle w:val="IndexLink"/>
              </w:rPr>
              <w:t>44</w:t>
            </w:r>
          </w:hyperlink>
        </w:p>
        <w:p>
          <w:pPr>
            <w:pStyle w:val="Contents6"/>
            <w:tabs>
              <w:tab w:val="clear" w:pos="7609"/>
              <w:tab w:val="right" w:pos="9026" w:leader="dot"/>
            </w:tabs>
            <w:rPr/>
          </w:pPr>
          <w:hyperlink w:anchor="__RefHeading___Toc3432904_1878427129">
            <w:r>
              <w:rPr>
                <w:webHidden/>
                <w:rStyle w:val="IndexLink"/>
                <w:rtl w:val="true"/>
              </w:rPr>
              <w:t>اشارة</w:t>
            </w:r>
            <w:r>
              <w:rPr>
                <w:rStyle w:val="IndexLink"/>
                <w:rtl w:val="true"/>
              </w:rPr>
              <w:tab/>
            </w:r>
            <w:r>
              <w:rPr>
                <w:rStyle w:val="IndexLink"/>
              </w:rPr>
              <w:t>44</w:t>
            </w:r>
          </w:hyperlink>
        </w:p>
        <w:p>
          <w:pPr>
            <w:pStyle w:val="Contents6"/>
            <w:tabs>
              <w:tab w:val="clear" w:pos="7609"/>
              <w:tab w:val="right" w:pos="9026" w:leader="dot"/>
            </w:tabs>
            <w:rPr/>
          </w:pPr>
          <w:hyperlink w:anchor="__RefHeading___Toc3432906_1878427129">
            <w:r>
              <w:rPr>
                <w:webHidden/>
                <w:rStyle w:val="IndexLink"/>
                <w:rtl w:val="true"/>
              </w:rPr>
              <w:t>الف</w:t>
            </w:r>
            <w:r>
              <w:rPr>
                <w:rStyle w:val="IndexLink"/>
                <w:rtl w:val="true"/>
              </w:rPr>
              <w:t xml:space="preserve">: </w:t>
            </w:r>
            <w:r>
              <w:rPr>
                <w:rStyle w:val="IndexLink"/>
                <w:rtl w:val="true"/>
              </w:rPr>
              <w:t>تراكم الظنون مورث لليقين</w:t>
            </w:r>
            <w:r>
              <w:rPr>
                <w:rStyle w:val="IndexLink"/>
                <w:rtl w:val="true"/>
              </w:rPr>
              <w:tab/>
            </w:r>
            <w:r>
              <w:rPr>
                <w:rStyle w:val="IndexLink"/>
              </w:rPr>
              <w:t>45</w:t>
            </w:r>
          </w:hyperlink>
        </w:p>
        <w:p>
          <w:pPr>
            <w:pStyle w:val="Contents6"/>
            <w:tabs>
              <w:tab w:val="clear" w:pos="7609"/>
              <w:tab w:val="right" w:pos="9026" w:leader="dot"/>
            </w:tabs>
            <w:rPr/>
          </w:pPr>
          <w:hyperlink w:anchor="__RefHeading___Toc3432908_1878427129">
            <w:r>
              <w:rPr>
                <w:webHidden/>
                <w:rStyle w:val="IndexLink"/>
                <w:rtl w:val="true"/>
              </w:rPr>
              <w:t>ب</w:t>
            </w:r>
            <w:r>
              <w:rPr>
                <w:rStyle w:val="IndexLink"/>
                <w:rtl w:val="true"/>
              </w:rPr>
              <w:t xml:space="preserve">: </w:t>
            </w:r>
            <w:r>
              <w:rPr>
                <w:rStyle w:val="IndexLink"/>
                <w:rtl w:val="true"/>
              </w:rPr>
              <w:t>الاتّفاق كاشف عن دليل معتبر</w:t>
            </w:r>
            <w:r>
              <w:rPr>
                <w:rStyle w:val="IndexLink"/>
                <w:rtl w:val="true"/>
              </w:rPr>
              <w:tab/>
            </w:r>
            <w:r>
              <w:rPr>
                <w:rStyle w:val="IndexLink"/>
              </w:rPr>
              <w:t>45</w:t>
            </w:r>
          </w:hyperlink>
        </w:p>
        <w:p>
          <w:pPr>
            <w:pStyle w:val="Contents4"/>
            <w:tabs>
              <w:tab w:val="clear" w:pos="8176"/>
              <w:tab w:val="right" w:pos="9026" w:leader="dot"/>
            </w:tabs>
            <w:rPr/>
          </w:pPr>
          <w:hyperlink w:anchor="__RefHeading___Toc3432910_1878427129">
            <w:r>
              <w:rPr>
                <w:webHidden/>
                <w:rStyle w:val="IndexLink"/>
              </w:rPr>
              <w:t>3</w:t>
            </w:r>
            <w:r>
              <w:rPr>
                <w:rStyle w:val="IndexLink"/>
                <w:rtl w:val="true"/>
              </w:rPr>
              <w:t xml:space="preserve">- </w:t>
            </w:r>
            <w:r>
              <w:rPr>
                <w:rStyle w:val="IndexLink"/>
                <w:rtl w:val="true"/>
              </w:rPr>
              <w:t>الكتاب</w:t>
            </w:r>
            <w:r>
              <w:rPr>
                <w:rStyle w:val="IndexLink"/>
                <w:rtl w:val="true"/>
              </w:rPr>
              <w:tab/>
            </w:r>
            <w:r>
              <w:rPr>
                <w:rStyle w:val="IndexLink"/>
              </w:rPr>
              <w:t>47</w:t>
            </w:r>
          </w:hyperlink>
        </w:p>
        <w:p>
          <w:pPr>
            <w:pStyle w:val="Contents5"/>
            <w:tabs>
              <w:tab w:val="clear" w:pos="7892"/>
              <w:tab w:val="right" w:pos="9026" w:leader="dot"/>
            </w:tabs>
            <w:rPr/>
          </w:pPr>
          <w:hyperlink w:anchor="__RefHeading___Toc3432912_1878427129">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3432914_1878427129">
            <w:r>
              <w:rPr>
                <w:webHidden/>
                <w:rStyle w:val="IndexLink"/>
                <w:rtl w:val="true"/>
              </w:rPr>
              <w:t>أدلّة الأخباري على عدم حجّية ظواهر الكتاب</w:t>
            </w:r>
            <w:r>
              <w:rPr>
                <w:rStyle w:val="IndexLink"/>
                <w:rtl w:val="true"/>
              </w:rPr>
              <w:tab/>
            </w:r>
            <w:r>
              <w:rPr>
                <w:rStyle w:val="IndexLink"/>
              </w:rPr>
              <w:t>50</w:t>
            </w:r>
          </w:hyperlink>
        </w:p>
        <w:p>
          <w:pPr>
            <w:pStyle w:val="Contents5"/>
            <w:tabs>
              <w:tab w:val="clear" w:pos="7892"/>
              <w:tab w:val="right" w:pos="9026" w:leader="dot"/>
            </w:tabs>
            <w:rPr/>
          </w:pPr>
          <w:hyperlink w:anchor="__RefHeading___Toc3432916_1878427129">
            <w:r>
              <w:rPr>
                <w:webHidden/>
                <w:rStyle w:val="IndexLink"/>
                <w:rtl w:val="true"/>
              </w:rPr>
              <w:t>الظواهر من القطعيات</w:t>
            </w:r>
            <w:r>
              <w:rPr>
                <w:rStyle w:val="IndexLink"/>
                <w:rtl w:val="true"/>
              </w:rPr>
              <w:tab/>
            </w:r>
            <w:r>
              <w:rPr>
                <w:rStyle w:val="IndexLink"/>
              </w:rPr>
              <w:t>52</w:t>
            </w:r>
          </w:hyperlink>
        </w:p>
        <w:p>
          <w:pPr>
            <w:pStyle w:val="Contents4"/>
            <w:tabs>
              <w:tab w:val="clear" w:pos="8176"/>
              <w:tab w:val="right" w:pos="9026" w:leader="dot"/>
            </w:tabs>
            <w:rPr/>
          </w:pPr>
          <w:hyperlink w:anchor="__RefHeading___Toc3432918_1878427129">
            <w:r>
              <w:rPr>
                <w:webHidden/>
                <w:rStyle w:val="IndexLink"/>
              </w:rPr>
              <w:t>4</w:t>
            </w:r>
            <w:r>
              <w:rPr>
                <w:rStyle w:val="IndexLink"/>
                <w:rtl w:val="true"/>
              </w:rPr>
              <w:t xml:space="preserve">- </w:t>
            </w:r>
            <w:r>
              <w:rPr>
                <w:rStyle w:val="IndexLink"/>
                <w:rtl w:val="true"/>
              </w:rPr>
              <w:t>السنّة</w:t>
            </w:r>
            <w:r>
              <w:rPr>
                <w:rStyle w:val="IndexLink"/>
                <w:rtl w:val="true"/>
              </w:rPr>
              <w:tab/>
            </w:r>
            <w:r>
              <w:rPr>
                <w:rStyle w:val="IndexLink"/>
              </w:rPr>
              <w:t>56</w:t>
            </w:r>
          </w:hyperlink>
        </w:p>
        <w:p>
          <w:pPr>
            <w:pStyle w:val="Contents3"/>
            <w:tabs>
              <w:tab w:val="clear" w:pos="8459"/>
              <w:tab w:val="right" w:pos="9026" w:leader="dot"/>
            </w:tabs>
            <w:rPr/>
          </w:pPr>
          <w:hyperlink w:anchor="__RefHeading___Toc3432920_1878427129">
            <w:r>
              <w:rPr>
                <w:webHidden/>
                <w:rStyle w:val="IndexLink"/>
                <w:rtl w:val="true"/>
              </w:rPr>
              <w:t>ما هو الأصل في العمل بالظنّ؟</w:t>
            </w:r>
            <w:r>
              <w:rPr>
                <w:rStyle w:val="IndexLink"/>
                <w:rtl w:val="true"/>
              </w:rPr>
              <w:tab/>
            </w:r>
            <w:r>
              <w:rPr>
                <w:rStyle w:val="IndexLink"/>
              </w:rPr>
              <w:t>58</w:t>
            </w:r>
          </w:hyperlink>
        </w:p>
        <w:p>
          <w:pPr>
            <w:pStyle w:val="Contents4"/>
            <w:tabs>
              <w:tab w:val="clear" w:pos="8176"/>
              <w:tab w:val="right" w:pos="9026" w:leader="dot"/>
            </w:tabs>
            <w:rPr/>
          </w:pPr>
          <w:hyperlink w:anchor="__RefHeading___Toc3432922_1878427129">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3432924_1878427129">
            <w:r>
              <w:rPr>
                <w:webHidden/>
                <w:rStyle w:val="IndexLink"/>
                <w:rtl w:val="true"/>
              </w:rPr>
              <w:t>الأدلّة الظنّية</w:t>
            </w:r>
            <w:r>
              <w:rPr>
                <w:rStyle w:val="IndexLink"/>
                <w:rtl w:val="true"/>
              </w:rPr>
              <w:tab/>
            </w:r>
            <w:r>
              <w:rPr>
                <w:rStyle w:val="IndexLink"/>
              </w:rPr>
              <w:t>61</w:t>
            </w:r>
          </w:hyperlink>
        </w:p>
        <w:p>
          <w:pPr>
            <w:pStyle w:val="Contents5"/>
            <w:tabs>
              <w:tab w:val="clear" w:pos="7892"/>
              <w:tab w:val="right" w:pos="9026" w:leader="dot"/>
            </w:tabs>
            <w:rPr/>
          </w:pPr>
          <w:hyperlink w:anchor="__RefHeading___Toc3432926_1878427129">
            <w:r>
              <w:rPr>
                <w:webHidden/>
                <w:rStyle w:val="IndexLink"/>
              </w:rPr>
              <w:t>1</w:t>
            </w:r>
            <w:r>
              <w:rPr>
                <w:rStyle w:val="IndexLink"/>
                <w:rtl w:val="true"/>
              </w:rPr>
              <w:t xml:space="preserve">- </w:t>
            </w:r>
            <w:r>
              <w:rPr>
                <w:rStyle w:val="IndexLink"/>
                <w:rtl w:val="true"/>
              </w:rPr>
              <w:t>حجّية السنّة المحكية بخبر الواحد</w:t>
            </w:r>
            <w:r>
              <w:rPr>
                <w:rStyle w:val="IndexLink"/>
                <w:rtl w:val="true"/>
              </w:rPr>
              <w:tab/>
            </w:r>
            <w:r>
              <w:rPr>
                <w:rStyle w:val="IndexLink"/>
              </w:rPr>
              <w:t>61</w:t>
            </w:r>
          </w:hyperlink>
        </w:p>
        <w:p>
          <w:pPr>
            <w:pStyle w:val="Contents6"/>
            <w:tabs>
              <w:tab w:val="clear" w:pos="7609"/>
              <w:tab w:val="right" w:pos="9026" w:leader="dot"/>
            </w:tabs>
            <w:rPr/>
          </w:pPr>
          <w:hyperlink w:anchor="__RefHeading___Toc3432928_1878427129">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432930_1878427129">
            <w:r>
              <w:rPr>
                <w:webHidden/>
                <w:rStyle w:val="IndexLink"/>
                <w:rtl w:val="true"/>
              </w:rPr>
              <w:t>الحجّة هي الخبر الموثوق بصدوره</w:t>
            </w:r>
            <w:r>
              <w:rPr>
                <w:rStyle w:val="IndexLink"/>
                <w:rtl w:val="true"/>
              </w:rPr>
              <w:tab/>
            </w:r>
            <w:r>
              <w:rPr>
                <w:rStyle w:val="IndexLink"/>
              </w:rPr>
              <w:t>64</w:t>
            </w:r>
          </w:hyperlink>
        </w:p>
        <w:p>
          <w:pPr>
            <w:pStyle w:val="Contents5"/>
            <w:tabs>
              <w:tab w:val="clear" w:pos="7892"/>
              <w:tab w:val="right" w:pos="9026" w:leader="dot"/>
            </w:tabs>
            <w:rPr/>
          </w:pPr>
          <w:hyperlink w:anchor="__RefHeading___Toc3432932_1878427129">
            <w:r>
              <w:rPr>
                <w:webHidden/>
                <w:rStyle w:val="IndexLink"/>
              </w:rPr>
              <w:t>2</w:t>
            </w:r>
            <w:r>
              <w:rPr>
                <w:rStyle w:val="IndexLink"/>
                <w:rtl w:val="true"/>
              </w:rPr>
              <w:t xml:space="preserve">- </w:t>
            </w:r>
            <w:r>
              <w:rPr>
                <w:rStyle w:val="IndexLink"/>
                <w:rtl w:val="true"/>
              </w:rPr>
              <w:t>الإجماع المنقول بخبر الواحد</w:t>
            </w:r>
            <w:r>
              <w:rPr>
                <w:rStyle w:val="IndexLink"/>
                <w:rtl w:val="true"/>
              </w:rPr>
              <w:tab/>
            </w:r>
            <w:r>
              <w:rPr>
                <w:rStyle w:val="IndexLink"/>
              </w:rPr>
              <w:t>65</w:t>
            </w:r>
          </w:hyperlink>
        </w:p>
        <w:p>
          <w:pPr>
            <w:pStyle w:val="Contents5"/>
            <w:tabs>
              <w:tab w:val="clear" w:pos="7892"/>
              <w:tab w:val="right" w:pos="9026" w:leader="dot"/>
            </w:tabs>
            <w:rPr/>
          </w:pPr>
          <w:hyperlink w:anchor="__RefHeading___Toc3432934_1878427129">
            <w:r>
              <w:rPr>
                <w:webHidden/>
                <w:rStyle w:val="IndexLink"/>
              </w:rPr>
              <w:t>3</w:t>
            </w:r>
            <w:r>
              <w:rPr>
                <w:rStyle w:val="IndexLink"/>
                <w:rtl w:val="true"/>
              </w:rPr>
              <w:t xml:space="preserve">- </w:t>
            </w:r>
            <w:r>
              <w:rPr>
                <w:rStyle w:val="IndexLink"/>
                <w:rtl w:val="true"/>
              </w:rPr>
              <w:t>الشهرة الفتوائيّة</w:t>
            </w:r>
            <w:r>
              <w:rPr>
                <w:rStyle w:val="IndexLink"/>
                <w:rtl w:val="true"/>
              </w:rPr>
              <w:tab/>
            </w:r>
            <w:r>
              <w:rPr>
                <w:rStyle w:val="IndexLink"/>
              </w:rPr>
              <w:t>67</w:t>
            </w:r>
          </w:hyperlink>
        </w:p>
        <w:p>
          <w:pPr>
            <w:pStyle w:val="Contents5"/>
            <w:tabs>
              <w:tab w:val="clear" w:pos="7892"/>
              <w:tab w:val="right" w:pos="9026" w:leader="dot"/>
            </w:tabs>
            <w:rPr/>
          </w:pPr>
          <w:hyperlink w:anchor="__RefHeading___Toc3432936_1878427129">
            <w:r>
              <w:rPr>
                <w:webHidden/>
                <w:rStyle w:val="IndexLink"/>
              </w:rPr>
              <w:t>4</w:t>
            </w:r>
            <w:r>
              <w:rPr>
                <w:rStyle w:val="IndexLink"/>
                <w:rtl w:val="true"/>
              </w:rPr>
              <w:t xml:space="preserve">- </w:t>
            </w:r>
            <w:r>
              <w:rPr>
                <w:rStyle w:val="IndexLink"/>
                <w:rtl w:val="true"/>
              </w:rPr>
              <w:t>حجّية قول اللغوي</w:t>
            </w:r>
            <w:r>
              <w:rPr>
                <w:rStyle w:val="IndexLink"/>
                <w:rtl w:val="true"/>
              </w:rPr>
              <w:tab/>
            </w:r>
            <w:r>
              <w:rPr>
                <w:rStyle w:val="IndexLink"/>
              </w:rPr>
              <w:t>70</w:t>
            </w:r>
          </w:hyperlink>
        </w:p>
        <w:p>
          <w:pPr>
            <w:pStyle w:val="Contents4"/>
            <w:tabs>
              <w:tab w:val="clear" w:pos="8176"/>
              <w:tab w:val="right" w:pos="9026" w:leader="dot"/>
            </w:tabs>
            <w:rPr/>
          </w:pPr>
          <w:hyperlink w:anchor="__RefHeading___Toc3432938_1878427129">
            <w:r>
              <w:rPr>
                <w:webHidden/>
                <w:rStyle w:val="IndexLink"/>
                <w:rtl w:val="true"/>
              </w:rPr>
              <w:t>الظنون غير المعتبرة</w:t>
            </w:r>
            <w:r>
              <w:rPr>
                <w:rStyle w:val="IndexLink"/>
                <w:rtl w:val="true"/>
              </w:rPr>
              <w:tab/>
            </w:r>
            <w:r>
              <w:rPr>
                <w:rStyle w:val="IndexLink"/>
              </w:rPr>
              <w:t>73</w:t>
            </w:r>
          </w:hyperlink>
        </w:p>
        <w:p>
          <w:pPr>
            <w:pStyle w:val="Contents5"/>
            <w:tabs>
              <w:tab w:val="clear" w:pos="7892"/>
              <w:tab w:val="right" w:pos="9026" w:leader="dot"/>
            </w:tabs>
            <w:rPr/>
          </w:pPr>
          <w:hyperlink w:anchor="__RefHeading___Toc3432940_1878427129">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3432942_1878427129">
            <w:r>
              <w:rPr>
                <w:webHidden/>
                <w:rStyle w:val="IndexLink"/>
              </w:rPr>
              <w:t>1</w:t>
            </w:r>
            <w:r>
              <w:rPr>
                <w:rStyle w:val="IndexLink"/>
                <w:rtl w:val="true"/>
              </w:rPr>
              <w:t xml:space="preserve">. </w:t>
            </w:r>
            <w:r>
              <w:rPr>
                <w:rStyle w:val="IndexLink"/>
                <w:rtl w:val="true"/>
              </w:rPr>
              <w:t>القياس</w:t>
            </w:r>
            <w:r>
              <w:rPr>
                <w:rStyle w:val="IndexLink"/>
                <w:rtl w:val="true"/>
              </w:rPr>
              <w:tab/>
            </w:r>
            <w:r>
              <w:rPr>
                <w:rStyle w:val="IndexLink"/>
              </w:rPr>
              <w:t>75</w:t>
            </w:r>
          </w:hyperlink>
        </w:p>
        <w:p>
          <w:pPr>
            <w:pStyle w:val="Contents6"/>
            <w:tabs>
              <w:tab w:val="clear" w:pos="7609"/>
              <w:tab w:val="right" w:pos="9026" w:leader="dot"/>
            </w:tabs>
            <w:rPr/>
          </w:pPr>
          <w:hyperlink w:anchor="__RefHeading___Toc3432944_1878427129">
            <w:r>
              <w:rPr>
                <w:webHidden/>
                <w:rStyle w:val="IndexLink"/>
                <w:rtl w:val="true"/>
              </w:rPr>
              <w:t>و لنقدم أُموراً</w:t>
            </w:r>
            <w:r>
              <w:rPr>
                <w:rStyle w:val="IndexLink"/>
                <w:rtl w:val="true"/>
              </w:rPr>
              <w:t>:</w:t>
              <w:tab/>
            </w:r>
            <w:r>
              <w:rPr>
                <w:rStyle w:val="IndexLink"/>
              </w:rPr>
              <w:t>75</w:t>
            </w:r>
          </w:hyperlink>
        </w:p>
        <w:p>
          <w:pPr>
            <w:pStyle w:val="Contents6"/>
            <w:tabs>
              <w:tab w:val="clear" w:pos="7609"/>
              <w:tab w:val="right" w:pos="9026" w:leader="dot"/>
            </w:tabs>
            <w:rPr/>
          </w:pPr>
          <w:hyperlink w:anchor="__RefHeading___Toc3432946_1878427129">
            <w:r>
              <w:rPr>
                <w:webHidden/>
                <w:rStyle w:val="IndexLink"/>
                <w:rtl w:val="true"/>
              </w:rPr>
              <w:t>الأمر الأوّل</w:t>
            </w:r>
            <w:r>
              <w:rPr>
                <w:rStyle w:val="IndexLink"/>
                <w:rtl w:val="true"/>
              </w:rPr>
              <w:t xml:space="preserve">: </w:t>
            </w:r>
            <w:r>
              <w:rPr>
                <w:rStyle w:val="IndexLink"/>
                <w:rtl w:val="true"/>
              </w:rPr>
              <w:t>حقيقة القياس</w:t>
            </w:r>
            <w:r>
              <w:rPr>
                <w:rStyle w:val="IndexLink"/>
                <w:rtl w:val="true"/>
              </w:rPr>
              <w:tab/>
            </w:r>
            <w:r>
              <w:rPr>
                <w:rStyle w:val="IndexLink"/>
              </w:rPr>
              <w:t>75</w:t>
            </w:r>
          </w:hyperlink>
        </w:p>
        <w:p>
          <w:pPr>
            <w:pStyle w:val="Contents6"/>
            <w:tabs>
              <w:tab w:val="clear" w:pos="7609"/>
              <w:tab w:val="right" w:pos="9026" w:leader="dot"/>
            </w:tabs>
            <w:rPr/>
          </w:pPr>
          <w:hyperlink w:anchor="__RefHeading___Toc3432948_1878427129">
            <w:r>
              <w:rPr>
                <w:webHidden/>
                <w:rStyle w:val="IndexLink"/>
                <w:rtl w:val="true"/>
              </w:rPr>
              <w:t>الأمر الثاني</w:t>
            </w:r>
            <w:r>
              <w:rPr>
                <w:rStyle w:val="IndexLink"/>
                <w:rtl w:val="true"/>
              </w:rPr>
              <w:t xml:space="preserve">: </w:t>
            </w:r>
            <w:r>
              <w:rPr>
                <w:rStyle w:val="IndexLink"/>
                <w:rtl w:val="true"/>
              </w:rPr>
              <w:t>أقسام القياس</w:t>
            </w:r>
            <w:r>
              <w:rPr>
                <w:rStyle w:val="IndexLink"/>
                <w:rtl w:val="true"/>
              </w:rPr>
              <w:tab/>
            </w:r>
            <w:r>
              <w:rPr>
                <w:rStyle w:val="IndexLink"/>
              </w:rPr>
              <w:t>76</w:t>
            </w:r>
          </w:hyperlink>
        </w:p>
        <w:p>
          <w:pPr>
            <w:pStyle w:val="Contents6"/>
            <w:tabs>
              <w:tab w:val="clear" w:pos="7609"/>
              <w:tab w:val="right" w:pos="9026" w:leader="dot"/>
            </w:tabs>
            <w:rPr/>
          </w:pPr>
          <w:hyperlink w:anchor="__RefHeading___Toc3432950_1878427129">
            <w:r>
              <w:rPr>
                <w:webHidden/>
                <w:rStyle w:val="IndexLink"/>
                <w:rtl w:val="true"/>
              </w:rPr>
              <w:t>الأمر الثالث</w:t>
            </w:r>
            <w:r>
              <w:rPr>
                <w:rStyle w:val="IndexLink"/>
                <w:rtl w:val="true"/>
              </w:rPr>
              <w:t xml:space="preserve">: </w:t>
            </w:r>
            <w:r>
              <w:rPr>
                <w:rStyle w:val="IndexLink"/>
                <w:rtl w:val="true"/>
              </w:rPr>
              <w:t>الفرق بين علّة الحكم و حكمته</w:t>
            </w:r>
            <w:r>
              <w:rPr>
                <w:rStyle w:val="IndexLink"/>
                <w:rtl w:val="true"/>
              </w:rPr>
              <w:tab/>
            </w:r>
            <w:r>
              <w:rPr>
                <w:rStyle w:val="IndexLink"/>
              </w:rPr>
              <w:t>77</w:t>
            </w:r>
          </w:hyperlink>
        </w:p>
        <w:p>
          <w:pPr>
            <w:pStyle w:val="Contents6"/>
            <w:tabs>
              <w:tab w:val="clear" w:pos="7609"/>
              <w:tab w:val="right" w:pos="9026" w:leader="dot"/>
            </w:tabs>
            <w:rPr/>
          </w:pPr>
          <w:hyperlink w:anchor="__RefHeading___Toc3432952_1878427129">
            <w:r>
              <w:rPr>
                <w:webHidden/>
                <w:rStyle w:val="IndexLink"/>
                <w:rtl w:val="true"/>
              </w:rPr>
              <w:t>الأمر الرابع</w:t>
            </w:r>
            <w:r>
              <w:rPr>
                <w:rStyle w:val="IndexLink"/>
                <w:rtl w:val="true"/>
              </w:rPr>
              <w:t xml:space="preserve">: </w:t>
            </w:r>
            <w:r>
              <w:rPr>
                <w:rStyle w:val="IndexLink"/>
                <w:rtl w:val="true"/>
              </w:rPr>
              <w:t>القياس في منصوص العلّة</w:t>
            </w:r>
            <w:r>
              <w:rPr>
                <w:rStyle w:val="IndexLink"/>
                <w:rtl w:val="true"/>
              </w:rPr>
              <w:tab/>
            </w:r>
            <w:r>
              <w:rPr>
                <w:rStyle w:val="IndexLink"/>
              </w:rPr>
              <w:t>77</w:t>
            </w:r>
          </w:hyperlink>
        </w:p>
        <w:p>
          <w:pPr>
            <w:pStyle w:val="Contents6"/>
            <w:tabs>
              <w:tab w:val="clear" w:pos="7609"/>
              <w:tab w:val="right" w:pos="9026" w:leader="dot"/>
            </w:tabs>
            <w:rPr/>
          </w:pPr>
          <w:hyperlink w:anchor="__RefHeading___Toc3432954_1878427129">
            <w:r>
              <w:rPr>
                <w:webHidden/>
                <w:rStyle w:val="IndexLink"/>
                <w:rtl w:val="true"/>
              </w:rPr>
              <w:t>الأمر الخامس</w:t>
            </w:r>
            <w:r>
              <w:rPr>
                <w:rStyle w:val="IndexLink"/>
                <w:rtl w:val="true"/>
              </w:rPr>
              <w:t xml:space="preserve">: </w:t>
            </w:r>
            <w:r>
              <w:rPr>
                <w:rStyle w:val="IndexLink"/>
                <w:rtl w:val="true"/>
              </w:rPr>
              <w:t>قياس الأولوية</w:t>
            </w:r>
            <w:r>
              <w:rPr>
                <w:rStyle w:val="IndexLink"/>
                <w:rtl w:val="true"/>
              </w:rPr>
              <w:tab/>
            </w:r>
            <w:r>
              <w:rPr>
                <w:rStyle w:val="IndexLink"/>
              </w:rPr>
              <w:t>78</w:t>
            </w:r>
          </w:hyperlink>
        </w:p>
        <w:p>
          <w:pPr>
            <w:pStyle w:val="Contents6"/>
            <w:tabs>
              <w:tab w:val="clear" w:pos="7609"/>
              <w:tab w:val="right" w:pos="9026" w:leader="dot"/>
            </w:tabs>
            <w:rPr/>
          </w:pPr>
          <w:hyperlink w:anchor="__RefHeading___Toc3432956_1878427129">
            <w:r>
              <w:rPr>
                <w:webHidden/>
                <w:rStyle w:val="IndexLink"/>
                <w:rtl w:val="true"/>
              </w:rPr>
              <w:t>الأمر السادس</w:t>
            </w:r>
            <w:r>
              <w:rPr>
                <w:rStyle w:val="IndexLink"/>
                <w:rtl w:val="true"/>
              </w:rPr>
              <w:t xml:space="preserve">: </w:t>
            </w:r>
            <w:r>
              <w:rPr>
                <w:rStyle w:val="IndexLink"/>
                <w:rtl w:val="true"/>
              </w:rPr>
              <w:t>تنقيح المناط أو إلغاء الخصوصيّة</w:t>
            </w:r>
            <w:r>
              <w:rPr>
                <w:rStyle w:val="IndexLink"/>
                <w:rtl w:val="true"/>
              </w:rPr>
              <w:tab/>
            </w:r>
            <w:r>
              <w:rPr>
                <w:rStyle w:val="IndexLink"/>
              </w:rPr>
              <w:t>78</w:t>
            </w:r>
          </w:hyperlink>
        </w:p>
        <w:p>
          <w:pPr>
            <w:pStyle w:val="Contents6"/>
            <w:tabs>
              <w:tab w:val="clear" w:pos="7609"/>
              <w:tab w:val="right" w:pos="9026" w:leader="dot"/>
            </w:tabs>
            <w:rPr/>
          </w:pPr>
          <w:hyperlink w:anchor="__RefHeading___Toc3432958_1878427129">
            <w:r>
              <w:rPr>
                <w:webHidden/>
                <w:rStyle w:val="IndexLink"/>
                <w:rtl w:val="true"/>
              </w:rPr>
              <w:t>الأمر السابع</w:t>
            </w:r>
            <w:r>
              <w:rPr>
                <w:rStyle w:val="IndexLink"/>
                <w:rtl w:val="true"/>
              </w:rPr>
              <w:t xml:space="preserve">: </w:t>
            </w:r>
            <w:r>
              <w:rPr>
                <w:rStyle w:val="IndexLink"/>
                <w:rtl w:val="true"/>
              </w:rPr>
              <w:t>السبب من وراء العمل بالقياس</w:t>
            </w:r>
            <w:r>
              <w:rPr>
                <w:rStyle w:val="IndexLink"/>
                <w:rtl w:val="true"/>
              </w:rPr>
              <w:tab/>
            </w:r>
            <w:r>
              <w:rPr>
                <w:rStyle w:val="IndexLink"/>
              </w:rPr>
              <w:t>79</w:t>
            </w:r>
          </w:hyperlink>
        </w:p>
        <w:p>
          <w:pPr>
            <w:pStyle w:val="Contents6"/>
            <w:tabs>
              <w:tab w:val="clear" w:pos="7609"/>
              <w:tab w:val="right" w:pos="9026" w:leader="dot"/>
            </w:tabs>
            <w:rPr/>
          </w:pPr>
          <w:hyperlink w:anchor="__RefHeading___Toc3432960_1878427129">
            <w:r>
              <w:rPr>
                <w:webHidden/>
                <w:rStyle w:val="IndexLink"/>
                <w:rtl w:val="true"/>
              </w:rPr>
              <w:t>أدلّة القائلين بالقياس</w:t>
            </w:r>
            <w:r>
              <w:rPr>
                <w:rStyle w:val="IndexLink"/>
                <w:rtl w:val="true"/>
              </w:rPr>
              <w:tab/>
            </w:r>
            <w:r>
              <w:rPr>
                <w:rStyle w:val="IndexLink"/>
              </w:rPr>
              <w:t>80</w:t>
            </w:r>
          </w:hyperlink>
        </w:p>
        <w:p>
          <w:pPr>
            <w:pStyle w:val="Contents6"/>
            <w:tabs>
              <w:tab w:val="clear" w:pos="7609"/>
              <w:tab w:val="right" w:pos="9026" w:leader="dot"/>
            </w:tabs>
            <w:rPr/>
          </w:pPr>
          <w:hyperlink w:anchor="__RefHeading___Toc3432962_1878427129">
            <w:r>
              <w:rPr>
                <w:webHidden/>
                <w:rStyle w:val="IndexLink"/>
                <w:rtl w:val="true"/>
              </w:rPr>
              <w:t>أ</w:t>
            </w:r>
            <w:r>
              <w:rPr>
                <w:rStyle w:val="IndexLink"/>
                <w:rtl w:val="true"/>
              </w:rPr>
              <w:t xml:space="preserve">. </w:t>
            </w:r>
            <w:r>
              <w:rPr>
                <w:rStyle w:val="IndexLink"/>
                <w:rtl w:val="true"/>
              </w:rPr>
              <w:t>الدليل النقلي</w:t>
            </w:r>
            <w:r>
              <w:rPr>
                <w:rStyle w:val="IndexLink"/>
                <w:rtl w:val="true"/>
              </w:rPr>
              <w:tab/>
            </w:r>
            <w:r>
              <w:rPr>
                <w:rStyle w:val="IndexLink"/>
              </w:rPr>
              <w:t>80</w:t>
            </w:r>
          </w:hyperlink>
        </w:p>
        <w:p>
          <w:pPr>
            <w:pStyle w:val="Contents6"/>
            <w:tabs>
              <w:tab w:val="clear" w:pos="7609"/>
              <w:tab w:val="right" w:pos="9026" w:leader="dot"/>
            </w:tabs>
            <w:rPr/>
          </w:pPr>
          <w:hyperlink w:anchor="__RefHeading___Toc3432964_1878427129">
            <w:r>
              <w:rPr>
                <w:webHidden/>
                <w:rStyle w:val="IndexLink"/>
                <w:rtl w:val="true"/>
              </w:rPr>
              <w:t>ب</w:t>
            </w:r>
            <w:r>
              <w:rPr>
                <w:rStyle w:val="IndexLink"/>
                <w:rtl w:val="true"/>
              </w:rPr>
              <w:t xml:space="preserve">: </w:t>
            </w:r>
            <w:r>
              <w:rPr>
                <w:rStyle w:val="IndexLink"/>
                <w:rtl w:val="true"/>
              </w:rPr>
              <w:t>الدليل العقلي</w:t>
            </w:r>
            <w:r>
              <w:rPr>
                <w:rStyle w:val="IndexLink"/>
                <w:rtl w:val="true"/>
              </w:rPr>
              <w:tab/>
            </w:r>
            <w:r>
              <w:rPr>
                <w:rStyle w:val="IndexLink"/>
              </w:rPr>
              <w:t>82</w:t>
            </w:r>
          </w:hyperlink>
        </w:p>
        <w:p>
          <w:pPr>
            <w:pStyle w:val="Contents5"/>
            <w:tabs>
              <w:tab w:val="clear" w:pos="7892"/>
              <w:tab w:val="right" w:pos="9026" w:leader="dot"/>
            </w:tabs>
            <w:rPr/>
          </w:pPr>
          <w:hyperlink w:anchor="__RefHeading___Toc3432966_1878427129">
            <w:r>
              <w:rPr>
                <w:webHidden/>
                <w:rStyle w:val="IndexLink"/>
              </w:rPr>
              <w:t>2</w:t>
            </w:r>
            <w:r>
              <w:rPr>
                <w:rStyle w:val="IndexLink"/>
                <w:rtl w:val="true"/>
              </w:rPr>
              <w:t xml:space="preserve">. </w:t>
            </w:r>
            <w:r>
              <w:rPr>
                <w:rStyle w:val="IndexLink"/>
                <w:rtl w:val="true"/>
              </w:rPr>
              <w:t>الاستحسان</w:t>
            </w:r>
            <w:r>
              <w:rPr>
                <w:rStyle w:val="IndexLink"/>
                <w:rtl w:val="true"/>
              </w:rPr>
              <w:tab/>
            </w:r>
            <w:r>
              <w:rPr>
                <w:rStyle w:val="IndexLink"/>
              </w:rPr>
              <w:t>86</w:t>
            </w:r>
          </w:hyperlink>
        </w:p>
        <w:p>
          <w:pPr>
            <w:pStyle w:val="Contents5"/>
            <w:tabs>
              <w:tab w:val="clear" w:pos="7892"/>
              <w:tab w:val="right" w:pos="9026" w:leader="dot"/>
            </w:tabs>
            <w:rPr/>
          </w:pPr>
          <w:hyperlink w:anchor="__RefHeading___Toc3432968_1878427129">
            <w:r>
              <w:rPr>
                <w:webHidden/>
                <w:rStyle w:val="IndexLink"/>
              </w:rPr>
              <w:t>3</w:t>
            </w:r>
            <w:r>
              <w:rPr>
                <w:rStyle w:val="IndexLink"/>
                <w:rtl w:val="true"/>
              </w:rPr>
              <w:t xml:space="preserve">. </w:t>
            </w:r>
            <w:r>
              <w:rPr>
                <w:rStyle w:val="IndexLink"/>
                <w:rtl w:val="true"/>
              </w:rPr>
              <w:t>الاستصلاح أو المصالح المرسلة</w:t>
            </w:r>
            <w:r>
              <w:rPr>
                <w:rStyle w:val="IndexLink"/>
                <w:rtl w:val="true"/>
              </w:rPr>
              <w:tab/>
            </w:r>
            <w:r>
              <w:rPr>
                <w:rStyle w:val="IndexLink"/>
              </w:rPr>
              <w:t>89</w:t>
            </w:r>
          </w:hyperlink>
        </w:p>
        <w:p>
          <w:pPr>
            <w:pStyle w:val="Contents5"/>
            <w:tabs>
              <w:tab w:val="clear" w:pos="7892"/>
              <w:tab w:val="right" w:pos="9026" w:leader="dot"/>
            </w:tabs>
            <w:rPr/>
          </w:pPr>
          <w:hyperlink w:anchor="__RefHeading___Toc3432970_1878427129">
            <w:r>
              <w:rPr>
                <w:webHidden/>
                <w:rStyle w:val="IndexLink"/>
              </w:rPr>
              <w:t>4</w:t>
            </w:r>
            <w:r>
              <w:rPr>
                <w:rStyle w:val="IndexLink"/>
                <w:rtl w:val="true"/>
              </w:rPr>
              <w:t xml:space="preserve">. </w:t>
            </w:r>
            <w:r>
              <w:rPr>
                <w:rStyle w:val="IndexLink"/>
                <w:rtl w:val="true"/>
              </w:rPr>
              <w:t>سد الذرائع</w:t>
            </w:r>
            <w:r>
              <w:rPr>
                <w:rStyle w:val="IndexLink"/>
                <w:rtl w:val="true"/>
              </w:rPr>
              <w:tab/>
            </w:r>
            <w:r>
              <w:rPr>
                <w:rStyle w:val="IndexLink"/>
              </w:rPr>
              <w:t>93</w:t>
            </w:r>
          </w:hyperlink>
        </w:p>
        <w:p>
          <w:pPr>
            <w:pStyle w:val="Contents5"/>
            <w:tabs>
              <w:tab w:val="clear" w:pos="7892"/>
              <w:tab w:val="right" w:pos="9026" w:leader="dot"/>
            </w:tabs>
            <w:rPr/>
          </w:pPr>
          <w:hyperlink w:anchor="__RefHeading___Toc3432972_1878427129">
            <w:r>
              <w:rPr>
                <w:webHidden/>
                <w:rStyle w:val="IndexLink"/>
              </w:rPr>
              <w:t>5</w:t>
            </w:r>
            <w:r>
              <w:rPr>
                <w:rStyle w:val="IndexLink"/>
                <w:rtl w:val="true"/>
              </w:rPr>
              <w:t xml:space="preserve">. </w:t>
            </w:r>
            <w:r>
              <w:rPr>
                <w:rStyle w:val="IndexLink"/>
                <w:rtl w:val="true"/>
              </w:rPr>
              <w:t>فتح الذرائع</w:t>
            </w:r>
            <w:r>
              <w:rPr>
                <w:rStyle w:val="IndexLink"/>
                <w:rtl w:val="true"/>
              </w:rPr>
              <w:t>(</w:t>
            </w:r>
            <w:r>
              <w:rPr>
                <w:rStyle w:val="IndexLink"/>
                <w:rtl w:val="true"/>
              </w:rPr>
              <w:t>لحيل</w:t>
            </w:r>
            <w:r>
              <w:rPr>
                <w:rStyle w:val="IndexLink"/>
                <w:rtl w:val="true"/>
              </w:rPr>
              <w:t>)</w:t>
              <w:tab/>
            </w:r>
            <w:r>
              <w:rPr>
                <w:rStyle w:val="IndexLink"/>
              </w:rPr>
              <w:t>94</w:t>
            </w:r>
          </w:hyperlink>
        </w:p>
        <w:p>
          <w:pPr>
            <w:pStyle w:val="Contents5"/>
            <w:tabs>
              <w:tab w:val="clear" w:pos="7892"/>
              <w:tab w:val="right" w:pos="9026" w:leader="dot"/>
            </w:tabs>
            <w:rPr/>
          </w:pPr>
          <w:hyperlink w:anchor="__RefHeading___Toc3432974_1878427129">
            <w:r>
              <w:rPr>
                <w:webHidden/>
                <w:rStyle w:val="IndexLink"/>
              </w:rPr>
              <w:t>6</w:t>
            </w:r>
            <w:r>
              <w:rPr>
                <w:rStyle w:val="IndexLink"/>
                <w:rtl w:val="true"/>
              </w:rPr>
              <w:t xml:space="preserve">. </w:t>
            </w:r>
            <w:r>
              <w:rPr>
                <w:rStyle w:val="IndexLink"/>
                <w:rtl w:val="true"/>
              </w:rPr>
              <w:t>قول الصحابي</w:t>
            </w:r>
            <w:r>
              <w:rPr>
                <w:rStyle w:val="IndexLink"/>
                <w:rtl w:val="true"/>
              </w:rPr>
              <w:tab/>
            </w:r>
            <w:r>
              <w:rPr>
                <w:rStyle w:val="IndexLink"/>
              </w:rPr>
              <w:t>96</w:t>
            </w:r>
          </w:hyperlink>
        </w:p>
        <w:p>
          <w:pPr>
            <w:pStyle w:val="Contents5"/>
            <w:tabs>
              <w:tab w:val="clear" w:pos="7892"/>
              <w:tab w:val="right" w:pos="9026" w:leader="dot"/>
            </w:tabs>
            <w:rPr/>
          </w:pPr>
          <w:hyperlink w:anchor="__RefHeading___Toc3432976_1878427129">
            <w:r>
              <w:rPr>
                <w:webHidden/>
                <w:rStyle w:val="IndexLink"/>
              </w:rPr>
              <w:t>7</w:t>
            </w:r>
            <w:r>
              <w:rPr>
                <w:rStyle w:val="IndexLink"/>
                <w:rtl w:val="true"/>
              </w:rPr>
              <w:t xml:space="preserve">. </w:t>
            </w:r>
            <w:r>
              <w:rPr>
                <w:rStyle w:val="IndexLink"/>
                <w:rtl w:val="true"/>
              </w:rPr>
              <w:t>إجماع أهل المدينة</w:t>
            </w:r>
            <w:r>
              <w:rPr>
                <w:rStyle w:val="IndexLink"/>
                <w:rtl w:val="true"/>
              </w:rPr>
              <w:tab/>
            </w:r>
            <w:r>
              <w:rPr>
                <w:rStyle w:val="IndexLink"/>
              </w:rPr>
              <w:t>97</w:t>
            </w:r>
          </w:hyperlink>
        </w:p>
        <w:p>
          <w:pPr>
            <w:pStyle w:val="Contents2"/>
            <w:tabs>
              <w:tab w:val="clear" w:pos="8743"/>
              <w:tab w:val="right" w:pos="9026" w:leader="dot"/>
            </w:tabs>
            <w:rPr/>
          </w:pPr>
          <w:hyperlink w:anchor="__RefHeading___Toc3432978_1878427129">
            <w:r>
              <w:rPr>
                <w:webHidden/>
                <w:rStyle w:val="IndexLink"/>
                <w:rtl w:val="true"/>
              </w:rPr>
              <w:t>المقصد السابع</w:t>
            </w:r>
            <w:r>
              <w:rPr>
                <w:rStyle w:val="IndexLink"/>
                <w:rtl w:val="true"/>
              </w:rPr>
              <w:t xml:space="preserve">: </w:t>
            </w:r>
            <w:r>
              <w:rPr>
                <w:rStyle w:val="IndexLink"/>
                <w:rtl w:val="true"/>
              </w:rPr>
              <w:t xml:space="preserve">في الأُصول العملية </w:t>
            </w:r>
            <w:r>
              <w:rPr>
                <w:rStyle w:val="IndexLink"/>
                <w:rtl w:val="true"/>
              </w:rPr>
              <w:t>(</w:t>
            </w:r>
            <w:r>
              <w:rPr>
                <w:rStyle w:val="IndexLink"/>
                <w:rtl w:val="true"/>
              </w:rPr>
              <w:t>البراءة، التخيير الاشتغال، و الاستصحاب</w:t>
            </w:r>
            <w:r>
              <w:rPr>
                <w:rStyle w:val="IndexLink"/>
                <w:rtl w:val="true"/>
              </w:rPr>
              <w:t>)</w:t>
              <w:tab/>
            </w:r>
            <w:r>
              <w:rPr>
                <w:rStyle w:val="IndexLink"/>
              </w:rPr>
              <w:t>99</w:t>
            </w:r>
          </w:hyperlink>
        </w:p>
        <w:p>
          <w:pPr>
            <w:pStyle w:val="Contents3"/>
            <w:tabs>
              <w:tab w:val="clear" w:pos="8459"/>
              <w:tab w:val="right" w:pos="9026" w:leader="dot"/>
            </w:tabs>
            <w:rPr/>
          </w:pPr>
          <w:hyperlink w:anchor="__RefHeading___Toc3432980_1878427129">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3432982_1878427129">
            <w:r>
              <w:rPr>
                <w:webHidden/>
                <w:rStyle w:val="IndexLink"/>
                <w:rtl w:val="true"/>
              </w:rPr>
              <w:t>تحديد مجاري الأُصول</w:t>
            </w:r>
            <w:r>
              <w:rPr>
                <w:rStyle w:val="IndexLink"/>
                <w:rtl w:val="true"/>
              </w:rPr>
              <w:tab/>
            </w:r>
            <w:r>
              <w:rPr>
                <w:rStyle w:val="IndexLink"/>
              </w:rPr>
              <w:t>103</w:t>
            </w:r>
          </w:hyperlink>
        </w:p>
        <w:p>
          <w:pPr>
            <w:pStyle w:val="Contents3"/>
            <w:tabs>
              <w:tab w:val="clear" w:pos="8459"/>
              <w:tab w:val="right" w:pos="9026" w:leader="dot"/>
            </w:tabs>
            <w:rPr/>
          </w:pPr>
          <w:hyperlink w:anchor="__RefHeading___Toc3432984_1878427129">
            <w:r>
              <w:rPr>
                <w:webHidden/>
                <w:rStyle w:val="IndexLink"/>
                <w:rtl w:val="true"/>
              </w:rPr>
              <w:t>الأُصول العملية الأربعة</w:t>
            </w:r>
            <w:r>
              <w:rPr>
                <w:rStyle w:val="IndexLink"/>
                <w:rtl w:val="true"/>
              </w:rPr>
              <w:tab/>
            </w:r>
            <w:r>
              <w:rPr>
                <w:rStyle w:val="IndexLink"/>
              </w:rPr>
              <w:t>104</w:t>
            </w:r>
          </w:hyperlink>
        </w:p>
        <w:p>
          <w:pPr>
            <w:pStyle w:val="Contents4"/>
            <w:tabs>
              <w:tab w:val="clear" w:pos="8176"/>
              <w:tab w:val="right" w:pos="9026" w:leader="dot"/>
            </w:tabs>
            <w:rPr/>
          </w:pPr>
          <w:hyperlink w:anchor="__RefHeading___Toc3432986_1878427129">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3432988_1878427129">
            <w:r>
              <w:rPr>
                <w:webHidden/>
                <w:rStyle w:val="IndexLink"/>
                <w:rtl w:val="true"/>
              </w:rPr>
              <w:t>الأصل الأوّل</w:t>
            </w:r>
            <w:r>
              <w:rPr>
                <w:rStyle w:val="IndexLink"/>
                <w:rtl w:val="true"/>
              </w:rPr>
              <w:t xml:space="preserve">: </w:t>
            </w:r>
            <w:r>
              <w:rPr>
                <w:rStyle w:val="IndexLink"/>
                <w:rtl w:val="true"/>
              </w:rPr>
              <w:t>أصالة البراءة</w:t>
            </w:r>
            <w:r>
              <w:rPr>
                <w:rStyle w:val="IndexLink"/>
                <w:rtl w:val="true"/>
              </w:rPr>
              <w:tab/>
            </w:r>
            <w:r>
              <w:rPr>
                <w:rStyle w:val="IndexLink"/>
              </w:rPr>
              <w:t>105</w:t>
            </w:r>
          </w:hyperlink>
        </w:p>
        <w:p>
          <w:pPr>
            <w:pStyle w:val="Contents5"/>
            <w:tabs>
              <w:tab w:val="clear" w:pos="7892"/>
              <w:tab w:val="right" w:pos="9026" w:leader="dot"/>
            </w:tabs>
            <w:rPr/>
          </w:pPr>
          <w:hyperlink w:anchor="__RefHeading___Toc3432990_187842712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3432992_1878427129">
            <w:r>
              <w:rPr>
                <w:webHidden/>
                <w:rStyle w:val="IndexLink"/>
                <w:rtl w:val="true"/>
              </w:rPr>
              <w:t>من الأدلة</w:t>
            </w:r>
            <w:r>
              <w:rPr>
                <w:rStyle w:val="IndexLink"/>
                <w:rtl w:val="true"/>
              </w:rPr>
              <w:tab/>
            </w:r>
            <w:r>
              <w:rPr>
                <w:rStyle w:val="IndexLink"/>
              </w:rPr>
              <w:t>106</w:t>
            </w:r>
          </w:hyperlink>
        </w:p>
        <w:p>
          <w:pPr>
            <w:pStyle w:val="Contents6"/>
            <w:tabs>
              <w:tab w:val="clear" w:pos="7609"/>
              <w:tab w:val="right" w:pos="9026" w:leader="dot"/>
            </w:tabs>
            <w:rPr/>
          </w:pPr>
          <w:hyperlink w:anchor="__RefHeading___Toc3432994_1878427129">
            <w:r>
              <w:rPr>
                <w:webHidden/>
                <w:rStyle w:val="IndexLink"/>
                <w:rtl w:val="true"/>
              </w:rPr>
              <w:t>اشارة</w:t>
            </w:r>
            <w:r>
              <w:rPr>
                <w:rStyle w:val="IndexLink"/>
                <w:rtl w:val="true"/>
              </w:rPr>
              <w:tab/>
            </w:r>
            <w:r>
              <w:rPr>
                <w:rStyle w:val="IndexLink"/>
              </w:rPr>
              <w:t>106</w:t>
            </w:r>
          </w:hyperlink>
        </w:p>
        <w:p>
          <w:pPr>
            <w:pStyle w:val="Contents6"/>
            <w:tabs>
              <w:tab w:val="clear" w:pos="7609"/>
              <w:tab w:val="right" w:pos="9026" w:leader="dot"/>
            </w:tabs>
            <w:rPr/>
          </w:pPr>
          <w:hyperlink w:anchor="__RefHeading___Toc3432996_1878427129">
            <w:r>
              <w:rPr>
                <w:webHidden/>
                <w:rStyle w:val="IndexLink"/>
                <w:rtl w:val="true"/>
              </w:rPr>
              <w:t>الاستدلال بالكتاب</w:t>
            </w:r>
            <w:r>
              <w:rPr>
                <w:rStyle w:val="IndexLink"/>
                <w:rtl w:val="true"/>
              </w:rPr>
              <w:tab/>
            </w:r>
            <w:r>
              <w:rPr>
                <w:rStyle w:val="IndexLink"/>
              </w:rPr>
              <w:t>106</w:t>
            </w:r>
          </w:hyperlink>
        </w:p>
        <w:p>
          <w:pPr>
            <w:pStyle w:val="Contents6"/>
            <w:tabs>
              <w:tab w:val="clear" w:pos="7609"/>
              <w:tab w:val="right" w:pos="9026" w:leader="dot"/>
            </w:tabs>
            <w:rPr/>
          </w:pPr>
          <w:hyperlink w:anchor="__RefHeading___Toc3432998_1878427129">
            <w:r>
              <w:rPr>
                <w:webHidden/>
                <w:rStyle w:val="IndexLink"/>
              </w:rPr>
              <w:t>1</w:t>
            </w:r>
            <w:r>
              <w:rPr>
                <w:rStyle w:val="IndexLink"/>
                <w:rtl w:val="true"/>
              </w:rPr>
              <w:t xml:space="preserve">. </w:t>
            </w:r>
            <w:r>
              <w:rPr>
                <w:rStyle w:val="IndexLink"/>
                <w:rtl w:val="true"/>
              </w:rPr>
              <w:t>التعذيب فرع البيان</w:t>
            </w:r>
            <w:r>
              <w:rPr>
                <w:rStyle w:val="IndexLink"/>
                <w:rtl w:val="true"/>
              </w:rPr>
              <w:tab/>
            </w:r>
            <w:r>
              <w:rPr>
                <w:rStyle w:val="IndexLink"/>
              </w:rPr>
              <w:t>106</w:t>
            </w:r>
          </w:hyperlink>
        </w:p>
        <w:p>
          <w:pPr>
            <w:pStyle w:val="Contents6"/>
            <w:tabs>
              <w:tab w:val="clear" w:pos="7609"/>
              <w:tab w:val="right" w:pos="9026" w:leader="dot"/>
            </w:tabs>
            <w:rPr/>
          </w:pPr>
          <w:hyperlink w:anchor="__RefHeading___Toc3433000_1878427129">
            <w:r>
              <w:rPr>
                <w:webHidden/>
                <w:rStyle w:val="IndexLink"/>
              </w:rPr>
              <w:t>2</w:t>
            </w:r>
            <w:r>
              <w:rPr>
                <w:rStyle w:val="IndexLink"/>
                <w:rtl w:val="true"/>
              </w:rPr>
              <w:t xml:space="preserve">. </w:t>
            </w:r>
            <w:r>
              <w:rPr>
                <w:rStyle w:val="IndexLink"/>
                <w:rtl w:val="true"/>
              </w:rPr>
              <w:t>الإضلال فرع البيان</w:t>
            </w:r>
            <w:r>
              <w:rPr>
                <w:rStyle w:val="IndexLink"/>
                <w:rtl w:val="true"/>
              </w:rPr>
              <w:tab/>
            </w:r>
            <w:r>
              <w:rPr>
                <w:rStyle w:val="IndexLink"/>
              </w:rPr>
              <w:t>108</w:t>
            </w:r>
          </w:hyperlink>
        </w:p>
        <w:p>
          <w:pPr>
            <w:pStyle w:val="Contents6"/>
            <w:tabs>
              <w:tab w:val="clear" w:pos="7609"/>
              <w:tab w:val="right" w:pos="9026" w:leader="dot"/>
            </w:tabs>
            <w:rPr/>
          </w:pPr>
          <w:hyperlink w:anchor="__RefHeading___Toc3433002_1878427129">
            <w:r>
              <w:rPr>
                <w:webHidden/>
                <w:rStyle w:val="IndexLink"/>
                <w:rtl w:val="true"/>
              </w:rPr>
              <w:t>الاستدلال بالسنّة</w:t>
            </w:r>
            <w:r>
              <w:rPr>
                <w:rStyle w:val="IndexLink"/>
                <w:rtl w:val="true"/>
              </w:rPr>
              <w:tab/>
            </w:r>
            <w:r>
              <w:rPr>
                <w:rStyle w:val="IndexLink"/>
              </w:rPr>
              <w:t>110</w:t>
            </w:r>
          </w:hyperlink>
        </w:p>
        <w:p>
          <w:pPr>
            <w:pStyle w:val="Contents6"/>
            <w:tabs>
              <w:tab w:val="clear" w:pos="7609"/>
              <w:tab w:val="right" w:pos="9026" w:leader="dot"/>
            </w:tabs>
            <w:rPr/>
          </w:pPr>
          <w:hyperlink w:anchor="__RefHeading___Toc3433004_1878427129">
            <w:r>
              <w:rPr>
                <w:webHidden/>
                <w:rStyle w:val="IndexLink"/>
              </w:rPr>
              <w:t>1</w:t>
            </w:r>
            <w:r>
              <w:rPr>
                <w:rStyle w:val="IndexLink"/>
                <w:rtl w:val="true"/>
              </w:rPr>
              <w:t xml:space="preserve">. </w:t>
            </w:r>
            <w:r>
              <w:rPr>
                <w:rStyle w:val="IndexLink"/>
                <w:rtl w:val="true"/>
              </w:rPr>
              <w:t>حديث الرفع</w:t>
            </w:r>
            <w:r>
              <w:rPr>
                <w:rStyle w:val="IndexLink"/>
                <w:rtl w:val="true"/>
              </w:rPr>
              <w:tab/>
            </w:r>
            <w:r>
              <w:rPr>
                <w:rStyle w:val="IndexLink"/>
              </w:rPr>
              <w:t>110</w:t>
            </w:r>
          </w:hyperlink>
        </w:p>
        <w:p>
          <w:pPr>
            <w:pStyle w:val="Contents6"/>
            <w:tabs>
              <w:tab w:val="clear" w:pos="7609"/>
              <w:tab w:val="right" w:pos="9026" w:leader="dot"/>
            </w:tabs>
            <w:rPr/>
          </w:pPr>
          <w:hyperlink w:anchor="__RefHeading___Toc3433006_1878427129">
            <w:r>
              <w:rPr>
                <w:webHidden/>
                <w:rStyle w:val="IndexLink"/>
                <w:rtl w:val="true"/>
              </w:rPr>
              <w:t>اشارة</w:t>
            </w:r>
            <w:r>
              <w:rPr>
                <w:rStyle w:val="IndexLink"/>
                <w:rtl w:val="true"/>
              </w:rPr>
              <w:tab/>
            </w:r>
            <w:r>
              <w:rPr>
                <w:rStyle w:val="IndexLink"/>
              </w:rPr>
              <w:t>110</w:t>
            </w:r>
          </w:hyperlink>
        </w:p>
        <w:p>
          <w:pPr>
            <w:pStyle w:val="Contents6"/>
            <w:tabs>
              <w:tab w:val="clear" w:pos="7609"/>
              <w:tab w:val="right" w:pos="9026" w:leader="dot"/>
            </w:tabs>
            <w:rPr/>
          </w:pPr>
          <w:hyperlink w:anchor="__RefHeading___Toc3433008_1878427129">
            <w:r>
              <w:rPr>
                <w:webHidden/>
                <w:rStyle w:val="IndexLink"/>
                <w:rtl w:val="true"/>
              </w:rPr>
              <w:t>تنبيه</w:t>
            </w:r>
            <w:r>
              <w:rPr>
                <w:rStyle w:val="IndexLink"/>
                <w:rtl w:val="true"/>
              </w:rPr>
              <w:tab/>
            </w:r>
            <w:r>
              <w:rPr>
                <w:rStyle w:val="IndexLink"/>
              </w:rPr>
              <w:t>114</w:t>
            </w:r>
          </w:hyperlink>
        </w:p>
        <w:p>
          <w:pPr>
            <w:pStyle w:val="Contents6"/>
            <w:tabs>
              <w:tab w:val="clear" w:pos="7609"/>
              <w:tab w:val="right" w:pos="9026" w:leader="dot"/>
            </w:tabs>
            <w:rPr/>
          </w:pPr>
          <w:hyperlink w:anchor="__RefHeading___Toc3433010_1878427129">
            <w:r>
              <w:rPr>
                <w:webHidden/>
                <w:rStyle w:val="IndexLink"/>
              </w:rPr>
              <w:t>2</w:t>
            </w:r>
            <w:r>
              <w:rPr>
                <w:rStyle w:val="IndexLink"/>
                <w:rtl w:val="true"/>
              </w:rPr>
              <w:t xml:space="preserve">. </w:t>
            </w:r>
            <w:r>
              <w:rPr>
                <w:rStyle w:val="IndexLink"/>
                <w:rtl w:val="true"/>
              </w:rPr>
              <w:t>مرسلة الصدوق</w:t>
            </w:r>
            <w:r>
              <w:rPr>
                <w:rStyle w:val="IndexLink"/>
                <w:rtl w:val="true"/>
              </w:rPr>
              <w:tab/>
            </w:r>
            <w:r>
              <w:rPr>
                <w:rStyle w:val="IndexLink"/>
              </w:rPr>
              <w:t>115</w:t>
            </w:r>
          </w:hyperlink>
        </w:p>
        <w:p>
          <w:pPr>
            <w:pStyle w:val="Contents6"/>
            <w:tabs>
              <w:tab w:val="clear" w:pos="7609"/>
              <w:tab w:val="right" w:pos="9026" w:leader="dot"/>
            </w:tabs>
            <w:rPr/>
          </w:pPr>
          <w:hyperlink w:anchor="__RefHeading___Toc3433012_1878427129">
            <w:r>
              <w:rPr>
                <w:webHidden/>
                <w:rStyle w:val="IndexLink"/>
                <w:rtl w:val="true"/>
              </w:rPr>
              <w:t>الاستدلال بحكم العقل</w:t>
            </w:r>
            <w:r>
              <w:rPr>
                <w:rStyle w:val="IndexLink"/>
                <w:rtl w:val="true"/>
              </w:rPr>
              <w:tab/>
            </w:r>
            <w:r>
              <w:rPr>
                <w:rStyle w:val="IndexLink"/>
              </w:rPr>
              <w:t>116</w:t>
            </w:r>
          </w:hyperlink>
        </w:p>
        <w:p>
          <w:pPr>
            <w:pStyle w:val="Contents6"/>
            <w:tabs>
              <w:tab w:val="clear" w:pos="7609"/>
              <w:tab w:val="right" w:pos="9026" w:leader="dot"/>
            </w:tabs>
            <w:rPr/>
          </w:pPr>
          <w:hyperlink w:anchor="__RefHeading___Toc3433014_1878427129">
            <w:r>
              <w:rPr>
                <w:webHidden/>
                <w:rStyle w:val="IndexLink"/>
                <w:rtl w:val="true"/>
              </w:rPr>
              <w:t>اشارة</w:t>
            </w:r>
            <w:r>
              <w:rPr>
                <w:rStyle w:val="IndexLink"/>
                <w:rtl w:val="true"/>
              </w:rPr>
              <w:tab/>
            </w:r>
            <w:r>
              <w:rPr>
                <w:rStyle w:val="IndexLink"/>
              </w:rPr>
              <w:t>116</w:t>
            </w:r>
          </w:hyperlink>
        </w:p>
        <w:p>
          <w:pPr>
            <w:pStyle w:val="Contents6"/>
            <w:tabs>
              <w:tab w:val="clear" w:pos="7609"/>
              <w:tab w:val="right" w:pos="9026" w:leader="dot"/>
            </w:tabs>
            <w:rPr/>
          </w:pPr>
          <w:hyperlink w:anchor="__RefHeading___Toc3433016_1878427129">
            <w:r>
              <w:rPr>
                <w:webHidden/>
                <w:rStyle w:val="IndexLink"/>
                <w:rtl w:val="true"/>
              </w:rPr>
              <w:t>الإشكال على كبرى البرهان</w:t>
            </w:r>
            <w:r>
              <w:rPr>
                <w:rStyle w:val="IndexLink"/>
                <w:rtl w:val="true"/>
              </w:rPr>
              <w:tab/>
            </w:r>
            <w:r>
              <w:rPr>
                <w:rStyle w:val="IndexLink"/>
              </w:rPr>
              <w:t>117</w:t>
            </w:r>
          </w:hyperlink>
        </w:p>
        <w:p>
          <w:pPr>
            <w:pStyle w:val="Contents6"/>
            <w:tabs>
              <w:tab w:val="clear" w:pos="7609"/>
              <w:tab w:val="right" w:pos="9026" w:leader="dot"/>
            </w:tabs>
            <w:rPr/>
          </w:pPr>
          <w:hyperlink w:anchor="__RefHeading___Toc3433018_1878427129">
            <w:r>
              <w:rPr>
                <w:webHidden/>
                <w:rStyle w:val="IndexLink"/>
                <w:rtl w:val="true"/>
              </w:rPr>
              <w:t>الإشكال على صغرى البرهان</w:t>
            </w:r>
            <w:r>
              <w:rPr>
                <w:rStyle w:val="IndexLink"/>
                <w:rtl w:val="true"/>
              </w:rPr>
              <w:tab/>
            </w:r>
            <w:r>
              <w:rPr>
                <w:rStyle w:val="IndexLink"/>
              </w:rPr>
              <w:t>118</w:t>
            </w:r>
          </w:hyperlink>
        </w:p>
        <w:p>
          <w:pPr>
            <w:pStyle w:val="Contents5"/>
            <w:tabs>
              <w:tab w:val="clear" w:pos="7892"/>
              <w:tab w:val="right" w:pos="9026" w:leader="dot"/>
            </w:tabs>
            <w:rPr/>
          </w:pPr>
          <w:hyperlink w:anchor="__RefHeading___Toc3433020_1878427129">
            <w:r>
              <w:rPr>
                <w:webHidden/>
                <w:rStyle w:val="IndexLink"/>
                <w:rtl w:val="true"/>
              </w:rPr>
              <w:t>أدلة الأخباري على وجوب الاحتياط</w:t>
            </w:r>
            <w:r>
              <w:rPr>
                <w:rStyle w:val="IndexLink"/>
                <w:rtl w:val="true"/>
              </w:rPr>
              <w:tab/>
            </w:r>
            <w:r>
              <w:rPr>
                <w:rStyle w:val="IndexLink"/>
              </w:rPr>
              <w:t>120</w:t>
            </w:r>
          </w:hyperlink>
        </w:p>
        <w:p>
          <w:pPr>
            <w:pStyle w:val="Contents5"/>
            <w:tabs>
              <w:tab w:val="clear" w:pos="7892"/>
              <w:tab w:val="right" w:pos="9026" w:leader="dot"/>
            </w:tabs>
            <w:rPr/>
          </w:pPr>
          <w:hyperlink w:anchor="__RefHeading___Toc3433022_1878427129">
            <w:r>
              <w:rPr>
                <w:webHidden/>
                <w:rStyle w:val="IndexLink"/>
                <w:rtl w:val="true"/>
              </w:rPr>
              <w:t>تنبيهات</w:t>
            </w:r>
            <w:r>
              <w:rPr>
                <w:rStyle w:val="IndexLink"/>
                <w:rtl w:val="true"/>
              </w:rPr>
              <w:tab/>
            </w:r>
            <w:r>
              <w:rPr>
                <w:rStyle w:val="IndexLink"/>
              </w:rPr>
              <w:t>121</w:t>
            </w:r>
          </w:hyperlink>
        </w:p>
        <w:p>
          <w:pPr>
            <w:pStyle w:val="Contents6"/>
            <w:tabs>
              <w:tab w:val="clear" w:pos="7609"/>
              <w:tab w:val="right" w:pos="9026" w:leader="dot"/>
            </w:tabs>
            <w:rPr/>
          </w:pPr>
          <w:hyperlink w:anchor="__RefHeading___Toc3433024_1878427129">
            <w:r>
              <w:rPr>
                <w:webHidden/>
                <w:rStyle w:val="IndexLink"/>
                <w:rtl w:val="true"/>
              </w:rPr>
              <w:t>اشارة</w:t>
            </w:r>
            <w:r>
              <w:rPr>
                <w:rStyle w:val="IndexLink"/>
                <w:rtl w:val="true"/>
              </w:rPr>
              <w:tab/>
            </w:r>
            <w:r>
              <w:rPr>
                <w:rStyle w:val="IndexLink"/>
              </w:rPr>
              <w:t>121</w:t>
            </w:r>
          </w:hyperlink>
        </w:p>
        <w:p>
          <w:pPr>
            <w:pStyle w:val="Contents6"/>
            <w:tabs>
              <w:tab w:val="clear" w:pos="7609"/>
              <w:tab w:val="right" w:pos="9026" w:leader="dot"/>
            </w:tabs>
            <w:rPr/>
          </w:pPr>
          <w:hyperlink w:anchor="__RefHeading___Toc3433026_1878427129">
            <w:r>
              <w:rPr>
                <w:webHidden/>
                <w:rStyle w:val="IndexLink"/>
                <w:rtl w:val="true"/>
              </w:rPr>
              <w:t>التنبيه الأوّل</w:t>
            </w:r>
            <w:r>
              <w:rPr>
                <w:rStyle w:val="IndexLink"/>
                <w:rtl w:val="true"/>
              </w:rPr>
              <w:t xml:space="preserve">: </w:t>
            </w:r>
            <w:r>
              <w:rPr>
                <w:rStyle w:val="IndexLink"/>
                <w:rtl w:val="true"/>
              </w:rPr>
              <w:t>في حكومة الأصل الموضوعي على البراءة و الحلية</w:t>
            </w:r>
            <w:r>
              <w:rPr>
                <w:rStyle w:val="IndexLink"/>
                <w:rtl w:val="true"/>
              </w:rPr>
              <w:tab/>
            </w:r>
            <w:r>
              <w:rPr>
                <w:rStyle w:val="IndexLink"/>
              </w:rPr>
              <w:t>121</w:t>
            </w:r>
          </w:hyperlink>
        </w:p>
        <w:p>
          <w:pPr>
            <w:pStyle w:val="Contents6"/>
            <w:tabs>
              <w:tab w:val="clear" w:pos="7609"/>
              <w:tab w:val="right" w:pos="9026" w:leader="dot"/>
            </w:tabs>
            <w:rPr/>
          </w:pPr>
          <w:hyperlink w:anchor="__RefHeading___Toc3433028_1878427129">
            <w:r>
              <w:rPr>
                <w:webHidden/>
                <w:rStyle w:val="IndexLink"/>
                <w:rtl w:val="true"/>
              </w:rPr>
              <w:t>التنبيه الثاني</w:t>
            </w:r>
            <w:r>
              <w:rPr>
                <w:rStyle w:val="IndexLink"/>
                <w:rtl w:val="true"/>
              </w:rPr>
              <w:t xml:space="preserve">: </w:t>
            </w:r>
            <w:r>
              <w:rPr>
                <w:rStyle w:val="IndexLink"/>
                <w:rtl w:val="true"/>
              </w:rPr>
              <w:t>في حسن الاحتياط</w:t>
            </w:r>
            <w:r>
              <w:rPr>
                <w:rStyle w:val="IndexLink"/>
                <w:rtl w:val="true"/>
              </w:rPr>
              <w:tab/>
            </w:r>
            <w:r>
              <w:rPr>
                <w:rStyle w:val="IndexLink"/>
              </w:rPr>
              <w:t>122</w:t>
            </w:r>
          </w:hyperlink>
        </w:p>
        <w:p>
          <w:pPr>
            <w:pStyle w:val="Contents6"/>
            <w:tabs>
              <w:tab w:val="clear" w:pos="7609"/>
              <w:tab w:val="right" w:pos="9026" w:leader="dot"/>
            </w:tabs>
            <w:rPr/>
          </w:pPr>
          <w:hyperlink w:anchor="__RefHeading___Toc3433030_1878427129">
            <w:r>
              <w:rPr>
                <w:webHidden/>
                <w:rStyle w:val="IndexLink"/>
                <w:rtl w:val="true"/>
              </w:rPr>
              <w:t>التنبيه الثالث</w:t>
            </w:r>
            <w:r>
              <w:rPr>
                <w:rStyle w:val="IndexLink"/>
                <w:rtl w:val="true"/>
              </w:rPr>
              <w:t xml:space="preserve">: </w:t>
            </w:r>
            <w:r>
              <w:rPr>
                <w:rStyle w:val="IndexLink"/>
                <w:rtl w:val="true"/>
              </w:rPr>
              <w:t>قاعدة التسامح في أدلّة السنن</w:t>
            </w:r>
            <w:r>
              <w:rPr>
                <w:rStyle w:val="IndexLink"/>
                <w:rtl w:val="true"/>
              </w:rPr>
              <w:tab/>
            </w:r>
            <w:r>
              <w:rPr>
                <w:rStyle w:val="IndexLink"/>
              </w:rPr>
              <w:t>123</w:t>
            </w:r>
          </w:hyperlink>
        </w:p>
        <w:p>
          <w:pPr>
            <w:pStyle w:val="Contents6"/>
            <w:tabs>
              <w:tab w:val="clear" w:pos="7609"/>
              <w:tab w:val="right" w:pos="9026" w:leader="dot"/>
            </w:tabs>
            <w:rPr/>
          </w:pPr>
          <w:hyperlink w:anchor="__RefHeading___Toc3433032_1878427129">
            <w:r>
              <w:rPr>
                <w:webHidden/>
                <w:rStyle w:val="IndexLink"/>
                <w:rtl w:val="true"/>
              </w:rPr>
              <w:t>اشارة</w:t>
            </w:r>
            <w:r>
              <w:rPr>
                <w:rStyle w:val="IndexLink"/>
                <w:rtl w:val="true"/>
              </w:rPr>
              <w:tab/>
            </w:r>
            <w:r>
              <w:rPr>
                <w:rStyle w:val="IndexLink"/>
              </w:rPr>
              <w:t>123</w:t>
            </w:r>
          </w:hyperlink>
        </w:p>
        <w:p>
          <w:pPr>
            <w:pStyle w:val="Contents6"/>
            <w:tabs>
              <w:tab w:val="clear" w:pos="7609"/>
              <w:tab w:val="right" w:pos="9026" w:leader="dot"/>
            </w:tabs>
            <w:rPr/>
          </w:pPr>
          <w:hyperlink w:anchor="__RefHeading___Toc3433034_1878427129">
            <w:r>
              <w:rPr>
                <w:webHidden/>
                <w:rStyle w:val="IndexLink"/>
                <w:rtl w:val="true"/>
              </w:rPr>
              <w:t>ثمرات القاعدة</w:t>
            </w:r>
            <w:r>
              <w:rPr>
                <w:rStyle w:val="IndexLink"/>
                <w:rtl w:val="true"/>
              </w:rPr>
              <w:tab/>
            </w:r>
            <w:r>
              <w:rPr>
                <w:rStyle w:val="IndexLink"/>
              </w:rPr>
              <w:t>124</w:t>
            </w:r>
          </w:hyperlink>
        </w:p>
        <w:p>
          <w:pPr>
            <w:pStyle w:val="Contents4"/>
            <w:tabs>
              <w:tab w:val="clear" w:pos="8176"/>
              <w:tab w:val="right" w:pos="9026" w:leader="dot"/>
            </w:tabs>
            <w:rPr/>
          </w:pPr>
          <w:hyperlink w:anchor="__RefHeading___Toc3433036_1878427129">
            <w:r>
              <w:rPr>
                <w:webHidden/>
                <w:rStyle w:val="IndexLink"/>
                <w:rtl w:val="true"/>
              </w:rPr>
              <w:t>الأصل الثاني</w:t>
            </w:r>
            <w:r>
              <w:rPr>
                <w:rStyle w:val="IndexLink"/>
                <w:rtl w:val="true"/>
              </w:rPr>
              <w:t xml:space="preserve">: </w:t>
            </w:r>
            <w:r>
              <w:rPr>
                <w:rStyle w:val="IndexLink"/>
                <w:rtl w:val="true"/>
              </w:rPr>
              <w:t>أصالة التخيير</w:t>
            </w:r>
            <w:r>
              <w:rPr>
                <w:rStyle w:val="IndexLink"/>
                <w:rtl w:val="true"/>
              </w:rPr>
              <w:tab/>
            </w:r>
            <w:r>
              <w:rPr>
                <w:rStyle w:val="IndexLink"/>
              </w:rPr>
              <w:t>126</w:t>
            </w:r>
          </w:hyperlink>
        </w:p>
        <w:p>
          <w:pPr>
            <w:pStyle w:val="Contents5"/>
            <w:tabs>
              <w:tab w:val="clear" w:pos="7892"/>
              <w:tab w:val="right" w:pos="9026" w:leader="dot"/>
            </w:tabs>
            <w:rPr/>
          </w:pPr>
          <w:hyperlink w:anchor="__RefHeading___Toc3433038_1878427129">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433040_1878427129">
            <w:r>
              <w:rPr>
                <w:webHidden/>
                <w:rStyle w:val="IndexLink"/>
                <w:rtl w:val="true"/>
              </w:rPr>
              <w:t>المقام الأوّل</w:t>
            </w:r>
            <w:r>
              <w:rPr>
                <w:rStyle w:val="IndexLink"/>
                <w:rtl w:val="true"/>
              </w:rPr>
              <w:t xml:space="preserve">: </w:t>
            </w:r>
            <w:r>
              <w:rPr>
                <w:rStyle w:val="IndexLink"/>
                <w:rtl w:val="true"/>
              </w:rPr>
              <w:t>دوران الأمر بين المحذورين مع الجهل بنوع الحكم التوصلي</w:t>
            </w:r>
            <w:r>
              <w:rPr>
                <w:rStyle w:val="IndexLink"/>
                <w:rtl w:val="true"/>
              </w:rPr>
              <w:tab/>
            </w:r>
            <w:r>
              <w:rPr>
                <w:rStyle w:val="IndexLink"/>
              </w:rPr>
              <w:t>127</w:t>
            </w:r>
          </w:hyperlink>
        </w:p>
        <w:p>
          <w:pPr>
            <w:pStyle w:val="Contents5"/>
            <w:tabs>
              <w:tab w:val="clear" w:pos="7892"/>
              <w:tab w:val="right" w:pos="9026" w:leader="dot"/>
            </w:tabs>
            <w:rPr/>
          </w:pPr>
          <w:hyperlink w:anchor="__RefHeading___Toc3433042_1878427129">
            <w:r>
              <w:rPr>
                <w:webHidden/>
                <w:rStyle w:val="IndexLink"/>
                <w:rtl w:val="true"/>
              </w:rPr>
              <w:t>المقام الثاني</w:t>
            </w:r>
            <w:r>
              <w:rPr>
                <w:rStyle w:val="IndexLink"/>
                <w:rtl w:val="true"/>
              </w:rPr>
              <w:t xml:space="preserve">: </w:t>
            </w:r>
            <w:r>
              <w:rPr>
                <w:rStyle w:val="IndexLink"/>
                <w:rtl w:val="true"/>
              </w:rPr>
              <w:t>دوران الأمر بين المحذورين مع الجهل بنوع التكليف التعبدي</w:t>
            </w:r>
            <w:r>
              <w:rPr>
                <w:rStyle w:val="IndexLink"/>
                <w:rtl w:val="true"/>
              </w:rPr>
              <w:tab/>
            </w:r>
            <w:r>
              <w:rPr>
                <w:rStyle w:val="IndexLink"/>
              </w:rPr>
              <w:t>128</w:t>
            </w:r>
          </w:hyperlink>
        </w:p>
        <w:p>
          <w:pPr>
            <w:pStyle w:val="Contents5"/>
            <w:tabs>
              <w:tab w:val="clear" w:pos="7892"/>
              <w:tab w:val="right" w:pos="9026" w:leader="dot"/>
            </w:tabs>
            <w:rPr/>
          </w:pPr>
          <w:hyperlink w:anchor="__RefHeading___Toc3433044_1878427129">
            <w:r>
              <w:rPr>
                <w:webHidden/>
                <w:rStyle w:val="IndexLink"/>
                <w:rtl w:val="true"/>
              </w:rPr>
              <w:t>المقام الثالث</w:t>
            </w:r>
            <w:r>
              <w:rPr>
                <w:rStyle w:val="IndexLink"/>
                <w:rtl w:val="true"/>
              </w:rPr>
              <w:t>:</w:t>
            </w:r>
            <w:r>
              <w:rPr>
                <w:rStyle w:val="IndexLink"/>
                <w:rtl w:val="true"/>
              </w:rPr>
              <w:t>دوران الأمر بين المحذورين مع الشكّ في المكلّف به</w:t>
            </w:r>
            <w:r>
              <w:rPr>
                <w:rStyle w:val="IndexLink"/>
                <w:rtl w:val="true"/>
              </w:rPr>
              <w:tab/>
            </w:r>
            <w:r>
              <w:rPr>
                <w:rStyle w:val="IndexLink"/>
              </w:rPr>
              <w:t>129</w:t>
            </w:r>
          </w:hyperlink>
        </w:p>
        <w:p>
          <w:pPr>
            <w:pStyle w:val="Contents4"/>
            <w:tabs>
              <w:tab w:val="clear" w:pos="8176"/>
              <w:tab w:val="right" w:pos="9026" w:leader="dot"/>
            </w:tabs>
            <w:rPr/>
          </w:pPr>
          <w:hyperlink w:anchor="__RefHeading___Toc3433046_1878427129">
            <w:r>
              <w:rPr>
                <w:webHidden/>
                <w:rStyle w:val="IndexLink"/>
                <w:rtl w:val="true"/>
              </w:rPr>
              <w:t>الأصل الثالث</w:t>
            </w:r>
            <w:r>
              <w:rPr>
                <w:rStyle w:val="IndexLink"/>
                <w:rtl w:val="true"/>
              </w:rPr>
              <w:t xml:space="preserve">: </w:t>
            </w:r>
            <w:r>
              <w:rPr>
                <w:rStyle w:val="IndexLink"/>
                <w:rtl w:val="true"/>
              </w:rPr>
              <w:t>أصالة الاحتياط</w:t>
            </w:r>
            <w:r>
              <w:rPr>
                <w:rStyle w:val="IndexLink"/>
                <w:rtl w:val="true"/>
              </w:rPr>
              <w:tab/>
            </w:r>
            <w:r>
              <w:rPr>
                <w:rStyle w:val="IndexLink"/>
              </w:rPr>
              <w:t>131</w:t>
            </w:r>
          </w:hyperlink>
        </w:p>
        <w:p>
          <w:pPr>
            <w:pStyle w:val="Contents5"/>
            <w:tabs>
              <w:tab w:val="clear" w:pos="7892"/>
              <w:tab w:val="right" w:pos="9026" w:leader="dot"/>
            </w:tabs>
            <w:rPr/>
          </w:pPr>
          <w:hyperlink w:anchor="__RefHeading___Toc3433048_1878427129">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3433050_1878427129">
            <w:r>
              <w:rPr>
                <w:webHidden/>
                <w:rStyle w:val="IndexLink"/>
                <w:rtl w:val="true"/>
              </w:rPr>
              <w:t>المقام الأوّل</w:t>
            </w:r>
            <w:r>
              <w:rPr>
                <w:rStyle w:val="IndexLink"/>
                <w:rtl w:val="true"/>
              </w:rPr>
              <w:t xml:space="preserve">: </w:t>
            </w:r>
            <w:r>
              <w:rPr>
                <w:rStyle w:val="IndexLink"/>
                <w:rtl w:val="true"/>
              </w:rPr>
              <w:t>أصالة الاحتياط الشبهة التحريمية</w:t>
            </w:r>
            <w:r>
              <w:rPr>
                <w:rStyle w:val="IndexLink"/>
                <w:rtl w:val="true"/>
              </w:rPr>
              <w:tab/>
            </w:r>
            <w:r>
              <w:rPr>
                <w:rStyle w:val="IndexLink"/>
              </w:rPr>
              <w:t>132</w:t>
            </w:r>
          </w:hyperlink>
        </w:p>
        <w:p>
          <w:pPr>
            <w:pStyle w:val="Contents6"/>
            <w:tabs>
              <w:tab w:val="clear" w:pos="7609"/>
              <w:tab w:val="right" w:pos="9026" w:leader="dot"/>
            </w:tabs>
            <w:rPr/>
          </w:pPr>
          <w:hyperlink w:anchor="__RefHeading___Toc3433052_1878427129">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3433054_1878427129">
            <w:r>
              <w:rPr>
                <w:webHidden/>
                <w:rStyle w:val="IndexLink"/>
                <w:rtl w:val="true"/>
              </w:rPr>
              <w:t>الكلام في هذا المقام في موردين</w:t>
            </w:r>
            <w:r>
              <w:rPr>
                <w:rStyle w:val="IndexLink"/>
                <w:rtl w:val="true"/>
              </w:rPr>
              <w:t>:</w:t>
              <w:tab/>
            </w:r>
            <w:r>
              <w:rPr>
                <w:rStyle w:val="IndexLink"/>
              </w:rPr>
              <w:t>132</w:t>
            </w:r>
          </w:hyperlink>
        </w:p>
        <w:p>
          <w:pPr>
            <w:pStyle w:val="Contents6"/>
            <w:tabs>
              <w:tab w:val="clear" w:pos="7609"/>
              <w:tab w:val="right" w:pos="9026" w:leader="dot"/>
            </w:tabs>
            <w:rPr/>
          </w:pPr>
          <w:hyperlink w:anchor="__RefHeading___Toc3433056_1878427129">
            <w:r>
              <w:rPr>
                <w:webHidden/>
                <w:rStyle w:val="IndexLink"/>
                <w:rtl w:val="true"/>
              </w:rPr>
              <w:t>المورد الأوّل</w:t>
            </w:r>
            <w:r>
              <w:rPr>
                <w:rStyle w:val="IndexLink"/>
                <w:rtl w:val="true"/>
              </w:rPr>
              <w:t xml:space="preserve">: </w:t>
            </w:r>
            <w:r>
              <w:rPr>
                <w:rStyle w:val="IndexLink"/>
                <w:rtl w:val="true"/>
              </w:rPr>
              <w:t>حكم الشبهة المحصورة</w:t>
            </w:r>
            <w:r>
              <w:rPr>
                <w:rStyle w:val="IndexLink"/>
                <w:rtl w:val="true"/>
              </w:rPr>
              <w:tab/>
            </w:r>
            <w:r>
              <w:rPr>
                <w:rStyle w:val="IndexLink"/>
              </w:rPr>
              <w:t>132</w:t>
            </w:r>
          </w:hyperlink>
        </w:p>
        <w:p>
          <w:pPr>
            <w:pStyle w:val="Contents6"/>
            <w:tabs>
              <w:tab w:val="clear" w:pos="7609"/>
              <w:tab w:val="right" w:pos="9026" w:leader="dot"/>
            </w:tabs>
            <w:rPr/>
          </w:pPr>
          <w:hyperlink w:anchor="__RefHeading___Toc3433058_1878427129">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3433060_1878427129">
            <w:r>
              <w:rPr>
                <w:webHidden/>
                <w:rStyle w:val="IndexLink"/>
                <w:rtl w:val="true"/>
              </w:rPr>
              <w:t>الأوّل</w:t>
            </w:r>
            <w:r>
              <w:rPr>
                <w:rStyle w:val="IndexLink"/>
                <w:rtl w:val="true"/>
              </w:rPr>
              <w:t xml:space="preserve">: </w:t>
            </w:r>
            <w:r>
              <w:rPr>
                <w:rStyle w:val="IndexLink"/>
                <w:rtl w:val="true"/>
              </w:rPr>
              <w:t>إمكان الترخيص</w:t>
            </w:r>
            <w:r>
              <w:rPr>
                <w:rStyle w:val="IndexLink"/>
                <w:rtl w:val="true"/>
              </w:rPr>
              <w:tab/>
            </w:r>
            <w:r>
              <w:rPr>
                <w:rStyle w:val="IndexLink"/>
              </w:rPr>
              <w:t>133</w:t>
            </w:r>
          </w:hyperlink>
        </w:p>
        <w:p>
          <w:pPr>
            <w:pStyle w:val="Contents6"/>
            <w:tabs>
              <w:tab w:val="clear" w:pos="7609"/>
              <w:tab w:val="right" w:pos="9026" w:leader="dot"/>
            </w:tabs>
            <w:rPr/>
          </w:pPr>
          <w:hyperlink w:anchor="__RefHeading___Toc3433062_1878427129">
            <w:r>
              <w:rPr>
                <w:webHidden/>
                <w:rStyle w:val="IndexLink"/>
                <w:rtl w:val="true"/>
              </w:rPr>
              <w:t>الثاني</w:t>
            </w:r>
            <w:r>
              <w:rPr>
                <w:rStyle w:val="IndexLink"/>
                <w:rtl w:val="true"/>
              </w:rPr>
              <w:t xml:space="preserve">: </w:t>
            </w:r>
            <w:r>
              <w:rPr>
                <w:rStyle w:val="IndexLink"/>
                <w:rtl w:val="true"/>
              </w:rPr>
              <w:t>ورود الترخيص في لسان الشارع</w:t>
            </w:r>
            <w:r>
              <w:rPr>
                <w:rStyle w:val="IndexLink"/>
                <w:rtl w:val="true"/>
              </w:rPr>
              <w:tab/>
            </w:r>
            <w:r>
              <w:rPr>
                <w:rStyle w:val="IndexLink"/>
              </w:rPr>
              <w:t>134</w:t>
            </w:r>
          </w:hyperlink>
        </w:p>
        <w:p>
          <w:pPr>
            <w:pStyle w:val="Contents6"/>
            <w:tabs>
              <w:tab w:val="clear" w:pos="7609"/>
              <w:tab w:val="right" w:pos="9026" w:leader="dot"/>
            </w:tabs>
            <w:rPr/>
          </w:pPr>
          <w:hyperlink w:anchor="__RefHeading___Toc3433064_1878427129">
            <w:r>
              <w:rPr>
                <w:webHidden/>
                <w:rStyle w:val="IndexLink"/>
                <w:rtl w:val="true"/>
              </w:rPr>
              <w:t>المورد الثاني</w:t>
            </w:r>
            <w:r>
              <w:rPr>
                <w:rStyle w:val="IndexLink"/>
                <w:rtl w:val="true"/>
              </w:rPr>
              <w:t xml:space="preserve">: </w:t>
            </w:r>
            <w:r>
              <w:rPr>
                <w:rStyle w:val="IndexLink"/>
                <w:rtl w:val="true"/>
              </w:rPr>
              <w:t>حكم الشبهة غير المحصورة</w:t>
            </w:r>
            <w:r>
              <w:rPr>
                <w:rStyle w:val="IndexLink"/>
                <w:rtl w:val="true"/>
              </w:rPr>
              <w:tab/>
            </w:r>
            <w:r>
              <w:rPr>
                <w:rStyle w:val="IndexLink"/>
              </w:rPr>
              <w:t>135</w:t>
            </w:r>
          </w:hyperlink>
        </w:p>
        <w:p>
          <w:pPr>
            <w:pStyle w:val="Contents6"/>
            <w:tabs>
              <w:tab w:val="clear" w:pos="7609"/>
              <w:tab w:val="right" w:pos="9026" w:leader="dot"/>
            </w:tabs>
            <w:rPr/>
          </w:pPr>
          <w:hyperlink w:anchor="__RefHeading___Toc3433066_1878427129">
            <w:r>
              <w:rPr>
                <w:webHidden/>
                <w:rStyle w:val="IndexLink"/>
                <w:rtl w:val="true"/>
              </w:rPr>
              <w:t>تنبيهات</w:t>
            </w:r>
            <w:r>
              <w:rPr>
                <w:rStyle w:val="IndexLink"/>
                <w:rtl w:val="true"/>
              </w:rPr>
              <w:tab/>
            </w:r>
            <w:r>
              <w:rPr>
                <w:rStyle w:val="IndexLink"/>
              </w:rPr>
              <w:t>137</w:t>
            </w:r>
          </w:hyperlink>
        </w:p>
        <w:p>
          <w:pPr>
            <w:pStyle w:val="Contents6"/>
            <w:tabs>
              <w:tab w:val="clear" w:pos="7609"/>
              <w:tab w:val="right" w:pos="9026" w:leader="dot"/>
            </w:tabs>
            <w:rPr/>
          </w:pPr>
          <w:hyperlink w:anchor="__RefHeading___Toc3433068_1878427129">
            <w:r>
              <w:rPr>
                <w:webHidden/>
                <w:rStyle w:val="IndexLink"/>
                <w:rtl w:val="true"/>
              </w:rPr>
              <w:t>التنبيه الأوّل</w:t>
            </w:r>
            <w:r>
              <w:rPr>
                <w:rStyle w:val="IndexLink"/>
                <w:rtl w:val="true"/>
              </w:rPr>
              <w:t xml:space="preserve">: </w:t>
            </w:r>
            <w:r>
              <w:rPr>
                <w:rStyle w:val="IndexLink"/>
                <w:rtl w:val="true"/>
              </w:rPr>
              <w:t>تنجيز العلم الإجمالي في التدريجيات</w:t>
            </w:r>
            <w:r>
              <w:rPr>
                <w:rStyle w:val="IndexLink"/>
                <w:rtl w:val="true"/>
              </w:rPr>
              <w:tab/>
            </w:r>
            <w:r>
              <w:rPr>
                <w:rStyle w:val="IndexLink"/>
              </w:rPr>
              <w:t>137</w:t>
            </w:r>
          </w:hyperlink>
        </w:p>
        <w:p>
          <w:pPr>
            <w:pStyle w:val="Contents6"/>
            <w:tabs>
              <w:tab w:val="clear" w:pos="7609"/>
              <w:tab w:val="right" w:pos="9026" w:leader="dot"/>
            </w:tabs>
            <w:rPr/>
          </w:pPr>
          <w:hyperlink w:anchor="__RefHeading___Toc3433070_1878427129">
            <w:r>
              <w:rPr>
                <w:webHidden/>
                <w:rStyle w:val="IndexLink"/>
                <w:rtl w:val="true"/>
              </w:rPr>
              <w:t>التنبيه الثاني</w:t>
            </w:r>
            <w:r>
              <w:rPr>
                <w:rStyle w:val="IndexLink"/>
                <w:rtl w:val="true"/>
              </w:rPr>
              <w:t xml:space="preserve">: </w:t>
            </w:r>
            <w:r>
              <w:rPr>
                <w:rStyle w:val="IndexLink"/>
                <w:rtl w:val="true"/>
              </w:rPr>
              <w:t>تنجيز العلم الإجمالي إذا تعلّق بحقيقتين</w:t>
            </w:r>
            <w:r>
              <w:rPr>
                <w:rStyle w:val="IndexLink"/>
                <w:rtl w:val="true"/>
              </w:rPr>
              <w:tab/>
            </w:r>
            <w:r>
              <w:rPr>
                <w:rStyle w:val="IndexLink"/>
              </w:rPr>
              <w:t>137</w:t>
            </w:r>
          </w:hyperlink>
        </w:p>
        <w:p>
          <w:pPr>
            <w:pStyle w:val="Contents6"/>
            <w:tabs>
              <w:tab w:val="clear" w:pos="7609"/>
              <w:tab w:val="right" w:pos="9026" w:leader="dot"/>
            </w:tabs>
            <w:rPr/>
          </w:pPr>
          <w:hyperlink w:anchor="__RefHeading___Toc3433072_1878427129">
            <w:r>
              <w:rPr>
                <w:webHidden/>
                <w:rStyle w:val="IndexLink"/>
                <w:rtl w:val="true"/>
              </w:rPr>
              <w:t>التنبيه الثالث</w:t>
            </w:r>
            <w:r>
              <w:rPr>
                <w:rStyle w:val="IndexLink"/>
                <w:rtl w:val="true"/>
              </w:rPr>
              <w:t xml:space="preserve">: </w:t>
            </w:r>
            <w:r>
              <w:rPr>
                <w:rStyle w:val="IndexLink"/>
                <w:rtl w:val="true"/>
              </w:rPr>
              <w:t>شرط التنجيز كونه محدثاً للتكليف على كلّ تقدير</w:t>
            </w:r>
            <w:r>
              <w:rPr>
                <w:rStyle w:val="IndexLink"/>
                <w:rtl w:val="true"/>
              </w:rPr>
              <w:tab/>
            </w:r>
            <w:r>
              <w:rPr>
                <w:rStyle w:val="IndexLink"/>
              </w:rPr>
              <w:t>137</w:t>
            </w:r>
          </w:hyperlink>
        </w:p>
        <w:p>
          <w:pPr>
            <w:pStyle w:val="Contents6"/>
            <w:tabs>
              <w:tab w:val="clear" w:pos="7609"/>
              <w:tab w:val="right" w:pos="9026" w:leader="dot"/>
            </w:tabs>
            <w:rPr/>
          </w:pPr>
          <w:hyperlink w:anchor="__RefHeading___Toc3433074_1878427129">
            <w:r>
              <w:rPr>
                <w:webHidden/>
                <w:rStyle w:val="IndexLink"/>
                <w:rtl w:val="true"/>
              </w:rPr>
              <w:t>التنبيه الرابع</w:t>
            </w:r>
            <w:r>
              <w:rPr>
                <w:rStyle w:val="IndexLink"/>
                <w:rtl w:val="true"/>
              </w:rPr>
              <w:t xml:space="preserve">: </w:t>
            </w:r>
            <w:r>
              <w:rPr>
                <w:rStyle w:val="IndexLink"/>
                <w:rtl w:val="true"/>
              </w:rPr>
              <w:t>حكم خروج أحد الطرفين عن محلّ الابتلاء قبل العلم</w:t>
            </w:r>
            <w:r>
              <w:rPr>
                <w:rStyle w:val="IndexLink"/>
                <w:rtl w:val="true"/>
              </w:rPr>
              <w:tab/>
            </w:r>
            <w:r>
              <w:rPr>
                <w:rStyle w:val="IndexLink"/>
              </w:rPr>
              <w:t>139</w:t>
            </w:r>
          </w:hyperlink>
        </w:p>
        <w:p>
          <w:pPr>
            <w:pStyle w:val="Contents6"/>
            <w:tabs>
              <w:tab w:val="clear" w:pos="7609"/>
              <w:tab w:val="right" w:pos="9026" w:leader="dot"/>
            </w:tabs>
            <w:rPr/>
          </w:pPr>
          <w:hyperlink w:anchor="__RefHeading___Toc3433076_1878427129">
            <w:r>
              <w:rPr>
                <w:webHidden/>
                <w:rStyle w:val="IndexLink"/>
                <w:rtl w:val="true"/>
              </w:rPr>
              <w:t>التنبيه الخامس</w:t>
            </w:r>
            <w:r>
              <w:rPr>
                <w:rStyle w:val="IndexLink"/>
                <w:rtl w:val="true"/>
              </w:rPr>
              <w:t xml:space="preserve">: </w:t>
            </w:r>
            <w:r>
              <w:rPr>
                <w:rStyle w:val="IndexLink"/>
                <w:rtl w:val="true"/>
              </w:rPr>
              <w:t>الاضطرار إلى بعض الأطراف</w:t>
            </w:r>
            <w:r>
              <w:rPr>
                <w:rStyle w:val="IndexLink"/>
                <w:rtl w:val="true"/>
              </w:rPr>
              <w:tab/>
            </w:r>
            <w:r>
              <w:rPr>
                <w:rStyle w:val="IndexLink"/>
              </w:rPr>
              <w:t>140</w:t>
            </w:r>
          </w:hyperlink>
        </w:p>
        <w:p>
          <w:pPr>
            <w:pStyle w:val="Contents6"/>
            <w:tabs>
              <w:tab w:val="clear" w:pos="7609"/>
              <w:tab w:val="right" w:pos="9026" w:leader="dot"/>
            </w:tabs>
            <w:rPr/>
          </w:pPr>
          <w:hyperlink w:anchor="__RefHeading___Toc3433078_1878427129">
            <w:r>
              <w:rPr>
                <w:webHidden/>
                <w:rStyle w:val="IndexLink"/>
                <w:rtl w:val="true"/>
              </w:rPr>
              <w:t>التنبيه السادس</w:t>
            </w:r>
            <w:r>
              <w:rPr>
                <w:rStyle w:val="IndexLink"/>
                <w:rtl w:val="true"/>
              </w:rPr>
              <w:t xml:space="preserve">: </w:t>
            </w:r>
            <w:r>
              <w:rPr>
                <w:rStyle w:val="IndexLink"/>
                <w:rtl w:val="true"/>
              </w:rPr>
              <w:t>حكم ملاقي أحد الأطراف</w:t>
            </w:r>
            <w:r>
              <w:rPr>
                <w:rStyle w:val="IndexLink"/>
                <w:rtl w:val="true"/>
              </w:rPr>
              <w:tab/>
            </w:r>
            <w:r>
              <w:rPr>
                <w:rStyle w:val="IndexLink"/>
              </w:rPr>
              <w:t>142</w:t>
            </w:r>
          </w:hyperlink>
        </w:p>
        <w:p>
          <w:pPr>
            <w:pStyle w:val="Contents6"/>
            <w:tabs>
              <w:tab w:val="clear" w:pos="7609"/>
              <w:tab w:val="right" w:pos="9026" w:leader="dot"/>
            </w:tabs>
            <w:rPr/>
          </w:pPr>
          <w:hyperlink w:anchor="__RefHeading___Toc3433080_1878427129">
            <w:r>
              <w:rPr>
                <w:webHidden/>
                <w:rStyle w:val="IndexLink"/>
                <w:rtl w:val="true"/>
              </w:rPr>
              <w:t>اشارة</w:t>
            </w:r>
            <w:r>
              <w:rPr>
                <w:rStyle w:val="IndexLink"/>
                <w:rtl w:val="true"/>
              </w:rPr>
              <w:tab/>
            </w:r>
            <w:r>
              <w:rPr>
                <w:rStyle w:val="IndexLink"/>
              </w:rPr>
              <w:t>142</w:t>
            </w:r>
          </w:hyperlink>
        </w:p>
        <w:p>
          <w:pPr>
            <w:pStyle w:val="Contents6"/>
            <w:tabs>
              <w:tab w:val="clear" w:pos="7609"/>
              <w:tab w:val="right" w:pos="9026" w:leader="dot"/>
            </w:tabs>
            <w:rPr/>
          </w:pPr>
          <w:hyperlink w:anchor="__RefHeading___Toc3433082_1878427129">
            <w:r>
              <w:rPr>
                <w:webHidden/>
                <w:rStyle w:val="IndexLink"/>
                <w:rtl w:val="true"/>
              </w:rPr>
              <w:t>ادلّة الطرفين</w:t>
            </w:r>
            <w:r>
              <w:rPr>
                <w:rStyle w:val="IndexLink"/>
                <w:rtl w:val="true"/>
              </w:rPr>
              <w:tab/>
            </w:r>
            <w:r>
              <w:rPr>
                <w:rStyle w:val="IndexLink"/>
              </w:rPr>
              <w:t>143</w:t>
            </w:r>
          </w:hyperlink>
        </w:p>
        <w:p>
          <w:pPr>
            <w:pStyle w:val="Contents4"/>
            <w:tabs>
              <w:tab w:val="clear" w:pos="8176"/>
              <w:tab w:val="right" w:pos="9026" w:leader="dot"/>
            </w:tabs>
            <w:rPr/>
          </w:pPr>
          <w:hyperlink w:anchor="__RefHeading___Toc3433084_1878427129">
            <w:r>
              <w:rPr>
                <w:webHidden/>
                <w:rStyle w:val="IndexLink"/>
                <w:rtl w:val="true"/>
              </w:rPr>
              <w:t>المقام الثاني</w:t>
            </w:r>
            <w:r>
              <w:rPr>
                <w:rStyle w:val="IndexLink"/>
                <w:rtl w:val="true"/>
              </w:rPr>
              <w:t xml:space="preserve">: </w:t>
            </w:r>
            <w:r>
              <w:rPr>
                <w:rStyle w:val="IndexLink"/>
                <w:rtl w:val="true"/>
              </w:rPr>
              <w:t>أصالة الاحتياط الشبهة الوجوبية</w:t>
            </w:r>
            <w:r>
              <w:rPr>
                <w:rStyle w:val="IndexLink"/>
                <w:rtl w:val="true"/>
              </w:rPr>
              <w:tab/>
            </w:r>
            <w:r>
              <w:rPr>
                <w:rStyle w:val="IndexLink"/>
              </w:rPr>
              <w:t>145</w:t>
            </w:r>
          </w:hyperlink>
        </w:p>
        <w:p>
          <w:pPr>
            <w:pStyle w:val="Contents5"/>
            <w:tabs>
              <w:tab w:val="clear" w:pos="7892"/>
              <w:tab w:val="right" w:pos="9026" w:leader="dot"/>
            </w:tabs>
            <w:rPr/>
          </w:pPr>
          <w:hyperlink w:anchor="__RefHeading___Toc3433086_1878427129">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3433088_1878427129">
            <w:r>
              <w:rPr>
                <w:webHidden/>
                <w:rStyle w:val="IndexLink"/>
                <w:rtl w:val="true"/>
              </w:rPr>
              <w:t>تنبيهات</w:t>
            </w:r>
            <w:r>
              <w:rPr>
                <w:rStyle w:val="IndexLink"/>
                <w:rtl w:val="true"/>
              </w:rPr>
              <w:tab/>
            </w:r>
            <w:r>
              <w:rPr>
                <w:rStyle w:val="IndexLink"/>
              </w:rPr>
              <w:t>149</w:t>
            </w:r>
          </w:hyperlink>
        </w:p>
        <w:p>
          <w:pPr>
            <w:pStyle w:val="Contents6"/>
            <w:tabs>
              <w:tab w:val="clear" w:pos="7609"/>
              <w:tab w:val="right" w:pos="9026" w:leader="dot"/>
            </w:tabs>
            <w:rPr/>
          </w:pPr>
          <w:hyperlink w:anchor="__RefHeading___Toc3433090_1878427129">
            <w:r>
              <w:rPr>
                <w:webHidden/>
                <w:rStyle w:val="IndexLink"/>
                <w:rtl w:val="true"/>
              </w:rPr>
              <w:t>التنبيه الأوّل</w:t>
            </w:r>
            <w:r>
              <w:rPr>
                <w:rStyle w:val="IndexLink"/>
                <w:rtl w:val="true"/>
              </w:rPr>
              <w:t xml:space="preserve">: </w:t>
            </w:r>
            <w:r>
              <w:rPr>
                <w:rStyle w:val="IndexLink"/>
                <w:rtl w:val="true"/>
              </w:rPr>
              <w:t>حكم النقيصة السهوية</w:t>
            </w:r>
            <w:r>
              <w:rPr>
                <w:rStyle w:val="IndexLink"/>
                <w:rtl w:val="true"/>
              </w:rPr>
              <w:tab/>
            </w:r>
            <w:r>
              <w:rPr>
                <w:rStyle w:val="IndexLink"/>
              </w:rPr>
              <w:t>149</w:t>
            </w:r>
          </w:hyperlink>
        </w:p>
        <w:p>
          <w:pPr>
            <w:pStyle w:val="Contents6"/>
            <w:tabs>
              <w:tab w:val="clear" w:pos="7609"/>
              <w:tab w:val="right" w:pos="9026" w:leader="dot"/>
            </w:tabs>
            <w:rPr/>
          </w:pPr>
          <w:hyperlink w:anchor="__RefHeading___Toc3433092_1878427129">
            <w:r>
              <w:rPr>
                <w:webHidden/>
                <w:rStyle w:val="IndexLink"/>
                <w:rtl w:val="true"/>
              </w:rPr>
              <w:t>التنبيه الثاني</w:t>
            </w:r>
            <w:r>
              <w:rPr>
                <w:rStyle w:val="IndexLink"/>
                <w:rtl w:val="true"/>
              </w:rPr>
              <w:t xml:space="preserve">: </w:t>
            </w:r>
            <w:r>
              <w:rPr>
                <w:rStyle w:val="IndexLink"/>
                <w:rtl w:val="true"/>
              </w:rPr>
              <w:t>تعذّر الإتيان ببعض الأجزاء</w:t>
            </w:r>
            <w:r>
              <w:rPr>
                <w:rStyle w:val="IndexLink"/>
                <w:rtl w:val="true"/>
              </w:rPr>
              <w:tab/>
            </w:r>
            <w:r>
              <w:rPr>
                <w:rStyle w:val="IndexLink"/>
              </w:rPr>
              <w:t>151</w:t>
            </w:r>
          </w:hyperlink>
        </w:p>
        <w:p>
          <w:pPr>
            <w:pStyle w:val="Contents6"/>
            <w:tabs>
              <w:tab w:val="clear" w:pos="7609"/>
              <w:tab w:val="right" w:pos="9026" w:leader="dot"/>
            </w:tabs>
            <w:rPr/>
          </w:pPr>
          <w:hyperlink w:anchor="__RefHeading___Toc3433094_1878427129">
            <w:r>
              <w:rPr>
                <w:webHidden/>
                <w:rStyle w:val="IndexLink"/>
                <w:rtl w:val="true"/>
              </w:rPr>
              <w:t>اشارة</w:t>
            </w:r>
            <w:r>
              <w:rPr>
                <w:rStyle w:val="IndexLink"/>
                <w:rtl w:val="true"/>
              </w:rPr>
              <w:tab/>
            </w:r>
            <w:r>
              <w:rPr>
                <w:rStyle w:val="IndexLink"/>
              </w:rPr>
              <w:t>151</w:t>
            </w:r>
          </w:hyperlink>
        </w:p>
        <w:p>
          <w:pPr>
            <w:pStyle w:val="Contents6"/>
            <w:tabs>
              <w:tab w:val="clear" w:pos="7609"/>
              <w:tab w:val="right" w:pos="9026" w:leader="dot"/>
            </w:tabs>
            <w:rPr/>
          </w:pPr>
          <w:hyperlink w:anchor="__RefHeading___Toc3433096_1878427129">
            <w:r>
              <w:rPr>
                <w:webHidden/>
                <w:rStyle w:val="IndexLink"/>
                <w:rtl w:val="true"/>
              </w:rPr>
              <w:t>قاعدة الميسور</w:t>
            </w:r>
            <w:r>
              <w:rPr>
                <w:rStyle w:val="IndexLink"/>
                <w:rtl w:val="true"/>
              </w:rPr>
              <w:tab/>
            </w:r>
            <w:r>
              <w:rPr>
                <w:rStyle w:val="IndexLink"/>
              </w:rPr>
              <w:t>152</w:t>
            </w:r>
          </w:hyperlink>
        </w:p>
        <w:p>
          <w:pPr>
            <w:pStyle w:val="Contents6"/>
            <w:tabs>
              <w:tab w:val="clear" w:pos="7609"/>
              <w:tab w:val="right" w:pos="9026" w:leader="dot"/>
            </w:tabs>
            <w:rPr/>
          </w:pPr>
          <w:hyperlink w:anchor="__RefHeading___Toc3433098_1878427129">
            <w:r>
              <w:rPr>
                <w:webHidden/>
                <w:rStyle w:val="IndexLink"/>
                <w:rtl w:val="true"/>
              </w:rPr>
              <w:t>التنبيه الثالث</w:t>
            </w:r>
            <w:r>
              <w:rPr>
                <w:rStyle w:val="IndexLink"/>
                <w:rtl w:val="true"/>
              </w:rPr>
              <w:t xml:space="preserve">: </w:t>
            </w:r>
            <w:r>
              <w:rPr>
                <w:rStyle w:val="IndexLink"/>
                <w:rtl w:val="true"/>
              </w:rPr>
              <w:t>حكم الزيادة السهوية</w:t>
            </w:r>
            <w:r>
              <w:rPr>
                <w:rStyle w:val="IndexLink"/>
                <w:rtl w:val="true"/>
              </w:rPr>
              <w:tab/>
            </w:r>
            <w:r>
              <w:rPr>
                <w:rStyle w:val="IndexLink"/>
              </w:rPr>
              <w:t>153</w:t>
            </w:r>
          </w:hyperlink>
        </w:p>
        <w:p>
          <w:pPr>
            <w:pStyle w:val="Contents6"/>
            <w:tabs>
              <w:tab w:val="clear" w:pos="7609"/>
              <w:tab w:val="right" w:pos="9026" w:leader="dot"/>
            </w:tabs>
            <w:rPr/>
          </w:pPr>
          <w:hyperlink w:anchor="__RefHeading___Toc3433100_1878427129">
            <w:r>
              <w:rPr>
                <w:webHidden/>
                <w:rStyle w:val="IndexLink"/>
                <w:rtl w:val="true"/>
              </w:rPr>
              <w:t>التنبيه الرابع</w:t>
            </w:r>
            <w:r>
              <w:rPr>
                <w:rStyle w:val="IndexLink"/>
                <w:rtl w:val="true"/>
              </w:rPr>
              <w:t xml:space="preserve">: </w:t>
            </w:r>
            <w:r>
              <w:rPr>
                <w:rStyle w:val="IndexLink"/>
                <w:rtl w:val="true"/>
              </w:rPr>
              <w:t>دوران الأمر بين شرطية شيء و مانعيته أو قاطعيته</w:t>
            </w:r>
            <w:r>
              <w:rPr>
                <w:rStyle w:val="IndexLink"/>
                <w:rtl w:val="true"/>
              </w:rPr>
              <w:tab/>
            </w:r>
            <w:r>
              <w:rPr>
                <w:rStyle w:val="IndexLink"/>
              </w:rPr>
              <w:t>154</w:t>
            </w:r>
          </w:hyperlink>
        </w:p>
        <w:p>
          <w:pPr>
            <w:pStyle w:val="Contents3"/>
            <w:tabs>
              <w:tab w:val="clear" w:pos="8459"/>
              <w:tab w:val="right" w:pos="9026" w:leader="dot"/>
            </w:tabs>
            <w:rPr/>
          </w:pPr>
          <w:hyperlink w:anchor="__RefHeading___Toc3433102_1878427129">
            <w:r>
              <w:rPr>
                <w:webHidden/>
                <w:rStyle w:val="IndexLink"/>
                <w:rtl w:val="true"/>
              </w:rPr>
              <w:t>خاتمة</w:t>
            </w:r>
            <w:r>
              <w:rPr>
                <w:rStyle w:val="IndexLink"/>
                <w:rtl w:val="true"/>
              </w:rPr>
              <w:t xml:space="preserve">: </w:t>
            </w:r>
            <w:r>
              <w:rPr>
                <w:rStyle w:val="IndexLink"/>
                <w:rtl w:val="true"/>
              </w:rPr>
              <w:t>في شرائط العمل بالاحتياط و البراءة</w:t>
            </w:r>
            <w:r>
              <w:rPr>
                <w:rStyle w:val="IndexLink"/>
                <w:rtl w:val="true"/>
              </w:rPr>
              <w:tab/>
            </w:r>
            <w:r>
              <w:rPr>
                <w:rStyle w:val="IndexLink"/>
              </w:rPr>
              <w:t>154</w:t>
            </w:r>
          </w:hyperlink>
        </w:p>
        <w:p>
          <w:pPr>
            <w:pStyle w:val="Contents4"/>
            <w:tabs>
              <w:tab w:val="clear" w:pos="8176"/>
              <w:tab w:val="right" w:pos="9026" w:leader="dot"/>
            </w:tabs>
            <w:rPr/>
          </w:pPr>
          <w:hyperlink w:anchor="__RefHeading___Toc3433104_1878427129">
            <w:r>
              <w:rPr>
                <w:webHidden/>
                <w:rStyle w:val="IndexLink"/>
                <w:rtl w:val="true"/>
              </w:rPr>
              <w:t>اشارة</w:t>
            </w:r>
            <w:r>
              <w:rPr>
                <w:rStyle w:val="IndexLink"/>
                <w:rtl w:val="true"/>
              </w:rPr>
              <w:tab/>
            </w:r>
            <w:r>
              <w:rPr>
                <w:rStyle w:val="IndexLink"/>
              </w:rPr>
              <w:t>154</w:t>
            </w:r>
          </w:hyperlink>
        </w:p>
        <w:p>
          <w:pPr>
            <w:pStyle w:val="Contents4"/>
            <w:tabs>
              <w:tab w:val="clear" w:pos="8176"/>
              <w:tab w:val="right" w:pos="9026" w:leader="dot"/>
            </w:tabs>
            <w:rPr/>
          </w:pPr>
          <w:hyperlink w:anchor="__RefHeading___Toc3433106_1878427129">
            <w:r>
              <w:rPr>
                <w:webHidden/>
                <w:rStyle w:val="IndexLink"/>
                <w:rtl w:val="true"/>
              </w:rPr>
              <w:t>أصل الاحتياط و شروط جريانه</w:t>
            </w:r>
            <w:r>
              <w:rPr>
                <w:rStyle w:val="IndexLink"/>
                <w:rtl w:val="true"/>
              </w:rPr>
              <w:tab/>
            </w:r>
            <w:r>
              <w:rPr>
                <w:rStyle w:val="IndexLink"/>
              </w:rPr>
              <w:t>155</w:t>
            </w:r>
          </w:hyperlink>
        </w:p>
        <w:p>
          <w:pPr>
            <w:pStyle w:val="Contents4"/>
            <w:tabs>
              <w:tab w:val="clear" w:pos="8176"/>
              <w:tab w:val="right" w:pos="9026" w:leader="dot"/>
            </w:tabs>
            <w:rPr/>
          </w:pPr>
          <w:hyperlink w:anchor="__RefHeading___Toc3433108_1878427129">
            <w:r>
              <w:rPr>
                <w:webHidden/>
                <w:rStyle w:val="IndexLink"/>
                <w:rtl w:val="true"/>
              </w:rPr>
              <w:t>أصل البراءة و شرط جريانه</w:t>
            </w:r>
            <w:r>
              <w:rPr>
                <w:rStyle w:val="IndexLink"/>
                <w:rtl w:val="true"/>
              </w:rPr>
              <w:tab/>
            </w:r>
            <w:r>
              <w:rPr>
                <w:rStyle w:val="IndexLink"/>
              </w:rPr>
              <w:t>155</w:t>
            </w:r>
          </w:hyperlink>
        </w:p>
        <w:p>
          <w:pPr>
            <w:pStyle w:val="Contents5"/>
            <w:tabs>
              <w:tab w:val="clear" w:pos="7892"/>
              <w:tab w:val="right" w:pos="9026" w:leader="dot"/>
            </w:tabs>
            <w:rPr/>
          </w:pPr>
          <w:hyperlink w:anchor="__RefHeading___Toc3433110_1878427129">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3433112_1878427129">
            <w:r>
              <w:rPr>
                <w:webHidden/>
                <w:rStyle w:val="IndexLink"/>
                <w:rtl w:val="true"/>
              </w:rPr>
              <w:t>صحّة عمل تارك الفحص و عدمها</w:t>
            </w:r>
            <w:r>
              <w:rPr>
                <w:rStyle w:val="IndexLink"/>
                <w:rtl w:val="true"/>
              </w:rPr>
              <w:tab/>
            </w:r>
            <w:r>
              <w:rPr>
                <w:rStyle w:val="IndexLink"/>
              </w:rPr>
              <w:t>156</w:t>
            </w:r>
          </w:hyperlink>
        </w:p>
        <w:p>
          <w:pPr>
            <w:pStyle w:val="Contents2"/>
            <w:tabs>
              <w:tab w:val="clear" w:pos="8743"/>
              <w:tab w:val="right" w:pos="9026" w:leader="dot"/>
            </w:tabs>
            <w:rPr/>
          </w:pPr>
          <w:hyperlink w:anchor="__RefHeading___Toc3433114_1878427129">
            <w:r>
              <w:rPr>
                <w:webHidden/>
                <w:rStyle w:val="IndexLink"/>
                <w:rtl w:val="true"/>
              </w:rPr>
              <w:t>الأصل الرابع</w:t>
            </w:r>
            <w:r>
              <w:rPr>
                <w:rStyle w:val="IndexLink"/>
                <w:rtl w:val="true"/>
              </w:rPr>
              <w:t xml:space="preserve">: </w:t>
            </w:r>
            <w:r>
              <w:rPr>
                <w:rStyle w:val="IndexLink"/>
                <w:rtl w:val="true"/>
              </w:rPr>
              <w:t>الاستصحاب</w:t>
            </w:r>
            <w:r>
              <w:rPr>
                <w:rStyle w:val="IndexLink"/>
                <w:rtl w:val="true"/>
              </w:rPr>
              <w:tab/>
            </w:r>
            <w:r>
              <w:rPr>
                <w:rStyle w:val="IndexLink"/>
              </w:rPr>
              <w:t>158</w:t>
            </w:r>
          </w:hyperlink>
        </w:p>
        <w:p>
          <w:pPr>
            <w:pStyle w:val="Contents3"/>
            <w:tabs>
              <w:tab w:val="clear" w:pos="8459"/>
              <w:tab w:val="right" w:pos="9026" w:leader="dot"/>
            </w:tabs>
            <w:rPr/>
          </w:pPr>
          <w:hyperlink w:anchor="__RefHeading___Toc3433116_1878427129">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3433118_1878427129">
            <w:r>
              <w:rPr>
                <w:webHidden/>
                <w:rStyle w:val="IndexLink"/>
                <w:rtl w:val="true"/>
              </w:rPr>
              <w:t>و قبل الخوض في المقصود نقدّم أُموراً</w:t>
            </w:r>
            <w:r>
              <w:rPr>
                <w:rStyle w:val="IndexLink"/>
                <w:rtl w:val="true"/>
              </w:rPr>
              <w:t>:</w:t>
              <w:tab/>
            </w:r>
            <w:r>
              <w:rPr>
                <w:rStyle w:val="IndexLink"/>
              </w:rPr>
              <w:t>158</w:t>
            </w:r>
          </w:hyperlink>
        </w:p>
        <w:p>
          <w:pPr>
            <w:pStyle w:val="Contents4"/>
            <w:tabs>
              <w:tab w:val="clear" w:pos="8176"/>
              <w:tab w:val="right" w:pos="9026" w:leader="dot"/>
            </w:tabs>
            <w:rPr/>
          </w:pPr>
          <w:hyperlink w:anchor="__RefHeading___Toc3433120_1878427129">
            <w:r>
              <w:rPr>
                <w:webHidden/>
                <w:rStyle w:val="IndexLink"/>
                <w:rtl w:val="true"/>
              </w:rPr>
              <w:t>الأوّل</w:t>
            </w:r>
            <w:r>
              <w:rPr>
                <w:rStyle w:val="IndexLink"/>
                <w:rtl w:val="true"/>
              </w:rPr>
              <w:t xml:space="preserve">: </w:t>
            </w:r>
            <w:r>
              <w:rPr>
                <w:rStyle w:val="IndexLink"/>
                <w:rtl w:val="true"/>
              </w:rPr>
              <w:t>الاستصحاب في اللغة</w:t>
            </w:r>
            <w:r>
              <w:rPr>
                <w:rStyle w:val="IndexLink"/>
                <w:rtl w:val="true"/>
              </w:rPr>
              <w:tab/>
            </w:r>
            <w:r>
              <w:rPr>
                <w:rStyle w:val="IndexLink"/>
              </w:rPr>
              <w:t>158</w:t>
            </w:r>
          </w:hyperlink>
        </w:p>
        <w:p>
          <w:pPr>
            <w:pStyle w:val="Contents4"/>
            <w:tabs>
              <w:tab w:val="clear" w:pos="8176"/>
              <w:tab w:val="right" w:pos="9026" w:leader="dot"/>
            </w:tabs>
            <w:rPr/>
          </w:pPr>
          <w:hyperlink w:anchor="__RefHeading___Toc3433122_1878427129">
            <w:r>
              <w:rPr>
                <w:webHidden/>
                <w:rStyle w:val="IndexLink"/>
                <w:rtl w:val="true"/>
              </w:rPr>
              <w:t>الثاني</w:t>
            </w:r>
            <w:r>
              <w:rPr>
                <w:rStyle w:val="IndexLink"/>
                <w:rtl w:val="true"/>
              </w:rPr>
              <w:t xml:space="preserve">: </w:t>
            </w:r>
            <w:r>
              <w:rPr>
                <w:rStyle w:val="IndexLink"/>
                <w:rtl w:val="true"/>
              </w:rPr>
              <w:t>الاستصحاب مسألة أُصولية لا قاعدة فقهية،</w:t>
            </w:r>
            <w:r>
              <w:rPr>
                <w:rStyle w:val="IndexLink"/>
                <w:rtl w:val="true"/>
              </w:rPr>
              <w:tab/>
            </w:r>
            <w:r>
              <w:rPr>
                <w:rStyle w:val="IndexLink"/>
              </w:rPr>
              <w:t>159</w:t>
            </w:r>
          </w:hyperlink>
        </w:p>
        <w:p>
          <w:pPr>
            <w:pStyle w:val="Contents4"/>
            <w:tabs>
              <w:tab w:val="clear" w:pos="8176"/>
              <w:tab w:val="right" w:pos="9026" w:leader="dot"/>
            </w:tabs>
            <w:rPr/>
          </w:pPr>
          <w:hyperlink w:anchor="__RefHeading___Toc3433124_1878427129">
            <w:r>
              <w:rPr>
                <w:webHidden/>
                <w:rStyle w:val="IndexLink"/>
                <w:rtl w:val="true"/>
              </w:rPr>
              <w:t>الثالث</w:t>
            </w:r>
            <w:r>
              <w:rPr>
                <w:rStyle w:val="IndexLink"/>
                <w:rtl w:val="true"/>
              </w:rPr>
              <w:t xml:space="preserve">: </w:t>
            </w:r>
            <w:r>
              <w:rPr>
                <w:rStyle w:val="IndexLink"/>
                <w:rtl w:val="true"/>
              </w:rPr>
              <w:t>قد تضافرت الأخبار عن أئمّة أهل البيت</w:t>
            </w:r>
            <w:r>
              <w:rPr>
                <w:rStyle w:val="IndexLink"/>
                <w:rtl w:val="true"/>
              </w:rPr>
              <w:t>(</w:t>
            </w:r>
            <w:r>
              <w:rPr>
                <w:rStyle w:val="IndexLink"/>
                <w:rtl w:val="true"/>
              </w:rPr>
              <w:t>عليهم السلام</w:t>
            </w:r>
            <w:r>
              <w:rPr>
                <w:rStyle w:val="IndexLink"/>
                <w:rtl w:val="true"/>
              </w:rPr>
              <w:t>)</w:t>
            </w:r>
            <w:r>
              <w:rPr>
                <w:rStyle w:val="IndexLink"/>
                <w:rtl w:val="true"/>
              </w:rPr>
              <w:t>فى</w:t>
            </w:r>
            <w:r>
              <w:rPr>
                <w:rStyle w:val="IndexLink"/>
                <w:rtl w:val="true"/>
              </w:rPr>
              <w:t>...</w:t>
              <w:tab/>
            </w:r>
            <w:r>
              <w:rPr>
                <w:rStyle w:val="IndexLink"/>
              </w:rPr>
              <w:t>160</w:t>
            </w:r>
          </w:hyperlink>
        </w:p>
        <w:p>
          <w:pPr>
            <w:pStyle w:val="Contents4"/>
            <w:tabs>
              <w:tab w:val="clear" w:pos="8176"/>
              <w:tab w:val="right" w:pos="9026" w:leader="dot"/>
            </w:tabs>
            <w:rPr/>
          </w:pPr>
          <w:hyperlink w:anchor="__RefHeading___Toc3433126_1878427129">
            <w:r>
              <w:rPr>
                <w:webHidden/>
                <w:rStyle w:val="IndexLink"/>
                <w:rtl w:val="true"/>
              </w:rPr>
              <w:t>الرابع</w:t>
            </w:r>
            <w:r>
              <w:rPr>
                <w:rStyle w:val="IndexLink"/>
                <w:rtl w:val="true"/>
              </w:rPr>
              <w:t>:</w:t>
            </w:r>
            <w:r>
              <w:rPr>
                <w:rStyle w:val="IndexLink"/>
                <w:rtl w:val="true"/>
              </w:rPr>
              <w:t>الفرق بين الاستصحاب و قاعدة اليقين</w:t>
            </w:r>
            <w:r>
              <w:rPr>
                <w:rStyle w:val="IndexLink"/>
                <w:rtl w:val="true"/>
              </w:rPr>
              <w:tab/>
            </w:r>
            <w:r>
              <w:rPr>
                <w:rStyle w:val="IndexLink"/>
              </w:rPr>
              <w:t>161</w:t>
            </w:r>
          </w:hyperlink>
        </w:p>
        <w:p>
          <w:pPr>
            <w:pStyle w:val="Contents4"/>
            <w:tabs>
              <w:tab w:val="clear" w:pos="8176"/>
              <w:tab w:val="right" w:pos="9026" w:leader="dot"/>
            </w:tabs>
            <w:rPr/>
          </w:pPr>
          <w:hyperlink w:anchor="__RefHeading___Toc3433128_1878427129">
            <w:r>
              <w:rPr>
                <w:webHidden/>
                <w:rStyle w:val="IndexLink"/>
                <w:rtl w:val="true"/>
              </w:rPr>
              <w:t>الخامس</w:t>
            </w:r>
            <w:r>
              <w:rPr>
                <w:rStyle w:val="IndexLink"/>
                <w:rtl w:val="true"/>
              </w:rPr>
              <w:t xml:space="preserve">: </w:t>
            </w:r>
            <w:r>
              <w:rPr>
                <w:rStyle w:val="IndexLink"/>
                <w:rtl w:val="true"/>
              </w:rPr>
              <w:t>انّ هنا قاعدة ثالثة</w:t>
            </w:r>
            <w:r>
              <w:rPr>
                <w:rStyle w:val="IndexLink"/>
                <w:rtl w:val="true"/>
              </w:rPr>
              <w:tab/>
            </w:r>
            <w:r>
              <w:rPr>
                <w:rStyle w:val="IndexLink"/>
              </w:rPr>
              <w:t>161</w:t>
            </w:r>
          </w:hyperlink>
        </w:p>
        <w:p>
          <w:pPr>
            <w:pStyle w:val="Contents4"/>
            <w:tabs>
              <w:tab w:val="clear" w:pos="8176"/>
              <w:tab w:val="right" w:pos="9026" w:leader="dot"/>
            </w:tabs>
            <w:rPr/>
          </w:pPr>
          <w:hyperlink w:anchor="__RefHeading___Toc3433130_1878427129">
            <w:r>
              <w:rPr>
                <w:webHidden/>
                <w:rStyle w:val="IndexLink"/>
                <w:rtl w:val="true"/>
              </w:rPr>
              <w:t>السادس</w:t>
            </w:r>
            <w:r>
              <w:rPr>
                <w:rStyle w:val="IndexLink"/>
                <w:rtl w:val="true"/>
              </w:rPr>
              <w:t>:</w:t>
            </w:r>
            <w:r>
              <w:rPr>
                <w:rStyle w:val="IndexLink"/>
                <w:rtl w:val="true"/>
              </w:rPr>
              <w:t>تقسيمات الاستصحاب</w:t>
            </w:r>
            <w:r>
              <w:rPr>
                <w:rStyle w:val="IndexLink"/>
                <w:rtl w:val="true"/>
              </w:rPr>
              <w:tab/>
            </w:r>
            <w:r>
              <w:rPr>
                <w:rStyle w:val="IndexLink"/>
              </w:rPr>
              <w:t>162</w:t>
            </w:r>
          </w:hyperlink>
        </w:p>
        <w:p>
          <w:pPr>
            <w:pStyle w:val="Contents5"/>
            <w:tabs>
              <w:tab w:val="clear" w:pos="7892"/>
              <w:tab w:val="right" w:pos="9026" w:leader="dot"/>
            </w:tabs>
            <w:rPr/>
          </w:pPr>
          <w:hyperlink w:anchor="__RefHeading___Toc3433132_1878427129">
            <w:r>
              <w:rPr>
                <w:webHidden/>
                <w:rStyle w:val="IndexLink"/>
                <w:rtl w:val="true"/>
              </w:rPr>
              <w:t>اشارة</w:t>
            </w:r>
            <w:r>
              <w:rPr>
                <w:rStyle w:val="IndexLink"/>
                <w:rtl w:val="true"/>
              </w:rPr>
              <w:tab/>
            </w:r>
            <w:r>
              <w:rPr>
                <w:rStyle w:val="IndexLink"/>
              </w:rPr>
              <w:t>162</w:t>
            </w:r>
          </w:hyperlink>
        </w:p>
        <w:p>
          <w:pPr>
            <w:pStyle w:val="Contents5"/>
            <w:tabs>
              <w:tab w:val="clear" w:pos="7892"/>
              <w:tab w:val="right" w:pos="9026" w:leader="dot"/>
            </w:tabs>
            <w:rPr/>
          </w:pPr>
          <w:hyperlink w:anchor="__RefHeading___Toc3433134_1878427129">
            <w:r>
              <w:rPr>
                <w:webHidden/>
                <w:rStyle w:val="IndexLink"/>
              </w:rPr>
              <w:t>1</w:t>
            </w:r>
            <w:r>
              <w:rPr>
                <w:rStyle w:val="IndexLink"/>
                <w:rtl w:val="true"/>
              </w:rPr>
              <w:t xml:space="preserve">. </w:t>
            </w:r>
            <w:r>
              <w:rPr>
                <w:rStyle w:val="IndexLink"/>
                <w:rtl w:val="true"/>
              </w:rPr>
              <w:t>تقسيمه باعتبار المستصحَب</w:t>
            </w:r>
            <w:r>
              <w:rPr>
                <w:rStyle w:val="IndexLink"/>
                <w:rtl w:val="true"/>
              </w:rPr>
              <w:tab/>
            </w:r>
            <w:r>
              <w:rPr>
                <w:rStyle w:val="IndexLink"/>
              </w:rPr>
              <w:t>162</w:t>
            </w:r>
          </w:hyperlink>
        </w:p>
        <w:p>
          <w:pPr>
            <w:pStyle w:val="Contents5"/>
            <w:tabs>
              <w:tab w:val="clear" w:pos="7892"/>
              <w:tab w:val="right" w:pos="9026" w:leader="dot"/>
            </w:tabs>
            <w:rPr/>
          </w:pPr>
          <w:hyperlink w:anchor="__RefHeading___Toc3433136_1878427129">
            <w:r>
              <w:rPr>
                <w:webHidden/>
                <w:rStyle w:val="IndexLink"/>
              </w:rPr>
              <w:t>2</w:t>
            </w:r>
            <w:r>
              <w:rPr>
                <w:rStyle w:val="IndexLink"/>
                <w:rtl w:val="true"/>
              </w:rPr>
              <w:t xml:space="preserve">. </w:t>
            </w:r>
            <w:r>
              <w:rPr>
                <w:rStyle w:val="IndexLink"/>
                <w:rtl w:val="true"/>
              </w:rPr>
              <w:t>تقسيمه باعتبار الشك</w:t>
            </w:r>
            <w:r>
              <w:rPr>
                <w:rStyle w:val="IndexLink"/>
                <w:rtl w:val="true"/>
              </w:rPr>
              <w:tab/>
            </w:r>
            <w:r>
              <w:rPr>
                <w:rStyle w:val="IndexLink"/>
              </w:rPr>
              <w:t>163</w:t>
            </w:r>
          </w:hyperlink>
        </w:p>
        <w:p>
          <w:pPr>
            <w:pStyle w:val="Contents3"/>
            <w:tabs>
              <w:tab w:val="clear" w:pos="8459"/>
              <w:tab w:val="right" w:pos="9026" w:leader="dot"/>
            </w:tabs>
            <w:rPr/>
          </w:pPr>
          <w:hyperlink w:anchor="__RefHeading___Toc3433138_1878427129">
            <w:r>
              <w:rPr>
                <w:webHidden/>
                <w:rStyle w:val="IndexLink"/>
                <w:rtl w:val="true"/>
              </w:rPr>
              <w:t>إذا عرفت ذلك، فاعلم انّه استدلّ على حجّية الاستصحاب بوجوه</w:t>
            </w:r>
            <w:r>
              <w:rPr>
                <w:rStyle w:val="IndexLink"/>
                <w:rtl w:val="true"/>
              </w:rPr>
              <w:tab/>
            </w:r>
            <w:r>
              <w:rPr>
                <w:rStyle w:val="IndexLink"/>
              </w:rPr>
              <w:t>164</w:t>
            </w:r>
          </w:hyperlink>
        </w:p>
        <w:p>
          <w:pPr>
            <w:pStyle w:val="Contents4"/>
            <w:tabs>
              <w:tab w:val="clear" w:pos="8176"/>
              <w:tab w:val="right" w:pos="9026" w:leader="dot"/>
            </w:tabs>
            <w:rPr/>
          </w:pPr>
          <w:hyperlink w:anchor="__RefHeading___Toc3433140_1878427129">
            <w:r>
              <w:rPr>
                <w:webHidden/>
                <w:rStyle w:val="IndexLink"/>
                <w:rtl w:val="true"/>
              </w:rPr>
              <w:t>اشارة</w:t>
            </w:r>
            <w:r>
              <w:rPr>
                <w:rStyle w:val="IndexLink"/>
                <w:rtl w:val="true"/>
              </w:rPr>
              <w:tab/>
            </w:r>
            <w:r>
              <w:rPr>
                <w:rStyle w:val="IndexLink"/>
              </w:rPr>
              <w:t>164</w:t>
            </w:r>
          </w:hyperlink>
        </w:p>
        <w:p>
          <w:pPr>
            <w:pStyle w:val="Contents4"/>
            <w:tabs>
              <w:tab w:val="clear" w:pos="8176"/>
              <w:tab w:val="right" w:pos="9026" w:leader="dot"/>
            </w:tabs>
            <w:rPr/>
          </w:pPr>
          <w:hyperlink w:anchor="__RefHeading___Toc3433142_1878427129">
            <w:r>
              <w:rPr>
                <w:webHidden/>
                <w:rStyle w:val="IndexLink"/>
              </w:rPr>
              <w:t>1</w:t>
            </w:r>
            <w:r>
              <w:rPr>
                <w:rStyle w:val="IndexLink"/>
                <w:rtl w:val="true"/>
              </w:rPr>
              <w:t xml:space="preserve">. </w:t>
            </w:r>
            <w:r>
              <w:rPr>
                <w:rStyle w:val="IndexLink"/>
                <w:rtl w:val="true"/>
              </w:rPr>
              <w:t>صحيحة زرارة الثالثة</w:t>
            </w:r>
            <w:r>
              <w:rPr>
                <w:rStyle w:val="IndexLink"/>
                <w:rtl w:val="true"/>
              </w:rPr>
              <w:tab/>
            </w:r>
            <w:r>
              <w:rPr>
                <w:rStyle w:val="IndexLink"/>
              </w:rPr>
              <w:t>164</w:t>
            </w:r>
          </w:hyperlink>
        </w:p>
        <w:p>
          <w:pPr>
            <w:pStyle w:val="Contents4"/>
            <w:tabs>
              <w:tab w:val="clear" w:pos="8176"/>
              <w:tab w:val="right" w:pos="9026" w:leader="dot"/>
            </w:tabs>
            <w:rPr/>
          </w:pPr>
          <w:hyperlink w:anchor="__RefHeading___Toc3433144_1878427129">
            <w:r>
              <w:rPr>
                <w:webHidden/>
                <w:rStyle w:val="IndexLink"/>
              </w:rPr>
              <w:t>2</w:t>
            </w:r>
            <w:r>
              <w:rPr>
                <w:rStyle w:val="IndexLink"/>
                <w:rtl w:val="true"/>
              </w:rPr>
              <w:t xml:space="preserve">. </w:t>
            </w:r>
            <w:r>
              <w:rPr>
                <w:rStyle w:val="IndexLink"/>
                <w:rtl w:val="true"/>
              </w:rPr>
              <w:t>موثقة إسحاق بن عمّار</w:t>
            </w:r>
            <w:r>
              <w:rPr>
                <w:rStyle w:val="IndexLink"/>
                <w:rtl w:val="true"/>
              </w:rPr>
              <w:tab/>
            </w:r>
            <w:r>
              <w:rPr>
                <w:rStyle w:val="IndexLink"/>
              </w:rPr>
              <w:t>164</w:t>
            </w:r>
          </w:hyperlink>
        </w:p>
        <w:p>
          <w:pPr>
            <w:pStyle w:val="Contents4"/>
            <w:tabs>
              <w:tab w:val="clear" w:pos="8176"/>
              <w:tab w:val="right" w:pos="9026" w:leader="dot"/>
            </w:tabs>
            <w:rPr/>
          </w:pPr>
          <w:hyperlink w:anchor="__RefHeading___Toc3433146_1878427129">
            <w:r>
              <w:rPr>
                <w:webHidden/>
                <w:rStyle w:val="IndexLink"/>
              </w:rPr>
              <w:t>3</w:t>
            </w:r>
            <w:r>
              <w:rPr>
                <w:rStyle w:val="IndexLink"/>
                <w:rtl w:val="true"/>
              </w:rPr>
              <w:t xml:space="preserve">. </w:t>
            </w:r>
            <w:r>
              <w:rPr>
                <w:rStyle w:val="IndexLink"/>
                <w:rtl w:val="true"/>
              </w:rPr>
              <w:t>مكاتبة القاساني</w:t>
            </w:r>
            <w:r>
              <w:rPr>
                <w:rStyle w:val="IndexLink"/>
                <w:rtl w:val="true"/>
              </w:rPr>
              <w:tab/>
            </w:r>
            <w:r>
              <w:rPr>
                <w:rStyle w:val="IndexLink"/>
              </w:rPr>
              <w:t>165</w:t>
            </w:r>
          </w:hyperlink>
        </w:p>
        <w:p>
          <w:pPr>
            <w:pStyle w:val="Contents4"/>
            <w:tabs>
              <w:tab w:val="clear" w:pos="8176"/>
              <w:tab w:val="right" w:pos="9026" w:leader="dot"/>
            </w:tabs>
            <w:rPr/>
          </w:pPr>
          <w:hyperlink w:anchor="__RefHeading___Toc3433148_1878427129">
            <w:r>
              <w:rPr>
                <w:webHidden/>
                <w:rStyle w:val="IndexLink"/>
              </w:rPr>
              <w:t>4</w:t>
            </w:r>
            <w:r>
              <w:rPr>
                <w:rStyle w:val="IndexLink"/>
                <w:rtl w:val="true"/>
              </w:rPr>
              <w:t xml:space="preserve">. </w:t>
            </w:r>
            <w:r>
              <w:rPr>
                <w:rStyle w:val="IndexLink"/>
                <w:rtl w:val="true"/>
              </w:rPr>
              <w:t>صحيحة عبد اللّه بن سنان</w:t>
            </w:r>
            <w:r>
              <w:rPr>
                <w:rStyle w:val="IndexLink"/>
                <w:rtl w:val="true"/>
              </w:rPr>
              <w:tab/>
            </w:r>
            <w:r>
              <w:rPr>
                <w:rStyle w:val="IndexLink"/>
              </w:rPr>
              <w:t>165</w:t>
            </w:r>
          </w:hyperlink>
        </w:p>
        <w:p>
          <w:pPr>
            <w:pStyle w:val="Contents4"/>
            <w:tabs>
              <w:tab w:val="clear" w:pos="8176"/>
              <w:tab w:val="right" w:pos="9026" w:leader="dot"/>
            </w:tabs>
            <w:rPr/>
          </w:pPr>
          <w:hyperlink w:anchor="__RefHeading___Toc3433150_1878427129">
            <w:r>
              <w:rPr>
                <w:webHidden/>
                <w:rStyle w:val="IndexLink"/>
              </w:rPr>
              <w:t>5</w:t>
            </w:r>
            <w:r>
              <w:rPr>
                <w:rStyle w:val="IndexLink"/>
                <w:rtl w:val="true"/>
              </w:rPr>
              <w:t xml:space="preserve">. </w:t>
            </w:r>
            <w:r>
              <w:rPr>
                <w:rStyle w:val="IndexLink"/>
                <w:rtl w:val="true"/>
              </w:rPr>
              <w:t>خبر بكير بن أعين</w:t>
            </w:r>
            <w:r>
              <w:rPr>
                <w:rStyle w:val="IndexLink"/>
                <w:rtl w:val="true"/>
              </w:rPr>
              <w:tab/>
            </w:r>
            <w:r>
              <w:rPr>
                <w:rStyle w:val="IndexLink"/>
              </w:rPr>
              <w:t>166</w:t>
            </w:r>
          </w:hyperlink>
        </w:p>
        <w:p>
          <w:pPr>
            <w:pStyle w:val="Contents3"/>
            <w:tabs>
              <w:tab w:val="clear" w:pos="8459"/>
              <w:tab w:val="right" w:pos="9026" w:leader="dot"/>
            </w:tabs>
            <w:rPr/>
          </w:pPr>
          <w:hyperlink w:anchor="__RefHeading___Toc3433152_1878427129">
            <w:r>
              <w:rPr>
                <w:webHidden/>
                <w:rStyle w:val="IndexLink"/>
                <w:rtl w:val="true"/>
              </w:rPr>
              <w:t>حجّية الاستصحاب في الشكّ في المقتضي</w:t>
            </w:r>
            <w:r>
              <w:rPr>
                <w:rStyle w:val="IndexLink"/>
                <w:rtl w:val="true"/>
              </w:rPr>
              <w:tab/>
            </w:r>
            <w:r>
              <w:rPr>
                <w:rStyle w:val="IndexLink"/>
              </w:rPr>
              <w:t>167</w:t>
            </w:r>
          </w:hyperlink>
        </w:p>
        <w:p>
          <w:pPr>
            <w:pStyle w:val="Contents3"/>
            <w:tabs>
              <w:tab w:val="clear" w:pos="8459"/>
              <w:tab w:val="right" w:pos="9026" w:leader="dot"/>
            </w:tabs>
            <w:rPr/>
          </w:pPr>
          <w:hyperlink w:anchor="__RefHeading___Toc3433154_1878427129">
            <w:r>
              <w:rPr>
                <w:webHidden/>
                <w:rStyle w:val="IndexLink"/>
                <w:rtl w:val="true"/>
              </w:rPr>
              <w:t>تنبيهات</w:t>
            </w:r>
            <w:r>
              <w:rPr>
                <w:rStyle w:val="IndexLink"/>
                <w:rtl w:val="true"/>
              </w:rPr>
              <w:tab/>
            </w:r>
            <w:r>
              <w:rPr>
                <w:rStyle w:val="IndexLink"/>
              </w:rPr>
              <w:t>169</w:t>
            </w:r>
          </w:hyperlink>
        </w:p>
        <w:p>
          <w:pPr>
            <w:pStyle w:val="Contents4"/>
            <w:tabs>
              <w:tab w:val="clear" w:pos="8176"/>
              <w:tab w:val="right" w:pos="9026" w:leader="dot"/>
            </w:tabs>
            <w:rPr/>
          </w:pPr>
          <w:hyperlink w:anchor="__RefHeading___Toc3433156_1878427129">
            <w:r>
              <w:rPr>
                <w:webHidden/>
                <w:rStyle w:val="IndexLink"/>
                <w:rtl w:val="true"/>
              </w:rPr>
              <w:t>التنبيه الأوّل</w:t>
            </w:r>
            <w:r>
              <w:rPr>
                <w:rStyle w:val="IndexLink"/>
                <w:rtl w:val="true"/>
              </w:rPr>
              <w:t xml:space="preserve">: </w:t>
            </w:r>
            <w:r>
              <w:rPr>
                <w:rStyle w:val="IndexLink"/>
                <w:rtl w:val="true"/>
              </w:rPr>
              <w:t>كفاية إحراز المتيقّن بالأمارة</w:t>
            </w:r>
            <w:r>
              <w:rPr>
                <w:rStyle w:val="IndexLink"/>
                <w:rtl w:val="true"/>
              </w:rPr>
              <w:tab/>
            </w:r>
            <w:r>
              <w:rPr>
                <w:rStyle w:val="IndexLink"/>
              </w:rPr>
              <w:t>169</w:t>
            </w:r>
          </w:hyperlink>
        </w:p>
        <w:p>
          <w:pPr>
            <w:pStyle w:val="Contents4"/>
            <w:tabs>
              <w:tab w:val="clear" w:pos="8176"/>
              <w:tab w:val="right" w:pos="9026" w:leader="dot"/>
            </w:tabs>
            <w:rPr/>
          </w:pPr>
          <w:hyperlink w:anchor="__RefHeading___Toc3433158_1878427129">
            <w:r>
              <w:rPr>
                <w:webHidden/>
                <w:rStyle w:val="IndexLink"/>
                <w:rtl w:val="true"/>
              </w:rPr>
              <w:t>التنبيه الثاني</w:t>
            </w:r>
            <w:r>
              <w:rPr>
                <w:rStyle w:val="IndexLink"/>
                <w:rtl w:val="true"/>
              </w:rPr>
              <w:t xml:space="preserve">: </w:t>
            </w:r>
            <w:r>
              <w:rPr>
                <w:rStyle w:val="IndexLink"/>
                <w:rtl w:val="true"/>
              </w:rPr>
              <w:t>في استصحاب الزمان و الزمانيات</w:t>
            </w:r>
            <w:r>
              <w:rPr>
                <w:rStyle w:val="IndexLink"/>
                <w:rtl w:val="true"/>
              </w:rPr>
              <w:tab/>
            </w:r>
            <w:r>
              <w:rPr>
                <w:rStyle w:val="IndexLink"/>
              </w:rPr>
              <w:t>170</w:t>
            </w:r>
          </w:hyperlink>
        </w:p>
        <w:p>
          <w:pPr>
            <w:pStyle w:val="Contents4"/>
            <w:tabs>
              <w:tab w:val="clear" w:pos="8176"/>
              <w:tab w:val="right" w:pos="9026" w:leader="dot"/>
            </w:tabs>
            <w:rPr/>
          </w:pPr>
          <w:hyperlink w:anchor="__RefHeading___Toc3433160_1878427129">
            <w:r>
              <w:rPr>
                <w:webHidden/>
                <w:rStyle w:val="IndexLink"/>
                <w:rtl w:val="true"/>
              </w:rPr>
              <w:t>التنبيه الثالث</w:t>
            </w:r>
            <w:r>
              <w:rPr>
                <w:rStyle w:val="IndexLink"/>
                <w:rtl w:val="true"/>
              </w:rPr>
              <w:t xml:space="preserve">: </w:t>
            </w:r>
            <w:r>
              <w:rPr>
                <w:rStyle w:val="IndexLink"/>
                <w:rtl w:val="true"/>
              </w:rPr>
              <w:t>في شرطية فعلية الشك</w:t>
            </w:r>
            <w:r>
              <w:rPr>
                <w:rStyle w:val="IndexLink"/>
                <w:rtl w:val="true"/>
              </w:rPr>
              <w:tab/>
            </w:r>
            <w:r>
              <w:rPr>
                <w:rStyle w:val="IndexLink"/>
              </w:rPr>
              <w:t>171</w:t>
            </w:r>
          </w:hyperlink>
        </w:p>
        <w:p>
          <w:pPr>
            <w:pStyle w:val="Contents4"/>
            <w:tabs>
              <w:tab w:val="clear" w:pos="8176"/>
              <w:tab w:val="right" w:pos="9026" w:leader="dot"/>
            </w:tabs>
            <w:rPr/>
          </w:pPr>
          <w:hyperlink w:anchor="__RefHeading___Toc3433162_1878427129">
            <w:r>
              <w:rPr>
                <w:webHidden/>
                <w:rStyle w:val="IndexLink"/>
                <w:rtl w:val="true"/>
              </w:rPr>
              <w:t>التنبيه الرابع</w:t>
            </w:r>
            <w:r>
              <w:rPr>
                <w:rStyle w:val="IndexLink"/>
                <w:rtl w:val="true"/>
              </w:rPr>
              <w:t xml:space="preserve">: </w:t>
            </w:r>
            <w:r>
              <w:rPr>
                <w:rStyle w:val="IndexLink"/>
                <w:rtl w:val="true"/>
              </w:rPr>
              <w:t>المراد من الشك مطلق الاحتمال</w:t>
            </w:r>
            <w:r>
              <w:rPr>
                <w:rStyle w:val="IndexLink"/>
                <w:rtl w:val="true"/>
              </w:rPr>
              <w:tab/>
            </w:r>
            <w:r>
              <w:rPr>
                <w:rStyle w:val="IndexLink"/>
              </w:rPr>
              <w:t>171</w:t>
            </w:r>
          </w:hyperlink>
        </w:p>
        <w:p>
          <w:pPr>
            <w:pStyle w:val="Contents4"/>
            <w:tabs>
              <w:tab w:val="clear" w:pos="8176"/>
              <w:tab w:val="right" w:pos="9026" w:leader="dot"/>
            </w:tabs>
            <w:rPr/>
          </w:pPr>
          <w:hyperlink w:anchor="__RefHeading___Toc3433164_1878427129">
            <w:r>
              <w:rPr>
                <w:webHidden/>
                <w:rStyle w:val="IndexLink"/>
                <w:rtl w:val="true"/>
              </w:rPr>
              <w:t>التنبيه الخامس</w:t>
            </w:r>
            <w:r>
              <w:rPr>
                <w:rStyle w:val="IndexLink"/>
                <w:rtl w:val="true"/>
              </w:rPr>
              <w:t xml:space="preserve">: </w:t>
            </w:r>
            <w:r>
              <w:rPr>
                <w:rStyle w:val="IndexLink"/>
                <w:rtl w:val="true"/>
              </w:rPr>
              <w:t>التمسّك بعموم العام أو استصحاب حكم المخصص</w:t>
            </w:r>
            <w:r>
              <w:rPr>
                <w:rStyle w:val="IndexLink"/>
                <w:rtl w:val="true"/>
              </w:rPr>
              <w:tab/>
            </w:r>
            <w:r>
              <w:rPr>
                <w:rStyle w:val="IndexLink"/>
              </w:rPr>
              <w:t>172</w:t>
            </w:r>
          </w:hyperlink>
        </w:p>
        <w:p>
          <w:pPr>
            <w:pStyle w:val="Contents4"/>
            <w:tabs>
              <w:tab w:val="clear" w:pos="8176"/>
              <w:tab w:val="right" w:pos="9026" w:leader="dot"/>
            </w:tabs>
            <w:rPr/>
          </w:pPr>
          <w:hyperlink w:anchor="__RefHeading___Toc3433166_1878427129">
            <w:r>
              <w:rPr>
                <w:webHidden/>
                <w:rStyle w:val="IndexLink"/>
                <w:rtl w:val="true"/>
              </w:rPr>
              <w:t>التنبيه السادس</w:t>
            </w:r>
            <w:r>
              <w:rPr>
                <w:rStyle w:val="IndexLink"/>
                <w:rtl w:val="true"/>
              </w:rPr>
              <w:t xml:space="preserve">: </w:t>
            </w:r>
            <w:r>
              <w:rPr>
                <w:rStyle w:val="IndexLink"/>
                <w:rtl w:val="true"/>
              </w:rPr>
              <w:t>كفاية وجود الأثر بقاءً</w:t>
            </w:r>
            <w:r>
              <w:rPr>
                <w:rStyle w:val="IndexLink"/>
                <w:rtl w:val="true"/>
              </w:rPr>
              <w:tab/>
            </w:r>
            <w:r>
              <w:rPr>
                <w:rStyle w:val="IndexLink"/>
              </w:rPr>
              <w:t>175</w:t>
            </w:r>
          </w:hyperlink>
        </w:p>
        <w:p>
          <w:pPr>
            <w:pStyle w:val="Contents4"/>
            <w:tabs>
              <w:tab w:val="clear" w:pos="8176"/>
              <w:tab w:val="right" w:pos="9026" w:leader="dot"/>
            </w:tabs>
            <w:rPr/>
          </w:pPr>
          <w:hyperlink w:anchor="__RefHeading___Toc3433168_1878427129">
            <w:r>
              <w:rPr>
                <w:webHidden/>
                <w:rStyle w:val="IndexLink"/>
                <w:rtl w:val="true"/>
              </w:rPr>
              <w:t>التنبيه السابع</w:t>
            </w:r>
            <w:r>
              <w:rPr>
                <w:rStyle w:val="IndexLink"/>
                <w:rtl w:val="true"/>
              </w:rPr>
              <w:t xml:space="preserve">: </w:t>
            </w:r>
            <w:r>
              <w:rPr>
                <w:rStyle w:val="IndexLink"/>
                <w:rtl w:val="true"/>
              </w:rPr>
              <w:t>قياس الحادث إلى أجزاء الزمان</w:t>
            </w:r>
            <w:r>
              <w:rPr>
                <w:rStyle w:val="IndexLink"/>
                <w:rtl w:val="true"/>
              </w:rPr>
              <w:tab/>
            </w:r>
            <w:r>
              <w:rPr>
                <w:rStyle w:val="IndexLink"/>
              </w:rPr>
              <w:t>175</w:t>
            </w:r>
          </w:hyperlink>
        </w:p>
        <w:p>
          <w:pPr>
            <w:pStyle w:val="Contents4"/>
            <w:tabs>
              <w:tab w:val="clear" w:pos="8176"/>
              <w:tab w:val="right" w:pos="9026" w:leader="dot"/>
            </w:tabs>
            <w:rPr/>
          </w:pPr>
          <w:hyperlink w:anchor="__RefHeading___Toc3433170_1878427129">
            <w:r>
              <w:rPr>
                <w:webHidden/>
                <w:rStyle w:val="IndexLink"/>
                <w:rtl w:val="true"/>
              </w:rPr>
              <w:t>التنبيه الثامن</w:t>
            </w:r>
            <w:r>
              <w:rPr>
                <w:rStyle w:val="IndexLink"/>
                <w:rtl w:val="true"/>
              </w:rPr>
              <w:t xml:space="preserve">: </w:t>
            </w:r>
            <w:r>
              <w:rPr>
                <w:rStyle w:val="IndexLink"/>
                <w:rtl w:val="true"/>
              </w:rPr>
              <w:t>قياس الحادث بحادث آخر</w:t>
            </w:r>
            <w:r>
              <w:rPr>
                <w:rStyle w:val="IndexLink"/>
                <w:rtl w:val="true"/>
              </w:rPr>
              <w:tab/>
            </w:r>
            <w:r>
              <w:rPr>
                <w:rStyle w:val="IndexLink"/>
              </w:rPr>
              <w:t>176</w:t>
            </w:r>
          </w:hyperlink>
        </w:p>
        <w:p>
          <w:pPr>
            <w:pStyle w:val="Contents4"/>
            <w:tabs>
              <w:tab w:val="clear" w:pos="8176"/>
              <w:tab w:val="right" w:pos="9026" w:leader="dot"/>
            </w:tabs>
            <w:rPr/>
          </w:pPr>
          <w:hyperlink w:anchor="__RefHeading___Toc3433172_1878427129">
            <w:r>
              <w:rPr>
                <w:webHidden/>
                <w:rStyle w:val="IndexLink"/>
                <w:rtl w:val="true"/>
              </w:rPr>
              <w:t>التنبيه التاسع</w:t>
            </w:r>
            <w:r>
              <w:rPr>
                <w:rStyle w:val="IndexLink"/>
                <w:rtl w:val="true"/>
              </w:rPr>
              <w:t xml:space="preserve">: </w:t>
            </w:r>
            <w:r>
              <w:rPr>
                <w:rStyle w:val="IndexLink"/>
                <w:rtl w:val="true"/>
              </w:rPr>
              <w:t>تقدّم الاستصحاب على سائر الأُصول</w:t>
            </w:r>
            <w:r>
              <w:rPr>
                <w:rStyle w:val="IndexLink"/>
                <w:rtl w:val="true"/>
              </w:rPr>
              <w:tab/>
            </w:r>
            <w:r>
              <w:rPr>
                <w:rStyle w:val="IndexLink"/>
              </w:rPr>
              <w:t>178</w:t>
            </w:r>
          </w:hyperlink>
        </w:p>
        <w:p>
          <w:pPr>
            <w:pStyle w:val="Contents3"/>
            <w:tabs>
              <w:tab w:val="clear" w:pos="8459"/>
              <w:tab w:val="right" w:pos="9026" w:leader="dot"/>
            </w:tabs>
            <w:rPr/>
          </w:pPr>
          <w:hyperlink w:anchor="__RefHeading___Toc3433174_1878427129">
            <w:r>
              <w:rPr>
                <w:webHidden/>
                <w:rStyle w:val="IndexLink"/>
                <w:rtl w:val="true"/>
              </w:rPr>
              <w:t xml:space="preserve">خاتمة المطاف </w:t>
            </w:r>
            <w:r>
              <w:rPr>
                <w:rStyle w:val="IndexLink"/>
                <w:rtl w:val="true"/>
              </w:rPr>
              <w:t xml:space="preserve">: </w:t>
            </w:r>
            <w:r>
              <w:rPr>
                <w:rStyle w:val="IndexLink"/>
                <w:rtl w:val="true"/>
              </w:rPr>
              <w:t>الاستصحاب و القواعد الأربع</w:t>
            </w:r>
            <w:r>
              <w:rPr>
                <w:rStyle w:val="IndexLink"/>
                <w:rtl w:val="true"/>
              </w:rPr>
              <w:tab/>
            </w:r>
            <w:r>
              <w:rPr>
                <w:rStyle w:val="IndexLink"/>
              </w:rPr>
              <w:t>179</w:t>
            </w:r>
          </w:hyperlink>
        </w:p>
        <w:p>
          <w:pPr>
            <w:pStyle w:val="Contents4"/>
            <w:tabs>
              <w:tab w:val="clear" w:pos="8176"/>
              <w:tab w:val="right" w:pos="9026" w:leader="dot"/>
            </w:tabs>
            <w:rPr/>
          </w:pPr>
          <w:hyperlink w:anchor="__RefHeading___Toc3433176_1878427129">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3433178_1878427129">
            <w:r>
              <w:rPr>
                <w:webHidden/>
                <w:rStyle w:val="IndexLink"/>
              </w:rPr>
              <w:t>1</w:t>
            </w:r>
            <w:r>
              <w:rPr>
                <w:rStyle w:val="IndexLink"/>
                <w:rtl w:val="true"/>
              </w:rPr>
              <w:t xml:space="preserve">. </w:t>
            </w:r>
            <w:r>
              <w:rPr>
                <w:rStyle w:val="IndexLink"/>
                <w:rtl w:val="true"/>
              </w:rPr>
              <w:t>قاعدة اليد</w:t>
            </w:r>
            <w:r>
              <w:rPr>
                <w:rStyle w:val="IndexLink"/>
                <w:rtl w:val="true"/>
              </w:rPr>
              <w:tab/>
            </w:r>
            <w:r>
              <w:rPr>
                <w:rStyle w:val="IndexLink"/>
              </w:rPr>
              <w:t>181</w:t>
            </w:r>
          </w:hyperlink>
        </w:p>
        <w:p>
          <w:pPr>
            <w:pStyle w:val="Contents4"/>
            <w:tabs>
              <w:tab w:val="clear" w:pos="8176"/>
              <w:tab w:val="right" w:pos="9026" w:leader="dot"/>
            </w:tabs>
            <w:rPr/>
          </w:pPr>
          <w:hyperlink w:anchor="__RefHeading___Toc3433180_1878427129">
            <w:r>
              <w:rPr>
                <w:webHidden/>
                <w:rStyle w:val="IndexLink"/>
              </w:rPr>
              <w:t>2</w:t>
            </w:r>
            <w:r>
              <w:rPr>
                <w:rStyle w:val="IndexLink"/>
                <w:rtl w:val="true"/>
              </w:rPr>
              <w:t xml:space="preserve">. </w:t>
            </w:r>
            <w:r>
              <w:rPr>
                <w:rStyle w:val="IndexLink"/>
                <w:rtl w:val="true"/>
              </w:rPr>
              <w:t>أصالة الصحّة في فعل الغير</w:t>
            </w:r>
            <w:r>
              <w:rPr>
                <w:rStyle w:val="IndexLink"/>
                <w:rtl w:val="true"/>
              </w:rPr>
              <w:tab/>
            </w:r>
            <w:r>
              <w:rPr>
                <w:rStyle w:val="IndexLink"/>
              </w:rPr>
              <w:t>183</w:t>
            </w:r>
          </w:hyperlink>
        </w:p>
        <w:p>
          <w:pPr>
            <w:pStyle w:val="Contents4"/>
            <w:tabs>
              <w:tab w:val="clear" w:pos="8176"/>
              <w:tab w:val="right" w:pos="9026" w:leader="dot"/>
            </w:tabs>
            <w:rPr/>
          </w:pPr>
          <w:hyperlink w:anchor="__RefHeading___Toc3433182_1878427129">
            <w:r>
              <w:rPr>
                <w:webHidden/>
                <w:rStyle w:val="IndexLink"/>
              </w:rPr>
              <w:t>3</w:t>
            </w:r>
            <w:r>
              <w:rPr>
                <w:rStyle w:val="IndexLink"/>
                <w:rtl w:val="true"/>
              </w:rPr>
              <w:t xml:space="preserve">. </w:t>
            </w:r>
            <w:r>
              <w:rPr>
                <w:rStyle w:val="IndexLink"/>
                <w:rtl w:val="true"/>
              </w:rPr>
              <w:t>قاعدة التجاوز و الفراغ</w:t>
            </w:r>
            <w:r>
              <w:rPr>
                <w:rStyle w:val="IndexLink"/>
                <w:rtl w:val="true"/>
              </w:rPr>
              <w:tab/>
            </w:r>
            <w:r>
              <w:rPr>
                <w:rStyle w:val="IndexLink"/>
              </w:rPr>
              <w:t>185</w:t>
            </w:r>
          </w:hyperlink>
        </w:p>
        <w:p>
          <w:pPr>
            <w:pStyle w:val="Contents4"/>
            <w:tabs>
              <w:tab w:val="clear" w:pos="8176"/>
              <w:tab w:val="right" w:pos="9026" w:leader="dot"/>
            </w:tabs>
            <w:rPr/>
          </w:pPr>
          <w:hyperlink w:anchor="__RefHeading___Toc3433184_1878427129">
            <w:r>
              <w:rPr>
                <w:webHidden/>
                <w:rStyle w:val="IndexLink"/>
              </w:rPr>
              <w:t>4</w:t>
            </w:r>
            <w:r>
              <w:rPr>
                <w:rStyle w:val="IndexLink"/>
                <w:rtl w:val="true"/>
              </w:rPr>
              <w:t xml:space="preserve">. </w:t>
            </w:r>
            <w:r>
              <w:rPr>
                <w:rStyle w:val="IndexLink"/>
                <w:rtl w:val="true"/>
              </w:rPr>
              <w:t>قاعدة القرعة</w:t>
            </w:r>
            <w:r>
              <w:rPr>
                <w:rStyle w:val="IndexLink"/>
                <w:rtl w:val="true"/>
              </w:rPr>
              <w:tab/>
            </w:r>
            <w:r>
              <w:rPr>
                <w:rStyle w:val="IndexLink"/>
              </w:rPr>
              <w:t>187</w:t>
            </w:r>
          </w:hyperlink>
        </w:p>
        <w:p>
          <w:pPr>
            <w:pStyle w:val="Contents5"/>
            <w:tabs>
              <w:tab w:val="clear" w:pos="7892"/>
              <w:tab w:val="right" w:pos="9026" w:leader="dot"/>
            </w:tabs>
            <w:rPr/>
          </w:pPr>
          <w:hyperlink w:anchor="__RefHeading___Toc3433186_1878427129">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3433188_1878427129">
            <w:r>
              <w:rPr>
                <w:webHidden/>
                <w:rStyle w:val="IndexLink"/>
                <w:rtl w:val="true"/>
              </w:rPr>
              <w:t>تنبيه</w:t>
            </w:r>
            <w:r>
              <w:rPr>
                <w:rStyle w:val="IndexLink"/>
                <w:rtl w:val="true"/>
              </w:rPr>
              <w:t xml:space="preserve">: </w:t>
            </w:r>
            <w:r>
              <w:rPr>
                <w:rStyle w:val="IndexLink"/>
                <w:rtl w:val="true"/>
              </w:rPr>
              <w:t>أدلّة القرعة غير مخصصة</w:t>
            </w:r>
            <w:r>
              <w:rPr>
                <w:rStyle w:val="IndexLink"/>
                <w:rtl w:val="true"/>
              </w:rPr>
              <w:tab/>
            </w:r>
            <w:r>
              <w:rPr>
                <w:rStyle w:val="IndexLink"/>
              </w:rPr>
              <w:t>189</w:t>
            </w:r>
          </w:hyperlink>
        </w:p>
        <w:p>
          <w:pPr>
            <w:pStyle w:val="Contents2"/>
            <w:tabs>
              <w:tab w:val="clear" w:pos="8743"/>
              <w:tab w:val="right" w:pos="9026" w:leader="dot"/>
            </w:tabs>
            <w:rPr/>
          </w:pPr>
          <w:hyperlink w:anchor="__RefHeading___Toc3433190_1878427129">
            <w:r>
              <w:rPr>
                <w:webHidden/>
                <w:rStyle w:val="IndexLink"/>
                <w:rtl w:val="true"/>
              </w:rPr>
              <w:t>المقصد الثامن</w:t>
            </w:r>
            <w:r>
              <w:rPr>
                <w:rStyle w:val="IndexLink"/>
                <w:rtl w:val="true"/>
              </w:rPr>
              <w:t xml:space="preserve">: </w:t>
            </w:r>
            <w:r>
              <w:rPr>
                <w:rStyle w:val="IndexLink"/>
                <w:rtl w:val="true"/>
              </w:rPr>
              <w:t>في تعارض الأدلّة الشرعية في تعارض الأدلّة الشرعية</w:t>
            </w:r>
            <w:r>
              <w:rPr>
                <w:rStyle w:val="IndexLink"/>
                <w:rtl w:val="true"/>
              </w:rPr>
              <w:tab/>
            </w:r>
            <w:r>
              <w:rPr>
                <w:rStyle w:val="IndexLink"/>
              </w:rPr>
              <w:t>191</w:t>
            </w:r>
          </w:hyperlink>
        </w:p>
        <w:p>
          <w:pPr>
            <w:pStyle w:val="Contents3"/>
            <w:tabs>
              <w:tab w:val="clear" w:pos="8459"/>
              <w:tab w:val="right" w:pos="9026" w:leader="dot"/>
            </w:tabs>
            <w:rPr/>
          </w:pPr>
          <w:hyperlink w:anchor="__RefHeading___Toc3433192_1878427129">
            <w:r>
              <w:rPr>
                <w:webHidden/>
                <w:rStyle w:val="IndexLink"/>
                <w:rtl w:val="true"/>
              </w:rPr>
              <w:t>اشارة</w:t>
            </w:r>
            <w:r>
              <w:rPr>
                <w:rStyle w:val="IndexLink"/>
                <w:rtl w:val="true"/>
              </w:rPr>
              <w:tab/>
            </w:r>
            <w:r>
              <w:rPr>
                <w:rStyle w:val="IndexLink"/>
              </w:rPr>
              <w:t>191</w:t>
            </w:r>
          </w:hyperlink>
        </w:p>
        <w:p>
          <w:pPr>
            <w:pStyle w:val="Contents3"/>
            <w:tabs>
              <w:tab w:val="clear" w:pos="8459"/>
              <w:tab w:val="right" w:pos="9026" w:leader="dot"/>
            </w:tabs>
            <w:rPr/>
          </w:pPr>
          <w:hyperlink w:anchor="__RefHeading___Toc3433194_1878427129">
            <w:r>
              <w:rPr>
                <w:webHidden/>
                <w:rStyle w:val="IndexLink"/>
                <w:rtl w:val="true"/>
              </w:rPr>
              <w:t>قبل الخوض في الموضوع نقدّم أُموراً</w:t>
            </w:r>
            <w:r>
              <w:rPr>
                <w:rStyle w:val="IndexLink"/>
                <w:rtl w:val="true"/>
              </w:rPr>
              <w:t>:</w:t>
              <w:tab/>
            </w:r>
            <w:r>
              <w:rPr>
                <w:rStyle w:val="IndexLink"/>
              </w:rPr>
              <w:t>193</w:t>
            </w:r>
          </w:hyperlink>
        </w:p>
        <w:p>
          <w:pPr>
            <w:pStyle w:val="Contents4"/>
            <w:tabs>
              <w:tab w:val="clear" w:pos="8176"/>
              <w:tab w:val="right" w:pos="9026" w:leader="dot"/>
            </w:tabs>
            <w:rPr/>
          </w:pPr>
          <w:hyperlink w:anchor="__RefHeading___Toc3433196_1878427129">
            <w:r>
              <w:rPr>
                <w:webHidden/>
                <w:rStyle w:val="IndexLink"/>
                <w:rtl w:val="true"/>
              </w:rPr>
              <w:t>الأوّل</w:t>
            </w:r>
            <w:r>
              <w:rPr>
                <w:rStyle w:val="IndexLink"/>
                <w:rtl w:val="true"/>
              </w:rPr>
              <w:t xml:space="preserve">: </w:t>
            </w:r>
            <w:r>
              <w:rPr>
                <w:rStyle w:val="IndexLink"/>
                <w:rtl w:val="true"/>
              </w:rPr>
              <w:t>البحث عن تعارض الأدلّة الشرعيّة و كيفية علاجها من أهمّ المسائل الأُصولية</w:t>
            </w:r>
            <w:r>
              <w:rPr>
                <w:rStyle w:val="IndexLink"/>
                <w:rtl w:val="true"/>
              </w:rPr>
              <w:t>.</w:t>
              <w:tab/>
            </w:r>
            <w:r>
              <w:rPr>
                <w:rStyle w:val="IndexLink"/>
              </w:rPr>
              <w:t>193</w:t>
            </w:r>
          </w:hyperlink>
        </w:p>
        <w:p>
          <w:pPr>
            <w:pStyle w:val="Contents4"/>
            <w:tabs>
              <w:tab w:val="clear" w:pos="8176"/>
              <w:tab w:val="right" w:pos="9026" w:leader="dot"/>
            </w:tabs>
            <w:rPr/>
          </w:pPr>
          <w:hyperlink w:anchor="__RefHeading___Toc3433198_1878427129">
            <w:r>
              <w:rPr>
                <w:webHidden/>
                <w:rStyle w:val="IndexLink"/>
                <w:rtl w:val="true"/>
              </w:rPr>
              <w:t>الثاني</w:t>
            </w:r>
            <w:r>
              <w:rPr>
                <w:rStyle w:val="IndexLink"/>
                <w:rtl w:val="true"/>
              </w:rPr>
              <w:t xml:space="preserve">: </w:t>
            </w:r>
            <w:r>
              <w:rPr>
                <w:rStyle w:val="IndexLink"/>
                <w:rtl w:val="true"/>
              </w:rPr>
              <w:t>المقصود تعارض الأخبار دون سائر الأدلّة</w:t>
            </w:r>
            <w:r>
              <w:rPr>
                <w:rStyle w:val="IndexLink"/>
                <w:rtl w:val="true"/>
              </w:rPr>
              <w:tab/>
            </w:r>
            <w:r>
              <w:rPr>
                <w:rStyle w:val="IndexLink"/>
              </w:rPr>
              <w:t>193</w:t>
            </w:r>
          </w:hyperlink>
        </w:p>
        <w:p>
          <w:pPr>
            <w:pStyle w:val="Contents4"/>
            <w:tabs>
              <w:tab w:val="clear" w:pos="8176"/>
              <w:tab w:val="right" w:pos="9026" w:leader="dot"/>
            </w:tabs>
            <w:rPr/>
          </w:pPr>
          <w:hyperlink w:anchor="__RefHeading___Toc3433200_1878427129">
            <w:r>
              <w:rPr>
                <w:webHidden/>
                <w:rStyle w:val="IndexLink"/>
                <w:rtl w:val="true"/>
              </w:rPr>
              <w:t>الثالث</w:t>
            </w:r>
            <w:r>
              <w:rPr>
                <w:rStyle w:val="IndexLink"/>
                <w:rtl w:val="true"/>
              </w:rPr>
              <w:t xml:space="preserve">: </w:t>
            </w:r>
            <w:r>
              <w:rPr>
                <w:rStyle w:val="IndexLink"/>
                <w:rtl w:val="true"/>
              </w:rPr>
              <w:t>في تعريف التعارض</w:t>
            </w:r>
            <w:r>
              <w:rPr>
                <w:rStyle w:val="IndexLink"/>
                <w:rtl w:val="true"/>
              </w:rPr>
              <w:tab/>
            </w:r>
            <w:r>
              <w:rPr>
                <w:rStyle w:val="IndexLink"/>
              </w:rPr>
              <w:t>194</w:t>
            </w:r>
          </w:hyperlink>
        </w:p>
        <w:p>
          <w:pPr>
            <w:pStyle w:val="Contents4"/>
            <w:tabs>
              <w:tab w:val="clear" w:pos="8176"/>
              <w:tab w:val="right" w:pos="9026" w:leader="dot"/>
            </w:tabs>
            <w:rPr/>
          </w:pPr>
          <w:hyperlink w:anchor="__RefHeading___Toc3433202_1878427129">
            <w:r>
              <w:rPr>
                <w:webHidden/>
                <w:rStyle w:val="IndexLink"/>
                <w:rtl w:val="true"/>
              </w:rPr>
              <w:t>الرابع</w:t>
            </w:r>
            <w:r>
              <w:rPr>
                <w:rStyle w:val="IndexLink"/>
                <w:rtl w:val="true"/>
              </w:rPr>
              <w:t>:</w:t>
            </w:r>
            <w:r>
              <w:rPr>
                <w:rStyle w:val="IndexLink"/>
                <w:rtl w:val="true"/>
              </w:rPr>
              <w:t>إنّ الظاهر من التعريفين أنّ التنافي على نحو التضاد، غير التنافي على نحو التناقض</w:t>
            </w:r>
            <w:r>
              <w:rPr>
                <w:rStyle w:val="IndexLink"/>
                <w:rtl w:val="true"/>
              </w:rPr>
              <w:t>.</w:t>
              <w:tab/>
            </w:r>
            <w:r>
              <w:rPr>
                <w:rStyle w:val="IndexLink"/>
              </w:rPr>
              <w:t>194</w:t>
            </w:r>
          </w:hyperlink>
        </w:p>
        <w:p>
          <w:pPr>
            <w:pStyle w:val="Contents4"/>
            <w:tabs>
              <w:tab w:val="clear" w:pos="8176"/>
              <w:tab w:val="right" w:pos="9026" w:leader="dot"/>
            </w:tabs>
            <w:rPr/>
          </w:pPr>
          <w:hyperlink w:anchor="__RefHeading___Toc3433204_1878427129">
            <w:r>
              <w:rPr>
                <w:webHidden/>
                <w:rStyle w:val="IndexLink"/>
                <w:rtl w:val="true"/>
              </w:rPr>
              <w:t>الخامس</w:t>
            </w:r>
            <w:r>
              <w:rPr>
                <w:rStyle w:val="IndexLink"/>
                <w:rtl w:val="true"/>
              </w:rPr>
              <w:t xml:space="preserve">: </w:t>
            </w:r>
            <w:r>
              <w:rPr>
                <w:rStyle w:val="IndexLink"/>
                <w:rtl w:val="true"/>
              </w:rPr>
              <w:t>في الفرق بين التعارض و التزاحم</w:t>
            </w:r>
            <w:r>
              <w:rPr>
                <w:rStyle w:val="IndexLink"/>
                <w:rtl w:val="true"/>
              </w:rPr>
              <w:tab/>
            </w:r>
            <w:r>
              <w:rPr>
                <w:rStyle w:val="IndexLink"/>
              </w:rPr>
              <w:t>195</w:t>
            </w:r>
          </w:hyperlink>
        </w:p>
        <w:p>
          <w:pPr>
            <w:pStyle w:val="Contents4"/>
            <w:tabs>
              <w:tab w:val="clear" w:pos="8176"/>
              <w:tab w:val="right" w:pos="9026" w:leader="dot"/>
            </w:tabs>
            <w:rPr/>
          </w:pPr>
          <w:hyperlink w:anchor="__RefHeading___Toc3433206_1878427129">
            <w:r>
              <w:rPr>
                <w:webHidden/>
                <w:rStyle w:val="IndexLink"/>
                <w:rtl w:val="true"/>
              </w:rPr>
              <w:t>السادس</w:t>
            </w:r>
            <w:r>
              <w:rPr>
                <w:rStyle w:val="IndexLink"/>
                <w:rtl w:val="true"/>
              </w:rPr>
              <w:t xml:space="preserve">: </w:t>
            </w:r>
            <w:r>
              <w:rPr>
                <w:rStyle w:val="IndexLink"/>
                <w:rtl w:val="true"/>
              </w:rPr>
              <w:t>أسباب التزاحم و أقسامه</w:t>
            </w:r>
            <w:r>
              <w:rPr>
                <w:rStyle w:val="IndexLink"/>
                <w:rtl w:val="true"/>
              </w:rPr>
              <w:tab/>
            </w:r>
            <w:r>
              <w:rPr>
                <w:rStyle w:val="IndexLink"/>
              </w:rPr>
              <w:t>196</w:t>
            </w:r>
          </w:hyperlink>
        </w:p>
        <w:p>
          <w:pPr>
            <w:pStyle w:val="Contents4"/>
            <w:tabs>
              <w:tab w:val="clear" w:pos="8176"/>
              <w:tab w:val="right" w:pos="9026" w:leader="dot"/>
            </w:tabs>
            <w:rPr/>
          </w:pPr>
          <w:hyperlink w:anchor="__RefHeading___Toc3433208_1878427129">
            <w:r>
              <w:rPr>
                <w:webHidden/>
                <w:rStyle w:val="IndexLink"/>
                <w:rtl w:val="true"/>
              </w:rPr>
              <w:t>السابع</w:t>
            </w:r>
            <w:r>
              <w:rPr>
                <w:rStyle w:val="IndexLink"/>
                <w:rtl w:val="true"/>
              </w:rPr>
              <w:t xml:space="preserve">: </w:t>
            </w:r>
            <w:r>
              <w:rPr>
                <w:rStyle w:val="IndexLink"/>
                <w:rtl w:val="true"/>
              </w:rPr>
              <w:t>مرجّحات باب التزاحم</w:t>
            </w:r>
            <w:r>
              <w:rPr>
                <w:rStyle w:val="IndexLink"/>
                <w:rtl w:val="true"/>
              </w:rPr>
              <w:tab/>
            </w:r>
            <w:r>
              <w:rPr>
                <w:rStyle w:val="IndexLink"/>
              </w:rPr>
              <w:t>196</w:t>
            </w:r>
          </w:hyperlink>
        </w:p>
        <w:p>
          <w:pPr>
            <w:pStyle w:val="Contents5"/>
            <w:tabs>
              <w:tab w:val="clear" w:pos="7892"/>
              <w:tab w:val="right" w:pos="9026" w:leader="dot"/>
            </w:tabs>
            <w:rPr/>
          </w:pPr>
          <w:hyperlink w:anchor="__RefHeading___Toc3433210_1878427129">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433212_1878427129">
            <w:r>
              <w:rPr>
                <w:webHidden/>
                <w:rStyle w:val="IndexLink"/>
              </w:rPr>
              <w:t>1</w:t>
            </w:r>
            <w:r>
              <w:rPr>
                <w:rStyle w:val="IndexLink"/>
                <w:rtl w:val="true"/>
              </w:rPr>
              <w:t xml:space="preserve">. </w:t>
            </w:r>
            <w:r>
              <w:rPr>
                <w:rStyle w:val="IndexLink"/>
                <w:rtl w:val="true"/>
              </w:rPr>
              <w:t>تقديم ما لا بدل له على ما له بدل</w:t>
            </w:r>
            <w:r>
              <w:rPr>
                <w:rStyle w:val="IndexLink"/>
                <w:rtl w:val="true"/>
              </w:rPr>
              <w:tab/>
            </w:r>
            <w:r>
              <w:rPr>
                <w:rStyle w:val="IndexLink"/>
              </w:rPr>
              <w:t>196</w:t>
            </w:r>
          </w:hyperlink>
        </w:p>
        <w:p>
          <w:pPr>
            <w:pStyle w:val="Contents5"/>
            <w:tabs>
              <w:tab w:val="clear" w:pos="7892"/>
              <w:tab w:val="right" w:pos="9026" w:leader="dot"/>
            </w:tabs>
            <w:rPr/>
          </w:pPr>
          <w:hyperlink w:anchor="__RefHeading___Toc3433214_1878427129">
            <w:r>
              <w:rPr>
                <w:webHidden/>
                <w:rStyle w:val="IndexLink"/>
              </w:rPr>
              <w:t>2</w:t>
            </w:r>
            <w:r>
              <w:rPr>
                <w:rStyle w:val="IndexLink"/>
                <w:rtl w:val="true"/>
              </w:rPr>
              <w:t xml:space="preserve">. </w:t>
            </w:r>
            <w:r>
              <w:rPr>
                <w:rStyle w:val="IndexLink"/>
                <w:rtl w:val="true"/>
              </w:rPr>
              <w:t>تقديم المضيّق على الموسّع</w:t>
            </w:r>
            <w:r>
              <w:rPr>
                <w:rStyle w:val="IndexLink"/>
                <w:rtl w:val="true"/>
              </w:rPr>
              <w:tab/>
            </w:r>
            <w:r>
              <w:rPr>
                <w:rStyle w:val="IndexLink"/>
              </w:rPr>
              <w:t>197</w:t>
            </w:r>
          </w:hyperlink>
        </w:p>
        <w:p>
          <w:pPr>
            <w:pStyle w:val="Contents5"/>
            <w:tabs>
              <w:tab w:val="clear" w:pos="7892"/>
              <w:tab w:val="right" w:pos="9026" w:leader="dot"/>
            </w:tabs>
            <w:rPr/>
          </w:pPr>
          <w:hyperlink w:anchor="__RefHeading___Toc3433216_1878427129">
            <w:r>
              <w:rPr>
                <w:webHidden/>
                <w:rStyle w:val="IndexLink"/>
              </w:rPr>
              <w:t>3</w:t>
            </w:r>
            <w:r>
              <w:rPr>
                <w:rStyle w:val="IndexLink"/>
                <w:rtl w:val="true"/>
              </w:rPr>
              <w:t xml:space="preserve">. </w:t>
            </w:r>
            <w:r>
              <w:rPr>
                <w:rStyle w:val="IndexLink"/>
                <w:rtl w:val="true"/>
              </w:rPr>
              <w:t>تقديم أحد المتزاحمين على الآخر لأهميته</w:t>
            </w:r>
            <w:r>
              <w:rPr>
                <w:rStyle w:val="IndexLink"/>
                <w:rtl w:val="true"/>
              </w:rPr>
              <w:tab/>
            </w:r>
            <w:r>
              <w:rPr>
                <w:rStyle w:val="IndexLink"/>
              </w:rPr>
              <w:t>197</w:t>
            </w:r>
          </w:hyperlink>
        </w:p>
        <w:p>
          <w:pPr>
            <w:pStyle w:val="Contents5"/>
            <w:tabs>
              <w:tab w:val="clear" w:pos="7892"/>
              <w:tab w:val="right" w:pos="9026" w:leader="dot"/>
            </w:tabs>
            <w:rPr/>
          </w:pPr>
          <w:hyperlink w:anchor="__RefHeading___Toc3433218_1878427129">
            <w:r>
              <w:rPr>
                <w:webHidden/>
                <w:rStyle w:val="IndexLink"/>
              </w:rPr>
              <w:t>4</w:t>
            </w:r>
            <w:r>
              <w:rPr>
                <w:rStyle w:val="IndexLink"/>
                <w:rtl w:val="true"/>
              </w:rPr>
              <w:t xml:space="preserve">. </w:t>
            </w:r>
            <w:r>
              <w:rPr>
                <w:rStyle w:val="IndexLink"/>
                <w:rtl w:val="true"/>
              </w:rPr>
              <w:t>سبق امتثال أحد الحكمين زماناً</w:t>
            </w:r>
            <w:r>
              <w:rPr>
                <w:rStyle w:val="IndexLink"/>
                <w:rtl w:val="true"/>
              </w:rPr>
              <w:tab/>
            </w:r>
            <w:r>
              <w:rPr>
                <w:rStyle w:val="IndexLink"/>
              </w:rPr>
              <w:t>197</w:t>
            </w:r>
          </w:hyperlink>
        </w:p>
        <w:p>
          <w:pPr>
            <w:pStyle w:val="Contents5"/>
            <w:tabs>
              <w:tab w:val="clear" w:pos="7892"/>
              <w:tab w:val="right" w:pos="9026" w:leader="dot"/>
            </w:tabs>
            <w:rPr/>
          </w:pPr>
          <w:hyperlink w:anchor="__RefHeading___Toc3433220_1878427129">
            <w:r>
              <w:rPr>
                <w:webHidden/>
                <w:rStyle w:val="IndexLink"/>
              </w:rPr>
              <w:t>5</w:t>
            </w:r>
            <w:r>
              <w:rPr>
                <w:rStyle w:val="IndexLink"/>
                <w:rtl w:val="true"/>
              </w:rPr>
              <w:t xml:space="preserve">. </w:t>
            </w:r>
            <w:r>
              <w:rPr>
                <w:rStyle w:val="IndexLink"/>
                <w:rtl w:val="true"/>
              </w:rPr>
              <w:t>تقديم الواجب المطلق على المشروط</w:t>
            </w:r>
            <w:r>
              <w:rPr>
                <w:rStyle w:val="IndexLink"/>
                <w:rtl w:val="true"/>
              </w:rPr>
              <w:tab/>
            </w:r>
            <w:r>
              <w:rPr>
                <w:rStyle w:val="IndexLink"/>
              </w:rPr>
              <w:t>198</w:t>
            </w:r>
          </w:hyperlink>
        </w:p>
        <w:p>
          <w:pPr>
            <w:pStyle w:val="Contents3"/>
            <w:tabs>
              <w:tab w:val="clear" w:pos="8459"/>
              <w:tab w:val="right" w:pos="9026" w:leader="dot"/>
            </w:tabs>
            <w:rPr/>
          </w:pPr>
          <w:hyperlink w:anchor="__RefHeading___Toc3433222_1878427129">
            <w:r>
              <w:rPr>
                <w:webHidden/>
                <w:rStyle w:val="IndexLink"/>
                <w:rtl w:val="true"/>
              </w:rPr>
              <w:t>في التعارض المستقر</w:t>
            </w:r>
            <w:r>
              <w:rPr>
                <w:rStyle w:val="IndexLink"/>
                <w:rtl w:val="true"/>
              </w:rPr>
              <w:tab/>
            </w:r>
            <w:r>
              <w:rPr>
                <w:rStyle w:val="IndexLink"/>
              </w:rPr>
              <w:t>200</w:t>
            </w:r>
          </w:hyperlink>
        </w:p>
        <w:p>
          <w:pPr>
            <w:pStyle w:val="Contents4"/>
            <w:tabs>
              <w:tab w:val="clear" w:pos="8176"/>
              <w:tab w:val="right" w:pos="9026" w:leader="dot"/>
            </w:tabs>
            <w:rPr/>
          </w:pPr>
          <w:hyperlink w:anchor="__RefHeading___Toc3433224_1878427129">
            <w:r>
              <w:rPr>
                <w:webHidden/>
                <w:rStyle w:val="IndexLink"/>
                <w:rtl w:val="true"/>
              </w:rPr>
              <w:t>اشارة</w:t>
            </w:r>
            <w:r>
              <w:rPr>
                <w:rStyle w:val="IndexLink"/>
                <w:rtl w:val="true"/>
              </w:rPr>
              <w:tab/>
            </w:r>
            <w:r>
              <w:rPr>
                <w:rStyle w:val="IndexLink"/>
              </w:rPr>
              <w:t>200</w:t>
            </w:r>
          </w:hyperlink>
        </w:p>
        <w:p>
          <w:pPr>
            <w:pStyle w:val="Contents4"/>
            <w:tabs>
              <w:tab w:val="clear" w:pos="8176"/>
              <w:tab w:val="right" w:pos="9026" w:leader="dot"/>
            </w:tabs>
            <w:rPr/>
          </w:pPr>
          <w:hyperlink w:anchor="__RefHeading___Toc3433226_1878427129">
            <w:r>
              <w:rPr>
                <w:webHidden/>
                <w:rStyle w:val="IndexLink"/>
                <w:rtl w:val="true"/>
              </w:rPr>
              <w:t>المبحث الأوّل</w:t>
            </w:r>
            <w:r>
              <w:rPr>
                <w:rStyle w:val="IndexLink"/>
                <w:rtl w:val="true"/>
              </w:rPr>
              <w:t xml:space="preserve">: </w:t>
            </w:r>
            <w:r>
              <w:rPr>
                <w:rStyle w:val="IndexLink"/>
                <w:rtl w:val="true"/>
              </w:rPr>
              <w:t>ما هو مقتضى القاعدة الأوّلية؟</w:t>
            </w:r>
            <w:r>
              <w:rPr>
                <w:rStyle w:val="IndexLink"/>
                <w:rtl w:val="true"/>
              </w:rPr>
              <w:tab/>
            </w:r>
            <w:r>
              <w:rPr>
                <w:rStyle w:val="IndexLink"/>
              </w:rPr>
              <w:t>200</w:t>
            </w:r>
          </w:hyperlink>
        </w:p>
        <w:p>
          <w:pPr>
            <w:pStyle w:val="Contents4"/>
            <w:tabs>
              <w:tab w:val="clear" w:pos="8176"/>
              <w:tab w:val="right" w:pos="9026" w:leader="dot"/>
            </w:tabs>
            <w:rPr/>
          </w:pPr>
          <w:hyperlink w:anchor="__RefHeading___Toc3433228_1878427129">
            <w:r>
              <w:rPr>
                <w:webHidden/>
                <w:rStyle w:val="IndexLink"/>
                <w:rtl w:val="true"/>
              </w:rPr>
              <w:t>المبحث الثاني</w:t>
            </w:r>
            <w:r>
              <w:rPr>
                <w:rStyle w:val="IndexLink"/>
                <w:rtl w:val="true"/>
              </w:rPr>
              <w:t xml:space="preserve">: </w:t>
            </w:r>
            <w:r>
              <w:rPr>
                <w:rStyle w:val="IndexLink"/>
                <w:rtl w:val="true"/>
              </w:rPr>
              <w:t>في حجّية المتعارضين في نفي الثالث</w:t>
            </w:r>
            <w:r>
              <w:rPr>
                <w:rStyle w:val="IndexLink"/>
                <w:rtl w:val="true"/>
              </w:rPr>
              <w:tab/>
            </w:r>
            <w:r>
              <w:rPr>
                <w:rStyle w:val="IndexLink"/>
              </w:rPr>
              <w:t>201</w:t>
            </w:r>
          </w:hyperlink>
        </w:p>
        <w:p>
          <w:pPr>
            <w:pStyle w:val="Contents4"/>
            <w:tabs>
              <w:tab w:val="clear" w:pos="8176"/>
              <w:tab w:val="right" w:pos="9026" w:leader="dot"/>
            </w:tabs>
            <w:rPr/>
          </w:pPr>
          <w:hyperlink w:anchor="__RefHeading___Toc3433230_1878427129">
            <w:r>
              <w:rPr>
                <w:webHidden/>
                <w:rStyle w:val="IndexLink"/>
                <w:rtl w:val="true"/>
              </w:rPr>
              <w:t>المبحث الثالث</w:t>
            </w:r>
            <w:r>
              <w:rPr>
                <w:rStyle w:val="IndexLink"/>
                <w:rtl w:val="true"/>
              </w:rPr>
              <w:t xml:space="preserve">: </w:t>
            </w:r>
            <w:r>
              <w:rPr>
                <w:rStyle w:val="IndexLink"/>
                <w:rtl w:val="true"/>
              </w:rPr>
              <w:t>مقتضى القاعدة الثانوية في المتعارضين</w:t>
            </w:r>
            <w:r>
              <w:rPr>
                <w:rStyle w:val="IndexLink"/>
                <w:rtl w:val="true"/>
              </w:rPr>
              <w:tab/>
            </w:r>
            <w:r>
              <w:rPr>
                <w:rStyle w:val="IndexLink"/>
              </w:rPr>
              <w:t>202</w:t>
            </w:r>
          </w:hyperlink>
        </w:p>
        <w:p>
          <w:pPr>
            <w:pStyle w:val="Contents5"/>
            <w:tabs>
              <w:tab w:val="clear" w:pos="7892"/>
              <w:tab w:val="right" w:pos="9026" w:leader="dot"/>
            </w:tabs>
            <w:rPr/>
          </w:pPr>
          <w:hyperlink w:anchor="__RefHeading___Toc3433232_1878427129">
            <w:r>
              <w:rPr>
                <w:webHidden/>
                <w:rStyle w:val="IndexLink"/>
                <w:rtl w:val="true"/>
              </w:rPr>
              <w:t>اشارة</w:t>
            </w:r>
            <w:r>
              <w:rPr>
                <w:rStyle w:val="IndexLink"/>
                <w:rtl w:val="true"/>
              </w:rPr>
              <w:tab/>
            </w:r>
            <w:r>
              <w:rPr>
                <w:rStyle w:val="IndexLink"/>
              </w:rPr>
              <w:t>202</w:t>
            </w:r>
          </w:hyperlink>
        </w:p>
        <w:p>
          <w:pPr>
            <w:pStyle w:val="Contents5"/>
            <w:tabs>
              <w:tab w:val="clear" w:pos="7892"/>
              <w:tab w:val="right" w:pos="9026" w:leader="dot"/>
            </w:tabs>
            <w:rPr/>
          </w:pPr>
          <w:hyperlink w:anchor="__RefHeading___Toc3433234_1878427129">
            <w:r>
              <w:rPr>
                <w:webHidden/>
                <w:rStyle w:val="IndexLink"/>
                <w:rtl w:val="true"/>
              </w:rPr>
              <w:t>الجهة الأُولى</w:t>
            </w:r>
            <w:r>
              <w:rPr>
                <w:rStyle w:val="IndexLink"/>
                <w:rtl w:val="true"/>
              </w:rPr>
              <w:t xml:space="preserve">: </w:t>
            </w:r>
            <w:r>
              <w:rPr>
                <w:rStyle w:val="IndexLink"/>
                <w:rtl w:val="true"/>
              </w:rPr>
              <w:t>في أقسام المرجحات</w:t>
            </w:r>
            <w:r>
              <w:rPr>
                <w:rStyle w:val="IndexLink"/>
                <w:rtl w:val="true"/>
              </w:rPr>
              <w:tab/>
            </w:r>
            <w:r>
              <w:rPr>
                <w:rStyle w:val="IndexLink"/>
              </w:rPr>
              <w:t>205</w:t>
            </w:r>
          </w:hyperlink>
        </w:p>
        <w:p>
          <w:pPr>
            <w:pStyle w:val="Contents6"/>
            <w:tabs>
              <w:tab w:val="clear" w:pos="7609"/>
              <w:tab w:val="right" w:pos="9026" w:leader="dot"/>
            </w:tabs>
            <w:rPr/>
          </w:pPr>
          <w:hyperlink w:anchor="__RefHeading___Toc3433236_1878427129">
            <w:r>
              <w:rPr>
                <w:webHidden/>
                <w:rStyle w:val="IndexLink"/>
                <w:rtl w:val="true"/>
              </w:rPr>
              <w:t>اشارة</w:t>
            </w:r>
            <w:r>
              <w:rPr>
                <w:rStyle w:val="IndexLink"/>
                <w:rtl w:val="true"/>
              </w:rPr>
              <w:tab/>
            </w:r>
            <w:r>
              <w:rPr>
                <w:rStyle w:val="IndexLink"/>
              </w:rPr>
              <w:t>205</w:t>
            </w:r>
          </w:hyperlink>
        </w:p>
        <w:p>
          <w:pPr>
            <w:pStyle w:val="Contents6"/>
            <w:tabs>
              <w:tab w:val="clear" w:pos="7609"/>
              <w:tab w:val="right" w:pos="9026" w:leader="dot"/>
            </w:tabs>
            <w:rPr/>
          </w:pPr>
          <w:hyperlink w:anchor="__RefHeading___Toc3433238_1878427129">
            <w:r>
              <w:rPr>
                <w:webHidden/>
                <w:rStyle w:val="IndexLink"/>
              </w:rPr>
              <w:t>1</w:t>
            </w:r>
            <w:r>
              <w:rPr>
                <w:rStyle w:val="IndexLink"/>
                <w:rtl w:val="true"/>
              </w:rPr>
              <w:t xml:space="preserve">. </w:t>
            </w:r>
            <w:r>
              <w:rPr>
                <w:rStyle w:val="IndexLink"/>
                <w:rtl w:val="true"/>
              </w:rPr>
              <w:t>الترجيح بصفات الراوي</w:t>
            </w:r>
            <w:r>
              <w:rPr>
                <w:rStyle w:val="IndexLink"/>
                <w:rtl w:val="true"/>
              </w:rPr>
              <w:tab/>
            </w:r>
            <w:r>
              <w:rPr>
                <w:rStyle w:val="IndexLink"/>
              </w:rPr>
              <w:t>205</w:t>
            </w:r>
          </w:hyperlink>
        </w:p>
        <w:p>
          <w:pPr>
            <w:pStyle w:val="Contents6"/>
            <w:tabs>
              <w:tab w:val="clear" w:pos="7609"/>
              <w:tab w:val="right" w:pos="9026" w:leader="dot"/>
            </w:tabs>
            <w:rPr/>
          </w:pPr>
          <w:hyperlink w:anchor="__RefHeading___Toc3433240_1878427129">
            <w:r>
              <w:rPr>
                <w:webHidden/>
                <w:rStyle w:val="IndexLink"/>
              </w:rPr>
              <w:t>2</w:t>
            </w:r>
            <w:r>
              <w:rPr>
                <w:rStyle w:val="IndexLink"/>
                <w:rtl w:val="true"/>
              </w:rPr>
              <w:t xml:space="preserve">. </w:t>
            </w:r>
            <w:r>
              <w:rPr>
                <w:rStyle w:val="IndexLink"/>
                <w:rtl w:val="true"/>
              </w:rPr>
              <w:t>الترجيح بالشهرة العملية</w:t>
            </w:r>
            <w:r>
              <w:rPr>
                <w:rStyle w:val="IndexLink"/>
                <w:rtl w:val="true"/>
              </w:rPr>
              <w:tab/>
            </w:r>
            <w:r>
              <w:rPr>
                <w:rStyle w:val="IndexLink"/>
              </w:rPr>
              <w:t>207</w:t>
            </w:r>
          </w:hyperlink>
        </w:p>
        <w:p>
          <w:pPr>
            <w:pStyle w:val="Contents6"/>
            <w:tabs>
              <w:tab w:val="clear" w:pos="7609"/>
              <w:tab w:val="right" w:pos="9026" w:leader="dot"/>
            </w:tabs>
            <w:rPr/>
          </w:pPr>
          <w:hyperlink w:anchor="__RefHeading___Toc3433242_1878427129">
            <w:r>
              <w:rPr>
                <w:webHidden/>
                <w:rStyle w:val="IndexLink"/>
              </w:rPr>
              <w:t>3</w:t>
            </w:r>
            <w:r>
              <w:rPr>
                <w:rStyle w:val="IndexLink"/>
                <w:rtl w:val="true"/>
              </w:rPr>
              <w:t xml:space="preserve">. </w:t>
            </w:r>
            <w:r>
              <w:rPr>
                <w:rStyle w:val="IndexLink"/>
                <w:rtl w:val="true"/>
              </w:rPr>
              <w:t>الترجيح بالكتاب و السنّة</w:t>
            </w:r>
            <w:r>
              <w:rPr>
                <w:rStyle w:val="IndexLink"/>
                <w:rtl w:val="true"/>
              </w:rPr>
              <w:tab/>
            </w:r>
            <w:r>
              <w:rPr>
                <w:rStyle w:val="IndexLink"/>
              </w:rPr>
              <w:t>209</w:t>
            </w:r>
          </w:hyperlink>
        </w:p>
        <w:p>
          <w:pPr>
            <w:pStyle w:val="Contents6"/>
            <w:tabs>
              <w:tab w:val="clear" w:pos="7609"/>
              <w:tab w:val="right" w:pos="9026" w:leader="dot"/>
            </w:tabs>
            <w:rPr/>
          </w:pPr>
          <w:hyperlink w:anchor="__RefHeading___Toc3433244_1878427129">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3433246_1878427129">
            <w:r>
              <w:rPr>
                <w:webHidden/>
                <w:rStyle w:val="IndexLink"/>
              </w:rPr>
              <w:t>1</w:t>
            </w:r>
            <w:r>
              <w:rPr>
                <w:rStyle w:val="IndexLink"/>
                <w:rtl w:val="true"/>
              </w:rPr>
              <w:t xml:space="preserve">. </w:t>
            </w:r>
            <w:r>
              <w:rPr>
                <w:rStyle w:val="IndexLink"/>
                <w:rtl w:val="true"/>
              </w:rPr>
              <w:t>مقبولة عمر بن حنظلة</w:t>
            </w:r>
            <w:r>
              <w:rPr>
                <w:rStyle w:val="IndexLink"/>
                <w:rtl w:val="true"/>
              </w:rPr>
              <w:tab/>
            </w:r>
            <w:r>
              <w:rPr>
                <w:rStyle w:val="IndexLink"/>
              </w:rPr>
              <w:t>209</w:t>
            </w:r>
          </w:hyperlink>
        </w:p>
        <w:p>
          <w:pPr>
            <w:pStyle w:val="Contents6"/>
            <w:tabs>
              <w:tab w:val="clear" w:pos="7609"/>
              <w:tab w:val="right" w:pos="9026" w:leader="dot"/>
            </w:tabs>
            <w:rPr/>
          </w:pPr>
          <w:hyperlink w:anchor="__RefHeading___Toc3433248_1878427129">
            <w:r>
              <w:rPr>
                <w:webHidden/>
                <w:rStyle w:val="IndexLink"/>
              </w:rPr>
              <w:t>2</w:t>
            </w:r>
            <w:r>
              <w:rPr>
                <w:rStyle w:val="IndexLink"/>
                <w:rtl w:val="true"/>
              </w:rPr>
              <w:t xml:space="preserve">. </w:t>
            </w:r>
            <w:r>
              <w:rPr>
                <w:rStyle w:val="IndexLink"/>
                <w:rtl w:val="true"/>
              </w:rPr>
              <w:t>ما رواه الميثمي عن الرضا</w:t>
            </w:r>
            <w:r>
              <w:rPr>
                <w:rStyle w:val="IndexLink"/>
                <w:rtl w:val="true"/>
              </w:rPr>
              <w:t>(</w:t>
            </w:r>
            <w:r>
              <w:rPr>
                <w:rStyle w:val="IndexLink"/>
                <w:rtl w:val="true"/>
              </w:rPr>
              <w:t>عليه السلام</w:t>
            </w:r>
            <w:r>
              <w:rPr>
                <w:rStyle w:val="IndexLink"/>
                <w:rtl w:val="true"/>
              </w:rPr>
              <w:t>)</w:t>
              <w:tab/>
            </w:r>
            <w:r>
              <w:rPr>
                <w:rStyle w:val="IndexLink"/>
              </w:rPr>
              <w:t>209</w:t>
            </w:r>
          </w:hyperlink>
        </w:p>
        <w:p>
          <w:pPr>
            <w:pStyle w:val="Contents6"/>
            <w:tabs>
              <w:tab w:val="clear" w:pos="7609"/>
              <w:tab w:val="right" w:pos="9026" w:leader="dot"/>
            </w:tabs>
            <w:rPr/>
          </w:pPr>
          <w:hyperlink w:anchor="__RefHeading___Toc3433250_1878427129">
            <w:r>
              <w:rPr>
                <w:webHidden/>
                <w:rStyle w:val="IndexLink"/>
              </w:rPr>
              <w:t>3</w:t>
            </w:r>
            <w:r>
              <w:rPr>
                <w:rStyle w:val="IndexLink"/>
                <w:rtl w:val="true"/>
              </w:rPr>
              <w:t xml:space="preserve">. </w:t>
            </w:r>
            <w:r>
              <w:rPr>
                <w:rStyle w:val="IndexLink"/>
                <w:rtl w:val="true"/>
              </w:rPr>
              <w:t>ما رواه عبد الرحمن بن أبي عبد اللّه، عن الصادق</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6"/>
            <w:tabs>
              <w:tab w:val="clear" w:pos="7609"/>
              <w:tab w:val="right" w:pos="9026" w:leader="dot"/>
            </w:tabs>
            <w:rPr/>
          </w:pPr>
          <w:hyperlink w:anchor="__RefHeading___Toc3433252_1878427129">
            <w:r>
              <w:rPr>
                <w:webHidden/>
                <w:rStyle w:val="IndexLink"/>
              </w:rPr>
              <w:t>4</w:t>
            </w:r>
            <w:r>
              <w:rPr>
                <w:rStyle w:val="IndexLink"/>
                <w:rtl w:val="true"/>
              </w:rPr>
              <w:t xml:space="preserve">. </w:t>
            </w:r>
            <w:r>
              <w:rPr>
                <w:rStyle w:val="IndexLink"/>
                <w:rtl w:val="true"/>
              </w:rPr>
              <w:t>ما رواه الحسن بن الجهم، عن الرضا</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6"/>
            <w:tabs>
              <w:tab w:val="clear" w:pos="7609"/>
              <w:tab w:val="right" w:pos="9026" w:leader="dot"/>
            </w:tabs>
            <w:rPr/>
          </w:pPr>
          <w:hyperlink w:anchor="__RefHeading___Toc3433254_1878427129">
            <w:r>
              <w:rPr>
                <w:webHidden/>
                <w:rStyle w:val="IndexLink"/>
              </w:rPr>
              <w:t>5</w:t>
            </w:r>
            <w:r>
              <w:rPr>
                <w:rStyle w:val="IndexLink"/>
                <w:rtl w:val="true"/>
              </w:rPr>
              <w:t xml:space="preserve">. </w:t>
            </w:r>
            <w:r>
              <w:rPr>
                <w:rStyle w:val="IndexLink"/>
                <w:rtl w:val="true"/>
              </w:rPr>
              <w:t>ما رواه الحسن بن الجهم، عن العبد الصالح</w:t>
            </w:r>
            <w:r>
              <w:rPr>
                <w:rStyle w:val="IndexLink"/>
                <w:rtl w:val="true"/>
              </w:rPr>
              <w:t>(</w:t>
            </w:r>
            <w:r>
              <w:rPr>
                <w:rStyle w:val="IndexLink"/>
                <w:rtl w:val="true"/>
              </w:rPr>
              <w:t>عليه السلام</w:t>
            </w:r>
            <w:r>
              <w:rPr>
                <w:rStyle w:val="IndexLink"/>
                <w:rtl w:val="true"/>
              </w:rPr>
              <w:t>)</w:t>
              <w:tab/>
            </w:r>
            <w:r>
              <w:rPr>
                <w:rStyle w:val="IndexLink"/>
              </w:rPr>
              <w:t>210</w:t>
            </w:r>
          </w:hyperlink>
        </w:p>
        <w:p>
          <w:pPr>
            <w:pStyle w:val="Contents6"/>
            <w:tabs>
              <w:tab w:val="clear" w:pos="7609"/>
              <w:tab w:val="right" w:pos="9026" w:leader="dot"/>
            </w:tabs>
            <w:rPr/>
          </w:pPr>
          <w:hyperlink w:anchor="__RefHeading___Toc3433256_1878427129">
            <w:r>
              <w:rPr>
                <w:webHidden/>
                <w:rStyle w:val="IndexLink"/>
              </w:rPr>
              <w:t>4</w:t>
            </w:r>
            <w:r>
              <w:rPr>
                <w:rStyle w:val="IndexLink"/>
                <w:rtl w:val="true"/>
              </w:rPr>
              <w:t xml:space="preserve">. </w:t>
            </w:r>
            <w:r>
              <w:rPr>
                <w:rStyle w:val="IndexLink"/>
                <w:rtl w:val="true"/>
              </w:rPr>
              <w:t>الترجيح بمخالفة العامة</w:t>
            </w:r>
            <w:r>
              <w:rPr>
                <w:rStyle w:val="IndexLink"/>
                <w:rtl w:val="true"/>
              </w:rPr>
              <w:tab/>
            </w:r>
            <w:r>
              <w:rPr>
                <w:rStyle w:val="IndexLink"/>
              </w:rPr>
              <w:t>211</w:t>
            </w:r>
          </w:hyperlink>
        </w:p>
        <w:p>
          <w:pPr>
            <w:pStyle w:val="Contents6"/>
            <w:tabs>
              <w:tab w:val="clear" w:pos="7609"/>
              <w:tab w:val="right" w:pos="9026" w:leader="dot"/>
            </w:tabs>
            <w:rPr/>
          </w:pPr>
          <w:hyperlink w:anchor="__RefHeading___Toc3433258_1878427129">
            <w:r>
              <w:rPr>
                <w:webHidden/>
                <w:rStyle w:val="IndexLink"/>
              </w:rPr>
              <w:t>5</w:t>
            </w:r>
            <w:r>
              <w:rPr>
                <w:rStyle w:val="IndexLink"/>
                <w:rtl w:val="true"/>
              </w:rPr>
              <w:t xml:space="preserve">. </w:t>
            </w:r>
            <w:r>
              <w:rPr>
                <w:rStyle w:val="IndexLink"/>
                <w:rtl w:val="true"/>
              </w:rPr>
              <w:t>الترجيح بالأحدثية</w:t>
            </w:r>
            <w:r>
              <w:rPr>
                <w:rStyle w:val="IndexLink"/>
                <w:rtl w:val="true"/>
              </w:rPr>
              <w:tab/>
            </w:r>
            <w:r>
              <w:rPr>
                <w:rStyle w:val="IndexLink"/>
              </w:rPr>
              <w:t>212</w:t>
            </w:r>
          </w:hyperlink>
        </w:p>
        <w:p>
          <w:pPr>
            <w:pStyle w:val="Contents5"/>
            <w:tabs>
              <w:tab w:val="clear" w:pos="7892"/>
              <w:tab w:val="right" w:pos="9026" w:leader="dot"/>
            </w:tabs>
            <w:rPr/>
          </w:pPr>
          <w:hyperlink w:anchor="__RefHeading___Toc3433260_1878427129">
            <w:r>
              <w:rPr>
                <w:webHidden/>
                <w:rStyle w:val="IndexLink"/>
                <w:rtl w:val="true"/>
              </w:rPr>
              <w:t>الجهة الثانية</w:t>
            </w:r>
            <w:r>
              <w:rPr>
                <w:rStyle w:val="IndexLink"/>
                <w:rtl w:val="true"/>
              </w:rPr>
              <w:t xml:space="preserve">: </w:t>
            </w:r>
            <w:r>
              <w:rPr>
                <w:rStyle w:val="IndexLink"/>
                <w:rtl w:val="true"/>
              </w:rPr>
              <w:t>لزوم الأخذ بالمرجِّح</w:t>
            </w:r>
            <w:r>
              <w:rPr>
                <w:rStyle w:val="IndexLink"/>
                <w:rtl w:val="true"/>
              </w:rPr>
              <w:tab/>
            </w:r>
            <w:r>
              <w:rPr>
                <w:rStyle w:val="IndexLink"/>
              </w:rPr>
              <w:t>213</w:t>
            </w:r>
          </w:hyperlink>
        </w:p>
        <w:p>
          <w:pPr>
            <w:pStyle w:val="Contents5"/>
            <w:tabs>
              <w:tab w:val="clear" w:pos="7892"/>
              <w:tab w:val="right" w:pos="9026" w:leader="dot"/>
            </w:tabs>
            <w:rPr/>
          </w:pPr>
          <w:hyperlink w:anchor="__RefHeading___Toc3433262_1878427129">
            <w:r>
              <w:rPr>
                <w:webHidden/>
                <w:rStyle w:val="IndexLink"/>
                <w:rtl w:val="true"/>
              </w:rPr>
              <w:t>الجهة الثالثة</w:t>
            </w:r>
            <w:r>
              <w:rPr>
                <w:rStyle w:val="IndexLink"/>
                <w:rtl w:val="true"/>
              </w:rPr>
              <w:t xml:space="preserve">: </w:t>
            </w:r>
            <w:r>
              <w:rPr>
                <w:rStyle w:val="IndexLink"/>
                <w:rtl w:val="true"/>
              </w:rPr>
              <w:t>التعدّي من المنصوص إلى غيره</w:t>
            </w:r>
            <w:r>
              <w:rPr>
                <w:rStyle w:val="IndexLink"/>
                <w:rtl w:val="true"/>
              </w:rPr>
              <w:tab/>
            </w:r>
            <w:r>
              <w:rPr>
                <w:rStyle w:val="IndexLink"/>
              </w:rPr>
              <w:t>214</w:t>
            </w:r>
          </w:hyperlink>
        </w:p>
        <w:p>
          <w:pPr>
            <w:pStyle w:val="Contents5"/>
            <w:tabs>
              <w:tab w:val="clear" w:pos="7892"/>
              <w:tab w:val="right" w:pos="9026" w:leader="dot"/>
            </w:tabs>
            <w:rPr/>
          </w:pPr>
          <w:hyperlink w:anchor="__RefHeading___Toc3433264_1878427129">
            <w:r>
              <w:rPr>
                <w:webHidden/>
                <w:rStyle w:val="IndexLink"/>
                <w:rtl w:val="true"/>
              </w:rPr>
              <w:t>الجهة الرابعة</w:t>
            </w:r>
            <w:r>
              <w:rPr>
                <w:rStyle w:val="IndexLink"/>
                <w:rtl w:val="true"/>
              </w:rPr>
              <w:t xml:space="preserve">: </w:t>
            </w:r>
            <w:r>
              <w:rPr>
                <w:rStyle w:val="IndexLink"/>
                <w:rtl w:val="true"/>
              </w:rPr>
              <w:t>في التعارض على نحو العموم و الخصوص من وجه</w:t>
            </w:r>
            <w:r>
              <w:rPr>
                <w:rStyle w:val="IndexLink"/>
                <w:rtl w:val="true"/>
              </w:rPr>
              <w:tab/>
            </w:r>
            <w:r>
              <w:rPr>
                <w:rStyle w:val="IndexLink"/>
              </w:rPr>
              <w:t>215</w:t>
            </w:r>
          </w:hyperlink>
        </w:p>
        <w:p>
          <w:pPr>
            <w:pStyle w:val="Contents2"/>
            <w:tabs>
              <w:tab w:val="clear" w:pos="8743"/>
              <w:tab w:val="right" w:pos="9026" w:leader="dot"/>
            </w:tabs>
            <w:rPr/>
          </w:pPr>
          <w:hyperlink w:anchor="__RefHeading___Toc3433266_1878427129">
            <w:r>
              <w:rPr>
                <w:webHidden/>
                <w:rStyle w:val="IndexLink"/>
                <w:rtl w:val="true"/>
              </w:rPr>
              <w:t>خاتمة</w:t>
            </w:r>
            <w:r>
              <w:rPr>
                <w:rStyle w:val="IndexLink"/>
                <w:rtl w:val="true"/>
              </w:rPr>
              <w:t xml:space="preserve">: </w:t>
            </w:r>
            <w:r>
              <w:rPr>
                <w:rStyle w:val="IndexLink"/>
                <w:rtl w:val="true"/>
              </w:rPr>
              <w:t>في الاجتهاد و التقليد</w:t>
            </w:r>
            <w:r>
              <w:rPr>
                <w:rStyle w:val="IndexLink"/>
                <w:rtl w:val="true"/>
              </w:rPr>
              <w:tab/>
            </w:r>
            <w:r>
              <w:rPr>
                <w:rStyle w:val="IndexLink"/>
              </w:rPr>
              <w:t>217</w:t>
            </w:r>
          </w:hyperlink>
        </w:p>
        <w:p>
          <w:pPr>
            <w:pStyle w:val="Contents3"/>
            <w:tabs>
              <w:tab w:val="clear" w:pos="8459"/>
              <w:tab w:val="right" w:pos="9026" w:leader="dot"/>
            </w:tabs>
            <w:rPr/>
          </w:pPr>
          <w:hyperlink w:anchor="__RefHeading___Toc3433268_1878427129">
            <w:r>
              <w:rPr>
                <w:webHidden/>
                <w:rStyle w:val="IndexLink"/>
                <w:rtl w:val="true"/>
              </w:rPr>
              <w:t>اشارة</w:t>
            </w:r>
            <w:r>
              <w:rPr>
                <w:rStyle w:val="IndexLink"/>
                <w:rtl w:val="true"/>
              </w:rPr>
              <w:tab/>
            </w:r>
            <w:r>
              <w:rPr>
                <w:rStyle w:val="IndexLink"/>
              </w:rPr>
              <w:t>217</w:t>
            </w:r>
          </w:hyperlink>
        </w:p>
        <w:p>
          <w:pPr>
            <w:pStyle w:val="Contents3"/>
            <w:tabs>
              <w:tab w:val="clear" w:pos="8459"/>
              <w:tab w:val="right" w:pos="9026" w:leader="dot"/>
            </w:tabs>
            <w:rPr/>
          </w:pPr>
          <w:hyperlink w:anchor="__RefHeading___Toc3433270_1878427129">
            <w:r>
              <w:rPr>
                <w:webHidden/>
                <w:rStyle w:val="IndexLink"/>
                <w:rtl w:val="true"/>
              </w:rPr>
              <w:t>ملاحظة مهمّة</w:t>
            </w:r>
            <w:r>
              <w:rPr>
                <w:rStyle w:val="IndexLink"/>
                <w:rtl w:val="true"/>
              </w:rPr>
              <w:tab/>
            </w:r>
            <w:r>
              <w:rPr>
                <w:rStyle w:val="IndexLink"/>
              </w:rPr>
              <w:t>218</w:t>
            </w:r>
          </w:hyperlink>
        </w:p>
        <w:p>
          <w:pPr>
            <w:pStyle w:val="Contents3"/>
            <w:tabs>
              <w:tab w:val="clear" w:pos="8459"/>
              <w:tab w:val="right" w:pos="9026" w:leader="dot"/>
            </w:tabs>
            <w:rPr/>
          </w:pPr>
          <w:hyperlink w:anchor="__RefHeading___Toc3433272_1878427129">
            <w:r>
              <w:rPr>
                <w:webHidden/>
                <w:rStyle w:val="IndexLink"/>
                <w:rtl w:val="true"/>
              </w:rPr>
              <w:t>الفصل الأوّل</w:t>
            </w:r>
            <w:r>
              <w:rPr>
                <w:rStyle w:val="IndexLink"/>
                <w:rtl w:val="true"/>
              </w:rPr>
              <w:t xml:space="preserve">: </w:t>
            </w:r>
            <w:r>
              <w:rPr>
                <w:rStyle w:val="IndexLink"/>
                <w:rtl w:val="true"/>
              </w:rPr>
              <w:t>في الاجتهاد و أحكامه</w:t>
            </w:r>
            <w:r>
              <w:rPr>
                <w:rStyle w:val="IndexLink"/>
                <w:rtl w:val="true"/>
              </w:rPr>
              <w:tab/>
            </w:r>
            <w:r>
              <w:rPr>
                <w:rStyle w:val="IndexLink"/>
              </w:rPr>
              <w:t>219</w:t>
            </w:r>
          </w:hyperlink>
        </w:p>
        <w:p>
          <w:pPr>
            <w:pStyle w:val="Contents4"/>
            <w:tabs>
              <w:tab w:val="clear" w:pos="8176"/>
              <w:tab w:val="right" w:pos="9026" w:leader="dot"/>
            </w:tabs>
            <w:rPr/>
          </w:pPr>
          <w:hyperlink w:anchor="__RefHeading___Toc3433274_1878427129">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3433276_1878427129">
            <w:r>
              <w:rPr>
                <w:webHidden/>
                <w:rStyle w:val="IndexLink"/>
                <w:rtl w:val="true"/>
              </w:rPr>
              <w:t>المسألة الأُولى</w:t>
            </w:r>
            <w:r>
              <w:rPr>
                <w:rStyle w:val="IndexLink"/>
                <w:rtl w:val="true"/>
              </w:rPr>
              <w:t xml:space="preserve">: </w:t>
            </w:r>
            <w:r>
              <w:rPr>
                <w:rStyle w:val="IndexLink"/>
                <w:rtl w:val="true"/>
              </w:rPr>
              <w:t>الاجتهاد لغة و اصطلاحاً</w:t>
            </w:r>
            <w:r>
              <w:rPr>
                <w:rStyle w:val="IndexLink"/>
                <w:rtl w:val="true"/>
              </w:rPr>
              <w:tab/>
            </w:r>
            <w:r>
              <w:rPr>
                <w:rStyle w:val="IndexLink"/>
              </w:rPr>
              <w:t>219</w:t>
            </w:r>
          </w:hyperlink>
        </w:p>
        <w:p>
          <w:pPr>
            <w:pStyle w:val="Contents4"/>
            <w:tabs>
              <w:tab w:val="clear" w:pos="8176"/>
              <w:tab w:val="right" w:pos="9026" w:leader="dot"/>
            </w:tabs>
            <w:rPr/>
          </w:pPr>
          <w:hyperlink w:anchor="__RefHeading___Toc3433278_1878427129">
            <w:r>
              <w:rPr>
                <w:webHidden/>
                <w:rStyle w:val="IndexLink"/>
                <w:rtl w:val="true"/>
              </w:rPr>
              <w:t>المسألة الثانية</w:t>
            </w:r>
            <w:r>
              <w:rPr>
                <w:rStyle w:val="IndexLink"/>
                <w:rtl w:val="true"/>
              </w:rPr>
              <w:t xml:space="preserve">: </w:t>
            </w:r>
            <w:r>
              <w:rPr>
                <w:rStyle w:val="IndexLink"/>
                <w:rtl w:val="true"/>
              </w:rPr>
              <w:t>جواز عمل المجتهد برأيه</w:t>
            </w:r>
            <w:r>
              <w:rPr>
                <w:rStyle w:val="IndexLink"/>
                <w:rtl w:val="true"/>
              </w:rPr>
              <w:tab/>
            </w:r>
            <w:r>
              <w:rPr>
                <w:rStyle w:val="IndexLink"/>
              </w:rPr>
              <w:t>220</w:t>
            </w:r>
          </w:hyperlink>
        </w:p>
        <w:p>
          <w:pPr>
            <w:pStyle w:val="Contents4"/>
            <w:tabs>
              <w:tab w:val="clear" w:pos="8176"/>
              <w:tab w:val="right" w:pos="9026" w:leader="dot"/>
            </w:tabs>
            <w:rPr/>
          </w:pPr>
          <w:hyperlink w:anchor="__RefHeading___Toc3433280_1878427129">
            <w:r>
              <w:rPr>
                <w:webHidden/>
                <w:rStyle w:val="IndexLink"/>
                <w:rtl w:val="true"/>
              </w:rPr>
              <w:t>المسألة الثالثة</w:t>
            </w:r>
            <w:r>
              <w:rPr>
                <w:rStyle w:val="IndexLink"/>
                <w:rtl w:val="true"/>
              </w:rPr>
              <w:t xml:space="preserve">: </w:t>
            </w:r>
            <w:r>
              <w:rPr>
                <w:rStyle w:val="IndexLink"/>
                <w:rtl w:val="true"/>
              </w:rPr>
              <w:t>حرمة رجوع المجتهد إلى الغير</w:t>
            </w:r>
            <w:r>
              <w:rPr>
                <w:rStyle w:val="IndexLink"/>
                <w:rtl w:val="true"/>
              </w:rPr>
              <w:tab/>
            </w:r>
            <w:r>
              <w:rPr>
                <w:rStyle w:val="IndexLink"/>
              </w:rPr>
              <w:t>220</w:t>
            </w:r>
          </w:hyperlink>
        </w:p>
        <w:p>
          <w:pPr>
            <w:pStyle w:val="Contents4"/>
            <w:tabs>
              <w:tab w:val="clear" w:pos="8176"/>
              <w:tab w:val="right" w:pos="9026" w:leader="dot"/>
            </w:tabs>
            <w:rPr/>
          </w:pPr>
          <w:hyperlink w:anchor="__RefHeading___Toc3433282_1878427129">
            <w:r>
              <w:rPr>
                <w:webHidden/>
                <w:rStyle w:val="IndexLink"/>
                <w:rtl w:val="true"/>
              </w:rPr>
              <w:t>المسألة الرابعة</w:t>
            </w:r>
            <w:r>
              <w:rPr>
                <w:rStyle w:val="IndexLink"/>
                <w:rtl w:val="true"/>
              </w:rPr>
              <w:t xml:space="preserve">: </w:t>
            </w:r>
            <w:r>
              <w:rPr>
                <w:rStyle w:val="IndexLink"/>
                <w:rtl w:val="true"/>
              </w:rPr>
              <w:t>جواز رجوع العامي إلى المجتهد و تقليده</w:t>
            </w:r>
            <w:r>
              <w:rPr>
                <w:rStyle w:val="IndexLink"/>
                <w:rtl w:val="true"/>
              </w:rPr>
              <w:tab/>
            </w:r>
            <w:r>
              <w:rPr>
                <w:rStyle w:val="IndexLink"/>
              </w:rPr>
              <w:t>220</w:t>
            </w:r>
          </w:hyperlink>
        </w:p>
        <w:p>
          <w:pPr>
            <w:pStyle w:val="Contents4"/>
            <w:tabs>
              <w:tab w:val="clear" w:pos="8176"/>
              <w:tab w:val="right" w:pos="9026" w:leader="dot"/>
            </w:tabs>
            <w:rPr/>
          </w:pPr>
          <w:hyperlink w:anchor="__RefHeading___Toc3433284_1878427129">
            <w:r>
              <w:rPr>
                <w:webHidden/>
                <w:rStyle w:val="IndexLink"/>
                <w:rtl w:val="true"/>
              </w:rPr>
              <w:t>المسألة الخامسة</w:t>
            </w:r>
            <w:r>
              <w:rPr>
                <w:rStyle w:val="IndexLink"/>
                <w:rtl w:val="true"/>
              </w:rPr>
              <w:t xml:space="preserve">: </w:t>
            </w:r>
            <w:r>
              <w:rPr>
                <w:rStyle w:val="IndexLink"/>
                <w:rtl w:val="true"/>
              </w:rPr>
              <w:t>نفوذ حكم المجتهد و قضائه</w:t>
            </w:r>
            <w:r>
              <w:rPr>
                <w:rStyle w:val="IndexLink"/>
                <w:rtl w:val="true"/>
              </w:rPr>
              <w:tab/>
            </w:r>
            <w:r>
              <w:rPr>
                <w:rStyle w:val="IndexLink"/>
              </w:rPr>
              <w:t>220</w:t>
            </w:r>
          </w:hyperlink>
        </w:p>
        <w:p>
          <w:pPr>
            <w:pStyle w:val="Contents4"/>
            <w:tabs>
              <w:tab w:val="clear" w:pos="8176"/>
              <w:tab w:val="right" w:pos="9026" w:leader="dot"/>
            </w:tabs>
            <w:rPr/>
          </w:pPr>
          <w:hyperlink w:anchor="__RefHeading___Toc3433286_1878427129">
            <w:r>
              <w:rPr>
                <w:webHidden/>
                <w:rStyle w:val="IndexLink"/>
                <w:rtl w:val="true"/>
              </w:rPr>
              <w:t>المسألة السادسة</w:t>
            </w:r>
            <w:r>
              <w:rPr>
                <w:rStyle w:val="IndexLink"/>
                <w:rtl w:val="true"/>
              </w:rPr>
              <w:t xml:space="preserve">: </w:t>
            </w:r>
            <w:r>
              <w:rPr>
                <w:rStyle w:val="IndexLink"/>
                <w:rtl w:val="true"/>
              </w:rPr>
              <w:t>في الاجتهاد التجزّئي</w:t>
            </w:r>
            <w:r>
              <w:rPr>
                <w:rStyle w:val="IndexLink"/>
                <w:rtl w:val="true"/>
              </w:rPr>
              <w:tab/>
            </w:r>
            <w:r>
              <w:rPr>
                <w:rStyle w:val="IndexLink"/>
              </w:rPr>
              <w:t>222</w:t>
            </w:r>
          </w:hyperlink>
        </w:p>
        <w:p>
          <w:pPr>
            <w:pStyle w:val="Contents4"/>
            <w:tabs>
              <w:tab w:val="clear" w:pos="8176"/>
              <w:tab w:val="right" w:pos="9026" w:leader="dot"/>
            </w:tabs>
            <w:rPr/>
          </w:pPr>
          <w:hyperlink w:anchor="__RefHeading___Toc3433288_1878427129">
            <w:r>
              <w:rPr>
                <w:webHidden/>
                <w:rStyle w:val="IndexLink"/>
                <w:rtl w:val="true"/>
              </w:rPr>
              <w:t>المسألة السابعة</w:t>
            </w:r>
            <w:r>
              <w:rPr>
                <w:rStyle w:val="IndexLink"/>
                <w:rtl w:val="true"/>
              </w:rPr>
              <w:t xml:space="preserve">: </w:t>
            </w:r>
            <w:r>
              <w:rPr>
                <w:rStyle w:val="IndexLink"/>
                <w:rtl w:val="true"/>
              </w:rPr>
              <w:t>مقدّمات الاجتهاد</w:t>
            </w:r>
            <w:r>
              <w:rPr>
                <w:rStyle w:val="IndexLink"/>
                <w:rtl w:val="true"/>
              </w:rPr>
              <w:tab/>
            </w:r>
            <w:r>
              <w:rPr>
                <w:rStyle w:val="IndexLink"/>
              </w:rPr>
              <w:t>223</w:t>
            </w:r>
          </w:hyperlink>
        </w:p>
        <w:p>
          <w:pPr>
            <w:pStyle w:val="Contents4"/>
            <w:tabs>
              <w:tab w:val="clear" w:pos="8176"/>
              <w:tab w:val="right" w:pos="9026" w:leader="dot"/>
            </w:tabs>
            <w:rPr/>
          </w:pPr>
          <w:hyperlink w:anchor="__RefHeading___Toc3433290_1878427129">
            <w:r>
              <w:rPr>
                <w:webHidden/>
                <w:rStyle w:val="IndexLink"/>
                <w:rtl w:val="true"/>
              </w:rPr>
              <w:t>المسألة الثامنة</w:t>
            </w:r>
            <w:r>
              <w:rPr>
                <w:rStyle w:val="IndexLink"/>
                <w:rtl w:val="true"/>
              </w:rPr>
              <w:t xml:space="preserve">: </w:t>
            </w:r>
            <w:r>
              <w:rPr>
                <w:rStyle w:val="IndexLink"/>
                <w:rtl w:val="true"/>
              </w:rPr>
              <w:t>في التخطئة و التصويب</w:t>
            </w:r>
            <w:r>
              <w:rPr>
                <w:rStyle w:val="IndexLink"/>
                <w:rtl w:val="true"/>
              </w:rPr>
              <w:tab/>
            </w:r>
            <w:r>
              <w:rPr>
                <w:rStyle w:val="IndexLink"/>
              </w:rPr>
              <w:t>226</w:t>
            </w:r>
          </w:hyperlink>
        </w:p>
        <w:p>
          <w:pPr>
            <w:pStyle w:val="Contents5"/>
            <w:tabs>
              <w:tab w:val="clear" w:pos="7892"/>
              <w:tab w:val="right" w:pos="9026" w:leader="dot"/>
            </w:tabs>
            <w:rPr/>
          </w:pPr>
          <w:hyperlink w:anchor="__RefHeading___Toc3433292_1878427129">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3433294_1878427129">
            <w:r>
              <w:rPr>
                <w:webHidden/>
                <w:rStyle w:val="IndexLink"/>
              </w:rPr>
              <w:t>1</w:t>
            </w:r>
            <w:r>
              <w:rPr>
                <w:rStyle w:val="IndexLink"/>
                <w:rtl w:val="true"/>
              </w:rPr>
              <w:t xml:space="preserve">. </w:t>
            </w:r>
            <w:r>
              <w:rPr>
                <w:rStyle w:val="IndexLink"/>
                <w:rtl w:val="true"/>
              </w:rPr>
              <w:t>لا تصويب في الأُصول و المعارف</w:t>
            </w:r>
            <w:r>
              <w:rPr>
                <w:rStyle w:val="IndexLink"/>
                <w:rtl w:val="true"/>
              </w:rPr>
              <w:tab/>
            </w:r>
            <w:r>
              <w:rPr>
                <w:rStyle w:val="IndexLink"/>
              </w:rPr>
              <w:t>227</w:t>
            </w:r>
          </w:hyperlink>
        </w:p>
        <w:p>
          <w:pPr>
            <w:pStyle w:val="Contents5"/>
            <w:tabs>
              <w:tab w:val="clear" w:pos="7892"/>
              <w:tab w:val="right" w:pos="9026" w:leader="dot"/>
            </w:tabs>
            <w:rPr/>
          </w:pPr>
          <w:hyperlink w:anchor="__RefHeading___Toc3433296_1878427129">
            <w:r>
              <w:rPr>
                <w:webHidden/>
                <w:rStyle w:val="IndexLink"/>
              </w:rPr>
              <w:t>2</w:t>
            </w:r>
            <w:r>
              <w:rPr>
                <w:rStyle w:val="IndexLink"/>
                <w:rtl w:val="true"/>
              </w:rPr>
              <w:t xml:space="preserve">. </w:t>
            </w:r>
            <w:r>
              <w:rPr>
                <w:rStyle w:val="IndexLink"/>
                <w:rtl w:val="true"/>
              </w:rPr>
              <w:t>لا تصويب في الموضوعات الخارجية</w:t>
            </w:r>
            <w:r>
              <w:rPr>
                <w:rStyle w:val="IndexLink"/>
                <w:rtl w:val="true"/>
              </w:rPr>
              <w:tab/>
            </w:r>
            <w:r>
              <w:rPr>
                <w:rStyle w:val="IndexLink"/>
              </w:rPr>
              <w:t>228</w:t>
            </w:r>
          </w:hyperlink>
        </w:p>
        <w:p>
          <w:pPr>
            <w:pStyle w:val="Contents5"/>
            <w:tabs>
              <w:tab w:val="clear" w:pos="7892"/>
              <w:tab w:val="right" w:pos="9026" w:leader="dot"/>
            </w:tabs>
            <w:rPr/>
          </w:pPr>
          <w:hyperlink w:anchor="__RefHeading___Toc3433298_1878427129">
            <w:r>
              <w:rPr>
                <w:webHidden/>
                <w:rStyle w:val="IndexLink"/>
              </w:rPr>
              <w:t>3</w:t>
            </w:r>
            <w:r>
              <w:rPr>
                <w:rStyle w:val="IndexLink"/>
                <w:rtl w:val="true"/>
              </w:rPr>
              <w:t xml:space="preserve">. </w:t>
            </w:r>
            <w:r>
              <w:rPr>
                <w:rStyle w:val="IndexLink"/>
                <w:rtl w:val="true"/>
              </w:rPr>
              <w:t>لا تصويب في الأحكام العقليّة البديهية</w:t>
            </w:r>
            <w:r>
              <w:rPr>
                <w:rStyle w:val="IndexLink"/>
                <w:rtl w:val="true"/>
              </w:rPr>
              <w:tab/>
            </w:r>
            <w:r>
              <w:rPr>
                <w:rStyle w:val="IndexLink"/>
              </w:rPr>
              <w:t>228</w:t>
            </w:r>
          </w:hyperlink>
        </w:p>
        <w:p>
          <w:pPr>
            <w:pStyle w:val="Contents5"/>
            <w:tabs>
              <w:tab w:val="clear" w:pos="7892"/>
              <w:tab w:val="right" w:pos="9026" w:leader="dot"/>
            </w:tabs>
            <w:rPr/>
          </w:pPr>
          <w:hyperlink w:anchor="__RefHeading___Toc3433300_1878427129">
            <w:r>
              <w:rPr>
                <w:webHidden/>
                <w:rStyle w:val="IndexLink"/>
              </w:rPr>
              <w:t>4</w:t>
            </w:r>
            <w:r>
              <w:rPr>
                <w:rStyle w:val="IndexLink"/>
                <w:rtl w:val="true"/>
              </w:rPr>
              <w:t xml:space="preserve">. </w:t>
            </w:r>
            <w:r>
              <w:rPr>
                <w:rStyle w:val="IndexLink"/>
                <w:rtl w:val="true"/>
              </w:rPr>
              <w:t>لا تصويب في المسائل المنصوصة</w:t>
            </w:r>
            <w:r>
              <w:rPr>
                <w:rStyle w:val="IndexLink"/>
                <w:rtl w:val="true"/>
              </w:rPr>
              <w:tab/>
            </w:r>
            <w:r>
              <w:rPr>
                <w:rStyle w:val="IndexLink"/>
              </w:rPr>
              <w:t>228</w:t>
            </w:r>
          </w:hyperlink>
        </w:p>
        <w:p>
          <w:pPr>
            <w:pStyle w:val="Contents6"/>
            <w:tabs>
              <w:tab w:val="clear" w:pos="7609"/>
              <w:tab w:val="right" w:pos="9026" w:leader="dot"/>
            </w:tabs>
            <w:rPr/>
          </w:pPr>
          <w:hyperlink w:anchor="__RefHeading___Toc3433302_1878427129">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3433304_1878427129">
            <w:r>
              <w:rPr>
                <w:webHidden/>
                <w:rStyle w:val="IndexLink"/>
                <w:rtl w:val="true"/>
              </w:rPr>
              <w:t>تنبيه</w:t>
            </w:r>
            <w:r>
              <w:rPr>
                <w:rStyle w:val="IndexLink"/>
                <w:rtl w:val="true"/>
              </w:rPr>
              <w:tab/>
            </w:r>
            <w:r>
              <w:rPr>
                <w:rStyle w:val="IndexLink"/>
              </w:rPr>
              <w:t>231</w:t>
            </w:r>
          </w:hyperlink>
        </w:p>
        <w:p>
          <w:pPr>
            <w:pStyle w:val="Contents4"/>
            <w:tabs>
              <w:tab w:val="clear" w:pos="8176"/>
              <w:tab w:val="right" w:pos="9026" w:leader="dot"/>
            </w:tabs>
            <w:rPr/>
          </w:pPr>
          <w:hyperlink w:anchor="__RefHeading___Toc3433306_1878427129">
            <w:r>
              <w:rPr>
                <w:webHidden/>
                <w:rStyle w:val="IndexLink"/>
                <w:rtl w:val="true"/>
              </w:rPr>
              <w:t>المسألة التاسعة</w:t>
            </w:r>
            <w:r>
              <w:rPr>
                <w:rStyle w:val="IndexLink"/>
                <w:rtl w:val="true"/>
              </w:rPr>
              <w:t xml:space="preserve">: </w:t>
            </w:r>
            <w:r>
              <w:rPr>
                <w:rStyle w:val="IndexLink"/>
                <w:rtl w:val="true"/>
              </w:rPr>
              <w:t>تأثير الزمان و المكان في الاجتهاد</w:t>
            </w:r>
            <w:r>
              <w:rPr>
                <w:rStyle w:val="IndexLink"/>
                <w:rtl w:val="true"/>
              </w:rPr>
              <w:tab/>
            </w:r>
            <w:r>
              <w:rPr>
                <w:rStyle w:val="IndexLink"/>
              </w:rPr>
              <w:t>232</w:t>
            </w:r>
          </w:hyperlink>
        </w:p>
        <w:p>
          <w:pPr>
            <w:pStyle w:val="Contents5"/>
            <w:tabs>
              <w:tab w:val="clear" w:pos="7892"/>
              <w:tab w:val="right" w:pos="9026" w:leader="dot"/>
            </w:tabs>
            <w:rPr/>
          </w:pPr>
          <w:hyperlink w:anchor="__RefHeading___Toc3433308_1878427129">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3433310_1878427129">
            <w:r>
              <w:rPr>
                <w:webHidden/>
                <w:rStyle w:val="IndexLink"/>
                <w:rtl w:val="true"/>
              </w:rPr>
              <w:t>الأوّل</w:t>
            </w:r>
            <w:r>
              <w:rPr>
                <w:rStyle w:val="IndexLink"/>
                <w:rtl w:val="true"/>
              </w:rPr>
              <w:t xml:space="preserve">: </w:t>
            </w:r>
            <w:r>
              <w:rPr>
                <w:rStyle w:val="IndexLink"/>
                <w:rtl w:val="true"/>
              </w:rPr>
              <w:t>تأثير الزمان و المكان في صدق الموضوعات</w:t>
            </w:r>
            <w:r>
              <w:rPr>
                <w:rStyle w:val="IndexLink"/>
                <w:rtl w:val="true"/>
              </w:rPr>
              <w:tab/>
            </w:r>
            <w:r>
              <w:rPr>
                <w:rStyle w:val="IndexLink"/>
              </w:rPr>
              <w:t>234</w:t>
            </w:r>
          </w:hyperlink>
        </w:p>
        <w:p>
          <w:pPr>
            <w:pStyle w:val="Contents5"/>
            <w:tabs>
              <w:tab w:val="clear" w:pos="7892"/>
              <w:tab w:val="right" w:pos="9026" w:leader="dot"/>
            </w:tabs>
            <w:rPr/>
          </w:pPr>
          <w:hyperlink w:anchor="__RefHeading___Toc3433312_1878427129">
            <w:r>
              <w:rPr>
                <w:webHidden/>
                <w:rStyle w:val="IndexLink"/>
                <w:rtl w:val="true"/>
              </w:rPr>
              <w:t>الثاني</w:t>
            </w:r>
            <w:r>
              <w:rPr>
                <w:rStyle w:val="IndexLink"/>
                <w:rtl w:val="true"/>
              </w:rPr>
              <w:t xml:space="preserve">: </w:t>
            </w:r>
            <w:r>
              <w:rPr>
                <w:rStyle w:val="IndexLink"/>
                <w:rtl w:val="true"/>
              </w:rPr>
              <w:t>تأثيرهما في ملاكات الأحكام</w:t>
            </w:r>
            <w:r>
              <w:rPr>
                <w:rStyle w:val="IndexLink"/>
                <w:rtl w:val="true"/>
              </w:rPr>
              <w:tab/>
            </w:r>
            <w:r>
              <w:rPr>
                <w:rStyle w:val="IndexLink"/>
              </w:rPr>
              <w:t>236</w:t>
            </w:r>
          </w:hyperlink>
        </w:p>
        <w:p>
          <w:pPr>
            <w:pStyle w:val="Contents5"/>
            <w:tabs>
              <w:tab w:val="clear" w:pos="7892"/>
              <w:tab w:val="right" w:pos="9026" w:leader="dot"/>
            </w:tabs>
            <w:rPr/>
          </w:pPr>
          <w:hyperlink w:anchor="__RefHeading___Toc3433314_1878427129">
            <w:r>
              <w:rPr>
                <w:webHidden/>
                <w:rStyle w:val="IndexLink"/>
                <w:rtl w:val="true"/>
              </w:rPr>
              <w:t>الثالث</w:t>
            </w:r>
            <w:r>
              <w:rPr>
                <w:rStyle w:val="IndexLink"/>
                <w:rtl w:val="true"/>
              </w:rPr>
              <w:t xml:space="preserve">: </w:t>
            </w:r>
            <w:r>
              <w:rPr>
                <w:rStyle w:val="IndexLink"/>
                <w:rtl w:val="true"/>
              </w:rPr>
              <w:t>تأثيرهما في كيفية تنفيذ الحكم</w:t>
            </w:r>
            <w:r>
              <w:rPr>
                <w:rStyle w:val="IndexLink"/>
                <w:rtl w:val="true"/>
              </w:rPr>
              <w:tab/>
            </w:r>
            <w:r>
              <w:rPr>
                <w:rStyle w:val="IndexLink"/>
              </w:rPr>
              <w:t>237</w:t>
            </w:r>
          </w:hyperlink>
        </w:p>
        <w:p>
          <w:pPr>
            <w:pStyle w:val="Contents5"/>
            <w:tabs>
              <w:tab w:val="clear" w:pos="7892"/>
              <w:tab w:val="right" w:pos="9026" w:leader="dot"/>
            </w:tabs>
            <w:rPr/>
          </w:pPr>
          <w:hyperlink w:anchor="__RefHeading___Toc3433316_1878427129">
            <w:r>
              <w:rPr>
                <w:webHidden/>
                <w:rStyle w:val="IndexLink"/>
                <w:rtl w:val="true"/>
              </w:rPr>
              <w:t>الرابع</w:t>
            </w:r>
            <w:r>
              <w:rPr>
                <w:rStyle w:val="IndexLink"/>
                <w:rtl w:val="true"/>
              </w:rPr>
              <w:t xml:space="preserve">: </w:t>
            </w:r>
            <w:r>
              <w:rPr>
                <w:rStyle w:val="IndexLink"/>
                <w:rtl w:val="true"/>
              </w:rPr>
              <w:t>تأثيرهما في مَنْح نظرة جديدة نحو المسائل</w:t>
            </w:r>
            <w:r>
              <w:rPr>
                <w:rStyle w:val="IndexLink"/>
                <w:rtl w:val="true"/>
              </w:rPr>
              <w:tab/>
            </w:r>
            <w:r>
              <w:rPr>
                <w:rStyle w:val="IndexLink"/>
              </w:rPr>
              <w:t>238</w:t>
            </w:r>
          </w:hyperlink>
        </w:p>
        <w:p>
          <w:pPr>
            <w:pStyle w:val="Contents5"/>
            <w:tabs>
              <w:tab w:val="clear" w:pos="7892"/>
              <w:tab w:val="right" w:pos="9026" w:leader="dot"/>
            </w:tabs>
            <w:rPr/>
          </w:pPr>
          <w:hyperlink w:anchor="__RefHeading___Toc3433318_1878427129">
            <w:r>
              <w:rPr>
                <w:webHidden/>
                <w:rStyle w:val="IndexLink"/>
                <w:rtl w:val="true"/>
              </w:rPr>
              <w:t>الخامس</w:t>
            </w:r>
            <w:r>
              <w:rPr>
                <w:rStyle w:val="IndexLink"/>
                <w:rtl w:val="true"/>
              </w:rPr>
              <w:t xml:space="preserve">: </w:t>
            </w:r>
            <w:r>
              <w:rPr>
                <w:rStyle w:val="IndexLink"/>
                <w:rtl w:val="true"/>
              </w:rPr>
              <w:t>تأثيرهما في تعيين الأساليب</w:t>
            </w:r>
            <w:r>
              <w:rPr>
                <w:rStyle w:val="IndexLink"/>
                <w:rtl w:val="true"/>
              </w:rPr>
              <w:tab/>
            </w:r>
            <w:r>
              <w:rPr>
                <w:rStyle w:val="IndexLink"/>
              </w:rPr>
              <w:t>239</w:t>
            </w:r>
          </w:hyperlink>
        </w:p>
        <w:p>
          <w:pPr>
            <w:pStyle w:val="Contents4"/>
            <w:tabs>
              <w:tab w:val="clear" w:pos="8176"/>
              <w:tab w:val="right" w:pos="9026" w:leader="dot"/>
            </w:tabs>
            <w:rPr/>
          </w:pPr>
          <w:hyperlink w:anchor="__RefHeading___Toc3433320_1878427129">
            <w:r>
              <w:rPr>
                <w:webHidden/>
                <w:rStyle w:val="IndexLink"/>
                <w:rtl w:val="true"/>
              </w:rPr>
              <w:t>المسألة العاشرة</w:t>
            </w:r>
            <w:r>
              <w:rPr>
                <w:rStyle w:val="IndexLink"/>
                <w:rtl w:val="true"/>
              </w:rPr>
              <w:t>:</w:t>
            </w:r>
            <w:r>
              <w:rPr>
                <w:rStyle w:val="IndexLink"/>
                <w:rtl w:val="true"/>
              </w:rPr>
              <w:t>في التفسير الخاطئ أو تغيير الأحكام حسب المصالح</w:t>
            </w:r>
            <w:r>
              <w:rPr>
                <w:rStyle w:val="IndexLink"/>
                <w:rtl w:val="true"/>
              </w:rPr>
              <w:tab/>
            </w:r>
            <w:r>
              <w:rPr>
                <w:rStyle w:val="IndexLink"/>
              </w:rPr>
              <w:t>241</w:t>
            </w:r>
          </w:hyperlink>
        </w:p>
        <w:p>
          <w:pPr>
            <w:pStyle w:val="Contents3"/>
            <w:tabs>
              <w:tab w:val="clear" w:pos="8459"/>
              <w:tab w:val="right" w:pos="9026" w:leader="dot"/>
            </w:tabs>
            <w:rPr/>
          </w:pPr>
          <w:hyperlink w:anchor="__RefHeading___Toc3433322_1878427129">
            <w:r>
              <w:rPr>
                <w:webHidden/>
                <w:rStyle w:val="IndexLink"/>
                <w:rtl w:val="true"/>
              </w:rPr>
              <w:t>الفصل الثاني</w:t>
            </w:r>
            <w:r>
              <w:rPr>
                <w:rStyle w:val="IndexLink"/>
                <w:rtl w:val="true"/>
              </w:rPr>
              <w:t xml:space="preserve">: </w:t>
            </w:r>
            <w:r>
              <w:rPr>
                <w:rStyle w:val="IndexLink"/>
                <w:rtl w:val="true"/>
              </w:rPr>
              <w:t>في التقليد و أحكامه</w:t>
            </w:r>
            <w:r>
              <w:rPr>
                <w:rStyle w:val="IndexLink"/>
                <w:rtl w:val="true"/>
              </w:rPr>
              <w:tab/>
            </w:r>
            <w:r>
              <w:rPr>
                <w:rStyle w:val="IndexLink"/>
              </w:rPr>
              <w:t>243</w:t>
            </w:r>
          </w:hyperlink>
        </w:p>
        <w:p>
          <w:pPr>
            <w:pStyle w:val="Contents4"/>
            <w:tabs>
              <w:tab w:val="clear" w:pos="8176"/>
              <w:tab w:val="right" w:pos="9026" w:leader="dot"/>
            </w:tabs>
            <w:rPr/>
          </w:pPr>
          <w:hyperlink w:anchor="__RefHeading___Toc3433324_1878427129">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3433326_1878427129">
            <w:r>
              <w:rPr>
                <w:webHidden/>
                <w:rStyle w:val="IndexLink"/>
                <w:rtl w:val="true"/>
              </w:rPr>
              <w:t>المسألة الأُولى</w:t>
            </w:r>
            <w:r>
              <w:rPr>
                <w:rStyle w:val="IndexLink"/>
                <w:rtl w:val="true"/>
              </w:rPr>
              <w:t xml:space="preserve">: </w:t>
            </w:r>
            <w:r>
              <w:rPr>
                <w:rStyle w:val="IndexLink"/>
                <w:rtl w:val="true"/>
              </w:rPr>
              <w:t>التقليد لغة و اصطلاحاً</w:t>
            </w:r>
            <w:r>
              <w:rPr>
                <w:rStyle w:val="IndexLink"/>
                <w:rtl w:val="true"/>
              </w:rPr>
              <w:tab/>
            </w:r>
            <w:r>
              <w:rPr>
                <w:rStyle w:val="IndexLink"/>
              </w:rPr>
              <w:t>243</w:t>
            </w:r>
          </w:hyperlink>
        </w:p>
        <w:p>
          <w:pPr>
            <w:pStyle w:val="Contents4"/>
            <w:tabs>
              <w:tab w:val="clear" w:pos="8176"/>
              <w:tab w:val="right" w:pos="9026" w:leader="dot"/>
            </w:tabs>
            <w:rPr/>
          </w:pPr>
          <w:hyperlink w:anchor="__RefHeading___Toc3433328_1878427129">
            <w:r>
              <w:rPr>
                <w:webHidden/>
                <w:rStyle w:val="IndexLink"/>
                <w:rtl w:val="true"/>
              </w:rPr>
              <w:t>المسألة الثانية</w:t>
            </w:r>
            <w:r>
              <w:rPr>
                <w:rStyle w:val="IndexLink"/>
                <w:rtl w:val="true"/>
              </w:rPr>
              <w:t xml:space="preserve">: </w:t>
            </w:r>
            <w:r>
              <w:rPr>
                <w:rStyle w:val="IndexLink"/>
                <w:rtl w:val="true"/>
              </w:rPr>
              <w:t>في جواز التقليد</w:t>
            </w:r>
            <w:r>
              <w:rPr>
                <w:rStyle w:val="IndexLink"/>
                <w:rtl w:val="true"/>
              </w:rPr>
              <w:tab/>
            </w:r>
            <w:r>
              <w:rPr>
                <w:rStyle w:val="IndexLink"/>
              </w:rPr>
              <w:t>244</w:t>
            </w:r>
          </w:hyperlink>
        </w:p>
        <w:p>
          <w:pPr>
            <w:pStyle w:val="Contents4"/>
            <w:tabs>
              <w:tab w:val="clear" w:pos="8176"/>
              <w:tab w:val="right" w:pos="9026" w:leader="dot"/>
            </w:tabs>
            <w:rPr/>
          </w:pPr>
          <w:hyperlink w:anchor="__RefHeading___Toc3433330_1878427129">
            <w:r>
              <w:rPr>
                <w:webHidden/>
                <w:rStyle w:val="IndexLink"/>
                <w:rtl w:val="true"/>
              </w:rPr>
              <w:t>المسألة الثالثة</w:t>
            </w:r>
            <w:r>
              <w:rPr>
                <w:rStyle w:val="IndexLink"/>
                <w:rtl w:val="true"/>
              </w:rPr>
              <w:t xml:space="preserve">: </w:t>
            </w:r>
            <w:r>
              <w:rPr>
                <w:rStyle w:val="IndexLink"/>
                <w:rtl w:val="true"/>
              </w:rPr>
              <w:t>في وجوب تقليد الأعلم</w:t>
            </w:r>
            <w:r>
              <w:rPr>
                <w:rStyle w:val="IndexLink"/>
                <w:rtl w:val="true"/>
              </w:rPr>
              <w:tab/>
            </w:r>
            <w:r>
              <w:rPr>
                <w:rStyle w:val="IndexLink"/>
              </w:rPr>
              <w:t>246</w:t>
            </w:r>
          </w:hyperlink>
        </w:p>
        <w:p>
          <w:pPr>
            <w:pStyle w:val="Contents5"/>
            <w:tabs>
              <w:tab w:val="clear" w:pos="7892"/>
              <w:tab w:val="right" w:pos="9026" w:leader="dot"/>
            </w:tabs>
            <w:rPr/>
          </w:pPr>
          <w:hyperlink w:anchor="__RefHeading___Toc3433332_1878427129">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3433334_1878427129">
            <w:r>
              <w:rPr>
                <w:webHidden/>
                <w:rStyle w:val="IndexLink"/>
                <w:rtl w:val="true"/>
              </w:rPr>
              <w:t>أدلّة القائلين بلزوم تقديم الفاضل</w:t>
            </w:r>
            <w:r>
              <w:rPr>
                <w:rStyle w:val="IndexLink"/>
                <w:rtl w:val="true"/>
              </w:rPr>
              <w:tab/>
            </w:r>
            <w:r>
              <w:rPr>
                <w:rStyle w:val="IndexLink"/>
              </w:rPr>
              <w:t>248</w:t>
            </w:r>
          </w:hyperlink>
        </w:p>
        <w:p>
          <w:pPr>
            <w:pStyle w:val="Contents5"/>
            <w:tabs>
              <w:tab w:val="clear" w:pos="7892"/>
              <w:tab w:val="right" w:pos="9026" w:leader="dot"/>
            </w:tabs>
            <w:rPr/>
          </w:pPr>
          <w:hyperlink w:anchor="__RefHeading___Toc3433336_1878427129">
            <w:r>
              <w:rPr>
                <w:webHidden/>
                <w:rStyle w:val="IndexLink"/>
                <w:rtl w:val="true"/>
              </w:rPr>
              <w:t>ما هو المراد من الأعلم؟</w:t>
            </w:r>
            <w:r>
              <w:rPr>
                <w:rStyle w:val="IndexLink"/>
                <w:rtl w:val="true"/>
              </w:rPr>
              <w:tab/>
            </w:r>
            <w:r>
              <w:rPr>
                <w:rStyle w:val="IndexLink"/>
              </w:rPr>
              <w:t>251</w:t>
            </w:r>
          </w:hyperlink>
        </w:p>
        <w:p>
          <w:pPr>
            <w:pStyle w:val="Contents4"/>
            <w:tabs>
              <w:tab w:val="clear" w:pos="8176"/>
              <w:tab w:val="right" w:pos="9026" w:leader="dot"/>
            </w:tabs>
            <w:rPr/>
          </w:pPr>
          <w:hyperlink w:anchor="__RefHeading___Toc3433338_1878427129">
            <w:r>
              <w:rPr>
                <w:webHidden/>
                <w:rStyle w:val="IndexLink"/>
                <w:rtl w:val="true"/>
              </w:rPr>
              <w:t>المسألة الرابعة</w:t>
            </w:r>
            <w:r>
              <w:rPr>
                <w:rStyle w:val="IndexLink"/>
                <w:rtl w:val="true"/>
              </w:rPr>
              <w:t xml:space="preserve">: </w:t>
            </w:r>
            <w:r>
              <w:rPr>
                <w:rStyle w:val="IndexLink"/>
                <w:rtl w:val="true"/>
              </w:rPr>
              <w:t>في تقليد الميت ابتداءً</w:t>
            </w:r>
            <w:r>
              <w:rPr>
                <w:rStyle w:val="IndexLink"/>
                <w:rtl w:val="true"/>
              </w:rPr>
              <w:tab/>
            </w:r>
            <w:r>
              <w:rPr>
                <w:rStyle w:val="IndexLink"/>
              </w:rPr>
              <w:t>252</w:t>
            </w:r>
          </w:hyperlink>
        </w:p>
        <w:p>
          <w:pPr>
            <w:pStyle w:val="Contents4"/>
            <w:tabs>
              <w:tab w:val="clear" w:pos="8176"/>
              <w:tab w:val="right" w:pos="9026" w:leader="dot"/>
            </w:tabs>
            <w:rPr/>
          </w:pPr>
          <w:hyperlink w:anchor="__RefHeading___Toc3433340_1878427129">
            <w:r>
              <w:rPr>
                <w:webHidden/>
                <w:rStyle w:val="IndexLink"/>
                <w:rtl w:val="true"/>
              </w:rPr>
              <w:t>المسألة الخامسة</w:t>
            </w:r>
            <w:r>
              <w:rPr>
                <w:rStyle w:val="IndexLink"/>
                <w:rtl w:val="true"/>
              </w:rPr>
              <w:t xml:space="preserve">: </w:t>
            </w:r>
            <w:r>
              <w:rPr>
                <w:rStyle w:val="IndexLink"/>
                <w:rtl w:val="true"/>
              </w:rPr>
              <w:t>في البقاء على تقليد الميت</w:t>
            </w:r>
            <w:r>
              <w:rPr>
                <w:rStyle w:val="IndexLink"/>
                <w:rtl w:val="true"/>
              </w:rPr>
              <w:tab/>
            </w:r>
            <w:r>
              <w:rPr>
                <w:rStyle w:val="IndexLink"/>
              </w:rPr>
              <w:t>253</w:t>
            </w:r>
          </w:hyperlink>
        </w:p>
        <w:p>
          <w:pPr>
            <w:pStyle w:val="Contents5"/>
            <w:tabs>
              <w:tab w:val="clear" w:pos="7892"/>
              <w:tab w:val="right" w:pos="9026" w:leader="dot"/>
            </w:tabs>
            <w:rPr/>
          </w:pPr>
          <w:hyperlink w:anchor="__RefHeading___Toc3433342_1878427129">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3433344_1878427129">
            <w:r>
              <w:rPr>
                <w:webHidden/>
                <w:rStyle w:val="IndexLink"/>
                <w:rtl w:val="true"/>
              </w:rPr>
              <w:t>و التحقيق يتوقّف على بيان الحكم في مرحلتين</w:t>
            </w:r>
            <w:r>
              <w:rPr>
                <w:rStyle w:val="IndexLink"/>
                <w:rtl w:val="true"/>
              </w:rPr>
              <w:t>:</w:t>
              <w:tab/>
            </w:r>
            <w:r>
              <w:rPr>
                <w:rStyle w:val="IndexLink"/>
              </w:rPr>
              <w:t>253</w:t>
            </w:r>
          </w:hyperlink>
        </w:p>
        <w:p>
          <w:pPr>
            <w:pStyle w:val="Contents6"/>
            <w:tabs>
              <w:tab w:val="clear" w:pos="7609"/>
              <w:tab w:val="right" w:pos="9026" w:leader="dot"/>
            </w:tabs>
            <w:rPr/>
          </w:pPr>
          <w:hyperlink w:anchor="__RefHeading___Toc3433346_1878427129">
            <w:r>
              <w:rPr>
                <w:webHidden/>
                <w:rStyle w:val="IndexLink"/>
                <w:rtl w:val="true"/>
              </w:rPr>
              <w:t>اشارة</w:t>
            </w:r>
            <w:r>
              <w:rPr>
                <w:rStyle w:val="IndexLink"/>
                <w:rtl w:val="true"/>
              </w:rPr>
              <w:tab/>
            </w:r>
            <w:r>
              <w:rPr>
                <w:rStyle w:val="IndexLink"/>
              </w:rPr>
              <w:t>253</w:t>
            </w:r>
          </w:hyperlink>
        </w:p>
        <w:p>
          <w:pPr>
            <w:pStyle w:val="Contents6"/>
            <w:tabs>
              <w:tab w:val="clear" w:pos="7609"/>
              <w:tab w:val="right" w:pos="9026" w:leader="dot"/>
            </w:tabs>
            <w:rPr/>
          </w:pPr>
          <w:hyperlink w:anchor="__RefHeading___Toc3433348_1878427129">
            <w:r>
              <w:rPr>
                <w:webHidden/>
                <w:rStyle w:val="IndexLink"/>
                <w:rtl w:val="true"/>
              </w:rPr>
              <w:t>أمّا الأُولى، أي مقتضى القاعدة الأوّلية</w:t>
            </w:r>
            <w:r>
              <w:rPr>
                <w:rStyle w:val="IndexLink"/>
                <w:rtl w:val="true"/>
              </w:rPr>
              <w:tab/>
            </w:r>
            <w:r>
              <w:rPr>
                <w:rStyle w:val="IndexLink"/>
              </w:rPr>
              <w:t>254</w:t>
            </w:r>
          </w:hyperlink>
        </w:p>
        <w:p>
          <w:pPr>
            <w:pStyle w:val="Contents6"/>
            <w:tabs>
              <w:tab w:val="clear" w:pos="7609"/>
              <w:tab w:val="right" w:pos="9026" w:leader="dot"/>
            </w:tabs>
            <w:rPr/>
          </w:pPr>
          <w:hyperlink w:anchor="__RefHeading___Toc3433350_1878427129">
            <w:r>
              <w:rPr>
                <w:webHidden/>
                <w:rStyle w:val="IndexLink"/>
                <w:rtl w:val="true"/>
              </w:rPr>
              <w:t>و أمّا الثانية، أي مقتضى القاعدة الثانوية</w:t>
            </w:r>
            <w:r>
              <w:rPr>
                <w:rStyle w:val="IndexLink"/>
                <w:rtl w:val="true"/>
              </w:rPr>
              <w:tab/>
            </w:r>
            <w:r>
              <w:rPr>
                <w:rStyle w:val="IndexLink"/>
              </w:rPr>
              <w:t>254</w:t>
            </w:r>
          </w:hyperlink>
        </w:p>
        <w:p>
          <w:pPr>
            <w:pStyle w:val="Contents4"/>
            <w:tabs>
              <w:tab w:val="clear" w:pos="8176"/>
              <w:tab w:val="right" w:pos="9026" w:leader="dot"/>
            </w:tabs>
            <w:rPr/>
          </w:pPr>
          <w:hyperlink w:anchor="__RefHeading___Toc3433352_1878427129">
            <w:r>
              <w:rPr>
                <w:webHidden/>
                <w:rStyle w:val="IndexLink"/>
                <w:rtl w:val="true"/>
              </w:rPr>
              <w:t>المسألة السادسة</w:t>
            </w:r>
            <w:r>
              <w:rPr>
                <w:rStyle w:val="IndexLink"/>
                <w:rtl w:val="true"/>
              </w:rPr>
              <w:t xml:space="preserve">: </w:t>
            </w:r>
            <w:r>
              <w:rPr>
                <w:rStyle w:val="IndexLink"/>
                <w:rtl w:val="true"/>
              </w:rPr>
              <w:t>العدول من تقليد مجتهد إلى آخر</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687_217124"/>
      <w:bookmarkStart w:id="1" w:name="pg14687_217124"/>
      <w:bookmarkEnd w:id="1"/>
    </w:p>
    <w:p>
      <w:pPr>
        <w:pStyle w:val="Heading2"/>
        <w:numPr>
          <w:ilvl w:val="1"/>
          <w:numId w:val="1"/>
        </w:numPr>
        <w:rPr/>
      </w:pPr>
      <w:bookmarkStart w:id="2" w:name="pg14687_217124"/>
      <w:bookmarkStart w:id="3" w:name="__RefHeading___Toc3432860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اصول‌الفقه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یبحث عن الادلة اللفظیة و العقلیة بین الایجاز و الاطناب</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اصول‌الفقه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066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067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الوسیط فی اصول‌الفقه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الوسیط فی اصول‌الفقه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2862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687_217128"/>
      <w:bookmarkStart w:id="8" w:name="pg14687_217128"/>
      <w:bookmarkEnd w:id="8"/>
    </w:p>
    <w:p>
      <w:pPr>
        <w:pStyle w:val="Heading2"/>
        <w:numPr>
          <w:ilvl w:val="1"/>
          <w:numId w:val="1"/>
        </w:numPr>
        <w:rPr/>
      </w:pPr>
      <w:bookmarkStart w:id="9" w:name="pg14687_217128"/>
      <w:bookmarkStart w:id="10" w:name="__RefHeading___Toc3432864_1878427129"/>
      <w:bookmarkStart w:id="11" w:name="_Toc3"/>
      <w:bookmarkEnd w:id="9"/>
      <w:bookmarkEnd w:id="10"/>
      <w:r>
        <w:rPr>
          <w:rtl w:val="true"/>
        </w:rPr>
        <w:t>مقدّمة المؤلّف</w:t>
      </w:r>
      <w:bookmarkEnd w:id="11"/>
    </w:p>
    <w:p>
      <w:pPr>
        <w:pStyle w:val="BookText"/>
        <w:rPr/>
      </w:pPr>
      <w:r>
        <w:rPr>
          <w:rFonts w:ascii="Amiri" w:hAnsi="Amiri" w:eastAsia="Amiri" w:cs="Amiri"/>
          <w:color w:val="111111"/>
          <w:sz w:val="28"/>
          <w:sz w:val="28"/>
          <w:szCs w:val="28"/>
          <w:rtl w:val="true"/>
          <w:lang w:bidi="ar-SA"/>
        </w:rPr>
        <w:t>بِسْمِ اللّهِ الرَّحْمنِ الرَّحِيمِ الحمد للّه الذي عجزت العقول عن كنه معرفته، و قصرت الألباب عن الإحاطة بكماله، و الصّلاة و السّلام على أفضل خليقته و أشرف بريّته أبي القاسم المصطفى محمّد الّذي بعثه بالحقّ ليخرج عباده من عبادة الأوثان إلى عبادته، و من طاعة الشيطان إلى طاعته ، و على آله الطيّبين الطّاهرين الذين هم موضع سرّه، و عيبة علمه، و موئلُ حُكْمِه، و كهوف كتبه، و جبال دينه، بهم أقام انحناء ظهره، و أذهب ارتعاد فرائصه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خلود الشريعة و بقاءها على مرّ الزمان و مسايرتها للحضارات الإنسانية، و استغناءها عن كلّ تشريع، رهن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احتواء التشريع على مادة حيوية خلاّقة للتفاصيل، بحيث يتمكّن علماء الأُمّة من استنباط كلّ حكم يحتاج إليه المجتمع البشري في كلّ عصر من الأعصار</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باب الاجتهاد و عدم إيصاده، ليقوم الفقهاء بدورهم في استنباط الأحكام التي تنسجم مع تطور الحياة و مواكبة العصر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مفاخر الشيعة الإمامية هو عدم ايصاد باب الاجتهاد منذ رحيل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يومنا هذا، فلذلك صار هذا سبباً لحفظ غضاضة الفقه و طراوته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شكّ فيه انّ أُصول الفقه يحظى بأهمية كبيرة في استنباط الأحكام الشرعية، ففي ظلّ قواعده يُتاح للمجتهد أن يُبدي رأيه في كافة الحوادث و المستجدّات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قام بالتأليف حول هذه المهمة واحد بعد واحد من أُولي البصائر، و كابر بعد كابر من الأعاظم و الفطاحل، فللّه درّ عصابة ألّفوا فأسّسوا، و صنّفوا فأفادوا، و قد كانت كتبهم محور الدراسة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انّ لكلّ عصر لغتَه، و لكلّ مجتمع حاجتَه، هذا و ذاك ، ممّا يُلزم أساتذة الحوزة و المشرفين على المناهج الدراسية بإعادة النظر في ما أُلّف و صار محوراً للدراسة، لكي يُنتفع بنقاط قوته و يضاف إليه مسائل جديدة تلبّي حاجات عصره، حتى يكون التأليف كحلقة متسلسلة من الجيل السابق إلى الجيل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قمت به بفضل من اللّه خلال تدريسي لأُصول الفقه أزيد من خمسين سنة فجاء متمثّلاً في هذه الكتب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أعددته للمبتدئين في علم الأُصول في جزء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أعددته لمن أراد الخوض في علم الأُصول في جزءين بعد انّ كوّن فكرة عامّة عن المسائل الأُصوليةِ عبر دراسته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المرحلة النهائية فقد ألقيت محاضرات لدورات متتابعة حتى انتهى بنا الأمر إلى الدورة الخامسة كلّ ذلك بفضل منه سبحانه فجاءت خلاصتها في كتابين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في أربعة أجزاء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العقول إلى مباحث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منه إلى الآن جزءان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انبرى بعض الفضلاء من حضار بحوثي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كتابتها و تدوينها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التمس من طالع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 جزأيه أن يرشدني إلى مواضع الخلل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أحبّ إخواني من أهدى إليَّ عيوبي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أرجو من اللّه سبحانه أن يجعله خالصاً لوجهه الكريم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 قم مؤسسة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lang w:bidi="ar-SA"/>
        </w:rPr>
        <w:t>1421</w:t>
      </w:r>
      <w:r>
        <w:rPr>
          <w:rFonts w:ascii="Amiri" w:hAnsi="Amiri" w:eastAsia="Amiri" w:cs="Amiri"/>
          <w:color w:val="111111"/>
          <w:sz w:val="28"/>
          <w:sz w:val="28"/>
          <w:szCs w:val="28"/>
          <w:rtl w:val="true"/>
          <w:lang w:bidi="ar-SA"/>
        </w:rPr>
        <w:t xml:space="preserve">ه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687_217132"/>
      <w:bookmarkStart w:id="13" w:name="pg14687_217132"/>
      <w:bookmarkEnd w:id="13"/>
    </w:p>
    <w:p>
      <w:pPr>
        <w:pStyle w:val="Heading2"/>
        <w:numPr>
          <w:ilvl w:val="1"/>
          <w:numId w:val="1"/>
        </w:numPr>
        <w:rPr/>
      </w:pPr>
      <w:bookmarkStart w:id="14" w:name="pg14687_217132"/>
      <w:bookmarkStart w:id="15" w:name="__RefHeading___Toc3432866_1878427129"/>
      <w:bookmarkStart w:id="16" w:name="_Toc4"/>
      <w:bookmarkEnd w:id="14"/>
      <w:bookmarkEnd w:id="15"/>
      <w:r>
        <w:rPr>
          <w:rtl w:val="true"/>
        </w:rPr>
        <w:t>المقصد السادس</w:t>
      </w:r>
      <w:r>
        <w:rPr>
          <w:rtl w:val="true"/>
        </w:rPr>
        <w:t xml:space="preserve">: </w:t>
      </w:r>
      <w:r>
        <w:rPr>
          <w:rtl w:val="true"/>
        </w:rPr>
        <w:t>في الحجج و الأمارات</w:t>
      </w:r>
      <w:bookmarkEnd w:id="16"/>
    </w:p>
    <w:p>
      <w:pPr>
        <w:pStyle w:val="Heading3"/>
        <w:numPr>
          <w:ilvl w:val="2"/>
          <w:numId w:val="1"/>
        </w:numPr>
        <w:rPr/>
      </w:pPr>
      <w:bookmarkStart w:id="17" w:name="__RefHeading___Toc3432868_1878427129"/>
      <w:bookmarkStart w:id="18" w:name="_Toc5"/>
      <w:bookmarkEnd w:id="17"/>
      <w:r>
        <w:rPr>
          <w:rtl w:val="true"/>
        </w:rPr>
        <w:t>اشارة</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بخبر الواحد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الشهرة الفتوائية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اللغوي</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14687_217134"/>
      <w:bookmarkStart w:id="20" w:name="pg14687_217134"/>
      <w:bookmarkEnd w:id="20"/>
    </w:p>
    <w:p>
      <w:pPr>
        <w:pStyle w:val="Heading3"/>
        <w:numPr>
          <w:ilvl w:val="2"/>
          <w:numId w:val="1"/>
        </w:numPr>
        <w:rPr/>
      </w:pPr>
      <w:bookmarkStart w:id="21" w:name="pg14687_217134"/>
      <w:bookmarkStart w:id="22" w:name="__RefHeading___Toc3432870_1878427129"/>
      <w:bookmarkStart w:id="23" w:name="_Toc6"/>
      <w:bookmarkEnd w:id="21"/>
      <w:bookmarkEnd w:id="22"/>
      <w:r>
        <w:rPr>
          <w:rtl w:val="true"/>
        </w:rPr>
        <w:t>تمهيد</w:t>
      </w:r>
      <w:bookmarkEnd w:id="23"/>
    </w:p>
    <w:p>
      <w:pPr>
        <w:pStyle w:val="BookText"/>
        <w:rPr/>
      </w:pPr>
      <w:r>
        <w:rPr>
          <w:rFonts w:ascii="Amiri" w:hAnsi="Amiri" w:eastAsia="Amiri" w:cs="Amiri"/>
          <w:color w:val="111111"/>
          <w:sz w:val="28"/>
          <w:sz w:val="28"/>
          <w:szCs w:val="28"/>
          <w:rtl w:val="true"/>
          <w:lang w:bidi="ar-SA"/>
        </w:rPr>
        <w:t>يعلم الفقيه أنّ بينه و بين ربّه حججاً معتبرة تقطع العذر و تُنجّز الواقع، غير انّه لا يعلم في بدء الأمر خصوصياتها و معالمها، فيبعثه العقل إلى التعرّف عليها بالتفصيل عن كثب، و هي عند الشيعة الإمامية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الكتاب، السنّة، الإجماع، و العقل التي يدور عليها رحى الفقه و الاستنباط، و أمّا سائر الأمارات فهي غير معتبرة عندنا و إن كانت معتبرة عند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الحجج منحصرة عندنا في الأدلّة الأربعة كان اللازم على الأُصوليّين المتأخّرين الذين أفاضوا القول في علم الأُصول أن يعقدوا لكلّ منها فصلاً خاصاً ليتعرّف عليه المبتدئ و يقف على معالمه و حدوده، و لكنّهم لم يقوموا بهذه المهمة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لم تفتهم الإشارةُ إليها في ثنايا بحوثهم حيث أدرجوا البحث عن الكتاب في مبحث حجّية الظواهر على الإطلاق، و البحث عن السنّة في مبحث حجّية خبر الواحد، كما أدغموا البحث عن الإجماع محصَّلاً كان أو منقولاً في مبحث الإجماع المنقول، و البحث عن حجّية العقل في مبحث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مرّوا عليها مروراً خاطفاً دون التركيز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الأهميّة التي تمتعت بها الأدلّة الأربعة عقدنا لكلّ واحد عنواناً خاصاً متميزاً عن غيره و مع ذلك فلصيانة المنهج السائد في الكتب الأُصولية عقدنا الفصول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الإجماع المحصّل، الكتاب، و السنّة</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الأنسب تقدّم الكتاب و السنّة على الآخرين</w:t>
      </w:r>
      <w:r>
        <w:rPr>
          <w:rFonts w:eastAsia="Amiri" w:cs="Amiri" w:ascii="Amiri" w:hAnsi="Amiri"/>
          <w:color w:val="111111"/>
          <w:sz w:val="28"/>
          <w:szCs w:val="28"/>
          <w:rtl w:val="true"/>
          <w:lang w:bidi="ar-SA"/>
        </w:rPr>
        <w:t xml:space="preserve">. </w:t>
      </w:r>
      <w:bookmarkStart w:id="24" w:name="pg14687_217135"/>
    </w:p>
    <w:p>
      <w:pPr>
        <w:pStyle w:val="Heading3"/>
        <w:numPr>
          <w:ilvl w:val="2"/>
          <w:numId w:val="1"/>
        </w:numPr>
        <w:rPr/>
      </w:pPr>
      <w:bookmarkStart w:id="25" w:name="__RefHeading___Toc3432872_1878427129"/>
      <w:bookmarkStart w:id="26" w:name="_Toc7"/>
      <w:bookmarkEnd w:id="24"/>
      <w:bookmarkEnd w:id="25"/>
      <w:r>
        <w:rPr>
          <w:rtl w:val="true"/>
        </w:rPr>
        <w:t>الأدلّة الأربعة</w:t>
      </w:r>
      <w:bookmarkEnd w:id="26"/>
    </w:p>
    <w:p>
      <w:pPr>
        <w:pStyle w:val="Heading4"/>
        <w:numPr>
          <w:ilvl w:val="3"/>
          <w:numId w:val="1"/>
        </w:numPr>
        <w:rPr/>
      </w:pPr>
      <w:bookmarkStart w:id="27" w:name="__RefHeading___Toc3432874_1878427129"/>
      <w:bookmarkStart w:id="28" w:name="_Toc8"/>
      <w:bookmarkEnd w:id="27"/>
      <w:r>
        <w:rPr/>
        <w:t>1</w:t>
      </w:r>
      <w:r>
        <w:rPr>
          <w:rtl w:val="true"/>
        </w:rPr>
        <w:t xml:space="preserve">- </w:t>
      </w:r>
      <w:r>
        <w:rPr>
          <w:rtl w:val="true"/>
        </w:rPr>
        <w:t>العقل أحد مصادر التشريع</w:t>
      </w:r>
      <w:bookmarkEnd w:id="28"/>
    </w:p>
    <w:p>
      <w:pPr>
        <w:pStyle w:val="Heading5"/>
        <w:numPr>
          <w:ilvl w:val="4"/>
          <w:numId w:val="1"/>
        </w:numPr>
        <w:rPr/>
      </w:pPr>
      <w:bookmarkStart w:id="29" w:name="__RefHeading___Toc3432876_1878427129"/>
      <w:bookmarkStart w:id="30" w:name="_Toc9"/>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انّ العقل أحد الحجج الأربع الّذي اتّفق أصحابنا إلاّ قليلاً منهم على حجّيته في مجال استنباط الحكم الشرعي، ثمّ إنّ البحث عن حجّية حكم العقل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حكم العقل بما انّه من مصاديق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كشفه عن حكم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فالبحث فيه من فروع البحث عن حجّية القطع مطلقاً </w:t>
      </w:r>
      <w:r>
        <w:rPr>
          <w:rStyle w:val="FootnoteAnchor"/>
          <w:rtl w:val="true"/>
        </w:rPr>
        <w:footnoteReference w:id="2"/>
      </w:r>
      <w:r>
        <w:rPr>
          <w:rFonts w:ascii="Amiri" w:hAnsi="Amiri" w:eastAsia="Amiri" w:cs="Amiri"/>
          <w:color w:val="111111"/>
          <w:sz w:val="28"/>
          <w:sz w:val="28"/>
          <w:szCs w:val="28"/>
          <w:rtl w:val="true"/>
          <w:lang w:bidi="ar-SA"/>
        </w:rPr>
        <w:t>و انّ حجّيته 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بسط الأُصوليون الكلام فيه في رسالة القطع و بحثوا عن حجّيته بحثاً مُسْهباً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فيرجع فيه البحث إلى وجود الملازمة بين حكمي العقل و الشرع و عدمه و هذا هو الذي اختصروا الكلام فيه غالباً </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أن يعقدوا له فصلاً مستقلاً، و لأجل مزيد ايضاح، نفرد لكل بحثاً مستقلاً في ضمن مقامين</w:t>
      </w:r>
      <w:r>
        <w:rPr>
          <w:rFonts w:eastAsia="Amiri" w:cs="Amiri" w:ascii="Amiri" w:hAnsi="Amiri"/>
          <w:color w:val="111111"/>
          <w:sz w:val="28"/>
          <w:szCs w:val="28"/>
          <w:rtl w:val="true"/>
          <w:lang w:bidi="ar-SA"/>
        </w:rPr>
        <w:t xml:space="preserve">: </w:t>
      </w:r>
      <w:bookmarkStart w:id="31" w:name="pg14687_217136"/>
    </w:p>
    <w:p>
      <w:pPr>
        <w:pStyle w:val="Heading5"/>
        <w:numPr>
          <w:ilvl w:val="4"/>
          <w:numId w:val="1"/>
        </w:numPr>
        <w:rPr/>
      </w:pPr>
      <w:bookmarkStart w:id="32" w:name="__RefHeading___Toc3432878_1878427129"/>
      <w:bookmarkStart w:id="33" w:name="_Toc10"/>
      <w:bookmarkEnd w:id="31"/>
      <w:bookmarkEnd w:id="32"/>
      <w:r>
        <w:rPr>
          <w:rtl w:val="true"/>
        </w:rPr>
        <w:t>المقام الأوّل</w:t>
      </w:r>
      <w:r>
        <w:rPr>
          <w:rtl w:val="true"/>
        </w:rPr>
        <w:t xml:space="preserve">: </w:t>
      </w:r>
      <w:r>
        <w:rPr>
          <w:rtl w:val="true"/>
        </w:rPr>
        <w:t>في أحكام القطع و أقسامه</w:t>
      </w:r>
      <w:bookmarkEnd w:id="33"/>
    </w:p>
    <w:p>
      <w:pPr>
        <w:pStyle w:val="Heading6"/>
        <w:numPr>
          <w:ilvl w:val="5"/>
          <w:numId w:val="1"/>
        </w:numPr>
        <w:rPr/>
      </w:pPr>
      <w:bookmarkStart w:id="34" w:name="__RefHeading___Toc3432880_1878427129"/>
      <w:bookmarkStart w:id="35" w:name="_Toc11"/>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و فيه أُمور</w:t>
      </w:r>
      <w:r>
        <w:rPr>
          <w:rFonts w:eastAsia="Amiri" w:cs="Amiri" w:ascii="Amiri" w:hAnsi="Amiri"/>
          <w:color w:val="111111"/>
          <w:sz w:val="28"/>
          <w:szCs w:val="28"/>
          <w:rtl w:val="true"/>
          <w:lang w:bidi="ar-SA"/>
        </w:rPr>
        <w:t>:</w:t>
      </w:r>
    </w:p>
    <w:p>
      <w:pPr>
        <w:pStyle w:val="Heading6"/>
        <w:numPr>
          <w:ilvl w:val="5"/>
          <w:numId w:val="1"/>
        </w:numPr>
        <w:rPr/>
      </w:pPr>
      <w:bookmarkStart w:id="36" w:name="__RefHeading___Toc3432882_1878427129"/>
      <w:bookmarkStart w:id="37" w:name="_Toc12"/>
      <w:bookmarkEnd w:id="36"/>
      <w:r>
        <w:rPr>
          <w:rtl w:val="true"/>
        </w:rPr>
        <w:t>الأمر الاوّل</w:t>
      </w:r>
      <w:r>
        <w:rPr>
          <w:rtl w:val="true"/>
        </w:rPr>
        <w:t xml:space="preserve">: </w:t>
      </w:r>
      <w:r>
        <w:rPr>
          <w:rtl w:val="true"/>
        </w:rPr>
        <w:t>في حجّية القطع</w:t>
      </w:r>
      <w:bookmarkEnd w:id="37"/>
    </w:p>
    <w:p>
      <w:pPr>
        <w:pStyle w:val="BookText"/>
        <w:rPr/>
      </w:pPr>
      <w:r>
        <w:rPr>
          <w:rFonts w:ascii="Amiri" w:hAnsi="Amiri" w:eastAsia="Amiri" w:cs="Amiri"/>
          <w:color w:val="111111"/>
          <w:sz w:val="28"/>
          <w:sz w:val="28"/>
          <w:szCs w:val="28"/>
          <w:rtl w:val="true"/>
          <w:lang w:bidi="ar-SA"/>
        </w:rPr>
        <w:t>لا شكّ في وجوب متابعة القطع و العمل على وفقه ما دام موجوداً، لأنّه بنفسه طريق إلى الواقع، و هو حجّة عقلية، و ليس حجّة منطقية أو أُصولية، و لإيضاح الحال نذكر أقسام الحجّة،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العقلية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المنطقية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الحجّة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عبارة عمّا يحتج به المولى على العبد و بالعكس، و بعبارة أُخرى ما يكون قاطعاً للعذر إذا أصاب و معذِّراً إذا أخطأ، و القطع بهذا المعنى حجّة ، حيث يستقل به العقل و يبعث القاطعَ إلى العمل وفْقَه و يُحذّره عن المخالفة، و ما هذا شأنه، فهو حجّة بالذات، غنيّ عن جعل الحجّية له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يمتاز القطع عن الظن، فإنّ العقل لا يستقلُّ بالعمل على وفق الظن و لا يحذِّر عن المخالفة لعدم انكشاف الواقع لدى الظن، فلا يكون حجّة إلاّ إذا أُفيضت له الحجّية من قِبَلِ المولى، بخلاف القطع فانّ العقل مستقل بالعمل على </w:t>
      </w:r>
    </w:p>
    <w:p>
      <w:pPr>
        <w:pStyle w:val="BookText"/>
        <w:rPr/>
      </w:pPr>
      <w:r>
        <w:rPr>
          <w:rFonts w:ascii="Amiri" w:hAnsi="Amiri" w:eastAsia="Amiri" w:cs="Amiri"/>
          <w:color w:val="111111"/>
          <w:sz w:val="28"/>
          <w:sz w:val="28"/>
          <w:szCs w:val="28"/>
          <w:rtl w:val="true"/>
          <w:lang w:bidi="ar-SA"/>
        </w:rPr>
        <w:t>وفقه و التحذير عن مخالفته لانكشاف الواقع، و إلى هذا يرجع قول القائل بأنّ حجّية القطع ذاتية دون الظن فإنّها عرضية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يتبيّن أنّ للقطع ثلاث خصائص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كاشفيته عن الواقع و لو عند القاطع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منجّزيته عند الإصابة للحكم الواقعي بحيث لو أطاع يُثاب و لو عصى يعاقَب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معذِّريته عند عدم الإصابة، فيُعذَّر القاطع إذا أخطأ في قطعه و بان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فهي عبارة عن كون الحدّ الوسط في القياس المنطقي علّة لثبوت الأكبر للأصغر أو معلولاً لثبوته له، فيوصف بالحجّة المنطقية، كالتغيّر الذي هو علّة لثبوت الحدوث للعالم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العالم متغيّر، و كلّ متغيّر حادث، فالعالم حادث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القطع بهذا المعنى ليس حجّة، لأنّه ليس علّة لثبوت الحكم للموضوع و لا معلولاً له، لأنّ الحكم تابع لموضوعه، فإن كان الموضوع موجوداً يثبت له الحكم سواء أ كان هنا قطع أم لا، و إن لم يكن موجوداً فلا يثبت له، فليس للقطع دور في ثبوت الحكم و لذلك يُعدُّ تنظيم القياس بتوسيط القطع باطلاً،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مقطوع الخمرية، و كلّ مقطوع الخمرية حرام فهذا حرام، و ذلك لكذب الكبرى، فليس الحرام إلاّ نفس الخمر لا خصوص مقطوع الخمرية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الثالثة، فهي عبارة عمّا لا يستقل العقل بالاحتجاج به غير أنّ الشارع أو الموالي العرفيّة يعتبرونه حجّة في باب الأحكام و الموضوعات لمصالح، فتكون حجّيته عرضيّة مجعولة كخبر الثقة، و من المعلوم أنّ القطع غنيّ عن إفاضة </w:t>
      </w:r>
    </w:p>
    <w:p>
      <w:pPr>
        <w:pStyle w:val="BookText"/>
        <w:rPr/>
      </w:pPr>
      <w:r>
        <w:rPr>
          <w:rFonts w:ascii="Amiri" w:hAnsi="Amiri" w:eastAsia="Amiri" w:cs="Amiri"/>
          <w:color w:val="111111"/>
          <w:sz w:val="28"/>
          <w:sz w:val="28"/>
          <w:szCs w:val="28"/>
          <w:rtl w:val="true"/>
          <w:lang w:bidi="ar-SA"/>
        </w:rPr>
        <w:t>الحجّية عليه، و ذلك لاستقلال العقل بكونه حجّة في مقام الاحتجاج و معه لا حاجة إلى جعل الحجّية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إليه انّ جعل الحجّية للقطع يتم إمّا بدليل قطعي، أو بدليل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الأوّل يُنقل الكلام إلى ذلك الدليل القطعي،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حجّيته؟ و هكذا فيتسلسل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يلزم أن يكون القطع أسوأ حالاً من الظن، و لذلك يجب أن ينتهي الأمر في باب الحجج إلى ما هو حجّة بالذات،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و قد تبيّن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ما هو بالعرض لا بد و أن ينتهي إلى ما بالذات</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يعلم أنّه ليس للشارع الأمرُ المولويّ بالعمل بالقطع لسبق العقل بذلك، كما ليس له المنع عن العمل بالقطع، فلو قطع إنسان بكون مائع خمراً لا يصحّ النهي عن العمل به، لاستلزامه كون الناهي مناقضاً في كلامه في نظر القاطع، و في الواقع إذا أصاب قطعه للواقع</w:t>
      </w:r>
      <w:r>
        <w:rPr>
          <w:rFonts w:eastAsia="Amiri" w:cs="Amiri" w:ascii="Amiri" w:hAnsi="Amiri"/>
          <w:color w:val="111111"/>
          <w:sz w:val="28"/>
          <w:szCs w:val="28"/>
          <w:rtl w:val="true"/>
          <w:lang w:bidi="ar-SA"/>
        </w:rPr>
        <w:t xml:space="preserve">. </w:t>
      </w:r>
      <w:bookmarkStart w:id="38" w:name="pg14687_217139"/>
    </w:p>
    <w:p>
      <w:pPr>
        <w:pStyle w:val="Heading6"/>
        <w:numPr>
          <w:ilvl w:val="5"/>
          <w:numId w:val="1"/>
        </w:numPr>
        <w:rPr/>
      </w:pPr>
      <w:bookmarkStart w:id="39" w:name="__RefHeading___Toc3432884_1878427129"/>
      <w:bookmarkStart w:id="40" w:name="_Toc13"/>
      <w:bookmarkEnd w:id="38"/>
      <w:bookmarkEnd w:id="39"/>
      <w:r>
        <w:rPr>
          <w:rtl w:val="true"/>
        </w:rPr>
        <w:t>الأمر الثاني</w:t>
      </w:r>
      <w:r>
        <w:rPr>
          <w:rtl w:val="true"/>
        </w:rPr>
        <w:t xml:space="preserve">: </w:t>
      </w:r>
      <w:r>
        <w:rPr>
          <w:rtl w:val="true"/>
        </w:rPr>
        <w:t>تقسيم القطع إلى طريقي و موضوعي</w:t>
      </w:r>
      <w:bookmarkEnd w:id="40"/>
    </w:p>
    <w:p>
      <w:pPr>
        <w:pStyle w:val="BookText"/>
        <w:rPr/>
      </w:pPr>
      <w:r>
        <w:rPr>
          <w:rFonts w:ascii="Amiri" w:hAnsi="Amiri" w:eastAsia="Amiri" w:cs="Amiri"/>
          <w:color w:val="111111"/>
          <w:sz w:val="28"/>
          <w:sz w:val="28"/>
          <w:szCs w:val="28"/>
          <w:rtl w:val="true"/>
          <w:lang w:bidi="ar-SA"/>
        </w:rPr>
        <w:t>إذا كان الحكم مترتباً على الواقع بلا مدخلية للعلم و القطع فيه، كترتّبا لحرمة على ذات الخمر و القمار فيكون القطع بهما طريقيّاً ، و لا دور للقطع حينئذ سوى تنجيز الواقع، و إلاّ فمع قطع النظر عن التنجيز فالخمر و القمار حرام سواء أ كان هناك قطع أم لا، غاية الأمر يكون الجهل عذراً للمرتكب كما يكون العلم منجزاً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أُخذ القطع في موضوع الحكم الشرعي بحيث يكون الواقع بقيد القطع موضوعاً للحكم، فيعبّر عنه بالقطع الموضوعي، و هذا كما إذا افترضنا أنّ الشارع حرّم الخمر بقيد القطع بالخمريّة بحيث لولاه لما كان الخمر محكوماً بالحرمة، و هذا التقسيم جار في الظنّ أيضاً، و لقد وردت في الشريعة المقدسة موارد أخذ القطع وحده أو الظن كذلك موضوعاً للحكم،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بالصحّة، فإنّه مترتّب على الإحراز القطعي للركعتين في الثنائية و للركعات في الثلاثية من الصلوات و للأُوليين في الرباعية، بحيث لولاه لما كانت محكومة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بوجوب التمام لمن يسلك طريقاً مخطوراً محرزاً بالقطع أو الظن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بوجوب التيمّم لمن أحرز بالقطع أو الظن كون استعمال الماء مضرّاً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بوجوب التعجيل بالصلاة لمن أحرز ضيق الوقت بكلا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انكشف الخلاف، و أنّ الطريق لم يكن مخطوراً، و لا الماء مضرّاً، و لا الوقت ضيّقاً لما ضرَّ بالعمل، لأنّ كشف الخلاف إنّما هو بالنسبة إلى متعلّق القطع لا بالنسبة إلى الموضوع المترتب عليه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ليس للشارع أيّ تصرف في القطع الطريقي فهو حجّة مطلقاً من أيّ سبب حصل، لانّ الحكم مترتب على الموضوع بما هو هو و ليس للقطع دور سوى كونه كاشفاً عن الواقع، فإذا قطع به، انكشف له الواقع و ثبت وجود الموضوع، فيترتب عليه حينئذ حكمه، ويحكم العقل بلزوم العمل به من غير فرق بين حصوله بالأسباب العادية أو غيرها فليس للشارع تجويز العمل بالقطع الحاصل من سبب و النهي عن القطع الحاصل من سبب آخر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القطع المأخوذ في الموضوع فبما أنّ لكلّ مقنّن، التصرفَ في موضوع حكمه بالسعة و الضيق، فللشارع أيضاً حقُّ التصرف فيه، فتارة تقتضي المصلحة اتخاذ مطلق القطع في الموضوع سواء أ حصلت من الأسباب العادية أم من غيرها، و أُخرى تقتضي جعل قسم منه في الموضوع كالحاصل من الأسباب العادية، و عدم الاعتداد بالقطع الحاصل من غيرها</w:t>
      </w:r>
      <w:r>
        <w:rPr>
          <w:rFonts w:eastAsia="Amiri" w:cs="Amiri" w:ascii="Amiri" w:hAnsi="Amiri"/>
          <w:color w:val="111111"/>
          <w:sz w:val="28"/>
          <w:szCs w:val="28"/>
          <w:rtl w:val="true"/>
          <w:lang w:bidi="ar-SA"/>
        </w:rPr>
        <w:t xml:space="preserve">. </w:t>
      </w:r>
      <w:bookmarkStart w:id="41" w:name="pg14687_217141"/>
    </w:p>
    <w:p>
      <w:pPr>
        <w:pStyle w:val="Heading6"/>
        <w:numPr>
          <w:ilvl w:val="5"/>
          <w:numId w:val="1"/>
        </w:numPr>
        <w:rPr/>
      </w:pPr>
      <w:bookmarkStart w:id="42" w:name="__RefHeading___Toc3432886_1878427129"/>
      <w:bookmarkStart w:id="43" w:name="_Toc14"/>
      <w:bookmarkEnd w:id="41"/>
      <w:bookmarkEnd w:id="42"/>
      <w:r>
        <w:rPr>
          <w:rtl w:val="true"/>
        </w:rPr>
        <w:t>الأمر الثالث</w:t>
      </w:r>
      <w:r>
        <w:rPr>
          <w:rtl w:val="true"/>
        </w:rPr>
        <w:t xml:space="preserve">: </w:t>
      </w:r>
      <w:r>
        <w:rPr>
          <w:rtl w:val="true"/>
        </w:rPr>
        <w:t>تقسيم القطع الموضوعي إلى طريقي و وصفي</w:t>
      </w:r>
      <w:bookmarkEnd w:id="43"/>
    </w:p>
    <w:p>
      <w:pPr>
        <w:pStyle w:val="BookText"/>
        <w:rPr/>
      </w:pPr>
      <w:r>
        <w:rPr>
          <w:rFonts w:ascii="Amiri" w:hAnsi="Amiri" w:eastAsia="Amiri" w:cs="Amiri"/>
          <w:color w:val="111111"/>
          <w:sz w:val="28"/>
          <w:sz w:val="28"/>
          <w:szCs w:val="28"/>
          <w:rtl w:val="true"/>
          <w:lang w:bidi="ar-SA"/>
        </w:rPr>
        <w:t>ثمّ إنّ القطع الموضوعي ينقسم إلى قسمين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موضوعي طريقي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موضوعي وصفي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القطع من الصفات النفسية ذات الإضافة، فله إضافة إلى القاطع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المدرِكة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إضافة إلى المقطوع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بالذات و الصورة المعلومة في الذهن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فتارة يؤخذ في الموضوع بما أنّ له وصف الطريقية و المرآتية فيطلق عليه القطع الموضوعي الطريقي، أي أُخذ في الموضوع بما انّ له وصف الحكاية، و أُخرى يؤخذ في الموضوع بما أنّه وصف نفساني كسائر الصفات مثل الحسد و البخل و الإرادة و الكراهة، فيطلق عليه القطع الموضوعي الوصفي، أي المأخوذ في الموضوع لا بما أنّه حاك عن شيء وراءه بل بما أنّه وصف للنفس المدركة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لنفترض انّك تريد شراء مرآة من السوق، فتارة تلاحظها بما أنّها حاكية عن الصور التي تعكسها، و أُخرى تلاحظها بما أنّها صُنعت بشكل جميل مثير للإعجاب مع قطع النظر عن محاكاتها للصور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فالقطع الموضوعي الطريقي أشبه بملاحظة المرآة بما أنّها حاكية، كما أنّ القطع الموضوعي الوصفي أشبه بملاحظة المرآة بما لها من شكل جميل ككونها مربعة أو مستطيلة و غيرهما من الأوصاف</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هو الأثر الشرعي لهذا التقسيم فموكول إلى دراسات عليا</w:t>
      </w:r>
      <w:r>
        <w:rPr>
          <w:rFonts w:eastAsia="Amiri" w:cs="Amiri" w:ascii="Amiri" w:hAnsi="Amiri"/>
          <w:color w:val="111111"/>
          <w:sz w:val="28"/>
          <w:szCs w:val="28"/>
          <w:rtl w:val="true"/>
          <w:lang w:bidi="ar-SA"/>
        </w:rPr>
        <w:t xml:space="preserve">. </w:t>
      </w:r>
      <w:bookmarkStart w:id="44" w:name="pg14687_217142"/>
    </w:p>
    <w:p>
      <w:pPr>
        <w:pStyle w:val="Heading6"/>
        <w:numPr>
          <w:ilvl w:val="5"/>
          <w:numId w:val="1"/>
        </w:numPr>
        <w:rPr/>
      </w:pPr>
      <w:bookmarkStart w:id="45" w:name="__RefHeading___Toc3432888_1878427129"/>
      <w:bookmarkStart w:id="46" w:name="_Toc15"/>
      <w:bookmarkEnd w:id="44"/>
      <w:bookmarkEnd w:id="45"/>
      <w:r>
        <w:rPr>
          <w:rtl w:val="true"/>
        </w:rPr>
        <w:t>الأمر الرابع</w:t>
      </w:r>
      <w:r>
        <w:rPr>
          <w:rtl w:val="true"/>
        </w:rPr>
        <w:t xml:space="preserve">: </w:t>
      </w:r>
      <w:r>
        <w:rPr>
          <w:rtl w:val="true"/>
        </w:rPr>
        <w:t>الموافقة الالتزامية</w:t>
      </w:r>
      <w:bookmarkEnd w:id="46"/>
    </w:p>
    <w:p>
      <w:pPr>
        <w:pStyle w:val="Heading6"/>
        <w:numPr>
          <w:ilvl w:val="5"/>
          <w:numId w:val="1"/>
        </w:numPr>
        <w:rPr/>
      </w:pPr>
      <w:bookmarkStart w:id="47" w:name="__RefHeading___Toc3432890_1878427129"/>
      <w:bookmarkStart w:id="48" w:name="_Toc16"/>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لا شكّ أنّ المطلوب في الأُصول الدينيّة و الأُمور الاعتقادية هو التسليم القلبي و الاعتقاد بها جزماً، إنّما الكلام في الأحكام الشرعية التي ثبتت و تنجّزت بالقطع أو بالحجّة الشرعية، فهل هناك تكليفان؟ أحدهما الالتزام بأنّه حكم اللّه قلباً و جناناً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 الامتثال عملاً و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لكلّ، امتثال و عصيان، فلو التزم قلباً و خالف عملاً فقد عصى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وافق عملاً و خالف جناناً و التزاماً فقد ترك الفريضة القلبية، فيؤاخذ عليه؟ أو أنّ هناك تكليفاً واحداً، و هو لزوم امتثال الأحكام الفرعية في مقام العمل و إن لم يلتزم بها قلباً و جناناً، و هذا كمواراة الميّت فتكفي و إن لم يلتزم قلباً بأنّها حكم اللّه الشرعي؟ فليعلم أنّ البحث في غير الأحكام التعبدية، فإنّ الامتثال فيها رهن الإتيان بها للّه سبحانه أو لامتثال أمره أو غير ذلك ممّا لا ينفك الامتثال عن الالتزام و التسليم بأنّه حكمه سبحانه، فينحصر البحث عن وجوب الموافقة الالتزامية و عدمه في الأحكام التوصلية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المحقّق الخراساني إلى القول الثاني، باعتبار أنّ الوجدان الحاكم في باب الإطاعة و العصيان خير شاهد على عدم صحّة عقوبة العبد الممتثل لأمر </w:t>
      </w:r>
    </w:p>
    <w:p>
      <w:pPr>
        <w:pStyle w:val="BookText"/>
        <w:rPr/>
      </w:pPr>
      <w:r>
        <w:rPr>
          <w:rFonts w:ascii="Amiri" w:hAnsi="Amiri" w:eastAsia="Amiri" w:cs="Amiri"/>
          <w:color w:val="111111"/>
          <w:sz w:val="28"/>
          <w:sz w:val="28"/>
          <w:szCs w:val="28"/>
          <w:rtl w:val="true"/>
          <w:lang w:bidi="ar-SA"/>
        </w:rPr>
        <w:t>المولى و إن لم يلتزم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الالتزام مع العلم بأنّ الحكم للّه أمر قهري، فكيف يمكن أن يواري المسلمُ الميّتَ مع العلم بأنّه سبحانه أمر به و لا يلتزم بأنّها حكم اللّه، فعدم عقد القلب على وجوبه أو على ضدّه أمر ممتنع و بذلك يُصبح النزاع غير 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فالعلم بالحكم يلازم التسليم بأنّه حكم اللّه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لكن الظاهر عدم الملازمة بين العلم و التسليم، فربّ عالم بالحق، غير مسلِّم قلباً، فإنّ الإنسان كثيراً ما يعلم بأهلية المنصوب من قبل من له النصب، لكنّه لا ينقاد له قلبه و لا يسلّمه باطناً، و إن كان في مقام العمل يتحرّك بحركته خوفاً من سوطه و سطوته، و هكذا كان حال كثير من الكفّار بالنسبة إلى نبيّنا، حيث إنّهم كانوا عالمين بنبوّته كما نطق به القرآن، و مع ذلك لم يكونوا منقادين له قلباً و لا مقرّين باطناً، و لو كان ملاك الإيمان الحقيقي نفس العلم التصديقي لزم أن يكونوا له مؤمنين حقيقة</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الذي يدلّ على أنّ بين العلم و التسليم مرحلة أو مراحل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الزبير و رجل من الأنصار خاصمه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شراج </w:t>
      </w:r>
      <w:r>
        <w:rPr>
          <w:rStyle w:val="FootnoteAnchor"/>
          <w:rtl w:val="true"/>
        </w:rPr>
        <w:footnoteReference w:id="8"/>
      </w:r>
      <w:r>
        <w:rPr>
          <w:rFonts w:ascii="Amiri" w:hAnsi="Amiri" w:eastAsia="Amiri" w:cs="Amiri"/>
          <w:color w:val="111111"/>
          <w:sz w:val="28"/>
          <w:sz w:val="28"/>
          <w:szCs w:val="28"/>
          <w:rtl w:val="true"/>
          <w:lang w:bidi="ar-SA"/>
        </w:rPr>
        <w:t>من الحرّة كانا يسقيان بها النخل كلاهما، فقال النبي للزبير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اسق ثمّ أرسل إلىة</w:t>
      </w:r>
      <w:r>
        <w:rPr>
          <w:rFonts w:eastAsia="Amiri" w:cs="Amiri" w:ascii="Amiri" w:hAnsi="Amiri"/>
          <w:color w:val="111111"/>
          <w:sz w:val="28"/>
          <w:szCs w:val="28"/>
          <w:rtl w:val="true"/>
          <w:lang w:bidi="ar-SA"/>
        </w:rPr>
        <w:t xml:space="preserve">. </w:t>
      </w:r>
      <w:bookmarkStart w:id="49" w:name="pg14687_217144"/>
    </w:p>
    <w:p>
      <w:pPr>
        <w:pStyle w:val="BookText"/>
        <w:rPr/>
      </w:pPr>
      <w:bookmarkEnd w:id="49"/>
      <w:r>
        <w:rPr>
          <w:rFonts w:ascii="Amiri" w:hAnsi="Amiri" w:eastAsia="Amiri" w:cs="Amiri"/>
          <w:color w:val="111111"/>
          <w:sz w:val="28"/>
          <w:sz w:val="28"/>
          <w:szCs w:val="28"/>
          <w:rtl w:val="true"/>
          <w:lang w:bidi="ar-SA"/>
        </w:rPr>
        <w:t>جارك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فغضب الأنصاري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لئن كان ابن عمتك</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فإنّ خطاب الأنصاري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عن عدم تسليمه لقضائه و إن لم يخالف عملاً، و بذلك يعلم أنّ المراد من الجحد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وَ اسْتَيْقَنَتْها أَنْفُسُهُمْ ظُلْماً وَ عُلُوًّا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1"/>
      </w:r>
      <w:r>
        <w:rPr>
          <w:rFonts w:ascii="Amiri" w:hAnsi="Amiri" w:eastAsia="Amiri" w:cs="Amiri"/>
          <w:color w:val="111111"/>
          <w:sz w:val="28"/>
          <w:sz w:val="28"/>
          <w:szCs w:val="28"/>
          <w:rtl w:val="true"/>
          <w:lang w:bidi="ar-SA"/>
        </w:rPr>
        <w:t>هو الجحد القلبي و عدم التسليم لمقتضى البرهان، لا الجحد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فالفراعنة أمام البيّنات التي أتى بها موسى كانوا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عالمين بنبوة موسى و 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اِسْتَيْقَنَتْها أَنْفُسُهُمْ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غير مسلِّمين قلباً، مستكبرين جناناً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جَحَدُوا بِها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3432892_1878427129"/>
      <w:bookmarkStart w:id="51" w:name="_Toc17"/>
      <w:bookmarkEnd w:id="50"/>
      <w:r>
        <w:rPr>
          <w:rtl w:val="true"/>
        </w:rPr>
        <w:t>ثمرة البحث</w:t>
      </w:r>
      <w:bookmarkEnd w:id="51"/>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تظهر الثمرة في موارد العلم الإجمالي، فلو علم بنجاسة أحد الإناءين، فهل يجري الأصل العملي، كأصل الطهارة في كلّ منهما باعتبار كون كلّ واحد منهما مشكوك الطهارة و النجاسة أو لا؟ فثمة موانع عن جريان الأُصول في أطراف العلم الإجمالي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الموافقة الالتزامية، فلو قلنا به، لمنع عن جريان الأُصول، فإنّ الالتزام بوجود نجس بين الإناءين، لا يجتمع مع الحكم بطهارة كلّ واحد منهما، فمن قال بوجوب الموافقة الالتزامية لا يصح له القول بجواز جريان الأصل في أطراف المعلوم إجمالاً، و أمّا من نفاه فهو في فسحة عن خصوص هذا المانع، و أمّا الموانع الأُخر فنبحث عنها في مبحث الاحتياط و الاشتغال إن شاء اللّه</w:t>
      </w:r>
      <w:r>
        <w:rPr>
          <w:rFonts w:eastAsia="Amiri" w:cs="Amiri" w:ascii="Amiri" w:hAnsi="Amiri"/>
          <w:color w:val="111111"/>
          <w:sz w:val="28"/>
          <w:szCs w:val="28"/>
          <w:rtl w:val="true"/>
          <w:lang w:bidi="ar-SA"/>
        </w:rPr>
        <w:t xml:space="preserve">. </w:t>
      </w:r>
      <w:bookmarkStart w:id="52" w:name="pg14687_217145"/>
    </w:p>
    <w:p>
      <w:pPr>
        <w:pStyle w:val="Heading5"/>
        <w:numPr>
          <w:ilvl w:val="4"/>
          <w:numId w:val="1"/>
        </w:numPr>
        <w:rPr/>
      </w:pPr>
      <w:bookmarkStart w:id="53" w:name="__RefHeading___Toc3432894_1878427129"/>
      <w:bookmarkStart w:id="54" w:name="_Toc18"/>
      <w:bookmarkEnd w:id="52"/>
      <w:bookmarkEnd w:id="53"/>
      <w:r>
        <w:rPr>
          <w:rtl w:val="true"/>
        </w:rPr>
        <w:t>المقام الثاني</w:t>
      </w:r>
      <w:r>
        <w:rPr>
          <w:rtl w:val="true"/>
        </w:rPr>
        <w:t xml:space="preserve">: </w:t>
      </w:r>
      <w:r>
        <w:rPr>
          <w:rtl w:val="true"/>
        </w:rPr>
        <w:t>كشف العقل عن حكم الشرع</w:t>
      </w:r>
      <w:bookmarkEnd w:id="54"/>
    </w:p>
    <w:p>
      <w:pPr>
        <w:pStyle w:val="BookText"/>
        <w:rPr/>
      </w:pPr>
      <w:r>
        <w:rPr>
          <w:rFonts w:ascii="Amiri" w:hAnsi="Amiri" w:eastAsia="Amiri" w:cs="Amiri"/>
          <w:color w:val="111111"/>
          <w:sz w:val="28"/>
          <w:sz w:val="28"/>
          <w:szCs w:val="28"/>
          <w:rtl w:val="true"/>
          <w:lang w:bidi="ar-SA"/>
        </w:rPr>
        <w:t>إنّ العقل كما مرّ أحد الحجج الأربع الّذي اتّفق أصحابنا إلاّ قليلاً منهم على حجّيته في مجال استنباط الحكم الشرعي، غير انّ اللازم هو تحرير محلّ النزاع و تبيين إطار البحث، فإنّ عدم تحريره أوقع الكثير لا سيما الأخباريّين في الخلط و الاشتباه،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عدّ العقل من مصادر التشريع و أحد الأدلّة الأربعة يتصوّر على أنحاء ثلاثة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استقلّ العقل بحسن فعل بما هو فعل صادر عن الفاعل المختار أو قبحه، و تجرّد في قضائه عن كلّ شيء إلاّ النظر إلى نفس الفعل فهل يكون حكم العقل كاشفاً عن حكم الشرع، و هذا نظير استقلال العقل بقبح العقاب بلا بيان، و حسنه معه، فهل يستكشف منه انّ حكم الشرع كذلك؟ و هكذا إذا أمر المولى بشيء و استقل العقل بوجود الملازمة بين وجوب الشيء و وجوب مقدّمته أو وجوب الشيء و حرمة ضدّه، أو امتناع اجتماع الأمر و النهي على شيء واحد بعنوانين، أو جوازه إلى غير ذلك من أنواع الملازمات، فهل يكشف حكم العقل عن حكم الشرع؟ و بذلك يظهر انّ الموضوع للحسن و القبح هو نفس الفعل بما انّه صادر عن فاعل مختار، سواء أ كان الفاعل واجباً أم ممكناً، و سواء أ ترتب عليه المصالح أو </w:t>
      </w:r>
    </w:p>
    <w:p>
      <w:pPr>
        <w:pStyle w:val="BookText"/>
        <w:rPr/>
      </w:pPr>
      <w:r>
        <w:rPr>
          <w:rFonts w:ascii="Amiri" w:hAnsi="Amiri" w:eastAsia="Amiri" w:cs="Amiri"/>
          <w:color w:val="111111"/>
          <w:sz w:val="28"/>
          <w:sz w:val="28"/>
          <w:szCs w:val="28"/>
          <w:rtl w:val="true"/>
          <w:lang w:bidi="ar-SA"/>
        </w:rPr>
        <w:t>المفاسد أو لا، و سواء أ كان مؤمِّناً للأغراض العقلائية و عدمها، فالموضوع للحكم بالحسن أو القبح أو الملازمة أو ما أشبه ذلك هو ذات الفعل دون سائر الأُمور الجانبية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الفقيه مصالح و مفاسد في الفعل، فهل يمكن أن يتخذ وقوفَه على أحدهما ذريعة إلى استكشاف الحكم الشرعي في الوجوب أو الحرمة بحيث يكون علم الفقيه بالمصالح و المفاسد من مصادر التشريع الإسلامي؟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الموضوع ممّا لا نصّ فيه و لكن أدرك الفقيه بعقله، وجودَ مصلحة فيه و لم يَرد من الشارع أمر بالأخذ و لا بالرفض، فهل يصحّ تشريع الحكم على وفقها؟ و هذا هو الذي يسمّى بالمصالح المرسلة أو الاستصلاح في فقه أهل السنّة لا سيما المالكية، فكلّ مصلحة لم يرد فيها نصّ يدعو إلى اعتبارها أو عدم اعتبارها و لكن في اعتبارها نفع أو دفع ضرر فهل يتخذ دليلاً على الحكم الشرعي أو لا؟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مناطات الأحكام و ملاكاتها بالسبر و التقسيم بأن يُحصر الأوصاف التي توجد في واقعة الحكم و تصلح لأن تكون العلّة، واحدة منها و يختبرها وصفاً وصفاً على ضوء الشروط الواجب توفّرها في العلة، و بواسطة هذا الاختبار تُستبعد الأوصاف التي لا يصحّ أن تكون علة، و يستبقى ما يصحّ أن يكون علّة ، و بهذا الاستبعاد و هذا الاستبقاء يتوصل إلى الحكم بأنّ هذا الوصف هو العلّة ثمّ يتبعه التشريع، و هذا ما يسمّى في الفقه الشيعي الإمامي بتنقيح المناط و استنباط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محطّ النزاع بين الأُصوليّين و الأخباريّين من أصحابنا هو المعنى الأوّل</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سنرجع إليه بعد استيفاء البحث في الأخيرين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المعنى الثاني و الثالث فلم يقل به أحد من أصحابنا إلاّ الشاذّ النادر منهم، و ذلك لأنّ كون الفعل ذا مصلحة أو مفسدة عند الفقيه لا يكشف عن الحكم الشرعي لقصور العقل عن الإحاطة بالمصالح و المفاسد الواقعية، فربما يُدرك المصلحة و المفسدة و يَغفل عن موانعهما، فإدراك العقل المصالح و المفاسد لا يكون دليلاً على أنّها ملاكات تامة لتشريع الحكم على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المعنى الثالث، فإنّ الخوض في تنقيح مناطات الأحكام عن طريق السبر و التقسيم من الخطر بمكان، إذ انّى نعلم أنّ ما أدركه مناطاً للحكم هو المناط له، فانّ العقل قاصر عن إدراك المناطات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افترضنا انّه أصاب في كشف المناط، فمن أين علم أنّه تمام المناط و لعلها جزء العلّة و هناك جزء آخر منضم إليه في الواقع و لم يصل الفقيه إليه؟ و لأجل ذلك رفض أصحابنا قاعدة الاستصلاح و المصالح المرسلة و هكذا استنباط العلّة عن طريق القياس، بمعنى السبر و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يستثنى من المعنى الثاني، المصالح و المفاسد العامة التي أطبق العقلاء عامة على صلاحها أو فسادها على نحو صار من الضروريات، و هذا كتعاطي المخدّرات التي أطبق العقلاء على ضررها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التلقيح الوقائي عند ظهور الأمراض السارية كالجُدري، و الحصبة و غيرهما ، فقد أصبح من الأُمور التي لا يتردّد في صلاحيتها ذوو الاختصاص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لشيخنا المظفر قدَّس سرّه كلام يشير إلى خروج المعنيين عن محط النزاع، بنصّ واحد لا بأس بنقله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سبيل للعقل بما هو عقل إلى إدراك جميع ملاكات الأحكام الشرعية، فإذا أدرك العقل المصلحة في شيء أو المفسدة في آخر، و لم يكن إدراكه مستنداً إلى </w:t>
      </w:r>
    </w:p>
    <w:p>
      <w:pPr>
        <w:pStyle w:val="BookText"/>
        <w:rPr/>
      </w:pPr>
      <w:r>
        <w:rPr>
          <w:rFonts w:ascii="Amiri" w:hAnsi="Amiri" w:eastAsia="Amiri" w:cs="Amiri"/>
          <w:color w:val="111111"/>
          <w:sz w:val="28"/>
          <w:sz w:val="28"/>
          <w:szCs w:val="28"/>
          <w:rtl w:val="true"/>
          <w:lang w:bidi="ar-SA"/>
        </w:rPr>
        <w:t>المصلحة أو المفسدة العامّتين اللّتين يتساوى في إدراكهما جميع العقلاء، فانّه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لا سبيل له إلى الحكم بأنّ هذا المدرَك، يجب أن يحكم به الشارع على طبق حكم العقل، إذ يحتمل انّ ما هو مناط الحكم عند الشارع، غير ما أدركه العقل مناطاً، أو أنّ هناك مانعاً يمنع من حكم الشارع على طبق ما أدركه العقل، و إن كان ما أدرك مقتضياً لحكم الشارع</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فخرجنا بالنتائج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حكم العقل بشيء يكشف عن كون الحكم عند الشرع كذلك شريطة أن يكون العقل قاطعاً و يكون المدرَك حكماً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لما عرفت من انّ المدرك حكم عام لا يختصّ بفرد دون فرد، و الشرع و غير الشرع فيه سيان، كما هو الحال في الأمثلة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العقل وجود المصلحة أو المفسدة في الأفعال إدراكاً نوعياً يستوي فيه جميع العقلاء، كوجود المفسدة في استعمال المخدرات، ففي مثله يكون حكم العقل ذريعة لاستكشاف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ما لا يكون كذلك كادراك فرد أو فردين وجود المصلحة الملزِمة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استكشاف ملاكات الأحكام و استنباطها بالسبر و التقسيم، ثمّ استكشاف حكم الشرع على وفقه أمر محظور، لعدم إحاطة العقل بمصالح الأحكام و مفاسدها، و سوف يوافيك عند البحث عن سائر مصادر الفقه عدم العبرة بالاستصلاح الذي عكف عليه مذهب المالكية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الكلام يقع في المعنى الأوّل في موردين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استقلال العقل بدرك حسن الشيء أو قبحه أو دركه الملازمة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استقلّ العقل بما ذكر فهل يكشف عن كونه كذلك عند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فالعدلية متّفقة على إمكانه ، و هو من الأحكام البديهية للعقل ضرورة انّ كلّ إنسان يجد في نفسه حسن العدل و قبح الظلم، و إذا عرض الأمرين على وجدانه يجد في نفسه نزوعاً إلى العدل و تنفّراً عن الظلم و هكذا سائر الأفعال التي تعد من مشتقات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العلاّمة الحلّي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نعلم بالضرورة حسن بعض الأشياء و قبح بعضها من دون نظر إلى شرع، فإنّ كلّ عاقل يجزم بحسن الإحسان و يمدح عليه و بقبح الإساءة و الظلم و يذم عليه، و هذا حكم ضروري لا يقبل الشكّ و ليس مستفاداً من الشرع لحكم البراهمة و الملاحدة به من غير اعتراف منهم بالشرائع</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إنّ حكم الإنسان بحسن العدل و قبح الظلم ليس بأدون من الجزم بحاجة الممكن إلى العلّة، أو انّ الأشياء المساوية لشيء متساوية، فإذا أمكن الجزم بالأمرين الأخيرين فليكن الأمر الأوّل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بين حكم العقل و حكم الشرع فهو ثابت أيضاً، لأنّ الموضوع للحسن و القبح هو نفس الفعل بغضِّ النظر عن فاعل خاص، بل مع غض النظر عمّا يترتّب عليه من المصالح و المفاسد، فإذا كان هذا هو الموضوع فما وقف عليها العقل بفطرته و وجدانه يعمّ فعل الواجب و الممكن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يدركه العقل في الحكمة العملية مثل ما يدركه في الحكمة النظرية، فكما انّ ما يدركه لا يختص بالمدرِك بل يعمه و غيره، فهكذا الحال في الحكمة العملية،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العقل بفضل البرهان الهندسي بانّ زوايا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المثلث تساوي قائمتين فقد أدرك أمراً واقعياً لا يختص بالمدرك لانّ التساوي من آثار طبيعة المثلث، فهكذا إذا أدرك حسن شيء أو قبحه و الفرق بين الحكمتين انّ المعلوم في النظرية من شأنه أن يعلم كما انّ المعلوم في العملية من شأنه أن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الاعتماد على حكم العقل و جعله دليلاً على الحكم الشرعي مع أنّه قامت الأدلّة على لزوم العمل بحكم تتوسط الحجّة في تبليغه و بيانه و لا عبرة بالحكم الواصل من غير تبليغ الحجّة؟ و تدلّ على ذلك الأحاديث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انّ رجلاً صام نهاره، و قام ليله، و تصدّق بجميع ماله، و حجّ جميع دهره، و لم يعرف ولاية ولي اللّه فيواليه و تكون جميع أعماله بدلالته إليه، ما كان له على اللّه ثواب و لا كان من أهل الإيمان</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دان بغير سماع ألزمه اللّه التيه يوم القيامة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لم يخرج من هذا البيت فهو باطل</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 xml:space="preserve">. </w:t>
      </w:r>
      <w:r>
        <w:rPr>
          <w:rStyle w:val="FootnoteAnchor"/>
          <w:rtl w:val="true"/>
        </w:rPr>
        <w:footnoteReference w:id="1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ناظرة إلى المُعْرضين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المستهدين بغيرهم على وجه كان جميع أعمالهم بدلالة سواهم، و أمّا من أناخ مطيّته على عتبة أبوابهم في كلّ أمر كبير و صغير، و مع ذلك اعتمد على العقل في مجالات خاصة فالروايات منصرفة عنه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للآيات أسباب و شأن نزول، فهكذا الروايات لها أسباب صدور فهي تعبِّر عن سيرة قضاة العامة و فقهائهم كأبي حنيفة و ابن شبرمة و أضرابهم الذين أعرضوا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ينيخوا مطاياهم على أبواب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فيخاطبهم الإمام بما في هذه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فقهاء الشيعة الذين رجعوا في كلّ واقعة إلى الكتاب و السنّة و تمسّكوا بالثقلين فلا تعمّهم، و المورد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صدورها في مورد فقهاء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مخصصاً لكن يمكن إلغاء الخصوصية بالنسبة إلى المماثل و المشابه لا المباين، و تمسّك أصحابنا بالعقل في مجالات خاصة لا يعدُّ إعراضاً عنهم بخلاف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العقل أحد الحجج كما في صحيح هشام فيكون الحكم المستكشف ممّا وصل إلى المكلّف بتبليغ الحجّة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هشام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هشام إنّ للّه على الناس 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ظاهرة، و حجّة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فالظاهرة الرسل و الأنبياء و الأئمّة، و أمّا الباطنة فالعقول</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 هناك كلام للمحقّق القمي نتبرّك بذكره ختاماً للبحث، قال</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انحصار الطاعة و المخالفة في موافقة الخطاب اللفظي و مخالفته، دعوى بلا دليل، بل هما موافقة طلب الشارع و مخالفته و إن كان الطلب بلسان العقل، و نظير ذلك أنّ اللّه تعالى إذا كلّف نبيّه بواسطة إلهام من دون نزول وحي من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إتيان كلام، و امتثله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فيقال إنّه أطاع اللّه جزماً، و العقل فينا نظير الإلهام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يدّعي حكم العقل بوجوب ردّ الوديعة و حرمة الظلم يدّعي القطع بأنّ اللّه تعالى خاطبه بذلك بلسان العقل، فكيف يجوز العمل بالظن بخطاب اللّه تعالى و تكليفه، و لا يجوز العمل مع اليقين به؟ فإن كان و لا بدّ من المناقشة، فليكتف في منع حصول هذا القطع من جهة العقل و انّه لا يمكن ذلك</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ثمرات البحث إذا قلنا بالحسن و القبح العقليّين و الملازمة بين الحكمين تترتب عليه ثمرات أُصولية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البراءة من التكليف لقبح العقاب بلا بيان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تحصيل البراءة اليقينيّة عند العلم الإجمالي و تردّد المكلّف به بين أمرين لأجل حكم العقل بأنّ الاشتغال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بالمأمور به مجز عن الإعادة و القضاء لقبح بقاء الأمر بعد الامتثال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تقديم الأهم على المهم إذا دار الأمر بينهما لقبح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الثمرات الفقهية المترتّبة على القول بالملازمة العقلية فيستنتج منها الأحكام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المقدّمة على القول بحكم العقل بالملازمة بين الوجوبين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ضد الواجب على القول بحكم العقل بالملازمة بين الأمر بالشيء و النهي عن ضدّه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بطلان العبادة على القول بامتناع اجتماع الأمر و النهي و تقديم النهي عن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العبادة على القول بالامتناع و تقديم جانب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العبادة على القول بجواز اجتماع الأمر 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العبادة إذا تعلّق النهي بنفس العبادة سواء كان المنهي نفسها أو جزئها أو شرطها أو أوصافها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المعاملة إذا تعلّق النهي بالثمن أو المثمن للملازمة بين النهي و فسادها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انتفاء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انتفاء الشرط إذا كان علة منحصرة</w:t>
      </w:r>
      <w:r>
        <w:rPr>
          <w:rFonts w:eastAsia="Amiri" w:cs="Amiri" w:ascii="Amiri" w:hAnsi="Amiri"/>
          <w:color w:val="111111"/>
          <w:sz w:val="28"/>
          <w:szCs w:val="28"/>
          <w:rtl w:val="true"/>
          <w:lang w:bidi="ar-SA"/>
        </w:rPr>
        <w:t xml:space="preserve">. </w:t>
      </w:r>
      <w:bookmarkStart w:id="55" w:name="pg14687_217154"/>
    </w:p>
    <w:p>
      <w:pPr>
        <w:pStyle w:val="BookText"/>
        <w:rPr/>
      </w:pPr>
      <w:bookmarkEnd w:id="55"/>
      <w:r>
        <w:rPr>
          <w:rFonts w:ascii="Amiri" w:hAnsi="Amiri" w:eastAsia="Amiri" w:cs="Amiri"/>
          <w:color w:val="111111"/>
          <w:sz w:val="28"/>
          <w:sz w:val="28"/>
          <w:szCs w:val="28"/>
          <w:rtl w:val="true"/>
          <w:lang w:bidi="ar-SA"/>
        </w:rPr>
        <w:t>الأدلّة الأربعة</w:t>
      </w:r>
    </w:p>
    <w:p>
      <w:pPr>
        <w:pStyle w:val="Heading4"/>
        <w:numPr>
          <w:ilvl w:val="3"/>
          <w:numId w:val="1"/>
        </w:numPr>
        <w:rPr/>
      </w:pPr>
      <w:bookmarkStart w:id="56" w:name="__RefHeading___Toc3432896_1878427129"/>
      <w:bookmarkStart w:id="57" w:name="_Toc19"/>
      <w:bookmarkEnd w:id="56"/>
      <w:r>
        <w:rPr/>
        <w:t>2</w:t>
      </w:r>
      <w:r>
        <w:rPr>
          <w:rtl w:val="true"/>
        </w:rPr>
        <w:t xml:space="preserve">- </w:t>
      </w:r>
      <w:r>
        <w:rPr>
          <w:rtl w:val="true"/>
        </w:rPr>
        <w:t>الإجماع المحصّل</w:t>
      </w:r>
      <w:bookmarkEnd w:id="57"/>
    </w:p>
    <w:p>
      <w:pPr>
        <w:pStyle w:val="Heading5"/>
        <w:numPr>
          <w:ilvl w:val="4"/>
          <w:numId w:val="1"/>
        </w:numPr>
        <w:rPr/>
      </w:pPr>
      <w:bookmarkStart w:id="58" w:name="__RefHeading___Toc3432898_1878427129"/>
      <w:bookmarkStart w:id="59" w:name="_Toc20"/>
      <w:bookmarkEnd w:id="58"/>
      <w:r>
        <w:rPr>
          <w:rtl w:val="true"/>
        </w:rPr>
        <w:t>اشارة</w:t>
      </w:r>
      <w:bookmarkEnd w:id="59"/>
    </w:p>
    <w:p>
      <w:pPr>
        <w:pStyle w:val="BookText"/>
        <w:rPr/>
      </w:pPr>
      <w:r>
        <w:rPr>
          <w:rFonts w:ascii="Amiri" w:hAnsi="Amiri" w:eastAsia="Amiri" w:cs="Amiri"/>
          <w:color w:val="111111"/>
          <w:sz w:val="28"/>
          <w:sz w:val="28"/>
          <w:szCs w:val="28"/>
          <w:rtl w:val="true"/>
          <w:lang w:bidi="ar-SA"/>
        </w:rPr>
        <w:t>الإجماع المحصّل أحد مصادر التشريع عند أهل السنّة بما هو هو لا بما هو كاشف عن حجّة شرعية، كما عليه الإمامية، و قد اختلفت كلمة الأُصوليّين في تعريفه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فعرّفه الغزالي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اتّفاق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وفاته في عصر من العصور على حكم شرعي</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على هذا التعريف لا يكفي اتّفاق المجتهدين، بل يجب اتّفاق جميع المسلمين في عصر من العصور، و هو أمر نادر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عرّفه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أهل الحلّ و العقد على حكم من الأحكام، أو اتّفاق المجتهدين من أُمّة محمّد في عصر على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في المقام هو الوقوف على وجه حجّية الإجماع عند أهل السنّة أوّلاً، و عند الشيعة ثانياً، فانّ الإجماع عند الطائفة الأُولى بما هو هو دليل شرعي يُضفي على الحكم صبغة الشرعية فهو في عرض الكتاب و السنّة و العقل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الإجماع عند الطائفة الثانية فهو عندهم حجّة لأجل كشفه عن قول المعصوم أو دليل معتبر، و لأجل إيقاف القارئ على موقف الطائفتين من الإجماع، نوضح الموضوع إجمالاً</w:t>
      </w:r>
      <w:r>
        <w:rPr>
          <w:rFonts w:eastAsia="Amiri" w:cs="Amiri" w:ascii="Amiri" w:hAnsi="Amiri"/>
          <w:color w:val="111111"/>
          <w:sz w:val="28"/>
          <w:szCs w:val="28"/>
          <w:rtl w:val="true"/>
          <w:lang w:bidi="ar-SA"/>
        </w:rPr>
        <w:t xml:space="preserve">. </w:t>
      </w:r>
      <w:bookmarkStart w:id="60" w:name="pg14687_217155"/>
    </w:p>
    <w:p>
      <w:pPr>
        <w:pStyle w:val="Heading5"/>
        <w:numPr>
          <w:ilvl w:val="4"/>
          <w:numId w:val="1"/>
        </w:numPr>
        <w:rPr/>
      </w:pPr>
      <w:bookmarkStart w:id="61" w:name="__RefHeading___Toc3432900_1878427129"/>
      <w:bookmarkStart w:id="62" w:name="_Toc21"/>
      <w:bookmarkEnd w:id="60"/>
      <w:bookmarkEnd w:id="61"/>
      <w:r>
        <w:rPr>
          <w:rtl w:val="true"/>
        </w:rPr>
        <w:t>موقف أهل السنّة من الإجماع المحصَّل</w:t>
      </w:r>
      <w:bookmarkEnd w:id="62"/>
    </w:p>
    <w:p>
      <w:pPr>
        <w:pStyle w:val="BookText"/>
        <w:rPr/>
      </w:pPr>
      <w:r>
        <w:rPr>
          <w:rFonts w:ascii="Amiri" w:hAnsi="Amiri" w:eastAsia="Amiri" w:cs="Amiri"/>
          <w:color w:val="111111"/>
          <w:sz w:val="28"/>
          <w:sz w:val="28"/>
          <w:szCs w:val="28"/>
          <w:rtl w:val="true"/>
          <w:lang w:bidi="ar-SA"/>
        </w:rPr>
        <w:t>إذا اتّفق المجتهدون من أُمّة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من العصور على حكم شرعي، يكون المجمع عليه حكماً شرعياً واقعياً عند أهل السنّة و لا تجوز مخالفته، و ليس معنى ذلك انّ إجماعهم على حكم من تلقاء أنفسهم يجعله حكماً شرعياً، بل يجب أن يكون إجماعهم مستنداً إلى دليل شرعي قطعي أو ظنّي، كالخبر الواحد و المصالح المرسلة و القياس و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المستند دليلاً قطعياً من قرآن أو سنّة متواترة يكون الإجماع مؤيداً و معاضداً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دليلاً ظنياً كما مثلناه، فيرتقي الحكم حينئذ بالإجماع من مرتبة الظن إلى مرتبة القطع و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إذا كان المستند هو المصلحة أو دفع المفسدة، فالاتّفاق على حكم شرعي استناداً إلى ذلك الدليل يجعله حكماً شرعياً قطعياً، كزيادة أذان لصلاة الجمعة في عهد عثمان لإعلام الناس بالصلاة كي لا تفوتهم، حتى صار الأذان الآخر عملاً شرعياً إلهياً و إن لم ينزل به الوحي</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 على ذلك فقد أعطى سبحانه للإجماع و اتّفاق الأُمّة منزلة كبيرة على وجه إذا اتّفقوا على أمر، يُصبح المجمع عليه حكماً شرعياً قطعياً كالحكم الوارد في القرآن و السنّة النبويّة، و لذلك قلنا بأنّ الإجماع عندهم من مصادر التشريع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إنّهم استدلّوا على ما راموه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وَ يَتَّبِعْ غَيْرَ سَبِيلِ الْمُؤْمِنِينَ نُوَلِّهِ ما تَوَلّى وَ نُصْلِهِ جَهَنَّمَ وَ ساءَتْ مَصِيراً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 انّه سبحانه ابتدأ كلامه بجملتين شرطيّتين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يُشاقِقِ الرَّسُولَ مِنْ بَعْدِ ما تَبَيَّنَ لَهُ الْهُدى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غَيْرَ سَبِيلِ الْمُؤْمِنِينَ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سبحانه جعل لهما جزاءً واحداً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نُوَلِّهِ ما تَوَلّى</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مشاقّة اللّه و رسوله حراماً كان اتّباع غير سبيل المؤمنين حراماً مثله بشهادة وحدة الجزاء، فإذا حرم اتّباع غير سبيلهم، فاتّباع سبيلهم واجب إذ لا واسطة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يلزم من وجوب اتّباع سبيلهم كون الإجماع حجّة، لأنّ سبيل الشخص ما يختاره من القول أو الفعل أو الاعتقاد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الوقوف على مفاد الآية يتوقّف على تبيين سبيل المؤمن و الكافر أي سبيل لا من يشاقق و من يشاقق في عصر الرسول الذي تحكي الآية عنه ، فسبيل المؤمن هو الإيمان باللّه و إطاعة الرسول و مناصرته، و سبيل الآخر هو الكفر باللّه و معاداة الرسول و مشاقّته، فاللّه سبحانه يندّد بالكافر و يذكر جزاءه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نُوَلِّهِ ما تَوَلّى وَ نُصْلِهِ جَهَنَّمَ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جزاء المؤمن بطبع الحال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يكون المراد من اتّباع سبيل المؤمنين هو إطاعة الرسول و مناصرته، و من سبيل غيرهم هو معاداة الرسول و مناقشته فأي صلة للآية بحجّية اتّفاق المؤمنين على حكم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الموضوع للجزاء في الآية مركّب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معاداة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سلوك غير سبيل المؤمنين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فَعَطفَ أحدهما على الآخر بواو الجمع و جَعَلَ سبحانه لهما جزاءً واحداً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نُوَلِّهِ ما تَوَلّى وَ نُصْلِهِ جَهَنَّمَ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بما انّ معاداة الرسول وحدها كافية في الجزاء و هذا يكشف عن انّ المعطوف عبارة أُخرى عن المعطوف عليه، و المراد من اتّباع غير سبيل المؤمنين هو شقاق الرسول و معاداته و ليس أمراً مغايراً معه كما حسبه المستدل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سبيل المؤمنين في عصر الرسول هو نفس سبيل الرسول، فحجّية السبيل الأوّل لأجل وجود المعصوم بينهم و موافقته معه فلا يدلّ على حجّية مطلق سبيل المؤمنين بعد مفارقته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لِتَكُونُوا شُهَداءَ عَلَى النّاسِ وَ يَكُونَ الرَّسُولُ عَلَيْكُمْ شَهِيداً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الوسط من كلّ شيء خياره، فيكون تعالى قد أخبر عن خيرية هذه الأُمّة، فإذا أقدموا على شيء من المحظورات لما وُصِفُوا بالخيرية فيكون قولهم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وصف جميع الأُمّة بالخير و العدل مجاز قطعاً، فإنّ بين الأُمّة من بلغ في الصلاح و الرشاد إلى درجة يُستدرُّ بهم الغمام، و في الوقت نفسه فيها من بلغ في الشقاء إلى درجة خضّب الأرض بدماء الصالحين و المؤمنين، و مع ذلك كيف تكون الأُمّة بلا استثناء خياراً و عدلاً، و تكون بعامة أفرادها شهداء على سائر الأُمم، مع أنّ كثيراً منهم لا تقبل شهادتهم في الدنيا فكيف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ظننت انّ اللّه عنى بهذه الآية جميع أهل القبلة من الموحّدين، أ فترى أنّ من لا تجوز شهادته في الدنيا على صاع من تمر، تُطلب شهادته يوم القيامة و تقبل منه بحضرة جميع الأُمم الماضية؟</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دليل على أنّ الوسطية وصف لعدة منهم، و لمّا كان الموصوف بالوسطية</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جزءاً من الأُمّة الإسلامية صحّت نسبة وصفهم إلى الجميع، نظير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مُوسى لِقَوْمِهِ يا قَوْمِ اذْكُرُوا نِعْمَتَ اللّهِ عَلَيْكُمْ إِذْ جَعَلَ فِيكُمْ أَنْبِياءَ وَ جَعَلَكُمْ مُلُوكاً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فقد وصف عامّة بني إسرائيل بكونهم ملوكاً، مع أنّ البعض منهم كان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الوسطية لعدّة منهم دون الجميع، يكون قولهم هو الحجّة كما يكونوا هم الشهداء يوم القيامة لا جميع الأُمّة و إنّما نسب إلى الجميع مجازاً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هو هذه العدّة فبيانه على عاتق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أُمّتي لا تجتمع على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أصحاب السنن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الحديث مع أنّه روي في غير واحد من السنن ضعيف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العراقي في تخريج أحاديث تفسير البيضاوي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الحديث بطرق في كلّها نظر</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قد قمنا بدراسة هذا الحديث و تحليله في رسالة </w:t>
      </w:r>
      <w:r>
        <w:rPr>
          <w:rStyle w:val="FootnoteAnchor"/>
          <w:rtl w:val="true"/>
        </w:rPr>
        <w:footnoteReference w:id="40"/>
      </w:r>
      <w:r>
        <w:rPr>
          <w:rFonts w:ascii="Amiri" w:hAnsi="Amiri" w:eastAsia="Amiri" w:cs="Amiri"/>
          <w:color w:val="111111"/>
          <w:sz w:val="28"/>
          <w:sz w:val="28"/>
          <w:szCs w:val="28"/>
          <w:rtl w:val="true"/>
          <w:lang w:bidi="ar-SA"/>
        </w:rPr>
        <w:t>جمعنا فيها أسانيده و خرجنا بحصيلة انّ جميع تلك الأسانيد ضعيفة، مضافاً إلى أنّ الحديث خبر واحد لا يحتجّ به في الأُصول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الوارد في الحديث هو عدم الاجتماع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عدم الاجتماع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الحديث ناظراً إلى مسائل العقيدة التي هي مدار الهداية و الضلالة لا إلى الفروع، فلا يوصف المصيب فيها بالهداية و المخطئ بالضلالة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09</w:t>
      </w:r>
      <w:r>
        <w:rPr>
          <w:rFonts w:eastAsia="Amiri" w:cs="Amiri" w:ascii="Amiri" w:hAnsi="Amiri"/>
          <w:color w:val="111111"/>
          <w:sz w:val="28"/>
          <w:szCs w:val="28"/>
          <w:rtl w:val="true"/>
          <w:lang w:bidi="ar-SA"/>
        </w:rPr>
        <w:t xml:space="preserve"> </w:t>
      </w:r>
      <w:bookmarkStart w:id="63" w:name="pg14687_217159"/>
    </w:p>
    <w:p>
      <w:pPr>
        <w:pStyle w:val="BookText"/>
        <w:rPr/>
      </w:pPr>
      <w:bookmarkEnd w:id="63"/>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المصون من الضلالة هي الأُمّة بما هي أُمّة لا الفقهاء فقط و لا أهل العلم و لا أهل الحل و العقد، و على ذلك ينحصر مفاد الحديث بما اتّفقت عليه جميع الأُمّة في مجال العقائد و الأُصول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استدلّ به أهل السنّة على حجّية الإجماع و كونه من مصادر التشريع بما هو هو، و قد عرفت قصور أدلّتهم عن إثبات مرامهم فهلمّ معي ندرس مكانة الإجماع عند الشيعة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3432902_1878427129"/>
      <w:bookmarkStart w:id="65" w:name="_Toc22"/>
      <w:bookmarkEnd w:id="64"/>
      <w:r>
        <w:rPr>
          <w:rtl w:val="true"/>
        </w:rPr>
        <w:t>مكانة الإجماع المحصّل عند الشيعة</w:t>
      </w:r>
      <w:bookmarkEnd w:id="65"/>
    </w:p>
    <w:p>
      <w:pPr>
        <w:pStyle w:val="Heading6"/>
        <w:numPr>
          <w:ilvl w:val="5"/>
          <w:numId w:val="1"/>
        </w:numPr>
        <w:rPr/>
      </w:pPr>
      <w:bookmarkStart w:id="66" w:name="__RefHeading___Toc3432904_1878427129"/>
      <w:bookmarkStart w:id="67" w:name="_Toc23"/>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إنّ الأُمّة مع قطع النظر عن الإمام المعصوم بينهم، غير مصونة من الخطأ في الأحكام فليس للاتّفاق و الإجماع رصيد علمي، إلاّ إذا كشف عن الحجّة بأحد الطريقين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استكشاف قول المعصوم بالملازمة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اللطف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استكشاف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بالملازمة العادية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الحدس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الأمر الأوّل فحاصل النظرية انّه يمكن أن يستكشف عقلاً رأي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اتّفاق من عداه من العلماء على حكم و عدم ردعهم عنه نظراً إلى قاعدة اللطف التي لأجلها وجب على اللّه نصب الحجّة الموصوف بالعلم و العصمة في كلّ الأزمنة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من أعظم فوائدها، حفظ الحقّ و تمييزه عن الباطل كي لا يضيع بخفائه و يرتفع عن أهله أو يشتبه بغيره، و تلقينُهم طريقاً يتمكن العلماء و غيرهم من الوصول به إليه و منعهم و تثبيطهم عن الباطل أوّلاً أو ردّهم عنه إذا أجمعوا عليه ثانياً</w:t>
      </w:r>
      <w:r>
        <w:rPr>
          <w:rFonts w:eastAsia="Amiri" w:cs="Amiri" w:ascii="Amiri" w:hAnsi="Amiri"/>
          <w:color w:val="111111"/>
          <w:sz w:val="28"/>
          <w:szCs w:val="28"/>
          <w:rtl w:val="true"/>
          <w:lang w:bidi="ar-SA"/>
        </w:rPr>
        <w:t xml:space="preserve">. </w:t>
      </w:r>
      <w:r>
        <w:rPr>
          <w:rStyle w:val="FootnoteAnchor"/>
          <w:rtl w:val="true"/>
        </w:rPr>
        <w:footnoteReference w:id="41"/>
      </w:r>
      <w:bookmarkStart w:id="68" w:name="pg14687_217160"/>
    </w:p>
    <w:p>
      <w:pPr>
        <w:pStyle w:val="BookText"/>
        <w:rPr/>
      </w:pPr>
      <w:bookmarkEnd w:id="68"/>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فوائد نصب الإمام هو هداية الأُمّة و ردّهم عن الإجماع على الباطل و إرشادهم إلى الحقّ، فلو كان المجمع عليه باطلاً كان على الإمام ردّهم عن ذلك الاتّفاق بوجه من الوجوه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ما يسمّى بقاعدة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استكشاف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 العادية فيمكن تقريره بالنحوين التاليين</w:t>
      </w:r>
      <w:r>
        <w:rPr>
          <w:rFonts w:eastAsia="Amiri" w:cs="Amiri" w:ascii="Amiri" w:hAnsi="Amiri"/>
          <w:color w:val="111111"/>
          <w:sz w:val="28"/>
          <w:szCs w:val="28"/>
          <w:rtl w:val="true"/>
          <w:lang w:bidi="ar-SA"/>
        </w:rPr>
        <w:t>:</w:t>
      </w:r>
    </w:p>
    <w:p>
      <w:pPr>
        <w:pStyle w:val="Heading6"/>
        <w:numPr>
          <w:ilvl w:val="5"/>
          <w:numId w:val="1"/>
        </w:numPr>
        <w:rPr/>
      </w:pPr>
      <w:bookmarkStart w:id="69" w:name="__RefHeading___Toc3432906_1878427129"/>
      <w:bookmarkStart w:id="70" w:name="_Toc24"/>
      <w:bookmarkEnd w:id="69"/>
      <w:r>
        <w:rPr>
          <w:rtl w:val="true"/>
        </w:rPr>
        <w:t>الف</w:t>
      </w:r>
      <w:r>
        <w:rPr>
          <w:rtl w:val="true"/>
        </w:rPr>
        <w:t xml:space="preserve">: </w:t>
      </w:r>
      <w:r>
        <w:rPr>
          <w:rtl w:val="true"/>
        </w:rPr>
        <w:t>تراكم الظنون مورث لليقين</w:t>
      </w:r>
      <w:bookmarkEnd w:id="70"/>
    </w:p>
    <w:p>
      <w:pPr>
        <w:pStyle w:val="BookText"/>
        <w:rPr/>
      </w:pPr>
      <w:r>
        <w:rPr>
          <w:rFonts w:ascii="Amiri" w:hAnsi="Amiri" w:eastAsia="Amiri" w:cs="Amiri"/>
          <w:color w:val="111111"/>
          <w:sz w:val="28"/>
          <w:sz w:val="28"/>
          <w:szCs w:val="28"/>
          <w:rtl w:val="true"/>
          <w:lang w:bidi="ar-SA"/>
        </w:rPr>
        <w:t>إنّ فتوى كلّ فقيه و إن كان يفيد الظن و لو بأدنى مراتبه، إلاّ أنّها تعزَّز بفتوى فقيه ثان فثالث، إلى أن يحصل للإنسان اليقين من إفتاء جماعة على حكم القطعُ بالصحة، إذ من البعيد أن يتطرق البطلان إلى فتوى جماعة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المحقّق النائيني عن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حجّيته لمكان تراكم الظنون من الفتاوى إلى حدّ يوجب القطع بالحكم كما هو الوجه في حصول القطع من الخبر المتواتر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Heading6"/>
        <w:numPr>
          <w:ilvl w:val="5"/>
          <w:numId w:val="1"/>
        </w:numPr>
        <w:rPr/>
      </w:pPr>
      <w:bookmarkStart w:id="71" w:name="__RefHeading___Toc3432908_1878427129"/>
      <w:bookmarkStart w:id="72" w:name="_Toc25"/>
      <w:bookmarkEnd w:id="71"/>
      <w:r>
        <w:rPr>
          <w:rtl w:val="true"/>
        </w:rPr>
        <w:t>ب</w:t>
      </w:r>
      <w:r>
        <w:rPr>
          <w:rtl w:val="true"/>
        </w:rPr>
        <w:t xml:space="preserve">: </w:t>
      </w:r>
      <w:r>
        <w:rPr>
          <w:rtl w:val="true"/>
        </w:rPr>
        <w:t>الاتّفاق كاشف عن دليل معتبر</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حجّية الاتّفاق ليس لأجل إفادتها القطع بالحكم، بل لأجل كشفه عن وجود دليل معتبر وصل إليهم و لم يصل إلينا، و هذا هو الذي اعتمد عليه صاحب الفصول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يستكشف قول المعصوم عن دليل معتبر باتّفاق علمائنا الذين كان ديدنهم الانقطاع إلى الأئمّة في الأحكام و طريقتهم التحرّز عن القول بالرأي و الاستحسان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هذان الوجهان هما السندان لحجية الإجماع المحصل، و هناك بحوث أُخرى تطلب من دراسات عليا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الدارج في الكتب الأُصولية هو البحث عن حجّية الإجماع المحصّل المنقول إلينا بخبر الواحد، و بما انّ حجّية مثل هذا النقل، فرع حجّية خبر الواحد آثرنا تأخيره إلى الفراغ من حجّية خبر الواحد</w:t>
      </w:r>
      <w:r>
        <w:rPr>
          <w:rFonts w:eastAsia="Amiri" w:cs="Amiri" w:ascii="Amiri" w:hAnsi="Amiri"/>
          <w:color w:val="111111"/>
          <w:sz w:val="28"/>
          <w:szCs w:val="28"/>
          <w:rtl w:val="true"/>
          <w:lang w:bidi="ar-SA"/>
        </w:rPr>
        <w:t xml:space="preserve">. </w:t>
      </w:r>
      <w:bookmarkStart w:id="73" w:name="pg14687_217162"/>
    </w:p>
    <w:p>
      <w:pPr>
        <w:pStyle w:val="BookText"/>
        <w:rPr/>
      </w:pPr>
      <w:bookmarkEnd w:id="73"/>
      <w:r>
        <w:rPr>
          <w:rFonts w:ascii="Amiri" w:hAnsi="Amiri" w:eastAsia="Amiri" w:cs="Amiri"/>
          <w:color w:val="111111"/>
          <w:sz w:val="28"/>
          <w:sz w:val="28"/>
          <w:szCs w:val="28"/>
          <w:rtl w:val="true"/>
          <w:lang w:bidi="ar-SA"/>
        </w:rPr>
        <w:t>الأدلّة الأربعة</w:t>
      </w:r>
    </w:p>
    <w:p>
      <w:pPr>
        <w:pStyle w:val="Heading4"/>
        <w:numPr>
          <w:ilvl w:val="3"/>
          <w:numId w:val="1"/>
        </w:numPr>
        <w:rPr/>
      </w:pPr>
      <w:bookmarkStart w:id="74" w:name="__RefHeading___Toc3432910_1878427129"/>
      <w:bookmarkStart w:id="75" w:name="_Toc26"/>
      <w:bookmarkEnd w:id="74"/>
      <w:r>
        <w:rPr/>
        <w:t>3</w:t>
      </w:r>
      <w:r>
        <w:rPr>
          <w:rtl w:val="true"/>
        </w:rPr>
        <w:t xml:space="preserve">- </w:t>
      </w:r>
      <w:r>
        <w:rPr>
          <w:rtl w:val="true"/>
        </w:rPr>
        <w:t>الكتاب</w:t>
      </w:r>
      <w:bookmarkEnd w:id="75"/>
    </w:p>
    <w:p>
      <w:pPr>
        <w:pStyle w:val="Heading5"/>
        <w:numPr>
          <w:ilvl w:val="4"/>
          <w:numId w:val="1"/>
        </w:numPr>
        <w:rPr/>
      </w:pPr>
      <w:bookmarkStart w:id="76" w:name="__RefHeading___Toc3432912_1878427129"/>
      <w:bookmarkStart w:id="77" w:name="_Toc27"/>
      <w:bookmarkEnd w:id="76"/>
      <w:r>
        <w:rPr>
          <w:rtl w:val="true"/>
        </w:rPr>
        <w:t>اشارة</w:t>
      </w:r>
      <w:bookmarkEnd w:id="77"/>
    </w:p>
    <w:p>
      <w:pPr>
        <w:pStyle w:val="BookText"/>
        <w:rPr/>
      </w:pPr>
      <w:r>
        <w:rPr>
          <w:rFonts w:ascii="Amiri" w:hAnsi="Amiri" w:eastAsia="Amiri" w:cs="Amiri"/>
          <w:color w:val="111111"/>
          <w:sz w:val="28"/>
          <w:sz w:val="28"/>
          <w:szCs w:val="28"/>
          <w:rtl w:val="true"/>
          <w:lang w:bidi="ar-SA"/>
        </w:rPr>
        <w:t>إنّ الكتاب من أهم المصادر الشرعية للاستنباط، فلا محيص للفقيه من مراجعة الكتاب و استنطاقه، و قد نقل عن بعض أصحابنا الأخباريين عدم حجّية ظواهر الكتاب، و هذا ما يندى له الجبين، إذ كيف تكون المعجزة الكبرى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مسلوبة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اقتصارهم على السنّة كان رد فعل لما رواه البخاري عن عمر بن الخطاب انّه قال عند ما طلب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القلم و الدواة ليكتب كتاباً للأُمّة لئلاّ يضلّوا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على كلّ تقدير فالاقتصار على الكتاب كالاقتصار على السنّة على طرفي الإفراط و التفريط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حجّية ظواهر القرآن في مجال الفقه مضافاً إلى موارده الخاصة هو التمسك بعموماته و مطلقاته بعد الفحص عن القرائن العقلية أو اللفظية المتصلة أو الحالية المنقولة بخبر الثقة خصوصاً بعد الفحص عن مقيداته و مخصصاته في أحاديث العترة الطاهرة، فإذا تمت هذه الأُمور فهل يتمسك بظواهر القرآن في موردها؟ ذهب علماء الأُصول إلى وجوب الاستضاءة بنور القرآن فيما يدل عليه </w:t>
      </w:r>
    </w:p>
    <w:p>
      <w:pPr>
        <w:pStyle w:val="BookText"/>
        <w:rPr/>
      </w:pPr>
      <w:r>
        <w:rPr>
          <w:rFonts w:ascii="Amiri" w:hAnsi="Amiri" w:eastAsia="Amiri" w:cs="Amiri"/>
          <w:color w:val="111111"/>
          <w:sz w:val="28"/>
          <w:sz w:val="28"/>
          <w:szCs w:val="28"/>
          <w:rtl w:val="true"/>
          <w:lang w:bidi="ar-SA"/>
        </w:rPr>
        <w:t>بظاهره و الاخباريون إلى المنع و انّ الاستدلال بالقرآن يتوقف على تفسير المعصوم فيُصبح الاحتجاج بتفسيره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الأدلّة على حجّية ظواهر القرآن كثيرة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غير واحدة من الآيات القرآنية على أنّ القرآن نور، و النور بذاته ظاهر و مظهر لغيره،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قَدْ جاءَكُمْ بُرْهانٌ مِنْ رَبِّكُمْ وَ أَنْزَلْنا إِلَيْكُمْ نُوراً مُبِيناً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جاءَكُمْ مِنَ اللّهِ نُورٌ وَ كِتابٌ مُبِينٌ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فلو 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مُبِينٌ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لما قبله، يكون المراد من النور هو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يصف القرآن بأنّه تبيان لكلّ شيء، و حاشا أن يكون تبياناً له و لا يكون تبياناً لنفسه،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عَلَيْكَ الْكِتابَ تِبْياناً لِكُلِّ شَيْءٍ وَ هُدىً وَ رَحْمَةً وَ بُشْرى لِلْمُسْلِمِينَ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وَ يُبَشِّرُ الْمُؤْمِنِينَ الَّذِينَ يَعْمَلُونَ الصّالِحاتِ أَنَّ لَهُمْ أَجْراً كَبِيراً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أ فيمكن أن يهدي من دون أن يكون المهتدي مستفيداً من هدايته؟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بظواهر القرآن على حجّيتها دور واضح، فإنّ الأخباري لا يقول بحجّيتها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الاحتجاج على حجّية القرآن إنّما هو بنصوصه لا بظواهره، و الأخباري إنّما يمنع حجّية ظواهره لا حجّية نصوصه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تضافر بل تواتر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التمسك بالثقلين و فسرهما بالكتاب و السنّة،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الثقلين حجّة و انّ كلاً يؤيد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التعليمية التي علّم فيها الإمام تلاميذه كيفية استنباط الحكم من القرآن الكريم، فلو لم تكن ظواهر الكتاب حجّة لما كان للتعليم قيمة، فإنّ موقف الإمام في هذه المقامات موقف المعلّم لا موقف المتكلم عن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ذلك المجال كثيرة نذكر منها واحدة، و هي رواية عبد الأعلى مولى آل سام و قد سأل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عثر فوقع ظفره فجعل على إصبعه مرارة،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يعرف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عَلَيْكُمْ فِي الدِّينِ مِنْ حَرَجٍ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على المرارة</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فأحال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المسح على اصبعه المغطّى بالمرارة إلى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تضافر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 تعارض الروايات لزوم عرضه على القرآن و انّ ما وافق كتاب اللّه يؤخذ به و ما خالف يضرب به عرض الجدار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كلّ حق حقيقة، و على كلّ صواب نوراً، فما وافق كتاب اللّه فخذوه، و ما خالف كتاب اللّه فدعوه</w:t>
      </w:r>
      <w:r>
        <w:rPr>
          <w:rFonts w:eastAsia="Amiri" w:cs="Amiri" w:ascii="Amiri" w:hAnsi="Amiri"/>
          <w:color w:val="111111"/>
          <w:sz w:val="28"/>
          <w:szCs w:val="28"/>
          <w:rtl w:val="true"/>
          <w:lang w:bidi="ar-SA"/>
        </w:rPr>
        <w:t xml:space="preserve">«. </w:t>
      </w:r>
      <w:r>
        <w:rPr>
          <w:rStyle w:val="FootnoteAnchor"/>
          <w:rtl w:val="true"/>
        </w:rPr>
        <w:footnoteReference w:id="56"/>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الفقهاء على أنّ كلّ شرط خالف كتاب اللّه فهو مرفوض،ك</w:t>
      </w:r>
      <w:r>
        <w:rPr>
          <w:rFonts w:eastAsia="Amiri" w:cs="Amiri" w:ascii="Amiri" w:hAnsi="Amiri"/>
          <w:color w:val="111111"/>
          <w:sz w:val="28"/>
          <w:szCs w:val="28"/>
          <w:rtl w:val="true"/>
          <w:lang w:bidi="ar-SA"/>
        </w:rPr>
        <w:t xml:space="preserve">. </w:t>
      </w:r>
      <w:bookmarkStart w:id="78" w:name="pg14687_217165"/>
    </w:p>
    <w:p>
      <w:pPr>
        <w:pStyle w:val="BookText"/>
        <w:rPr/>
      </w:pPr>
      <w:bookmarkEnd w:id="78"/>
      <w:r>
        <w:rPr>
          <w:rFonts w:ascii="Amiri" w:hAnsi="Amiri" w:eastAsia="Amiri" w:cs="Amiri"/>
          <w:color w:val="111111"/>
          <w:sz w:val="28"/>
          <w:sz w:val="28"/>
          <w:szCs w:val="28"/>
          <w:rtl w:val="true"/>
          <w:lang w:bidi="ar-SA"/>
        </w:rPr>
        <w:t>ففي صحيحة عبد اللّه بن سنان،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اشترط شرطاً مخالفاً لكتاب اللّه فلا يجوز له، و لا يجوز على الذي اشترط عليه، و المسلمون عند شروطهم ممّا وافق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عند شروطهم، إلاّ كلّ شرط خالف كتاب اللّه عزّ و جلّ فلا يجوز</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فلو لم يكن ظواهر الكتاب حجّة، لما كان هناك معنى لعرض الشرط على الكتاب في هذه الروايات و غيرها ممّا يشرف الفقيه على القطع بحجّية ظواهر الكتاب، و إنّما المهم دراسة أدلّة المخالف</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3432914_1878427129"/>
      <w:bookmarkStart w:id="80" w:name="_Toc28"/>
      <w:bookmarkEnd w:id="79"/>
      <w:r>
        <w:rPr>
          <w:rtl w:val="true"/>
        </w:rPr>
        <w:t>أدلّة الأخباري على عدم حجّية ظواهر الكتاب</w:t>
      </w:r>
      <w:bookmarkEnd w:id="80"/>
    </w:p>
    <w:p>
      <w:pPr>
        <w:pStyle w:val="BookText"/>
        <w:rPr/>
      </w:pPr>
      <w:r>
        <w:rPr>
          <w:rFonts w:ascii="Amiri" w:hAnsi="Amiri" w:eastAsia="Amiri" w:cs="Amiri"/>
          <w:color w:val="111111"/>
          <w:sz w:val="28"/>
          <w:sz w:val="28"/>
          <w:szCs w:val="28"/>
          <w:rtl w:val="true"/>
          <w:lang w:bidi="ar-SA"/>
        </w:rPr>
        <w:t>استدلّ الأخباري على عدم حجّية ظواهر الكتاب بوجوه، أهمها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الكلام الظاهر في معنى على أنّ المتكلّم أراد هذا، تفسير له بالرأي، و 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فسّر القرآن برأيه فليتبوّأ مقعده من النار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حمل الظاهر في معنى، على أنّ المتكلّم أراده ليس تفسيراً فضلاً عن كونه تفسيراً بالرأي، فانّ التفسير عبارة عن كشف القناع عن وجه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الرأي فهو عبارة عن الميل إلى أحد الجانبين اعتماداً على الظن الذي لم يدلّ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معنى التفسير أوّلاً ثمّ الرأي ثانياً، نقول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حمل الظاهر في معنى، على أنّه مراد المتكلّم، ليس من مقولة التفسير، إذ </w:t>
      </w:r>
    </w:p>
    <w:p>
      <w:pPr>
        <w:pStyle w:val="BookText"/>
        <w:rPr/>
      </w:pPr>
      <w:r>
        <w:rPr>
          <w:rFonts w:ascii="Amiri" w:hAnsi="Amiri" w:eastAsia="Amiri" w:cs="Amiri"/>
          <w:color w:val="111111"/>
          <w:sz w:val="28"/>
          <w:sz w:val="28"/>
          <w:szCs w:val="28"/>
          <w:rtl w:val="true"/>
          <w:lang w:bidi="ar-SA"/>
        </w:rPr>
        <w:t>ليس هنا أمر مستور يُكشف عنه، فالاستدلال بإطلاق الظاهر أو عمومه، ليس تفسيراً، و رافعاً لإبهامه بل هو من قبيل تطبيق الظاهر على مصاديقه، و التفسير عبارة عن كشف القناع عن وجه الآية، كالغطاء الموجود في الصلاة الوسطى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حافِظُوا عَلَى الصَّلَواتِ وَ الصَّلاةِ الْوُسْطى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فحملها على إحدى الصلوات، يقال انّه تفسير و كشف للقناع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لم يكن حمل الظاهر على معنى على أنّه المراد، تفسيراً للآية يكون بالنسبة إلى الجزء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 بالسالبة بانتفاء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فهم القرآن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مذاكرة الإمام أبا حنيفة و قتادة انّه لا يفهم القرآن إلاّ من خوطب به، و هم أئمّة أهل البيت، و إليك نصّ ما دار بينهما من الحوار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كتاب اللّه حق معرفته و تعرف 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ادّعيت علماً، ما جعل اللّه ذلك إلاّ عند أهل الكتاب الذين أنزل عليهم، و لا هو إلاّ عند الخاص من ذريّة نبيّنا محمّد، و ما ورثك اللّه عن كتابه حرفاً</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الرواية لا تنفي عن أبي حنيفة المعرفة الإجمالية، و إنّما تنفي حقّ المعرفة، و هو لا يتحقّق إلاّ بمعرفة الناسخ و المنسوخ و الخاص و العام و المطلق و المقيد إلى غير ذلك من القرائن المنفصلة التي تؤثِّر في الاحتجاج بالآية، و كلّها مخزونة عند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عمل بظاهر الآية ، بعد الرجوع إليهم في</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1" w:name="pg14687_217167"/>
    </w:p>
    <w:p>
      <w:pPr>
        <w:pStyle w:val="BookText"/>
        <w:rPr/>
      </w:pPr>
      <w:bookmarkEnd w:id="81"/>
      <w:r>
        <w:rPr>
          <w:rFonts w:ascii="Amiri" w:hAnsi="Amiri" w:eastAsia="Amiri" w:cs="Amiri"/>
          <w:color w:val="111111"/>
          <w:sz w:val="28"/>
          <w:sz w:val="28"/>
          <w:szCs w:val="28"/>
          <w:rtl w:val="true"/>
          <w:lang w:bidi="ar-SA"/>
        </w:rPr>
        <w:t>معرفة تلك المواضع، فهو غير مشمول للرواية بل هي تردُّ على المستبدين بالقرآن الذين يفسرونه و يفتون به من دون مراجعة إلى من نزل القرآن في بيوتهم حتى يعرفوا ناسخه و منسوخه، و عامّه و خاصّه، و مطلقه و مقيده، و أين هو من عمل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يحتجون بالقرآن بعد الرجوع إلى حديث العترة الطاهرة ، في مجملاته و مبهماته، و مخصصات عمومه و مقيدات مطلقاته، ثمّ الأخذ بمجموع ما دلّ عليه الثقلان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فالاستبداد بالقرآن شيء و الاحتجاج بالقرآن بعد الرجوع إلى أحاديث العترة الطاهرة شيء آخر، و الأوّل ممنوع و الثاني مجاز جرى عليه أصحابنا رضوان اللّه عليهم عبر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مفاد سائر الروايات الواردة في هذا المضمار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استدلّ به الأخباريون من منع التمسّك بظواهر القرآن و بقيت هناك أدلة أُخرى لهم تظهر حالها بالإمعان فيما ذكرنا</w:t>
      </w:r>
      <w:r>
        <w:rPr>
          <w:rFonts w:eastAsia="Amiri" w:cs="Amiri" w:ascii="Amiri" w:hAnsi="Amiri"/>
          <w:color w:val="111111"/>
          <w:sz w:val="28"/>
          <w:szCs w:val="28"/>
          <w:rtl w:val="true"/>
          <w:lang w:bidi="ar-SA"/>
        </w:rPr>
        <w:t>.</w:t>
      </w:r>
    </w:p>
    <w:p>
      <w:pPr>
        <w:pStyle w:val="Heading5"/>
        <w:numPr>
          <w:ilvl w:val="4"/>
          <w:numId w:val="1"/>
        </w:numPr>
        <w:rPr/>
      </w:pPr>
      <w:bookmarkStart w:id="82" w:name="__RefHeading___Toc3432916_1878427129"/>
      <w:bookmarkStart w:id="83" w:name="_Toc29"/>
      <w:bookmarkEnd w:id="82"/>
      <w:r>
        <w:rPr>
          <w:rtl w:val="true"/>
        </w:rPr>
        <w:t>الظواهر من القطعيات</w:t>
      </w:r>
      <w:bookmarkEnd w:id="83"/>
    </w:p>
    <w:p>
      <w:pPr>
        <w:pStyle w:val="BookText"/>
        <w:rPr/>
      </w:pPr>
      <w:r>
        <w:rPr>
          <w:rFonts w:ascii="Amiri" w:hAnsi="Amiri" w:eastAsia="Amiri" w:cs="Amiri"/>
          <w:color w:val="111111"/>
          <w:sz w:val="28"/>
          <w:sz w:val="28"/>
          <w:szCs w:val="28"/>
          <w:rtl w:val="true"/>
          <w:lang w:bidi="ar-SA"/>
        </w:rPr>
        <w:t>ثمّ إنّ الأُصوليين ذكروا ظواهر القرآن تحت الظنون التي ثبتت حجّيتها بالدليل و أسموه بالظن الخاص مقابل الظن المطلق الذي ليس على حجّيته دليل سوى دليل الانسداد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انّ ظواهر كلام كلّ متكلم فضلاً عن ظواهر القرآن من الكواشف القطعية، و يظهر حال هذا المدعى بالإمعان فيما ذكرناه في الموجز و ما نوضحه في المقام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الفرق بين الظاهر و النص هو انّ كلا الأمرين يحملان معنى واحداً و يتبادر منهما شيء فارد، غير انّ الأوّل قابل للتأويل، فلو أوّل كلامه لعدّ عمله </w:t>
      </w:r>
    </w:p>
    <w:p>
      <w:pPr>
        <w:pStyle w:val="BookText"/>
        <w:rPr/>
      </w:pPr>
      <w:r>
        <w:rPr>
          <w:rFonts w:ascii="Amiri" w:hAnsi="Amiri" w:eastAsia="Amiri" w:cs="Amiri"/>
          <w:color w:val="111111"/>
          <w:sz w:val="28"/>
          <w:sz w:val="28"/>
          <w:szCs w:val="28"/>
          <w:rtl w:val="true"/>
          <w:lang w:bidi="ar-SA"/>
        </w:rPr>
        <w:t>خلافاً للظاهر و لا يعدّ مناقضاً في القول،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الظاهر في الوجوب ثمّ أشار بدليل خاص بأنّ المقصود هو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النصّ فهو لا يحتمل إلاّ معنى واحداً، و لا يصحّ تأويله بل يعد أمراً متناقضاً، و هذا مثل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فإنّ كون حظّ الذكر مثلي حظ الأُنثى شيء ليس قابلاً للتأويل و لذلك يعدّ نصاً، و من حاول تأويله لا يقبل منه، و مثله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القضاء بين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الظواهر عن مراد المتكلّم هل هو كشف قطعي أو ظني، يتوقّف على بيان الوظيفة التي حملت على عاتق الظواهر؟ و تبيين رسالتها في إطار التفهيم و التفهّم؟ فلو تبيّن ذلك لسهل القضاء بأنّ الكشف قطعي أو 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للمتكلّم إرادتين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إرادة استعمالية، و هي استعمال اللفظ في معناه، أو إحضار المعاني في ذهن المخاطب سواء أ كان المتكلّم جادّاً أو هازلاً أو مورّياً أو غير ذلك، سواء أ كان المعنى حقيقياً أو مجازياً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إرادة جدية، و هي انّ ما استعمل فيه اللفظ مراد له جداً، و ما هذا إلاّ لأنّه ربما يفارق المرادُ الاستعمالي، المرادَ الجدي، كما في الهازل و المورّي و المقنّن الذي يُرتِّب الحكم على العام و المطلق مع أنّ المراد الجدي هو الخاص و المقيد، ففي هذه الموارد تغاير الإرادةُ الجدية الإرادةَ الاستعمالية، إمّا تغايراً تاماً كما في الهازل و المورّي و اللاغي، أو تغايراً جزئياً كما في العام الذي أُريد منه الخاص، أو المطلق</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أُريد منه المقيد بالإرادة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فيجب علينا أن نركِّز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الرسالة الموضوعة على عاتق الظواهر؟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لتسميتها ظنوناً؟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فالوظيفة الملقاة على عاتق الظواهر عبارة عن إحضار المعاني في ذهن المخاطب سواء أ كانت المعاني حقائق أم مجازات،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فرسالته إحضار انّ المتكلّم رأى الحيوان المفترس،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في الحمام، فرسالته إحضار انّ المتكلّم رأى رجلاً شجاعاً فيه، فكشف الجملة في كلا الموردين عن المراد الاستعمالي كشف قطعي و ليس كشفاً ظنياً، و قد أدّى اللفظ رسالته بأحسن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لا تصحّ تسميته كشفاً ظنياً، اللّهمّ إلاّ إذا كان الكلام مجملاً أو متشابهاً، فالكلام عندئذ قاصر عن إحضار المعنى الاستعمالي بوجه متعيّن، لكنّهما خارجان عن محطّ البحث فإنّ الكلام في الظواهر لا في المجملات و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السبب الذي يوجب تسمية ذلك الكشف ظنياً، فانّه يتلخص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 المتكلّم لم يستعمل اللفظ في أيّ معنى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استعمل في المعنى المجازي و لم ينصب قرينة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كان هازلاً في كلامه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مورّياً في خطابه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لاغياً فيما يلقيه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أطلق العام و أراد الخاص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أطلق المطلق و أراد المقيّد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غير ذلك من المحتملات التي توجب الاضطراب في كشف المراد الاستعمالي عن المراد الجدي على وجه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أُلفت نظر القارئ إلى أُمور ثلاثة لها دور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علاج هذه الاحتمالات ليس من وظائف الظواهر حتى يوصف كشف الظواهر عن المراد الجدي لأجلها بالظنّية، و ذلك لما عرفت من أنّ المطلوب من الظواهر ليس إلاّ شيء واحد و هو إحضار المعاني في ذهن المخاطب، و أمّا الاحتمالات المذكورة و كيفية دفعها فليس لها صلة بالظواهر حتى يوصف كشفها لأجلها بأنّه ظني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بعض هذه الاحتمالات موجودة في النصوص فيحتمل فيه كون المتكلم لاغياً، أو هازلاً، أو مورّياً، أو متّقياً، أو غير ذلك من الاحتمالات، مع أنّا نرى أنّهم يعدّونها من القطعيات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القوم عالجوا هذه الاحتمالات بادّعاء وجود أُصول عقلائية دافعة لها، كأصالة كون المتكلّم في مقام الإفادة ، لا الهزل و لا التمرين، بدافع نفسي، لا بدافع خارجي كالخوف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انّه لا حاجة إلى هذه الأُصول فإنّ الحياة الاجتماعية مبنيّة على المفاهمة بالظواهر، ففي مجال المفاهمة و التفاهم بين الأُستاذ و التلميذ و البائع و المشتري و السائس و المسوس، يعتبر المخاطبُ دلالة كلام المتكلّم على المراد الاستعمالي و الجدي دلالة قطعية لا ظنية، إلاّ إذا كان هناك إبهام أو إجمال، أو جريان عادة على فصل الخاص و القيد عن الكلام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خرجنا بأن كشف الظواهر عن المراد الاستعمالي، بل المراد الجدي، على ما عرفت أخيراً في مجال المفاهمة الخصوصية </w:t>
      </w:r>
      <w:r>
        <w:rPr>
          <w:rStyle w:val="FootnoteAnchor"/>
          <w:rtl w:val="true"/>
        </w:rPr>
        <w:footnoteReference w:id="65"/>
      </w:r>
      <w:r>
        <w:rPr>
          <w:rFonts w:ascii="Amiri" w:hAnsi="Amiri" w:eastAsia="Amiri" w:cs="Amiri"/>
          <w:color w:val="111111"/>
          <w:sz w:val="28"/>
          <w:sz w:val="28"/>
          <w:szCs w:val="28"/>
          <w:rtl w:val="true"/>
          <w:lang w:bidi="ar-SA"/>
        </w:rPr>
        <w:t>كشف قطعي و لا يُعرَّج إلى تلك الشكوك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bookmarkStart w:id="84" w:name="pg14687_217171"/>
    </w:p>
    <w:p>
      <w:pPr>
        <w:pStyle w:val="BookText"/>
        <w:rPr/>
      </w:pPr>
      <w:bookmarkEnd w:id="84"/>
      <w:r>
        <w:rPr>
          <w:rFonts w:ascii="Amiri" w:hAnsi="Amiri" w:eastAsia="Amiri" w:cs="Amiri"/>
          <w:color w:val="111111"/>
          <w:sz w:val="28"/>
          <w:sz w:val="28"/>
          <w:szCs w:val="28"/>
          <w:rtl w:val="true"/>
          <w:lang w:bidi="ar-SA"/>
        </w:rPr>
        <w:t>الأدلّة الأربعة</w:t>
      </w:r>
    </w:p>
    <w:p>
      <w:pPr>
        <w:pStyle w:val="Heading4"/>
        <w:numPr>
          <w:ilvl w:val="3"/>
          <w:numId w:val="1"/>
        </w:numPr>
        <w:rPr/>
      </w:pPr>
      <w:bookmarkStart w:id="85" w:name="__RefHeading___Toc3432918_1878427129"/>
      <w:bookmarkStart w:id="86" w:name="_Toc30"/>
      <w:bookmarkEnd w:id="85"/>
      <w:r>
        <w:rPr/>
        <w:t>4</w:t>
      </w:r>
      <w:r>
        <w:rPr>
          <w:rtl w:val="true"/>
        </w:rPr>
        <w:t xml:space="preserve">- </w:t>
      </w:r>
      <w:r>
        <w:rPr>
          <w:rtl w:val="true"/>
        </w:rPr>
        <w:t>السنّة</w:t>
      </w:r>
      <w:bookmarkEnd w:id="86"/>
    </w:p>
    <w:p>
      <w:pPr>
        <w:pStyle w:val="BookText"/>
        <w:rPr/>
      </w:pPr>
      <w:r>
        <w:rPr>
          <w:rFonts w:ascii="Amiri" w:hAnsi="Amiri" w:eastAsia="Amiri" w:cs="Amiri"/>
          <w:color w:val="111111"/>
          <w:sz w:val="28"/>
          <w:sz w:val="28"/>
          <w:szCs w:val="28"/>
          <w:rtl w:val="true"/>
          <w:lang w:bidi="ar-SA"/>
        </w:rPr>
        <w:t>قد تطلق السنّة و يراد منها قول المعصوم و فعله و تقريره، فلا شك انّ السنّة بهذا المعنى من الأدلة القطعية، إذ هي عدل القرآن الكريم فهي الحجّة الثانية بعد الذكر الحكيم، و من أعرض عن السنّة و استغنى بالقرآن الكريم فقد عدل عن 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يطلق السنة و يراد منها الخبر الحاكي عن السنّة الواقعية و هو المراد في المقام سواء نقلت بصورة متواترة أو مستفيضة أو محفوفة بالقرائن أو مجرّدة عن الاستفاضة و القرائن، و الكلام هنا في حجّية الخبر الواحد المجرّد عن كلّ شيء، فانّ المتواتر أو الخبر الواحد المحفوف بالقرينة يفيدان العلم، و هكذا الخبر المستفيض يورث الاطمئنان المتاخم للعلم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كون السنّة الخبر الواحد المجرد عن 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ظنياً فإنّما هو لأجل سندها، و أمّا من حيث الدلالة فقد عرفت أنّ الدلالة في الجميع دلالة قطعية بالنسبة إلى المراد الاستعمالي، بل المراد الجدي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الإفتاء بمضمون الخبر الواحد يتوقف على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التعبّد به إمكاناً ذاتيّاً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التعبّد به إمكاناً وقوعيّاً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الإمكان بالمعنى الأوّل الذي يعبّر عنه بالإمكان الماهوي فهو أمر لا سترة عليه، ضرورة انّ التعبّد بالخبر ليس واجباً و لا ممتنعاً فيُصبح أمراً ممكناً بالذات، فنسبة جواز التعبد إلى الخبر كنسبة الوجود و العدم بالنسبة إلى الإنسان، فالبحث عن الإمكان بهذا المعنى، أمر خارج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الإمكان بالمعنى الثاني و هو الذي لا يمنع عن وقوعه مانع خارجي عن الذات بعد إمكانه الذاتي فهو داخل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إدخال المطيع في النار، فإنّه و إن كان ممكناً بالذات، لأنّه سبحانه قادر على الحَسن و القبيح، لكن غير ممكن وقوعاً لمخالفته لعدله و حكمته، فهو ممكن بالذات غير ممكن 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فذهب بعضهم كابن قبة </w:t>
      </w:r>
      <w:r>
        <w:rPr>
          <w:rStyle w:val="FootnoteAnchor"/>
          <w:rtl w:val="true"/>
        </w:rPr>
        <w:footnoteReference w:id="66"/>
      </w:r>
      <w:r>
        <w:rPr>
          <w:rFonts w:ascii="Amiri" w:hAnsi="Amiri" w:eastAsia="Amiri" w:cs="Amiri"/>
          <w:color w:val="111111"/>
          <w:sz w:val="28"/>
          <w:sz w:val="28"/>
          <w:szCs w:val="28"/>
          <w:rtl w:val="true"/>
          <w:lang w:bidi="ar-SA"/>
        </w:rPr>
        <w:t>إلى امتناع التعبّد بالظن وقوعاً و استدلّ له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العمل بالخبر الواحد في الفروع، لجاز العمل به في الأُصول، فلو أخبر أحد من اللّه سبحانه لزم قبول قوله إذا كان عادلاً بلا حاجة إلى طلب البيّنة و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في الفروع أسهل، فقبول الخبر فيها لا يلازم قبول خبره في ادّعاء النبوة التي هي أمر خطير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يستلزم تحليل الحرام أو تحريم الحلال، فإذا كان الحكم الواقعي هو الحلية و قام خبر الواحد على الحرمة أو بالعكس و قلنا بحجّيته، يلزم أحد المحذورين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87" w:name="pg14687_217173"/>
    </w:p>
    <w:p>
      <w:pPr>
        <w:pStyle w:val="BookText"/>
        <w:rPr/>
      </w:pPr>
      <w:bookmarkEnd w:id="87"/>
      <w:r>
        <w:rPr>
          <w:rFonts w:ascii="Amiri" w:hAnsi="Amiri" w:eastAsia="Amiri" w:cs="Amiri"/>
          <w:color w:val="111111"/>
          <w:sz w:val="28"/>
          <w:sz w:val="28"/>
          <w:szCs w:val="28"/>
          <w:rtl w:val="true"/>
          <w:lang w:bidi="ar-SA"/>
        </w:rPr>
        <w:t xml:space="preserve">و يعبّر عن حلّ هذا الاشكال في مصطلح الأُصوليّين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بالجمع بين الحكم الظاهري و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فصّل المتأخرون الكلام فيه و موجز الجواب في هذا المقام عن هذا الإشكال انّه إذا كان مفاد الخبر موافقاً للواقع يكون منجّزاً للحكم الواقعي، و أمّا إذا كان مخالفاً للواقع فيكون الحكم الواقعي عند من قامت الأمارة على خلافه، إنشائياً لا فعلياً، و إنّما يتوجّه الإشكال إذا كان هناك حكمان فعليان متضادان في واقعة واحدة، و أمّا إذا كان أحد الحكمين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إنشائياً و الآخر فعلياً فلا إشكال فيه، و التفصيل يطلب من دراسات علياء</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432920_1878427129"/>
      <w:bookmarkStart w:id="89" w:name="_Toc31"/>
      <w:bookmarkEnd w:id="88"/>
      <w:r>
        <w:rPr>
          <w:rtl w:val="true"/>
        </w:rPr>
        <w:t>ما هو الأصل في العمل بالظنّ؟</w:t>
      </w:r>
      <w:bookmarkEnd w:id="89"/>
    </w:p>
    <w:p>
      <w:pPr>
        <w:pStyle w:val="Heading4"/>
        <w:numPr>
          <w:ilvl w:val="3"/>
          <w:numId w:val="1"/>
        </w:numPr>
        <w:rPr/>
      </w:pPr>
      <w:bookmarkStart w:id="90" w:name="__RefHeading___Toc3432922_1878427129"/>
      <w:bookmarkStart w:id="91" w:name="_Toc32"/>
      <w:bookmarkEnd w:id="90"/>
      <w:r>
        <w:rPr>
          <w:rtl w:val="true"/>
        </w:rPr>
        <w:t>اشارة</w:t>
      </w:r>
      <w:bookmarkEnd w:id="91"/>
    </w:p>
    <w:p>
      <w:pPr>
        <w:pStyle w:val="BookText"/>
        <w:rPr/>
      </w:pPr>
      <w:r>
        <w:rPr>
          <w:rFonts w:ascii="Amiri" w:hAnsi="Amiri" w:eastAsia="Amiri" w:cs="Amiri"/>
          <w:color w:val="111111"/>
          <w:sz w:val="28"/>
          <w:sz w:val="28"/>
          <w:szCs w:val="28"/>
          <w:rtl w:val="true"/>
          <w:lang w:bidi="ar-SA"/>
        </w:rPr>
        <w:t>و قبل التعرّف على أدلّة وقوع التعبّد بالظن في الشريعة الإسلامية يجب الوقوف على ما هي القاعدة الأوّلية في العمل بالظن، فهل هي حرمة العمل بالظن إلاّ ما خرج بالدليل؟ أو الأصل جواز العمل بالظن إلاّ ما خرج بالدليل؟ فعلى الأوّل يكون الأخذ بواحد من أقسام الظنون كالخبر الواحد و قول اللغوي و الشهرة الفتوائية و غيرها متوقفاً على وجود دليل، و إلاّ فالأصل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تنعكس القاعدة على القول الثاني، فالأصل هو حجّية كلّ ظن إلاّ ما قام الدليل على الحرمة كالقياس و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المراد من الأصل في العنوان هو مقتضى الأدلة الاجتهادية، و يعبّر عنها بمقتضى القاعدة الأوّلية و ليس المراد منه هو الأصل العملي</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اتّفقت كلمة المحقّقين على أنّ الأصل هو حرمة العمل بالظن إلاّ أن يقوم الدليل على الحجّية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الدليل عليه هو انّ البدعة أمر محرم إجماعاً من غير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عبارة عن ادخال ما يعلم انّه ليس من الدين أو يشكّ انّه منه،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الاعتماد على الظن الذي لم يقم دليل على جواز العمل و الإفتاء على وفقه ، التزام بكون مؤدّاه حكم اللّه في حقّه و حقّ غيره، و هذا هو نفس البدعة، لأنّه يُدخل في الدين ما يشكّ انّه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العمل بالظن عبارة عن صحّة إسناد مؤدّاه إلى الشارع في مقام العمل، و من المعلوم أنّ إسناد المؤدّى إلى الشارع و العمل به إنّما يصحّ في حالة الإذعان بأنّه حكم الشارع و إلاّ يكون الإسناد تشريعاً قولياً و عملياً دلّت على حرمته الأدلّة الأربعة، و ليس التشريع إلاّ إسناد ما لم يعلم أنّه من الدين إلى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ما أَنْزَلَ اللّهُ لَكُمْ مِنْ رِزْقٍ فَجَعَلْتُمْ مِنْهُ حَراماً وَ حَلالاً قُلْ آللّهُ أَذِنَ لَكُمْ أَمْ عَلَى اللّهِ تَفْتَرُونَ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فالآية تدلّ على أنّ الإسناد إلى اللّه يجب أن يكون مقروناً بالإذن منه سبحانه، و في غير هذه الصورة يعدّ افتراءً سواء كان الإذن مشكوك الوجود كما في المقام أو مقطوع العدم، و الآية تعمّ كلا القسمين، و المفروض انّ العامل بالظن شاك في إذنه سبحانه و مع ذلك ينسبه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تجد انّه سبحانه يذم التقوّل بما لا يُعلم حدودُه من اللّه سواء أ كان مخالفاً للواقع أم لا، و العامل بالظن يتقوّل بلا 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الضابطة الكلية في العمل بالظن هي المنع، لكونه تشريعاً قولياً و عملياً محرّماً و تقوّلاً على اللّه بغير علم، فالأصل في جميع الظنون أي في باب الحجج هو عدم الحجّية، إلاّ إذا قام الدليل القطعي على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الأُصوليّين ذكروا خروج بعض الظنون عن هذا الأصل بالدليل القطعي و بذلك خرج عن كونه تقولاً بلا علم،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الإجماع المنقول بخبر الواحد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دراسة الجميع واحداً تلو الآخر</w:t>
      </w:r>
      <w:r>
        <w:rPr>
          <w:rFonts w:eastAsia="Amiri" w:cs="Amiri" w:ascii="Amiri" w:hAnsi="Amiri"/>
          <w:color w:val="111111"/>
          <w:sz w:val="28"/>
          <w:szCs w:val="28"/>
          <w:rtl w:val="true"/>
          <w:lang w:bidi="ar-SA"/>
        </w:rPr>
        <w:t xml:space="preserve">: </w:t>
      </w:r>
      <w:bookmarkStart w:id="92" w:name="pg14687_217176"/>
    </w:p>
    <w:p>
      <w:pPr>
        <w:pStyle w:val="Heading4"/>
        <w:numPr>
          <w:ilvl w:val="3"/>
          <w:numId w:val="1"/>
        </w:numPr>
        <w:rPr/>
      </w:pPr>
      <w:bookmarkStart w:id="93" w:name="__RefHeading___Toc3432924_1878427129"/>
      <w:bookmarkStart w:id="94" w:name="_Toc33"/>
      <w:bookmarkEnd w:id="92"/>
      <w:bookmarkEnd w:id="93"/>
      <w:r>
        <w:rPr>
          <w:rtl w:val="true"/>
        </w:rPr>
        <w:t>الأدلّة الظنّية</w:t>
      </w:r>
      <w:bookmarkEnd w:id="94"/>
    </w:p>
    <w:p>
      <w:pPr>
        <w:pStyle w:val="Heading5"/>
        <w:numPr>
          <w:ilvl w:val="4"/>
          <w:numId w:val="1"/>
        </w:numPr>
        <w:rPr/>
      </w:pPr>
      <w:bookmarkStart w:id="95" w:name="__RefHeading___Toc3432926_1878427129"/>
      <w:bookmarkStart w:id="96" w:name="_Toc34"/>
      <w:bookmarkEnd w:id="95"/>
      <w:r>
        <w:rPr/>
        <w:t>1</w:t>
      </w:r>
      <w:r>
        <w:rPr>
          <w:rtl w:val="true"/>
        </w:rPr>
        <w:t xml:space="preserve">- </w:t>
      </w:r>
      <w:r>
        <w:rPr>
          <w:rtl w:val="true"/>
        </w:rPr>
        <w:t>حجّية السنّة المحكية بخبر الواحد</w:t>
      </w:r>
      <w:bookmarkEnd w:id="96"/>
    </w:p>
    <w:p>
      <w:pPr>
        <w:pStyle w:val="Heading6"/>
        <w:numPr>
          <w:ilvl w:val="5"/>
          <w:numId w:val="1"/>
        </w:numPr>
        <w:rPr/>
      </w:pPr>
      <w:bookmarkStart w:id="97" w:name="__RefHeading___Toc3432928_1878427129"/>
      <w:bookmarkStart w:id="98" w:name="_Toc35"/>
      <w:bookmarkEnd w:id="97"/>
      <w:r>
        <w:rPr>
          <w:rtl w:val="true"/>
        </w:rPr>
        <w:t>اشارة</w:t>
      </w:r>
      <w:bookmarkEnd w:id="98"/>
    </w:p>
    <w:p>
      <w:pPr>
        <w:pStyle w:val="BookText"/>
        <w:rPr/>
      </w:pPr>
      <w:r>
        <w:rPr>
          <w:rFonts w:ascii="Amiri" w:hAnsi="Amiri" w:eastAsia="Amiri" w:cs="Amiri"/>
          <w:color w:val="111111"/>
          <w:sz w:val="28"/>
          <w:sz w:val="28"/>
          <w:szCs w:val="28"/>
          <w:rtl w:val="true"/>
          <w:lang w:bidi="ar-SA"/>
        </w:rPr>
        <w:t xml:space="preserve">السنّة بمعنى قول المعصوم أو فعله أو تقريره حجّة بلا كلام، كما أنّه لا شكّ في حجّية الخبر الحاكي للسنّة إذا كان خبراً متواتراً أو محفوفاً بالقرينة لإفادتهما العلم، إنّما الكلام في حجّية الحاكي إذا كان خبراً مجرّداً عن القرينة و كان الراوي ثقة، فقد ذهب معظم الأُصوليين إلى حجّيته و استدلّوا عليه بالكتاب و السنّة و الإجماع، و قد ذكرنا دلائلهم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الأولى الاستدلال عليها بالسيرة العقلائية المنتشرة بينهم، فقد جرت سيرتهم على العمل بخبر الثقة المفيد للاطمئنان الذي هو علم عرفي و إن لم يكن علماً عقلياً، و ما هذا إلاّ لأجل انّ تحصيل العلم في أغلب الموارد موجب للعسر و الحرج، هذا من جانب، و من جانب آخر انّ القلب يسكن إلى قول الثقة، و يطمئن به، و لأجل ذلك يعد عند العرف علماً لا ظنّاً، لما له من ملكة رادعة عن الاقتحام في الكذب، فبملاحظة هذين الأمرين جرت سيرتهم على الأخذ بقول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كانت السيرة أمراً غير مرضي للشارع، كان عليه الردع عنها كما ردع عن العمل بقول الفاسق</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إذا سبرت أحوال الأُمم في العصور الغابرة، تقف على أنّ سيرتهم جرت على العمل بخبر الثقة، و انّ عمل المسلمين به لم يكن إلاّ </w:t>
      </w:r>
    </w:p>
    <w:p>
      <w:pPr>
        <w:pStyle w:val="BookText"/>
        <w:rPr/>
      </w:pPr>
      <w:r>
        <w:rPr>
          <w:rFonts w:ascii="Amiri" w:hAnsi="Amiri" w:eastAsia="Amiri" w:cs="Amiri"/>
          <w:color w:val="111111"/>
          <w:sz w:val="28"/>
          <w:sz w:val="28"/>
          <w:szCs w:val="28"/>
          <w:rtl w:val="true"/>
          <w:lang w:bidi="ar-SA"/>
        </w:rPr>
        <w:t>استلهاماً من تلك السيرة العقلائية التي ارتكزت في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العمل بأخبار الآحاد الثقات أمراً مرفوضاً لكان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الأئمّة المعصومين، الردع القارع و الطرد الصارم حتى يتنبه الغافل و يفهم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تضافرت الروايات على ردّ القياس و سائر المقاييس الظنّية الدارجة بين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العمل بخبر الواحد على غرار العمل بالقياس لعمّه الردع من قبل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لوصلت إلينا رواياتهم الناهية عن العمل بخبر الواحد، و حيث إنّه لم يرد شيء من هذا القبيل، دلّ ذلك على إمضائهم العمل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ثمة نكتة أُخرى و هي انّ ما استدلّ به الأُصوليّون من الكتاب و السنّة على حجّية قول الثقة ليس في مقام تأسيس القاعدة و اضفاء الحجية على قول الثقة، بل الكلّ عند الدقة و الإمعان ناظر إلى هذه السيرة العقلائية، فلاحظ قول الراوي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بن المهتدي، و الحسن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فيونس بن عبد الرحمن ثقة، آخذ عنه ما أحتاج إليه من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كما يشير إليه قول أبي الحسن الثالث لأحمد بن إسحاق عند ما سأله بقوله من أُعامل؟ و عمّن آخذ؟ و قول من أقبل؟ 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 ما قال لك عنّي، فعنّي يقول، فاسمع له، و أطع فإنّه الثقة المأمون</w:t>
      </w:r>
      <w:r>
        <w:rPr>
          <w:rFonts w:eastAsia="Amiri" w:cs="Amiri" w:ascii="Amiri" w:hAnsi="Amiri"/>
          <w:color w:val="111111"/>
          <w:sz w:val="28"/>
          <w:szCs w:val="28"/>
          <w:rtl w:val="true"/>
          <w:lang w:bidi="ar-SA"/>
        </w:rPr>
        <w:t xml:space="preserve">«. </w:t>
      </w:r>
      <w:r>
        <w:rPr>
          <w:rStyle w:val="FootnoteAnchor"/>
          <w:rtl w:val="true"/>
        </w:rPr>
        <w:footnoteReference w:id="72"/>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الحوار الدائر بين الراوي و الإمام حاك عن أنّ الكبرى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حجّية قول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أمراً مسلّماً بينهما، و إنّما الكلام في الموارد و المصاديق، فقال الإمام انّ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انّه ليس على حجية قول الثقة إلاّ دليل واحد، و هو السيرة العقلائية فقط و سائر الأدلّة إرشاد إليها أو بيان لصغريات القاعدة لم يقل قولاً مجازفاً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سيرة الأصحاب على العمل بخبر الواحد دليلاً على الحجّية، و بما انّ سيرتهم كانت بمرأى و مسمع من الأئمّة، تكشف عن إمضائهم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الحقّ انّ سيرة أصحابنا لم تكن سيرة منقطعة عن سيرة العقلاء بل كانت متفرعة عنها، و بما انّ دليل الشيخ من أتقن الأدلة على حجّية قول الثقة نذكر عبارته في المقام،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وجدت الفرقة المحقّة مجمعة على العمل بهذه الأخبار التي رووها في تصانيفهم و دوّنوها في أُصولهم، لا يتناكرون ذلك و لا يتدافعونه حتى أنّ واحداً منهم إذا أفتى بشيء لا يعرفونه، سألوه من أين قلت هذا؟ فإذا أحالهم على كتاب معروف أو أصل مشهور، و كان راويه ثقة لا يُنكر حديثه، سكتوا و سلّموا الأمر في اللّه و قبلوا قوله، و هذه عادتهم و سجيّتهم من عهد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بعده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زمن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انتشر العلم عنه و كثرت الرواية من جهته، فلولا أنّ العمل بهذه الأخبار كان جائزاً لما أجمعوا على ذلك و لأنكروه، لأنّ إجماعهم فيه معصوم لا يجوز عليه الغلط و السهو</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و ان عبر في المقام بلفظ الإجماع الموهِم انّه استدلّ بالإجماع، و لكنّه في الحقيقة احتجاج بالسيرة العملية للأصحاب، المستمدة من السيرة العقلائية</w:t>
      </w:r>
      <w:r>
        <w:rPr>
          <w:rFonts w:eastAsia="Amiri" w:cs="Amiri" w:ascii="Amiri" w:hAnsi="Amiri"/>
          <w:color w:val="111111"/>
          <w:sz w:val="28"/>
          <w:szCs w:val="28"/>
          <w:rtl w:val="true"/>
          <w:lang w:bidi="ar-SA"/>
        </w:rPr>
        <w:t xml:space="preserve">.. </w:t>
      </w:r>
      <w:bookmarkStart w:id="99" w:name="pg14687_217179"/>
    </w:p>
    <w:p>
      <w:pPr>
        <w:pStyle w:val="Heading6"/>
        <w:numPr>
          <w:ilvl w:val="5"/>
          <w:numId w:val="1"/>
        </w:numPr>
        <w:rPr/>
      </w:pPr>
      <w:bookmarkStart w:id="100" w:name="__RefHeading___Toc3432930_1878427129"/>
      <w:bookmarkStart w:id="101" w:name="_Toc36"/>
      <w:bookmarkEnd w:id="99"/>
      <w:bookmarkEnd w:id="100"/>
      <w:r>
        <w:rPr>
          <w:rtl w:val="true"/>
        </w:rPr>
        <w:t>الحجّة هي الخبر الموثوق بصدوره</w:t>
      </w:r>
      <w:bookmarkEnd w:id="101"/>
    </w:p>
    <w:p>
      <w:pPr>
        <w:pStyle w:val="BookText"/>
        <w:rPr/>
      </w:pPr>
      <w:r>
        <w:rPr>
          <w:rFonts w:ascii="Amiri" w:hAnsi="Amiri" w:eastAsia="Amiri" w:cs="Amiri"/>
          <w:color w:val="111111"/>
          <w:sz w:val="28"/>
          <w:sz w:val="28"/>
          <w:szCs w:val="28"/>
          <w:rtl w:val="true"/>
          <w:lang w:bidi="ar-SA"/>
        </w:rPr>
        <w:t>إذا كانت السيرة هي الدليل الوحيد على حجّية قول الثقة، فاعلم أنّ عمل العقلاء بمفاده لأجل كون وثاقة الراوي مفيداً للاطمئنان بصدق الخبر و مطابقته للواقع، و ليست لوثاقته موضوعية في المقام حتى نتوقف عن العمل عند عدم إحراز وثاقة الراوي مع حصول الوثوق بصدور الرواية من قرائن أُخرى، وعليه فمناط الحجّية عند العقلاء هو الخبر الموثوق بصحته و صدوره لا خصوص كون الراوي ثقة، و لذلك لو كان المخبر ثقة لكن دلّت القرائن على عدم صدق الخبر لما عملوا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ذكرنا انّ موضوع الحجّية هو الخبر الموثوق بصدوره فيشمل الخبر الصحيح و الموثق و الحسن إذا كانت بمرحلة موروثة للاطمئنان، بل يشمل الضعيف إذا دلّت القرائن على صدقه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ما ذكرنا أشار الشيخ الأنصاري بعد بيان الأدلّة العقلية التي أُقيمت على حجّية الخبر الواحد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الإنصاف انّ الدال فيها لم يدلّ إلاّ على وجوب العمل بما يفيد الوثوق و الاطمئنان بمؤدّاه، و هو الذي فسّر به الصحيح في مصطلح القدماء </w:t>
      </w:r>
      <w:r>
        <w:rPr>
          <w:rStyle w:val="FootnoteAnchor"/>
          <w:rtl w:val="true"/>
        </w:rPr>
        <w:footnoteReference w:id="74"/>
      </w:r>
      <w:r>
        <w:rPr>
          <w:rFonts w:ascii="Amiri" w:hAnsi="Amiri" w:eastAsia="Amiri" w:cs="Amiri"/>
          <w:color w:val="111111"/>
          <w:sz w:val="28"/>
          <w:sz w:val="28"/>
          <w:szCs w:val="28"/>
          <w:rtl w:val="true"/>
          <w:lang w:bidi="ar-SA"/>
        </w:rPr>
        <w:t>و المعيار فيه أن يكون احتمال مخالفته للواقع بعيداً بحيث لا يعتني به العقلاء، و لا يكون عندهم موجباً للتحيّر و التردّد</w:t>
      </w:r>
      <w:r>
        <w:rPr>
          <w:rFonts w:eastAsia="Amiri" w:cs="Amiri" w:ascii="Amiri" w:hAnsi="Amiri"/>
          <w:color w:val="111111"/>
          <w:sz w:val="28"/>
          <w:szCs w:val="28"/>
          <w:rtl w:val="true"/>
          <w:lang w:bidi="ar-SA"/>
        </w:rPr>
        <w:t xml:space="preserve">. </w:t>
      </w:r>
      <w:r>
        <w:rPr>
          <w:rStyle w:val="FootnoteAnchor"/>
          <w:rtl w:val="true"/>
        </w:rPr>
        <w:footnoteReference w:id="75"/>
      </w:r>
      <w:bookmarkStart w:id="102" w:name="pg14687_217180"/>
    </w:p>
    <w:p>
      <w:pPr>
        <w:pStyle w:val="BookText"/>
        <w:rPr/>
      </w:pPr>
      <w:bookmarkEnd w:id="102"/>
      <w:r>
        <w:rPr>
          <w:rFonts w:ascii="Amiri" w:hAnsi="Amiri" w:eastAsia="Amiri" w:cs="Amiri"/>
          <w:color w:val="111111"/>
          <w:sz w:val="28"/>
          <w:sz w:val="28"/>
          <w:szCs w:val="28"/>
          <w:rtl w:val="true"/>
          <w:lang w:bidi="ar-SA"/>
        </w:rPr>
        <w:t>الأدلّة الظنّية</w:t>
      </w:r>
    </w:p>
    <w:p>
      <w:pPr>
        <w:pStyle w:val="Heading5"/>
        <w:numPr>
          <w:ilvl w:val="4"/>
          <w:numId w:val="1"/>
        </w:numPr>
        <w:rPr/>
      </w:pPr>
      <w:bookmarkStart w:id="103" w:name="__RefHeading___Toc3432932_1878427129"/>
      <w:bookmarkStart w:id="104" w:name="_Toc37"/>
      <w:bookmarkEnd w:id="103"/>
      <w:r>
        <w:rPr/>
        <w:t>2</w:t>
      </w:r>
      <w:r>
        <w:rPr>
          <w:rtl w:val="true"/>
        </w:rPr>
        <w:t xml:space="preserve">- </w:t>
      </w:r>
      <w:r>
        <w:rPr>
          <w:rtl w:val="true"/>
        </w:rPr>
        <w:t>الإجماع المنقول بخبر الواحد</w:t>
      </w:r>
      <w:bookmarkEnd w:id="104"/>
    </w:p>
    <w:p>
      <w:pPr>
        <w:pStyle w:val="BookText"/>
        <w:rPr/>
      </w:pPr>
      <w:r>
        <w:rPr>
          <w:rFonts w:ascii="Amiri" w:hAnsi="Amiri" w:eastAsia="Amiri" w:cs="Amiri"/>
          <w:color w:val="111111"/>
          <w:sz w:val="28"/>
          <w:sz w:val="28"/>
          <w:szCs w:val="28"/>
          <w:rtl w:val="true"/>
          <w:lang w:bidi="ar-SA"/>
        </w:rPr>
        <w:t>ينقسم الإجماع إلى محصَّل و منقول، فلو قام المجتهد بنفسه بتتبّع آراء العلماء في حكم واقعة و حصّل اتّفاقهم عليه فهو إجماع محصَّل، و أمّا إذا قام مجتهد آخر بهذا العمل و وقف على اتفاقهم على حكم في واقعة ثمّ نقله إلى غيره، فيكون هذا بالنسبة إلى المنقول إليه إجماعاً منقولاً و إن كان بالنسبة إلى الناقل إجماعاً محصَّلاً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وجه حجّية الإجماع المحصَّل، إنّما الكلام في حجّية الإجماع المحكي بخبر الثقة، و البحث في المقام منصبٌّ على أمر واحد و هل يشتمل دليل حجّية قول الثقة هذا المورد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عدمه، فلو قلنا بشموله له يكون الإجماع المنقول حجّة كالإجماع المحصّل بملاك واحد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ملاك حجّية الإجماع المحصل هو كشفه عن قول المعصوم أو عن حجّة معتبرة فلا يكون الإجماع المنقول حجّة إلاّ إذا بلغ بهذه المرتبة أي يكون كاشفاً عن قول المعصوم أو عن حجّة معتبرة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المشهور عدم حجّية الإجماع المنقول بخبر الواحد، بمعنى انّ أدلّة حجّية خبر الواحد لا يعمُّ المورد، و ذلك لأنّ قول الثقة إنّما يكون حجّة إذا أخبر عن قول المعصوم أو الحجّة المعتبرة عن حس لا عن حدس، كما إذا أخبر زرارة عن قول الإمام بالسماع عنه، و أمّا المقام فإنّ ناقل الإجماع و إن كان ينقل الاتفاق </w:t>
      </w:r>
    </w:p>
    <w:p>
      <w:pPr>
        <w:pStyle w:val="BookText"/>
        <w:rPr/>
      </w:pPr>
      <w:r>
        <w:rPr>
          <w:rFonts w:ascii="Amiri" w:hAnsi="Amiri" w:eastAsia="Amiri" w:cs="Amiri"/>
          <w:color w:val="111111"/>
          <w:sz w:val="28"/>
          <w:sz w:val="28"/>
          <w:szCs w:val="28"/>
          <w:rtl w:val="true"/>
          <w:lang w:bidi="ar-SA"/>
        </w:rPr>
        <w:t>عن حس لكنّه لا ينقل قول الإمام عن حس و إنّما ينقله عن حدس، و دليل حجّية قول الثقة لا يشمل ما ينقله المخبر لا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الإخبار عن حدس إذا كان مستنداً إلى الحس، الملازم للمخبر به عند الناقل و المنقول إليه، فهو حجّة، كما إذا أخبر عن الشجاعة و العدالة اللّتين هما من الأُمور النفسانية غير المحسوسة مستنداً إلى مشاهداته في ميدان القتال و تورّعه عن المحرّمات و المشتبهات، فليكن الإجماع المنقول بخبر الواحد من هذا النوع من الخبر فانّ الناقل و إن لم يخبر عن قول الإمام عن حس و إنّما يخبر عنه عن حدس لكن حدسه مستند إلى اتّفاق العلماء الذي هو أمر محسوس، و هو عند الناقل و المنقول إليه ملازم لوجود الدليل المعتبر للعلماء في إفتائهم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صحيح إذا بذل الناقل جهده لتحصيل مثل ذلك الاتّفاق الذي لا يفارق الحجّة و أنّى لأكثر الناقلين للإجماع هذا النوع من تحصيل الجهد، فإنّ غالب نَقَلَة الإجماع يتساهلون في نقل الإجماع، و ربما يكتفون في ادّعاء الإجماع بالعثور على فتوى جماعة قليلة من دون أن يكون هناك ملازمة بين الاتّفاق و الدليل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هو الحال في أغلب الإجماعات الدارجة على ألسن الفقهاء المتقدّمين و المتأخّرين، فلا يصحّ الاعتماد عليه إذ ليس هناك أيّة ملازمة بين السبب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الاتفاق الذي حصَّله الناقل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المسبب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المعصوم أو الدليل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الناقل ممّن لا يدّعي الإجماع إلاّ بعد تتبع تام في المصادر، و كانت المسألة من المسائل المعنونة في العصور السابقة يمكن الاعتماد على إخباره عن الإجماع الملازم لقول المعصوم أو الحجّة المعتبرة، و هو بين نقلة الإجماع نادر جدّاً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أقصى ما يمكن أن يقال انّ الإجماعات المنقولة تصدّ الفقيه عن التسرّع بالفتوى إلاّ بعد التتبع التام في كلمات العلماء لتُعرف مدى صحّة الإجماع</w:t>
      </w:r>
      <w:r>
        <w:rPr>
          <w:rFonts w:eastAsia="Amiri" w:cs="Amiri" w:ascii="Amiri" w:hAnsi="Amiri"/>
          <w:color w:val="111111"/>
          <w:sz w:val="28"/>
          <w:szCs w:val="28"/>
          <w:rtl w:val="true"/>
          <w:lang w:bidi="ar-SA"/>
        </w:rPr>
        <w:t xml:space="preserve">. </w:t>
      </w:r>
      <w:bookmarkStart w:id="105" w:name="pg14687_217182"/>
    </w:p>
    <w:p>
      <w:pPr>
        <w:pStyle w:val="BookText"/>
        <w:rPr/>
      </w:pPr>
      <w:bookmarkEnd w:id="105"/>
      <w:r>
        <w:rPr>
          <w:rFonts w:ascii="Amiri" w:hAnsi="Amiri" w:eastAsia="Amiri" w:cs="Amiri"/>
          <w:color w:val="111111"/>
          <w:sz w:val="28"/>
          <w:sz w:val="28"/>
          <w:szCs w:val="28"/>
          <w:rtl w:val="true"/>
          <w:lang w:bidi="ar-SA"/>
        </w:rPr>
        <w:t>الأدلّة الظنّية</w:t>
      </w:r>
    </w:p>
    <w:p>
      <w:pPr>
        <w:pStyle w:val="Heading5"/>
        <w:numPr>
          <w:ilvl w:val="4"/>
          <w:numId w:val="1"/>
        </w:numPr>
        <w:rPr/>
      </w:pPr>
      <w:bookmarkStart w:id="106" w:name="__RefHeading___Toc3432934_1878427129"/>
      <w:bookmarkStart w:id="107" w:name="_Toc38"/>
      <w:bookmarkEnd w:id="106"/>
      <w:r>
        <w:rPr/>
        <w:t>3</w:t>
      </w:r>
      <w:r>
        <w:rPr>
          <w:rtl w:val="true"/>
        </w:rPr>
        <w:t xml:space="preserve">- </w:t>
      </w:r>
      <w:r>
        <w:rPr>
          <w:rtl w:val="true"/>
        </w:rPr>
        <w:t>الشهرة الفتوائيّة</w:t>
      </w:r>
      <w:bookmarkEnd w:id="107"/>
    </w:p>
    <w:p>
      <w:pPr>
        <w:pStyle w:val="BookText"/>
        <w:rPr/>
      </w:pPr>
      <w:r>
        <w:rPr>
          <w:rFonts w:ascii="Amiri" w:hAnsi="Amiri" w:eastAsia="Amiri" w:cs="Amiri"/>
          <w:color w:val="111111"/>
          <w:sz w:val="28"/>
          <w:sz w:val="28"/>
          <w:szCs w:val="28"/>
          <w:rtl w:val="true"/>
          <w:lang w:bidi="ar-SA"/>
        </w:rPr>
        <w:t>إنّ الشهرة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الروائيّة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فهي الرواية التي اشتهر نقلها بين المحدِّثين و كثرت رواتها، كالأحاديث الواردة في نفي التجسيم و التشبيه و نفي الجبر و التفويض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يقابلها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الخبر المشهور إنّما يكون معبِّراً عن الحكم الشرعي فيما إذا أفتى الفقهاء على وفقه، و أمّا إذا رواه المحدّثون و لكن أعرض عنه الفقهاء، فهذه الشهرة موهنة لا جابرة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 فهي الرواية التي عمل بها مشهور الفقهاء و أفتوا على ضوئها، فهذه الشهرة تورث الاطمئنان، و تسكن إليها النفس، و هي التي يصفها الإمام في مقبولة عمر بن حنظلة الّتي وردت في علاج الخبرين المتعارضين اللّذين أخذ بكلّ واحد منهما أحد الحكَمين في مقام فصل الخصومات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يُنظرُ إلى ما كان من روايتهما عنّا في ذلك الذي حكما به، المجمعَ عليه عند أصحابك فيُؤخذ به من </w:t>
      </w:r>
    </w:p>
    <w:p>
      <w:pPr>
        <w:pStyle w:val="BookText"/>
        <w:rPr/>
      </w:pPr>
      <w:r>
        <w:rPr>
          <w:rFonts w:ascii="Amiri" w:hAnsi="Amiri" w:eastAsia="Amiri" w:cs="Amiri"/>
          <w:color w:val="111111"/>
          <w:sz w:val="28"/>
          <w:sz w:val="28"/>
          <w:szCs w:val="28"/>
          <w:rtl w:val="true"/>
          <w:lang w:bidi="ar-SA"/>
        </w:rPr>
        <w:t>حُكْمنا، و يترك الشاذ الذي ليس بمشهور عند أصحابك</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و على ضوء ذلك فالشهرة العملية تكون سبباً لتقديم الخبر المعمول به على المتروك الشاذّ الذي لم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يكون عمل الأصحاب المتقدّمين بالرواية جابراً لضعف سندها و إن لم يكن لها معارض؟ ذهب المشهور إلى أنّه جابر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الجابر للضعف هو عمل المتقدّمين من الفقهاء الذين عاصروا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كانوا في الغيبة الصغرى، أو بعدها بقليل كوالد الصدوق و ولده و المفيد و غيرهم، و أمّا المتأخّرون فلا عبرة بعملهم و لا إعراضهم، و قد أوضحنا ذلك في محاضراتنا</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أمّا الثالثة، فهي عبارة عن اشتهار الفتوى في مسألة لم ترد فيها رواية و هي التي عقدنا البحث لأجله، مثلاً إذا اتّفق المتقدّمون على حكم في مورد، و لم نجد فيه نصاً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 الكلام في حجّية تلك الشهرة الفتوائية و عدمها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حجّية مثل هذه الشهرة، لأنّها تكشف عن وجود نص معتبر وصل إليهم و لم يصل إلينا حتى دعاهم إلى الإفتاء على ضوئه، إذ من البعيد أن يُفتي أقطاب الفقه بشيء بلا مستند شرعي و دليل معتدّ به، و قد حكى سيد مشايخنا المحقّق البروجردي في درسه الشريف أنّ في الفقه الإمامي مسائل كثيرة تلقّاها الأصحاب قديماً و حديثاً بالقبول، و ليس لها دليل إلاّ الشهرة الفتوائية بين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القدماء، بحيث لو حذفنا الشهرة عن عداد الأدلّة، لأصبحت تلك المسائل فتاوى فارغة مجرّدة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غير واحد من الروايات أنّ أصحاب أئمّة أهل البيت كانوا يقيمون وزناً للشهرة الفتوائية السائدة بينهم و يقدّمونها على نفس الرواية التي سمعوها من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لنأت بنموذج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عبد اللّه بن محرز بيّاع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رجل و ترك خمسمائة درهم أو ستمائة درهم، و ترك ابنة،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عصبة بالشّام، فسألت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الابنة النصف، و العصبة النصف الآخر، فلمّا قدمت الكوفة أخبرت أصحابنا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فأعطيت الابنة النصف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حججت فلقيت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فأخبرته بما قال أصحابنا و أخبرته أنّي دفعت النصف الآخر إلى الابنة،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إنّما أفتيتك مخالفة العصبة عليك</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توضيح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توفّي الأب و لم يكن له وارث سوى البنت، فالمال كلّه لها، غاية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النصف الأوّل فرضاً و النصف الآخر ردّاً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أهل السنّة يورّثون البنت في النصف و العصبةَ في النصف الآخر، و قد كان حكم الإمام في اللقاء الأوّل بما يوافق فتوى العامة، و لمّا وقف الراوي على أنّ المشهور بين أصحاب الإمام غير ما سمعه ترك قول الإمام و عمل بما هو المشهور عند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أنّ للشهرة الفتوائية قيمة علمية لما عمل الراوي بقول الأصحاب، و هذا يدلّ على أنّه كانت للشهرة الفتوائية يومذاك مكانة عالية إلى حدّ ترك الراوي القولَ الذي سمعه من الإمام و قد أخبر الإمام عند وفد إليه في العام القادم و هو عليه صحّح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8" w:name="pg14687_217185"/>
    </w:p>
    <w:p>
      <w:pPr>
        <w:pStyle w:val="BookText"/>
        <w:rPr/>
      </w:pPr>
      <w:bookmarkEnd w:id="108"/>
      <w:r>
        <w:rPr>
          <w:rFonts w:ascii="Amiri" w:hAnsi="Amiri" w:eastAsia="Amiri" w:cs="Amiri"/>
          <w:color w:val="111111"/>
          <w:sz w:val="28"/>
          <w:sz w:val="28"/>
          <w:szCs w:val="28"/>
          <w:rtl w:val="true"/>
          <w:lang w:bidi="ar-SA"/>
        </w:rPr>
        <w:t>الأدلّة الظنّية</w:t>
      </w:r>
    </w:p>
    <w:p>
      <w:pPr>
        <w:pStyle w:val="Heading5"/>
        <w:numPr>
          <w:ilvl w:val="4"/>
          <w:numId w:val="1"/>
        </w:numPr>
        <w:rPr/>
      </w:pPr>
      <w:bookmarkStart w:id="109" w:name="__RefHeading___Toc3432936_1878427129"/>
      <w:bookmarkStart w:id="110" w:name="_Toc39"/>
      <w:bookmarkEnd w:id="109"/>
      <w:r>
        <w:rPr/>
        <w:t>4</w:t>
      </w:r>
      <w:r>
        <w:rPr>
          <w:rtl w:val="true"/>
        </w:rPr>
        <w:t xml:space="preserve">- </w:t>
      </w:r>
      <w:r>
        <w:rPr>
          <w:rtl w:val="true"/>
        </w:rPr>
        <w:t>حجّية قول اللغوي</w:t>
      </w:r>
      <w:bookmarkEnd w:id="110"/>
    </w:p>
    <w:p>
      <w:pPr>
        <w:pStyle w:val="BookText"/>
        <w:rPr/>
      </w:pPr>
      <w:r>
        <w:rPr>
          <w:rFonts w:ascii="Amiri" w:hAnsi="Amiri" w:eastAsia="Amiri" w:cs="Amiri"/>
          <w:color w:val="111111"/>
          <w:sz w:val="28"/>
          <w:sz w:val="28"/>
          <w:szCs w:val="28"/>
          <w:rtl w:val="true"/>
          <w:lang w:bidi="ar-SA"/>
        </w:rPr>
        <w:t>إنّ لتمييز الموضوع له عن غيره طرقاً قد تقدّم بعضها في الجزء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التبادر و صحّة الحمل و الاطراد و قول اللغويّ، و الكلام في المقام في حجّية الأخير في تعيين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القول بالحجّية، فهل هو حجّة من باب الشهادة و انّ اللغوي يشهد انّ العرب تستعمل ذلك اللفظ في هذا المعنى؟ أو حجّة من باب حجّية أهل الخبرة كالمقوم؟ فيها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 إلى أنّ قوله حجّة من باب الشهادة، فيعتبر فيه التعدّد و العدالة و اخباره عن 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بأنّه حجّة من باب حجّية قول أهل الخبرة، كالمقوّم و الطبيب، فتشمله أدلّة حجّية قول أهل الخبرة، فلا تعتبر فيه العدالة و التعدّد، بل يكفي الوثوق بقوله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يستدلّ للقول الأوّل بأنّ تعيين معاني الألفاظ من قبيل الأُمور الحسية التي لا دخل للنظر و الرأي فيها، لأنّ اللغوي ينقلها على ما وجده في الاستعمالات و المحاورات، و ليس له إعمال النظر و الرأي، فيكون داخلاً في باب الشهادة و تشمله أدلّة الشهادة، و يعتبر فيها العدالة و التعدّد على قول المشهور</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إخباره عن موارد الاستعمال فضلاً عن إخباره عن المعنى الحقيقي في مقابل المعنى المجازيّ ليس مجرداً عن إعمال النظر و الاجتهاد، بل هو مزيج بالحدس، و يدلّ على ذلك انّ أصحاب المعاجم يستشهدون على إثبات مقاصدهم بالآيات و الأحاديث النبوية و الأشعار، فيستخرجون موارد الاستعمال ببركة الإمعان فيها، فالجلُّ لو لا الكل مزيج بالاجتهاد و يتّضح ذلك لمن سَبَرَ كتب اللغة، فالحق حجّية قولهم من باب انّهم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على هذا القول بعدم حجّية هذه السيرة، لعدم وجودها في زمان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الرجوع إلى كتب اللغويين أمر حادث</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هذه السيرة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الرجوع إلى أئمّة اللغة و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عصر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هو الخليل بن أحمد الفراهيدي من أصحاب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أدرك عصر الإمام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ألّف كتابه العين ليرجع إليه الناس، و قد توفّي عام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ه، و كان مرجعاً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الأصمعي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المرجع في اللغة و الأدب، و كان الناس يسألونه عن معاني الألفاظ، و قد سئل يوماً عن الألمعيّ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الألمعيّ الذي يظن بك الظن كأن قد رأى و قد سمعا</w:t>
      </w:r>
    </w:p>
    <w:p>
      <w:pPr>
        <w:pStyle w:val="BookText"/>
        <w:rPr/>
      </w:pPr>
      <w:r>
        <w:rPr>
          <w:rFonts w:ascii="Amiri" w:hAnsi="Amiri" w:eastAsia="Amiri" w:cs="Amiri"/>
          <w:color w:val="111111"/>
          <w:sz w:val="28"/>
          <w:sz w:val="28"/>
          <w:szCs w:val="28"/>
          <w:rtl w:val="true"/>
          <w:lang w:bidi="ar-SA"/>
        </w:rPr>
        <w:t>و كان ابن عباس المرجعَ الكبير في تفسير لغات القرآن، و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ديوان العرب، فإذا خفي علينا الحرف من القرآن الذي أنزله بلغة العرب رجعنا إلى ديوانه، فالتمسنا معرفة ذلك منه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سألتموني عن غريب القرآن، فالتمسوه في الشعر، فإنّ الشعر ديوان العرب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يُسأل عن القرآن فينشد فيه بالشعر، و قد سأله نافع بن الأزرق عن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لغات القرآن ما يربو على مائة و سبعين سؤالاً، فأجابه مستشهداً بشعر العرب، و هو يعرب عن إحاطة ابن عباس بشعر العرب و موارد استعماله، و قد نقلها 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الإتقان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هذا إذا قلنا بحجية قول اللغوي و أمّا إذا لم نقل بحجيّة قوله </w:t>
      </w:r>
      <w:r>
        <w:rPr>
          <w:rStyle w:val="FootnoteAnchor"/>
          <w:rtl w:val="true"/>
        </w:rPr>
        <w:footnoteReference w:id="82"/>
      </w:r>
      <w:r>
        <w:rPr>
          <w:rFonts w:ascii="Amiri" w:hAnsi="Amiri" w:eastAsia="Amiri" w:cs="Amiri"/>
          <w:color w:val="111111"/>
          <w:sz w:val="28"/>
          <w:sz w:val="28"/>
          <w:szCs w:val="28"/>
          <w:rtl w:val="true"/>
          <w:lang w:bidi="ar-SA"/>
        </w:rPr>
        <w:t>، فليس للفقيه أيضاً غنى عن الرجوع إلى المعاجم، و ذلك لأنّ هناك ألفاظاً فقهية معلومة إجمالاً، لكنّها مجهولة من حيث الشروط و القيود فلا تفهم إلاّ بالرجوع إلى المعاجم المعتبرة لاستظهار الحقيقة منها بالدقة و الإمعان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 اللغوي الواحد حجّة، بل أقول إنّ الرجوع إلى المعاجم المختلفة المعتبرة و الدقّة في كلماتهم و ضرب بعضها على بعض، يورث الاطمئنان و يزيح الستار عن وجه الواقع،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الفقهاء في معنى القمار و المقامرة و انّه هل يعتبر فيهما العوض أو لا؟ و هل يعتبر فيه الآلة المتعارفة أو لا؟ و لا يعلم ذلك إلاّ بعد مراجعة اللغات الأصلية حتّى يحصل الاطمئنان بواحد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البحث في الأدلّة الظنّية الّتي قامت على حجّيتها أدلّة قطعية، فيبقى البحث في العرف و السيرة، و قد تطرّقنا إليها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الكفاية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هناك ظنوناً غير معتبرة عندنا و معتبرة عند أهل السنّة نتناولها بالبحث لمسيس الحاجة إلى الوقوف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11" w:name="pg14687_217188"/>
    </w:p>
    <w:p>
      <w:pPr>
        <w:pStyle w:val="Heading4"/>
        <w:numPr>
          <w:ilvl w:val="3"/>
          <w:numId w:val="1"/>
        </w:numPr>
        <w:rPr/>
      </w:pPr>
      <w:bookmarkStart w:id="112" w:name="__RefHeading___Toc3432938_1878427129"/>
      <w:bookmarkStart w:id="113" w:name="_Toc40"/>
      <w:bookmarkEnd w:id="111"/>
      <w:bookmarkEnd w:id="112"/>
      <w:r>
        <w:rPr>
          <w:rtl w:val="true"/>
        </w:rPr>
        <w:t>الظنون غير المعتبرة</w:t>
      </w:r>
      <w:bookmarkEnd w:id="113"/>
    </w:p>
    <w:p>
      <w:pPr>
        <w:pStyle w:val="Heading5"/>
        <w:numPr>
          <w:ilvl w:val="4"/>
          <w:numId w:val="1"/>
        </w:numPr>
        <w:rPr/>
      </w:pPr>
      <w:bookmarkStart w:id="114" w:name="__RefHeading___Toc3432940_1878427129"/>
      <w:bookmarkStart w:id="115" w:name="_Toc41"/>
      <w:bookmarkEnd w:id="114"/>
      <w:r>
        <w:rPr>
          <w:rtl w:val="true"/>
        </w:rPr>
        <w:t>اشارة</w:t>
      </w:r>
      <w:bookmarkEnd w:id="1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القياس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الاستحسان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الاستصلاح أو المصالح المرسلة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 الذرائع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الذرائع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الصحابي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المدينة</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 w:name="pg14687_217190"/>
      <w:bookmarkStart w:id="117" w:name="pg14687_217190"/>
      <w:bookmarkEnd w:id="117"/>
    </w:p>
    <w:p>
      <w:pPr>
        <w:pStyle w:val="BookText"/>
        <w:rPr/>
      </w:pPr>
      <w:bookmarkStart w:id="118" w:name="pg14687_217190"/>
      <w:bookmarkEnd w:id="118"/>
      <w:r>
        <w:rPr>
          <w:rFonts w:ascii="Amiri" w:hAnsi="Amiri" w:eastAsia="Amiri" w:cs="Amiri"/>
          <w:color w:val="111111"/>
          <w:sz w:val="28"/>
          <w:sz w:val="28"/>
          <w:szCs w:val="28"/>
          <w:rtl w:val="true"/>
          <w:lang w:bidi="ar-SA"/>
        </w:rPr>
        <w:t>الظنون غير المعتبرة تنقسم الظنون عندنا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و قد مضى الكلام فيها و غير معتبرة عندنا، و معتبرة عند أكثر أهل السنّة، و هي عبارة عن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القياس، الاستحسان، الاستصلاح، سد الذرائع، الحيل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الذرائع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قول الصحابي، إجماع أهل المدينة، فلنأخذ كلّ واحد بالبحث على حدة</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432942_1878427129"/>
      <w:bookmarkStart w:id="120" w:name="_Toc42"/>
      <w:bookmarkEnd w:id="119"/>
      <w:r>
        <w:rPr/>
        <w:t>1</w:t>
      </w:r>
      <w:r>
        <w:rPr>
          <w:rtl w:val="true"/>
        </w:rPr>
        <w:t xml:space="preserve">. </w:t>
      </w:r>
      <w:r>
        <w:rPr>
          <w:rtl w:val="true"/>
        </w:rPr>
        <w:t>القياس</w:t>
      </w:r>
      <w:bookmarkEnd w:id="120"/>
    </w:p>
    <w:p>
      <w:pPr>
        <w:pStyle w:val="Heading6"/>
        <w:numPr>
          <w:ilvl w:val="5"/>
          <w:numId w:val="1"/>
        </w:numPr>
        <w:rPr/>
      </w:pPr>
      <w:bookmarkStart w:id="121" w:name="__RefHeading___Toc3432944_1878427129"/>
      <w:bookmarkStart w:id="122" w:name="_Toc43"/>
      <w:bookmarkEnd w:id="121"/>
      <w:r>
        <w:rPr>
          <w:rtl w:val="true"/>
        </w:rPr>
        <w:t>و لنقدم أُموراً</w:t>
      </w:r>
      <w:r>
        <w:rPr>
          <w:rtl w:val="true"/>
        </w:rPr>
        <w:t>:</w:t>
      </w:r>
      <w:bookmarkEnd w:id="122"/>
    </w:p>
    <w:p>
      <w:pPr>
        <w:pStyle w:val="Heading6"/>
        <w:numPr>
          <w:ilvl w:val="5"/>
          <w:numId w:val="1"/>
        </w:numPr>
        <w:rPr/>
      </w:pPr>
      <w:bookmarkStart w:id="123" w:name="__RefHeading___Toc3432946_1878427129"/>
      <w:bookmarkStart w:id="124" w:name="_Toc44"/>
      <w:bookmarkEnd w:id="123"/>
      <w:r>
        <w:rPr>
          <w:rtl w:val="true"/>
        </w:rPr>
        <w:t>الأمر الأوّل</w:t>
      </w:r>
      <w:r>
        <w:rPr>
          <w:rtl w:val="true"/>
        </w:rPr>
        <w:t xml:space="preserve">: </w:t>
      </w:r>
      <w:r>
        <w:rPr>
          <w:rtl w:val="true"/>
        </w:rPr>
        <w:t>حقيقة القياس</w:t>
      </w:r>
      <w:bookmarkEnd w:id="124"/>
    </w:p>
    <w:p>
      <w:pPr>
        <w:pStyle w:val="BookText"/>
        <w:rPr/>
      </w:pPr>
      <w:r>
        <w:rPr>
          <w:rFonts w:ascii="Amiri" w:hAnsi="Amiri" w:eastAsia="Amiri" w:cs="Amiri"/>
          <w:color w:val="111111"/>
          <w:sz w:val="28"/>
          <w:sz w:val="28"/>
          <w:szCs w:val="28"/>
          <w:rtl w:val="true"/>
          <w:lang w:bidi="ar-SA"/>
        </w:rPr>
        <w:t>القياس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التسوية، يقال قاس هذا بهذا أي سوّى بينهما، 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بآل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الأُمّة أحد</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أي لا يُسوّى بهم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استنباط حكم واقعة لم يرد فيها نصٌّ، عن حكم واقعة ورد فيها نصٌّ، لتساويهما في علّة الحكم، و مناطه و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أركان القياس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المقيس عليه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المقيس</w:t>
      </w:r>
      <w:r>
        <w:rPr>
          <w:rFonts w:eastAsia="Amiri" w:cs="Amiri" w:ascii="Amiri" w:hAnsi="Amiri"/>
          <w:color w:val="111111"/>
          <w:sz w:val="28"/>
          <w:szCs w:val="28"/>
          <w:rtl w:val="true"/>
          <w:lang w:bidi="ar-SA"/>
        </w:rPr>
        <w:t xml:space="preserve">. </w:t>
      </w:r>
      <w:bookmarkStart w:id="125" w:name="pg14687_217191"/>
    </w:p>
    <w:p>
      <w:pPr>
        <w:pStyle w:val="BookText"/>
        <w:rPr/>
      </w:pPr>
      <w:bookmarkEnd w:id="125"/>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يحكم به على الثاني بعد الحكم به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الوصف الجامع، الذي يجمع بين المقيس و المقيس عليه، و يكون هو السبب للقياس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قال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الخمر حرام لكونه مسكراً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شككنا في حكم سائر السوائل المسكرة كالنبيذ و الفقاع يحكم عليهما بالحرمة، لاشتراكهما مع الخمر في الجهة الجامعة</w:t>
      </w:r>
      <w:r>
        <w:rPr>
          <w:rFonts w:eastAsia="Amiri" w:cs="Amiri" w:ascii="Amiri" w:hAnsi="Amiri"/>
          <w:color w:val="111111"/>
          <w:sz w:val="28"/>
          <w:szCs w:val="28"/>
          <w:rtl w:val="true"/>
          <w:lang w:bidi="ar-SA"/>
        </w:rPr>
        <w:t>.</w:t>
      </w:r>
    </w:p>
    <w:p>
      <w:pPr>
        <w:pStyle w:val="Heading6"/>
        <w:numPr>
          <w:ilvl w:val="5"/>
          <w:numId w:val="1"/>
        </w:numPr>
        <w:rPr/>
      </w:pPr>
      <w:bookmarkStart w:id="126" w:name="__RefHeading___Toc3432948_1878427129"/>
      <w:bookmarkStart w:id="127" w:name="_Toc45"/>
      <w:bookmarkEnd w:id="126"/>
      <w:r>
        <w:rPr>
          <w:rtl w:val="true"/>
        </w:rPr>
        <w:t>الأمر الثاني</w:t>
      </w:r>
      <w:r>
        <w:rPr>
          <w:rtl w:val="true"/>
        </w:rPr>
        <w:t xml:space="preserve">: </w:t>
      </w:r>
      <w:r>
        <w:rPr>
          <w:rtl w:val="true"/>
        </w:rPr>
        <w:t>أقسام القياس</w:t>
      </w:r>
      <w:bookmarkEnd w:id="127"/>
    </w:p>
    <w:p>
      <w:pPr>
        <w:pStyle w:val="BookText"/>
        <w:rPr/>
      </w:pPr>
      <w:r>
        <w:rPr>
          <w:rFonts w:ascii="Amiri" w:hAnsi="Amiri" w:eastAsia="Amiri" w:cs="Amiri"/>
          <w:color w:val="111111"/>
          <w:sz w:val="28"/>
          <w:sz w:val="28"/>
          <w:szCs w:val="28"/>
          <w:rtl w:val="true"/>
          <w:lang w:bidi="ar-SA"/>
        </w:rPr>
        <w:t>إنّ القياس ينقسم إلى منصوص العلّة، و مستنبطها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فيما إذا نصَّ الشارع على علّة الحكم و ملاكه على وجه علم أنّها علّة الحكم الّتي يدور الحكم مدارها لا حكمته التي ربّما يتخلّف الحكم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فيما إذا لم يكن هناك تنصيص من الشارع عليها، و إنّما قام الفقيه باستخراج علّة الحكم بفكره و جهده، فيطلق على هذا النوع من القياس، مستنبط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ينقسم مستنبط العلّة إلى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يصل الفقيه إلى حدّ القطع بأنّ ما استخرجه علّة الحكم و مناطه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لا يصل إلاّ إلى حدّ الظن بكونه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سيوافيك حكم القسمين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تنقيح المناط</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قلّما يتّفق لإنسان عادي أن يقطع بأنّ ما وصل إليه من العلّة هو علّة التشريع و مناطه واقعاً، و أنّه ليس هناك ضمائم أُخرى وراء ما أدرك</w:t>
      </w:r>
      <w:r>
        <w:rPr>
          <w:rFonts w:eastAsia="Amiri" w:cs="Amiri" w:ascii="Amiri" w:hAnsi="Amiri"/>
          <w:color w:val="111111"/>
          <w:sz w:val="28"/>
          <w:szCs w:val="28"/>
          <w:rtl w:val="true"/>
          <w:lang w:bidi="ar-SA"/>
        </w:rPr>
        <w:t xml:space="preserve">. </w:t>
      </w:r>
      <w:bookmarkStart w:id="128" w:name="pg14687_217192"/>
    </w:p>
    <w:p>
      <w:pPr>
        <w:pStyle w:val="Heading6"/>
        <w:numPr>
          <w:ilvl w:val="5"/>
          <w:numId w:val="1"/>
        </w:numPr>
        <w:rPr/>
      </w:pPr>
      <w:bookmarkStart w:id="129" w:name="__RefHeading___Toc3432950_1878427129"/>
      <w:bookmarkStart w:id="130" w:name="_Toc46"/>
      <w:bookmarkEnd w:id="128"/>
      <w:bookmarkEnd w:id="129"/>
      <w:r>
        <w:rPr>
          <w:rtl w:val="true"/>
        </w:rPr>
        <w:t>الأمر الثالث</w:t>
      </w:r>
      <w:r>
        <w:rPr>
          <w:rtl w:val="true"/>
        </w:rPr>
        <w:t xml:space="preserve">: </w:t>
      </w:r>
      <w:r>
        <w:rPr>
          <w:rtl w:val="true"/>
        </w:rPr>
        <w:t>الفرق بين علّة الحكم و حكمته</w:t>
      </w:r>
      <w:bookmarkEnd w:id="130"/>
    </w:p>
    <w:p>
      <w:pPr>
        <w:pStyle w:val="BookText"/>
        <w:rPr/>
      </w:pPr>
      <w:r>
        <w:rPr>
          <w:rFonts w:ascii="Amiri" w:hAnsi="Amiri" w:eastAsia="Amiri" w:cs="Amiri"/>
          <w:color w:val="111111"/>
          <w:sz w:val="28"/>
          <w:sz w:val="28"/>
          <w:szCs w:val="28"/>
          <w:rtl w:val="true"/>
          <w:lang w:bidi="ar-SA"/>
        </w:rPr>
        <w:t>الفرق بين علّة الحكم و حكمته، هو أنّ الحكم لو كان دائراً مدار الشيء وجوداً و عدماً، فهو علّة الحكمِ و مناطه، كالإسكار بالنسبة إلى الخمر، و امّا إذا كان الحكم أوسع ممّا ذُكر في النصّ، أو اسْتُنْبِطَ، فهو من حِكَم الأحكام و مصالحه، لا من مناطاته و ملاكاته، فمثلاً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الإنجاب و تكوين الأُسرة من فوائد النكاح و مصالحه، و ليس من مناطاته و ملاكاته، بشهادة أنّه يجوز تزويج المرأة العقيمة و اليائسة و من لا تطلب ولداً بالعزل، و غير ذلك من أقسام النكاح</w:t>
      </w:r>
      <w:r>
        <w:rPr>
          <w:rFonts w:eastAsia="Amiri" w:cs="Amiri" w:ascii="Amiri" w:hAnsi="Amiri"/>
          <w:color w:val="111111"/>
          <w:sz w:val="28"/>
          <w:szCs w:val="28"/>
          <w:rtl w:val="true"/>
          <w:lang w:bidi="ar-SA"/>
        </w:rPr>
        <w:t>.</w:t>
      </w:r>
    </w:p>
    <w:p>
      <w:pPr>
        <w:pStyle w:val="Heading6"/>
        <w:numPr>
          <w:ilvl w:val="5"/>
          <w:numId w:val="1"/>
        </w:numPr>
        <w:rPr/>
      </w:pPr>
      <w:bookmarkStart w:id="131" w:name="__RefHeading___Toc3432952_1878427129"/>
      <w:bookmarkStart w:id="132" w:name="_Toc47"/>
      <w:bookmarkEnd w:id="131"/>
      <w:r>
        <w:rPr>
          <w:rtl w:val="true"/>
        </w:rPr>
        <w:t>الأمر الرابع</w:t>
      </w:r>
      <w:r>
        <w:rPr>
          <w:rtl w:val="true"/>
        </w:rPr>
        <w:t xml:space="preserve">: </w:t>
      </w:r>
      <w:r>
        <w:rPr>
          <w:rtl w:val="true"/>
        </w:rPr>
        <w:t>القياس في منصوص العلّة</w:t>
      </w:r>
      <w:bookmarkEnd w:id="132"/>
    </w:p>
    <w:p>
      <w:pPr>
        <w:pStyle w:val="BookText"/>
        <w:rPr/>
      </w:pPr>
      <w:r>
        <w:rPr>
          <w:rFonts w:ascii="Amiri" w:hAnsi="Amiri" w:eastAsia="Amiri" w:cs="Amiri"/>
          <w:color w:val="111111"/>
          <w:sz w:val="28"/>
          <w:sz w:val="28"/>
          <w:szCs w:val="28"/>
          <w:rtl w:val="true"/>
          <w:lang w:bidi="ar-SA"/>
        </w:rPr>
        <w:t>العمل بالقياس في منصوص العلّة راجع في الحقيقة إلى العمل بالسنّة، لا بالقياس، لأنّ الشارع شرّع ضابطة كلّية عند التعليل، فنسير على ضوئها في جميع الموارد التي تمتلك تلك العلّة، كما في قول الإمام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صحيحة محمد بن إسماعيل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البئر واسع لا يفسده شيء، إلاّ أن يتغيّر ريحه أو طعمه فينزح حتى يذهب الريح، و يطيب طعمه، لأنّ له مادة</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له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يفسده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حجّة في غير ماء البئر، لانّه يشمل بعمومه ماء البئر، و ماء الحمام، و العيون و حنفية الخزّان و غيرها، فلا ينجس الماء إذا كانت له مادّة، و عندئذ يكون العمل بظاهر السنّة لا بالقياس، فليس هناك أصل و لا فرع و لا انتقال من حكم الأصل إلى الفرع، بل موضوع الحكم هو العلّة، و الفروع بأجمعها داخلة تحتها</w:t>
      </w:r>
      <w:r>
        <w:rPr>
          <w:rFonts w:eastAsia="Amiri" w:cs="Amiri" w:ascii="Amiri" w:hAnsi="Amiri"/>
          <w:color w:val="111111"/>
          <w:sz w:val="28"/>
          <w:szCs w:val="28"/>
          <w:rtl w:val="true"/>
          <w:lang w:bidi="ar-SA"/>
        </w:rPr>
        <w:t xml:space="preserve">. </w:t>
      </w:r>
      <w:bookmarkStart w:id="133" w:name="pg14687_217193"/>
    </w:p>
    <w:p>
      <w:pPr>
        <w:pStyle w:val="Heading6"/>
        <w:numPr>
          <w:ilvl w:val="5"/>
          <w:numId w:val="1"/>
        </w:numPr>
        <w:rPr/>
      </w:pPr>
      <w:bookmarkStart w:id="134" w:name="__RefHeading___Toc3432954_1878427129"/>
      <w:bookmarkStart w:id="135" w:name="_Toc48"/>
      <w:bookmarkEnd w:id="133"/>
      <w:bookmarkEnd w:id="134"/>
      <w:r>
        <w:rPr>
          <w:rtl w:val="true"/>
        </w:rPr>
        <w:t>الأمر الخامس</w:t>
      </w:r>
      <w:r>
        <w:rPr>
          <w:rtl w:val="true"/>
        </w:rPr>
        <w:t xml:space="preserve">: </w:t>
      </w:r>
      <w:r>
        <w:rPr>
          <w:rtl w:val="true"/>
        </w:rPr>
        <w:t>قياس الأولوية</w:t>
      </w:r>
      <w:bookmarkEnd w:id="135"/>
    </w:p>
    <w:p>
      <w:pPr>
        <w:pStyle w:val="BookText"/>
        <w:rPr/>
      </w:pPr>
      <w:r>
        <w:rPr>
          <w:rFonts w:ascii="Amiri" w:hAnsi="Amiri" w:eastAsia="Amiri" w:cs="Amiri"/>
          <w:color w:val="111111"/>
          <w:sz w:val="28"/>
          <w:sz w:val="28"/>
          <w:szCs w:val="28"/>
          <w:rtl w:val="true"/>
          <w:lang w:bidi="ar-SA"/>
        </w:rPr>
        <w:t>القياس الأولوي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عبارة عن كونِ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بالحكم من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العرف، مثل دلالة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تَقُلْ لَهُما أُفٍّ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
      </w:r>
      <w:r>
        <w:rPr>
          <w:rFonts w:ascii="Amiri" w:hAnsi="Amiri" w:eastAsia="Amiri" w:cs="Amiri"/>
          <w:color w:val="111111"/>
          <w:sz w:val="28"/>
          <w:sz w:val="28"/>
          <w:szCs w:val="28"/>
          <w:rtl w:val="true"/>
          <w:lang w:bidi="ar-SA"/>
        </w:rPr>
        <w:t>على تحريم الضرب، و لا شكَّ في وجوب الأخذ بهذا الحكم، لأنّه مدلول عرفيّ، يقف عليه كل من سمع الآية</w:t>
      </w:r>
      <w:r>
        <w:rPr>
          <w:rFonts w:eastAsia="Amiri" w:cs="Amiri" w:ascii="Amiri" w:hAnsi="Amiri"/>
          <w:color w:val="111111"/>
          <w:sz w:val="28"/>
          <w:szCs w:val="28"/>
          <w:rtl w:val="true"/>
          <w:lang w:bidi="ar-SA"/>
        </w:rPr>
        <w:t>.</w:t>
      </w:r>
    </w:p>
    <w:p>
      <w:pPr>
        <w:pStyle w:val="Heading6"/>
        <w:numPr>
          <w:ilvl w:val="5"/>
          <w:numId w:val="1"/>
        </w:numPr>
        <w:rPr/>
      </w:pPr>
      <w:bookmarkStart w:id="136" w:name="__RefHeading___Toc3432956_1878427129"/>
      <w:bookmarkStart w:id="137" w:name="_Toc49"/>
      <w:bookmarkEnd w:id="136"/>
      <w:r>
        <w:rPr>
          <w:rtl w:val="true"/>
        </w:rPr>
        <w:t>الأمر السادس</w:t>
      </w:r>
      <w:r>
        <w:rPr>
          <w:rtl w:val="true"/>
        </w:rPr>
        <w:t xml:space="preserve">: </w:t>
      </w:r>
      <w:r>
        <w:rPr>
          <w:rtl w:val="true"/>
        </w:rPr>
        <w:t>تنقيح المناط أو إلغاء الخصوصيّة</w:t>
      </w:r>
      <w:bookmarkEnd w:id="137"/>
    </w:p>
    <w:p>
      <w:pPr>
        <w:pStyle w:val="BookText"/>
        <w:rPr/>
      </w:pPr>
      <w:r>
        <w:rPr>
          <w:rFonts w:ascii="Amiri" w:hAnsi="Amiri" w:eastAsia="Amiri" w:cs="Amiri"/>
          <w:color w:val="111111"/>
          <w:sz w:val="28"/>
          <w:sz w:val="28"/>
          <w:szCs w:val="28"/>
          <w:rtl w:val="true"/>
          <w:lang w:bidi="ar-SA"/>
        </w:rPr>
        <w:t>إذا اقترن الموضوع في لسان الدليل بأوصاف، و خصوصيات، لا يراها العرف المخاطب دخيلة في الموضوع، و يتلقّاها من قبيل التمثيل على وجه القطع و اليقين، فهذا ما يسمّى بتنقيح المناط أو الغاء الخصوصية كما إذا ورد في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المسجد بين الثلاث و الأربع، فأُجيب بأنّه يبني على الأكثر، فإنّ العرف لا يرى للرجولية و مكان 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تأثيراً في الحكم، و لذلك يرى الحكم ثابتاً لمطلق الشاك، من غير فرق بين الرجل و المرأة، و المسجد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قياس المرأة بالرجل و غير المسجد بالمسجد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بقياس في الحقيقة بل حكم الكل مستفاد من النصّ، بمساعدة فهم العرف على عدم مدخلية القيدين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ذكرنا ظهر انّ النزاع في حجّية القياس منحصر في القياس الذي استنبط المجتهد علّته و مناطه، من دون أيّ دلالة عليه من جانب الشرع و إنّما يقوم به عقل المستنبط و حدسه على حدّ الظنّ بأنّ ما استنبطه مناط الحكم و ملاكه</w:t>
      </w:r>
      <w:r>
        <w:rPr>
          <w:rFonts w:eastAsia="Amiri" w:cs="Amiri" w:ascii="Amiri" w:hAnsi="Amiri"/>
          <w:color w:val="111111"/>
          <w:sz w:val="28"/>
          <w:szCs w:val="28"/>
          <w:rtl w:val="true"/>
          <w:lang w:bidi="ar-SA"/>
        </w:rPr>
        <w:t xml:space="preserve">. </w:t>
      </w:r>
      <w:bookmarkStart w:id="138" w:name="pg14687_217194"/>
    </w:p>
    <w:p>
      <w:pPr>
        <w:pStyle w:val="Heading6"/>
        <w:numPr>
          <w:ilvl w:val="5"/>
          <w:numId w:val="1"/>
        </w:numPr>
        <w:rPr/>
      </w:pPr>
      <w:bookmarkStart w:id="139" w:name="__RefHeading___Toc3432958_1878427129"/>
      <w:bookmarkStart w:id="140" w:name="_Toc50"/>
      <w:bookmarkEnd w:id="138"/>
      <w:bookmarkEnd w:id="139"/>
      <w:r>
        <w:rPr>
          <w:rtl w:val="true"/>
        </w:rPr>
        <w:t>الأمر السابع</w:t>
      </w:r>
      <w:r>
        <w:rPr>
          <w:rtl w:val="true"/>
        </w:rPr>
        <w:t xml:space="preserve">: </w:t>
      </w:r>
      <w:r>
        <w:rPr>
          <w:rtl w:val="true"/>
        </w:rPr>
        <w:t>السبب من وراء العمل بالقياس</w:t>
      </w:r>
      <w:bookmarkEnd w:id="140"/>
    </w:p>
    <w:p>
      <w:pPr>
        <w:pStyle w:val="BookText"/>
        <w:rPr/>
      </w:pPr>
      <w:r>
        <w:rPr>
          <w:rFonts w:ascii="Amiri" w:hAnsi="Amiri" w:eastAsia="Amiri" w:cs="Amiri"/>
          <w:color w:val="111111"/>
          <w:sz w:val="28"/>
          <w:sz w:val="28"/>
          <w:szCs w:val="28"/>
          <w:rtl w:val="true"/>
          <w:lang w:bidi="ar-SA"/>
        </w:rPr>
        <w:t>ظهر القول بالقياس بعد رحيل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لمواجهة الأحداث الجديدة، و كان هناك اختلاف حادّ بين الصحابة في الأخذ به، و لو توفّرت بأيديهم نصوص فيها لما حاموا حول القياس، و لكن إعواز النصوص جرّهم إلى العمل بالقياس لأجل معالجة المشاكل العالقة و المسائل المستحدثة، و قد نقل ابن خلدون عن أبي حنيفة أنّه لم يصح عنده من أحاديث الرسول إلاّ سبعة عشر حديثاً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فإذا كان الصحيح عنده هذا المقدار اليسير فكيف يقوم باستنباط الأحكام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له محيص إلاّ اللجوء إلى القياس و الاستحسان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لفيف من الصحابة و التابعين رفضوه و أكثروا من ذمِّه، و الشيعة عن بكرة أبيهم تبعاً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أهل بيته أبطلوا العمل بالقياس، و وافقهم من الفقهاء داود بن خلف، إمام أهل الظاهر، و تبعه ابن حزم الأندلسي، فلم يقيموا له وزناً، و أوّل من توسّع في القياس هو أبو حنيفة شيخ أهل القياس، و تبعه مالك، و ابن حنبل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عقد شيخنا الحرّ العاملي في وسائله باباً خاصاً، أسماه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القضاء و الحكم بالمقاييس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نقل فيه ما يربو على عشرين حديثاً في النهي عن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نقل فيه انّ أبا حنيفة دخل على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بلغني أنّك تقيس</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تقس فانّ أوّل من قاس هو إبليس</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فقد قاس نفسه </w:t>
      </w:r>
      <w:bookmarkStart w:id="141" w:name="pg14687_217195"/>
    </w:p>
    <w:p>
      <w:pPr>
        <w:pStyle w:val="BookText"/>
        <w:rPr/>
      </w:pPr>
      <w:bookmarkEnd w:id="141"/>
      <w:r>
        <w:rPr>
          <w:rFonts w:ascii="Amiri" w:hAnsi="Amiri" w:eastAsia="Amiri" w:cs="Amiri"/>
          <w:color w:val="111111"/>
          <w:sz w:val="28"/>
          <w:sz w:val="28"/>
          <w:szCs w:val="28"/>
          <w:rtl w:val="true"/>
          <w:lang w:bidi="ar-SA"/>
        </w:rPr>
        <w:t>بآدم، فزعم أنّه أفضل من آدم، لأنّه خُلِق من طين، و هو خُلِقَ من النار، و لم يلتفت إلى أنّ ملاك السجود هو الروح الإلهية التي نفخت في آدم، فصار مجلى لأسمائه و صفاته تعالى و عاد معلّماً للملائكة</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3432960_1878427129"/>
      <w:bookmarkStart w:id="143" w:name="_Toc51"/>
      <w:bookmarkEnd w:id="142"/>
      <w:r>
        <w:rPr>
          <w:rtl w:val="true"/>
        </w:rPr>
        <w:t>أدلّة القائلين بالقياس</w:t>
      </w:r>
      <w:bookmarkEnd w:id="143"/>
    </w:p>
    <w:p>
      <w:pPr>
        <w:pStyle w:val="Heading6"/>
        <w:numPr>
          <w:ilvl w:val="5"/>
          <w:numId w:val="1"/>
        </w:numPr>
        <w:rPr/>
      </w:pPr>
      <w:bookmarkStart w:id="144" w:name="__RefHeading___Toc3432962_1878427129"/>
      <w:bookmarkStart w:id="145" w:name="_Toc52"/>
      <w:bookmarkEnd w:id="144"/>
      <w:r>
        <w:rPr>
          <w:rtl w:val="true"/>
        </w:rPr>
        <w:t>أ</w:t>
      </w:r>
      <w:r>
        <w:rPr>
          <w:rtl w:val="true"/>
        </w:rPr>
        <w:t xml:space="preserve">. </w:t>
      </w:r>
      <w:r>
        <w:rPr>
          <w:rtl w:val="true"/>
        </w:rPr>
        <w:t>الدليل النقلي</w:t>
      </w:r>
      <w:bookmarkEnd w:id="145"/>
    </w:p>
    <w:p>
      <w:pPr>
        <w:pStyle w:val="BookText"/>
        <w:rPr/>
      </w:pPr>
      <w:r>
        <w:rPr>
          <w:rFonts w:ascii="Amiri" w:hAnsi="Amiri" w:eastAsia="Amiri" w:cs="Amiri"/>
          <w:color w:val="111111"/>
          <w:sz w:val="28"/>
          <w:sz w:val="28"/>
          <w:szCs w:val="28"/>
          <w:rtl w:val="true"/>
          <w:lang w:bidi="ar-SA"/>
        </w:rPr>
        <w:t xml:space="preserve">و اعلم أنّ الأصل الأوّلي في الظنون التي لم يقم دليل على حجّيتها، هو عدم الحجّية و قد سبق انّ الشكّ في حجّية كلّ ظن لم يقم على حجّيته دليل يلازم القطع بعدم الحجّية ما لم يدل دليل عليه </w:t>
      </w:r>
      <w:r>
        <w:rPr>
          <w:rStyle w:val="FootnoteAnchor"/>
          <w:rtl w:val="true"/>
        </w:rPr>
        <w:footnoteReference w:id="89"/>
      </w:r>
      <w:r>
        <w:rPr>
          <w:rFonts w:ascii="Amiri" w:hAnsi="Amiri" w:eastAsia="Amiri" w:cs="Amiri"/>
          <w:color w:val="111111"/>
          <w:sz w:val="28"/>
          <w:sz w:val="28"/>
          <w:szCs w:val="28"/>
          <w:rtl w:val="true"/>
          <w:lang w:bidi="ar-SA"/>
        </w:rPr>
        <w:t>، و قد استدل القائلون بحجّية القياس بوجوه نشير إلى أهمّها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الجارية الخثعمية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أبي أدركته فريضة الحج شيخاً، زمناً لا يستطيع أن يحج، إن حججت عنه أ ينفعه ذلك؟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رأيت لو كان على أبيك دين فقضيتيه، أ كان ينفعه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بالقضاء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امرأة جاءت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 نذرت أن تحجّ فماتت قبل أن تحجّ، أ فأحج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حجّي عنها، أ رأيت لو كان على أُمّك دَيْن أ كنت قاضية؟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اقضوا للّه فإنّ اللّه أحقّ بالوفاء</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الرسول ألْحق دَيْن اللّه بدين الآدمي في وجوب القضاء </w:t>
      </w:r>
    </w:p>
    <w:p>
      <w:pPr>
        <w:pStyle w:val="BookText"/>
        <w:rPr/>
      </w:pPr>
      <w:r>
        <w:rPr>
          <w:rFonts w:ascii="Amiri" w:hAnsi="Amiri" w:eastAsia="Amiri" w:cs="Amiri"/>
          <w:color w:val="111111"/>
          <w:sz w:val="28"/>
          <w:sz w:val="28"/>
          <w:szCs w:val="28"/>
          <w:rtl w:val="true"/>
          <w:lang w:bidi="ar-SA"/>
        </w:rPr>
        <w:t>و نفعه، و هو عين القياس بشهادة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فدَيْن اللّه أحقّ بالقضاء و الوفاء</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يلاحظ على الاستدلال بكلا الحديثين مضافاً إلى أنّ الاستدلال على حجّية قياس غير المعصوم، بقياس المعصوم نوع من القياس، و هو أوّل الكلام أنّ القياس الوارد في كلام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القياس الأولوي، و ذلك لأنّه إذا وجب الوفاء بحقوق الناس حسب النص فحقوق اللّه أولى بالقضاء و الوفاء كما نصّ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و أين هذا من مورد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تقدّم انّ القياس الأولوي عمل بالنصّ، لأنّه مدلول عرفي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أتيتُ أمراً عظيماً، قبّلتُ و أنا صائم،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لو تمضمضت بماء و أنت صائم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 القُبْلة بالمضمضة، فحكمَ بعدم بطلان الصوم فيها إيضاً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دليل على بطلان القياس، لأنّ عمر ظنَّ أنّ القُبلة تُبطل الصوم قياساً على الجماع، فردَّ عليه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الأشياء المماثلة و المتقاربة لا تستوي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عبارة عن استفادة حكم الفرع من حكم الأصل، بحيث يستمد الفرع حكمه من الأصل، و ليس المقام كذلك، بل كلاهما في مستوى واحد كغصني شجرة، أو كجدولي نهر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المبطل هو الشرب لا مقدّمته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المبطل هو الجماع لا مقدّمته، فبما أنّ المخاطب كان واقفاً على ذلك الحكم في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46" w:name="pg14687_217197"/>
    </w:p>
    <w:p>
      <w:pPr>
        <w:pStyle w:val="BookText"/>
        <w:rPr/>
      </w:pPr>
      <w:bookmarkEnd w:id="146"/>
      <w:r>
        <w:rPr>
          <w:rFonts w:ascii="Amiri" w:hAnsi="Amiri" w:eastAsia="Amiri" w:cs="Amiri"/>
          <w:color w:val="111111"/>
          <w:sz w:val="28"/>
          <w:sz w:val="28"/>
          <w:szCs w:val="28"/>
          <w:rtl w:val="true"/>
          <w:lang w:bidi="ar-SA"/>
        </w:rPr>
        <w:t>الشرب، دون الجماع، أرشده النبي إلى تشبيه القُبلَة بالمضمضة إقناعاً للمخاطَب، لا استنباطاً للحكم من الأصل</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3432964_1878427129"/>
      <w:bookmarkStart w:id="148" w:name="_Toc53"/>
      <w:bookmarkEnd w:id="147"/>
      <w:r>
        <w:rPr>
          <w:rtl w:val="true"/>
        </w:rPr>
        <w:t>ب</w:t>
      </w:r>
      <w:r>
        <w:rPr>
          <w:rtl w:val="true"/>
        </w:rPr>
        <w:t xml:space="preserve">: </w:t>
      </w:r>
      <w:r>
        <w:rPr>
          <w:rtl w:val="true"/>
        </w:rPr>
        <w:t>الدليل العقلي</w:t>
      </w:r>
      <w:bookmarkEnd w:id="148"/>
    </w:p>
    <w:p>
      <w:pPr>
        <w:pStyle w:val="BookText"/>
        <w:rPr/>
      </w:pPr>
      <w:r>
        <w:rPr>
          <w:rFonts w:ascii="Amiri" w:hAnsi="Amiri" w:eastAsia="Amiri" w:cs="Amiri"/>
          <w:color w:val="111111"/>
          <w:sz w:val="28"/>
          <w:sz w:val="28"/>
          <w:szCs w:val="28"/>
          <w:rtl w:val="true"/>
          <w:lang w:bidi="ar-SA"/>
        </w:rPr>
        <w:t>و يقرّر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ما شرّع حكماً إلاّ لمصلحة، و أنّ مصالح العباد هي الغاية المقصودة من تشريع الأحكام، فإذا ساوت الواقعةُ المسكوت عنها، الواقعةَ المنصوص عليها في علّة الحكم التي هي مظنّة المصلحة، قضت الحكمة و العدالة أن تساويها في الحكم، تحقيقاً للمصلحة التي هي مقصود الشارع من التشريع، و لا يتفق و عدلَ اللّه و حكمتَه أن يحرّم الخمر لإسكارها محافظة على عقول عباده، و يبيح نبيذاً آخر فيه خاصيّة الخمر، و هي الإسكار، لأنّ مآل هذا ، المحافظةُ على العقول من مسكر، و تركها عرضة للذهاب بمسكر آخر</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الكبرى مسلّمة، و هي أنّ أحكام الشرع تابعة للمصالح و المفاسد، إنّما الكلام في وقوف الإنسان على مناطات الأحكام و عللها على وجه لا يخالف الواقع قيد شعرة، و أمّا قياس النبيذ على الخمر فهو خارج عن محلّ الكلام، لأنّا نعلم علماً قطعيّاً بأنّ مناط حرمة الخمر هو الإسكار، و لذلك روي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سبحانه حرّم الخمر و حرّم النبيُّ كلَّ مسكر</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و لو كانت جميع الموارد من هذا القبيل لما اختلف في حجية القياس اثنان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إيضاح الحال، و أنّ المكلّف ربّما لا يصل إلى مناطات الأحكام،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اعلم أنّه إذا نصّ الشارع على حكم و لم ينصّ على علّته و مناطه، فهل للمجتهد التوصّل إلى معرفة ذلك الحكم عن طريق السبر و التقسيم بأن يُحصر الأوصاف التي توجد في واقعة الحكم، و تصلح لأن تكون العلّة، واحدة منها، و يختبرها وصفاً وصفاً، و بواسطة هذا الاختبار تُستبعد الأوصاف التي لا يصحّ أن تكون علّة، و يستبقي ما يصحّ أن يكون علة، و بهذا الاستبعاد و هذا الاستبقاء يتوصل إلى الحكم بأنّ هذا الوصف هو العلّة؟ و لكن في هذا النوع من تحليل المناط إشكالات واضحة مع غض النظر عن النهي الوارد في العمل بالقياس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أن تكون العلّة عند اللّه غير ما ظنّه بالقياس، فمن أين نعلم بأنّ العلّة عندنا و عنده واحدة؟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أنّ المُقيس أصاب في أصل التعليل، و لكن من أين نعلم أنّها تمام العلّة، لعلّها جزء العلّة و هناك جزء آخر منضمّ إليه في الواقع و لم يصل المُقيس إليه؟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نحتمل أن تكون خصوصية المورد دخيلة في ثبوت الحكم، مثلاً لو علمنا بأنّ الجهل بالثمن علّة موجبة شرعاً في فساد البيع، و لكن نحتمل أن يكون الجهل بالثمن في خصوص البيع علّة، فلا يصحّ لنا قياس النكاح عليه، إذا كان المهر فيه مجهولاً، فالعلّة هي الجهل بالثمن، لا مطلق الجهل بالعوض حتى يشمل المهر، و مع هذه الاحتمالات لا يمكن القطع بالمناط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على لسان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النهي عن الخوض في تنقيح المناط، و يشهد بذلك ما رواه أبان بن تغلب،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أبان</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في رجل قطع اصبعاً من أصابع المرأة، كم فيها؟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 من الإبل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ثلاثاً؟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أربعاً؟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يقطع ثلاثاً فيكون عليه ثلاثون، و يقطع أربعاً، فيكون عليه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يبلغنا و نحن بالعراق فنبرأ ممّن قاله،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به 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المرأة تعاقل الرجل إلى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الثلث رجعت إلى النصف،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أخذتني بالقياس، و السنّة إذا قيست مُحِق الدين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الإمام ليس بصدد تخطئة أبان لقطعه الحاصل من القياس، بل بصدد إزالة يقينه بالتصرّف في مقدّماته، و هو أنّه أخذ الشريعة من القياس</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يكشف عن هذا المطلب، هو أنّ الجارية تحت العبد إذا أعتقت فلها الخيار إن شاءت مكثت مع زوجها، و إن شاءت فارقته، أخذاً بالسنّة حيث إنّ بريدة كانت تحت عبد، فلمّا أُعتقت، قال لها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اختاري فإن شئت أن تمكثي تحت هذا العبد، و إن شئت أن تفارقيه</w:t>
      </w:r>
      <w:r>
        <w:rPr>
          <w:rFonts w:eastAsia="Amiri" w:cs="Amiri" w:ascii="Amiri" w:hAnsi="Amiri"/>
          <w:color w:val="111111"/>
          <w:sz w:val="28"/>
          <w:szCs w:val="28"/>
          <w:rtl w:val="true"/>
          <w:lang w:bidi="ar-SA"/>
        </w:rPr>
        <w:t xml:space="preserve">«. </w:t>
      </w:r>
      <w:r>
        <w:rPr>
          <w:rStyle w:val="FootnoteAnchor"/>
        </w:rPr>
        <w:footnoteReference w:id="9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 الحنفية قالت بأنّ الجارية تحت الحرّ إذا أُعتقت لها الخيار كالمعتقة تحت العبد لاشتراكهما في كونهما جاريتين اعتقتا، و لكن من أين نعلم بأنّ الانعتاق تمام المناط للحكم؟ و لعلّ كونها تحت العبد و افتقاد المماثلة جزء العلّة؟ فما لم نقطع بالمناط لا يمكن إسراء الحكم، و هذا هو الذي دعا الشيعة إلى منع العمل بالقياس و طرح تخريج المناط الظني الذي لا يغني من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الدليل الأوّل للقائلين بالقياس و إليك دليلهم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نصوص القرآن و السنّة متناهية، و الوقائع غير محدودة فلا يمكن أن تكون النصوص المتناهية مصادر تشريعيّة لما لا يتناهى، و القياس هو المصدر التشريعي الذي يساير الوقائع المتجدّدة، و يكشف عن حكم الشريعة فيما يقع من الحوادث</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استدلاله هذا أشبه بدليل الانسداد عند القائلين بحجّية الظن المطلق، و من المعلوم أنّه لا تصل النوبة إلى الظن إلاّ بعد انسداد باب العلم، و العلمي، لكنه مفتوح عندنا ببركة أحاديث العترة الطاهرة الّذين أمر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بالتمسّك بهم و بالكتاب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القياس من السنّة رووا و صحّحوا حديث الثقلين فيجب عليهم الرجوع إليهم في العقيدة و الشريعة لكونهم عدل القرآن و لو رجعوا إليهم لاستغنوا عن العمل بالقياس الذي ما أنزل اللّه به من سلطان</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عدم توفر دليل صالح لحجّية القياس مع قطع النظر عن النهي الوارد فيه، و قد عرفت تضافر الروايات على النهي عن القياس، و لنذكر ما روي عن أعلام السنّة حول القياس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9" w:name="pg14687_217201"/>
    </w:p>
    <w:p>
      <w:pPr>
        <w:pStyle w:val="BookText"/>
        <w:rPr/>
      </w:pPr>
      <w:bookmarkEnd w:id="14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سيرين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إبليس، و ما عُبدت الشمس و القمر إلاّ بالمقاييس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خَلَقْتَنِي مِنْ نارٍ وَ خَلَقْتَهُ مِنْ طِينٍ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قاس إبليس و هو أوّل من قاس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مسروق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و أخشى أن أقيس فتزلّ قدمي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أخذتم بالمقاييس لتُحرّمنّ الحلال و لتحلنّ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Style w:val="FootnoteAnchor"/>
          <w:rtl w:val="true"/>
        </w:rPr>
        <w:footnoteReference w:id="99"/>
      </w:r>
    </w:p>
    <w:p>
      <w:pPr>
        <w:pStyle w:val="Heading5"/>
        <w:numPr>
          <w:ilvl w:val="4"/>
          <w:numId w:val="1"/>
        </w:numPr>
        <w:rPr/>
      </w:pPr>
      <w:bookmarkStart w:id="150" w:name="__RefHeading___Toc3432966_1878427129"/>
      <w:bookmarkStart w:id="151" w:name="_Toc54"/>
      <w:bookmarkEnd w:id="150"/>
      <w:r>
        <w:rPr/>
        <w:t>2</w:t>
      </w:r>
      <w:r>
        <w:rPr>
          <w:rtl w:val="true"/>
        </w:rPr>
        <w:t xml:space="preserve">. </w:t>
      </w:r>
      <w:r>
        <w:rPr>
          <w:rtl w:val="true"/>
        </w:rPr>
        <w:t>الاستحسان</w:t>
      </w:r>
      <w:bookmarkEnd w:id="151"/>
    </w:p>
    <w:p>
      <w:pPr>
        <w:pStyle w:val="BookText"/>
        <w:rPr/>
      </w:pPr>
      <w:r>
        <w:rPr>
          <w:rFonts w:ascii="Amiri" w:hAnsi="Amiri" w:eastAsia="Amiri" w:cs="Amiri"/>
          <w:color w:val="111111"/>
          <w:sz w:val="28"/>
          <w:sz w:val="28"/>
          <w:szCs w:val="28"/>
          <w:rtl w:val="true"/>
          <w:lang w:bidi="ar-SA"/>
        </w:rPr>
        <w:t>الاستحسان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الشيء حسناً، كالاستقباح، و هو عدّه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اصطلاحاً فقد اختلفوا في تعريفه و لنذكر تعريفين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القياس و الأخذ بما هو أوفق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التعريف، فالاستحسان استثناء من القياس و مخصِّص له، و كأنّ المجتهد يترك القياس الجلي بقياس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مقتضى القياس الجلي، هو إلحاق سؤر الطيور المعلّمة بسؤر الحيوان المفترس في النجاسة على القول بنجاسة سؤره لاشتراكهما في الافتراس، و لكن مقتضى القياس الخفي إلحاقه بسؤر الإنسان في الطهارة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ترك الدليل في المسألة قياساً كان أو غيره، لدليل</w:t>
      </w:r>
    </w:p>
    <w:p>
      <w:pPr>
        <w:pStyle w:val="BookText"/>
        <w:rPr/>
      </w:pPr>
      <w:r>
        <w:rPr>
          <w:rFonts w:ascii="Amiri" w:hAnsi="Amiri" w:eastAsia="Amiri" w:cs="Amiri"/>
          <w:color w:val="111111"/>
          <w:sz w:val="28"/>
          <w:sz w:val="28"/>
          <w:szCs w:val="28"/>
          <w:rtl w:val="true"/>
          <w:lang w:bidi="ar-SA"/>
        </w:rPr>
        <w:t>يستحسنه المجتهد بعقله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التعريف الثاني أوفق كما يظهر من الأمثلة التي سنذكرها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مالك بن أنس أكثر الناس أخذاً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الاستحسان تسعة أعشار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الشافعي رافضاً 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استحسن فقد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ثالث يفصِّل بين الاستحسان المبني على الهوى و الرأي، و الاستحسان المبني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الحاسم في الاستحسان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المجتهد المستحسِن إذا استند إلى ما يستقل به العقل من حسن العدل و قبح الظلم، أو إلى دليل شرعي، فلا إشكال في كونه حجّة، لأنّه أفتى بالدليل، لا بمجرّد الاستحسان، و أمّا إذا استند لمجرد استحسان طبعه و فكره، و أنّ الحكم الشرعي لو كان كذا لكان أحسن، فهو تشريع باطل، و إفتاء بما لم يقم عليه دليل شرعي و هو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مقتضى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السّارِقُ وَ السّارِقَةُ فَاقْطَعُوا أَيْدِيَهُما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قطع يد السارق من دون فرق بين عام الرخاء و المجاعة، لكن نقل عن عمر عدم العمل به في عام المجاعة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الْوالِداتُ يُرْضِعْنَ أَوْلادَهُنَّ حَوْلَيْنِ كامِلَيْنِ لِمَنْ أَرادَ أَنْ يُتِمَّ الرَّضاعَةَ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قد نقل عن مالك بن أنس إخراج الأُم، الرفيعة المنزلة التي ليست من شأن مثلها أن تُرضع ولدها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التفريق بين عام المجاعة و غيره، أو بين الأُمّهات، إن كان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مستنداً إلى دليل شرعي لا أقلّ من انصراف الدليل عن عام المجاعة، أو الأُم الرفيعة المنزلة فهو، و إلاّ فلا وجه لصرف الحكم عنهما، لأنّ ذمّة المجتهد رهن إطلاق الدليل الأوّل فلا يجوز له العدول عن مقتضى دليله إلى حكم آخر بمجرّد الاستحسان و موافقته لطبعه، بل لا بدّ من دليل شرعي يعتمد عليه في العدول، و على ضوء ذلك فالعدول لو كان مستنداً إلى دليل شرعي فهو عدول من حجّة إلى حجّة أقوى، سواء استحسنه الطبع أم لا، و إن لم يكن كذلك فهو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الاستحسان بما هو استحسان ليس له قيمة في مجال الإفتاء، بل الاعتبار بالدليل، فلو كان هناك دليل للعدول فالمنكر و المثبت أمامه سواء، و إن لم يكن فلا وجه للعدول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 بعض المتأخرين من أهل السنّة فسّره بوجه ثالث،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العدول عن حكم اقتضاه دليل شرعي في واقعة إلى حكم آخر فيها، لدليل شرعي اقتضى هذا العدول، و هذا الدليل الشرعي المقتضي للعدول هو سند الاستحسان</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ثمة دليل معتبر على العدول فلا عبرة بالاستحسان حتى يكون الدليل سنداً و عماداً له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يكون استخدام 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غير صحيح، لأنّ الفقيه إمّا يعتمد على دليل شرعي، فالحجّة هو الدليل سواء استحسنه المجتهد أم لا، و إلاّ فلا قيمة له بمجرد أنّ الفقيه يميل إليه بطبعه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52" w:name="pg14687_217204"/>
    </w:p>
    <w:p>
      <w:pPr>
        <w:pStyle w:val="Heading5"/>
        <w:numPr>
          <w:ilvl w:val="4"/>
          <w:numId w:val="1"/>
        </w:numPr>
        <w:rPr/>
      </w:pPr>
      <w:bookmarkStart w:id="153" w:name="__RefHeading___Toc3432968_1878427129"/>
      <w:bookmarkStart w:id="154" w:name="_Toc55"/>
      <w:bookmarkEnd w:id="152"/>
      <w:bookmarkEnd w:id="153"/>
      <w:r>
        <w:rPr/>
        <w:t>3</w:t>
      </w:r>
      <w:r>
        <w:rPr>
          <w:rtl w:val="true"/>
        </w:rPr>
        <w:t xml:space="preserve">. </w:t>
      </w:r>
      <w:r>
        <w:rPr>
          <w:rtl w:val="true"/>
        </w:rPr>
        <w:t>الاستصلاح أو المصالح المرسلة</w:t>
      </w:r>
      <w:bookmarkEnd w:id="154"/>
    </w:p>
    <w:p>
      <w:pPr>
        <w:pStyle w:val="BookText"/>
        <w:rPr/>
      </w:pPr>
      <w:r>
        <w:rPr>
          <w:rFonts w:ascii="Amiri" w:hAnsi="Amiri" w:eastAsia="Amiri" w:cs="Amiri"/>
          <w:color w:val="111111"/>
          <w:sz w:val="28"/>
          <w:sz w:val="28"/>
          <w:szCs w:val="28"/>
          <w:rtl w:val="true"/>
          <w:lang w:bidi="ar-SA"/>
        </w:rPr>
        <w:t>المصالح المرسلة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عبارة عن تشريع الحكم في واقعة لا نصّ فيها، و لا إجماع، وفقَ مصلحة مرسلة لم يدلّ دليل على اعتبارها و لا على عدم اعتبارها، و في الوقت نفسه في اعتبارها جلب نفع أو دفع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مالك و آخرون تبعاً له إلى أنّ الاستصلاح طريق شرعي لاستنباط الأحكام فيما لا نصّ فيه و لا إجماع، و لكنّ الشافعي و من تبعه ذهبوا إلى أنّه لا استنباط و لا استصلاح، و من استصلح فقد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عليها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الحياة في تطوّر مستمر و مصالح الناس تتجدّد و تتغيّر في كل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لمتشرّع الأحكام المناسبة لتلك المصالح لوقع الناس في حرج، و تعطّلت مصالحهم في مختلف الأزمنة و الأمكنة، و وقف التشريع عن مسايرة الزمن و مراعاة المصالح و التطورات، و هذا مصادم لمقصد التشريع في مراعاة مصالح الناس و تحقيقها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 قد اشترط الإمام مالك فيها شروطاً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تنافي إطلاق أُصول الشرع و لا دليلاً من أدلّته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ضرورية للناس مفيدة لهم، أو دافعة ضرراً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تمسَّ العبادات، لأنّ أغلبها لا يعقل لها معنى على هذا التفسير</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فلنذكر عدّة 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انّ عمر منع إعطاء المؤلّفة قلوبهم ما كانوا يأخذونه في عهد الرسول بعد ما قوي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تجديد عثمان أذاناً ثانياً لصلاة الجمعة لمّا كثر المسلمون، و لم يكف الأذان بين يدي الخطيب و إعلامهم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اشتراط سن معيّنة للمباشرة عند الزواج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انشاء الدواوين و سَكِّ النقود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الإمعان في الدليل يثبت بأنّ اللجوء إلى قاعدة الاستصلاح لأجل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إعواز النصوص في المسائل الفرعية المستجدة ذات المصالح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يجدوا بُدّاً من تشريع الحكم على وفقها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معنى هذا أنّهم وجدوا التشريع الإسلامي الموروث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واف بحاجات الناس المستجدة، لأنّ الحاجات كثيرة و المصادر قليلة، و لا يفي القليل بالكثير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أنّهم أعطوا لأنفسهم حقّ التشريع في تلك المواضع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كلا الأمرين لا يوافقان روح الإسلام لتصريحه بكمال الدين، و كماله رمز كمال تشريعه، فكيف لا يكون التشريع الموروث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وافياً بالمقصود مع 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4"/>
      </w:r>
      <w:r>
        <w:rPr>
          <w:rFonts w:ascii="Amiri" w:hAnsi="Amiri" w:eastAsia="Amiri" w:cs="Amiri"/>
          <w:color w:val="111111"/>
          <w:sz w:val="28"/>
          <w:sz w:val="28"/>
          <w:szCs w:val="28"/>
          <w:rtl w:val="true"/>
          <w:lang w:bidi="ar-SA"/>
        </w:rPr>
        <w:t>كما أنّ حقّ التشريع مختص باللّه سبحانه لم يفوِّضه لأحد ، و قد بيّنه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أَمَرَ أَلاّ تَعْبُدُوا إِلاّ إِيّاهُ ذلِكَ الدِّينُ الْقَيِّمُ وَ لكِنَّ أَكْثَرَ النّاسِ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لا يَعْلَمُونَ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و النظر الحاسم في المقام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استخدام المصالح المرسلة في مجال الإفتاء يتصوّر على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بالمصلحة و ترك النصّ بالمصلحة المزعومة، و هذا نظير إمضاء الطلاق ثلاثاً،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مسلم عن ابن عباس كان الطلاق على عهد رسول اللّه و أبي بكر و سنتين من خلافة عمر طلاق الثلاث واحدة،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 أمضيناها عليهم، فأمضاه عليهم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لا شكّ أنّ الخليفة صدر في حكمه هذا عن مصلحة تخيّلها، و لكنّ هذا النوع من الاستصلاح رفض للنصّ في موردها، و هو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نهى الخليفة عن متعة الحج و متعة النساء، و الحيعلة في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الحكم على وفق الاستصلاح مخالفاً لإطلاق الدليل كما هو الحال في منع إعطاء المؤلّفة قلوبهم، فإنّ مقتضى إطلاق الآية كونهم من مصارف الزكاة، سواء أ كان للإسلام قوّة أم لا، فتخصيص الحكم بحالة ضعف الإسلام تقديم للرأي على إطلاق الكتاب، و قد مرّ عن الإمام مالك أنّ من شرائط العمل بالاستصلاح عدم مخالفته لإطلاق أُصول الشرع</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الحكم على وفق المصلحة مستلزماً لإدخال ما ليس من الدين في الدين، فيكون تشريعاً محرّماً بالأدلّة الأربعة، و قد عرفت أنّ من الشرائط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التي اعتبرها مالك بن أنس أن لا تمس المصالح المرسلة العبادات، لأنّ أغلبها توقيفية، و على هذا يكون الأذان الثاني أو الثالث بدعة 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المصلحة المزعومة من عدم كفاية الأذان بين يدي الخطيب لإعلامهم فلا يكون مسوّغاً لتشريع أذان آخر، و إنّما يتوصل إليه بأمر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المورد ممّا ترك أمره إلى الحاكم الإسلامي، و لم يكن للإسلام فيه حكم خاص، و هذا كتجنيد الجنود و إعداد السلاح و حماية البلاد، فإنّ القانون هو ما ورد من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أَعِدُّوا لَهُمْ مَا اسْتَطَعْتُمْ مِنْ قُوَّةٍ وَ مِنْ رِباطِ الْخَيْلِ تُرْهِبُونَ بِهِ عَدُوَّ اللّهِ وَ عَدُوَّكُمْ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أمّا تطبيق هذا القانون الكلّي فهو رهن المصالح، فللحاكم تطبيق القانون الكلّي على حسب المصالح، و هذا كتدوين الدواوين، و سك النقود، فإنّ الحكم الشرعي فيها هو حفظ مصالح المسلمين و صيانة بلادهم من كيد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فالاستصلاح أو المصالح المرسلة تتحدّد بهذا القسم دون سائر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تشريع الحكم حسب المصالح و المفاسد العامّة، فلو افترضنا أنّ موضوعاً مستجداً لم يكن له نظير في عصر النبي و الأئمّة المعصومين، و فيه مصلحة عامة للمجتمع، كالتلقيح للوقاية من الجدريّ أو مفسدة لهم، كالمخدّرات القتّالة فالعقل يحكم بارتكاب الأُولى و الاجتناب عن الثانية فيمكن أن يكون الاستصلاح منشأ لكشف العقل عن حكم شرعي من دون أن يكون للمجتهد حقّ التشريع</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أنّ الاستصلاح لا يكون سبباً للتشريع، و إنّما العقل ببركة تبعية الأحكام للمصالح و المفاسد القطعيّة، يكشف عن الحكم الشرعي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155" w:name="pg14687_217208"/>
    </w:p>
    <w:p>
      <w:pPr>
        <w:pStyle w:val="Heading5"/>
        <w:numPr>
          <w:ilvl w:val="4"/>
          <w:numId w:val="1"/>
        </w:numPr>
        <w:rPr/>
      </w:pPr>
      <w:bookmarkStart w:id="156" w:name="__RefHeading___Toc3432970_1878427129"/>
      <w:bookmarkStart w:id="157" w:name="_Toc56"/>
      <w:bookmarkEnd w:id="155"/>
      <w:bookmarkEnd w:id="156"/>
      <w:r>
        <w:rPr/>
        <w:t>4</w:t>
      </w:r>
      <w:r>
        <w:rPr>
          <w:rtl w:val="true"/>
        </w:rPr>
        <w:t xml:space="preserve">. </w:t>
      </w:r>
      <w:r>
        <w:rPr>
          <w:rtl w:val="true"/>
        </w:rPr>
        <w:t>سد الذرائع</w:t>
      </w:r>
      <w:bookmarkEnd w:id="157"/>
    </w:p>
    <w:p>
      <w:pPr>
        <w:pStyle w:val="BookText"/>
        <w:rPr/>
      </w:pPr>
      <w:r>
        <w:rPr>
          <w:rFonts w:ascii="Amiri" w:hAnsi="Amiri" w:eastAsia="Amiri" w:cs="Amiri"/>
          <w:color w:val="111111"/>
          <w:sz w:val="28"/>
          <w:sz w:val="28"/>
          <w:szCs w:val="28"/>
          <w:rtl w:val="true"/>
          <w:lang w:bidi="ar-SA"/>
        </w:rPr>
        <w:t>الذرائع جمع ذريعة بمعنى الوسيلة، فقد تطلق و يراد منها مقدّمة الشيء، أعني ما يتوقف عليه وجوده، من غير فرق بين أن يكون واجباً كالوضوء بالنسبة إلى الصلاة أو حراماً كالمشي إلى النميمة أو استماع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تطلق و يراد منها ما يفضي إلى الحرام، و إن لم يكن وجود الشيء متوقفاً عليه كضرب المرأة برجلها ذات الخلاخيل فإنّه ذريعة للافتتان بها، فإنّ الضرب بالأرجل في هذه الحالة يُفضي إلى الافتتان و إن كان الافتتان لا يتوقف على الضرب بالأرجل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فحكم الذرائع بالإطلاق الاوّل تابع لحكم ذي الذريعة، فلو كانت ذريعة للواجب أو المستحب أو الحرام توصف بحكمه على القول بالملازمة بين وجوب الشيء أو حرمته و بين وجوب مقدمته أو حرمته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سدّ الذرائع عنواناً آخر لحكم المقدمة الذي يبحث عنه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الذريعة بالاطلاق الثاني تدخل في الإعانة على الإثم و تكون محكومة بحكمها،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تَسُبُّوا الَّذِينَ يَدْعُونَ مِنْ دُونِ اللّهِ فَيَسُبُّوا اللّهَ عَدْواً بِغَيْرِ عِلْمٍ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بذلك تبيّن انّه ليس سدّ الذرائع مصدراً فقهيّاً مستقلاً بل هو داخل في أحد العنوانين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مقدّمة الحرام، أو حرمة الإعانة بالإثم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أكثرت المالكية و الحنابلة من إعماله خلافاً للحنفية حيث حلّ فتح الذرائع مكانها كما سيوافيك</w:t>
      </w:r>
      <w:r>
        <w:rPr>
          <w:rFonts w:eastAsia="Amiri" w:cs="Amiri" w:ascii="Amiri" w:hAnsi="Amiri"/>
          <w:color w:val="111111"/>
          <w:sz w:val="28"/>
          <w:szCs w:val="28"/>
          <w:rtl w:val="true"/>
          <w:lang w:bidi="ar-SA"/>
        </w:rPr>
        <w:t xml:space="preserve">. </w:t>
      </w:r>
      <w:bookmarkStart w:id="158" w:name="pg14687_217209"/>
    </w:p>
    <w:p>
      <w:pPr>
        <w:pStyle w:val="Heading5"/>
        <w:numPr>
          <w:ilvl w:val="4"/>
          <w:numId w:val="1"/>
        </w:numPr>
        <w:rPr/>
      </w:pPr>
      <w:bookmarkStart w:id="159" w:name="__RefHeading___Toc3432972_1878427129"/>
      <w:bookmarkStart w:id="160" w:name="_Toc57"/>
      <w:bookmarkEnd w:id="158"/>
      <w:bookmarkEnd w:id="159"/>
      <w:r>
        <w:rPr/>
        <w:t>5</w:t>
      </w:r>
      <w:r>
        <w:rPr>
          <w:rtl w:val="true"/>
        </w:rPr>
        <w:t xml:space="preserve">. </w:t>
      </w:r>
      <w:r>
        <w:rPr>
          <w:rtl w:val="true"/>
        </w:rPr>
        <w:t>فتح الذرائع</w:t>
      </w:r>
      <w:r>
        <w:rPr>
          <w:rtl w:val="true"/>
        </w:rPr>
        <w:t>(</w:t>
      </w:r>
      <w:r>
        <w:rPr>
          <w:rtl w:val="true"/>
        </w:rPr>
        <w:t>لحيل</w:t>
      </w:r>
      <w:r>
        <w:rPr>
          <w:rtl w:val="true"/>
        </w:rPr>
        <w:t>)</w:t>
      </w:r>
      <w:bookmarkEnd w:id="160"/>
    </w:p>
    <w:p>
      <w:pPr>
        <w:pStyle w:val="BookText"/>
        <w:rPr/>
      </w:pPr>
      <w:r>
        <w:rPr>
          <w:rFonts w:ascii="Amiri" w:hAnsi="Amiri" w:eastAsia="Amiri" w:cs="Amiri"/>
          <w:color w:val="111111"/>
          <w:sz w:val="28"/>
          <w:sz w:val="28"/>
          <w:szCs w:val="28"/>
          <w:rtl w:val="true"/>
          <w:lang w:bidi="ar-SA"/>
        </w:rPr>
        <w:t>إنّ فتح الذرائع من أُصول الحنفية كما أنّ سد الذرائع من أُصول المالكية، و قد صارت هذه القاعدة مثاراً للنزاع و سبباً في الطعن بالحنفية حيث إنّ نتيجة التحيّل، إبطال مقاصد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أكثر الناس ردّاً للحيل، الحنابلة ثمّ المالكية، لأنّهم يقولون بسدِّ الذرائع، و هو أصل مناقض للحيل تمام المناقضة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إعمال الحيل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التوصل بها منصوصاً في الكتاب و السنّة فليس المكلّف هو الذي يتحيّلها، بل الشارع رخّص في الخروج عن المضائق بطريق خاص، كتجويز السفر في شهر رمضان لغاية الإفطار،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مَرِيضاً أَوْ عَلى سَفَرٍ فَعِدَّةٌ مِنْ أَيّامٍ أُخَرَ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أمر واحد له طريقان أحلّ الشارع أحدهما و حرّم الآخر، فلو سلك الحلال لا يعد ذلك تمسّكاً بالحيلة، لأنّه اتخذ سبيلاً حلالاً إلى أمر حلال، و ذلك كمبادلة المكيل و الموزون من المثلين، فلو بادل التمر الرديء بالجيد متفاضلاً عُدّ رباً محرماً، دون ما يباع كل على حدة، فالنتيجة واحدة و لكن السلوك مختلف</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السبب غير مؤثر في حصول النتيجة شرعاً، فالتوصّل بمثله </w:t>
      </w:r>
    </w:p>
    <w:p>
      <w:pPr>
        <w:pStyle w:val="BookText"/>
        <w:rPr/>
      </w:pPr>
      <w:r>
        <w:rPr>
          <w:rFonts w:ascii="Amiri" w:hAnsi="Amiri" w:eastAsia="Amiri" w:cs="Amiri"/>
          <w:color w:val="111111"/>
          <w:sz w:val="28"/>
          <w:sz w:val="28"/>
          <w:szCs w:val="28"/>
          <w:rtl w:val="true"/>
          <w:lang w:bidi="ar-SA"/>
        </w:rPr>
        <w:t>محرم غير ناتج، و ذلك كالمثال الذي نقله البخاري عن أبي حنيفة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غصب جارية فزعم انّها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القاضي في المفروض بقيمة الجارية الميّتة، ثمّ وجدها صاحبها، فالجارية لصاحبها و ترد القيمة و لا تكون القيمة ثمناً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البخاري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الناس يريد أبا حنيفة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الجارية للغاصب لأخذه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البخاري ردّ عليه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هذا احتيال لمن اشتهى جارية رجل لا يبيعها فغصبها، و اعتلَّ بأنّها ماتت حتى يأخذ ربُّها قيمتها، فيطيب للغاصب جارية غيره، ثمّ رد على أبي حنيفة،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 عليكم حرام و لكل غادر لواء يوم القيامة</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و هذا النوع من الاحتيال حرام، لأنّ السبب الأصلي في كلام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الغاصب موت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مؤثر في الانتقال فلا تقع ذريعة لتملّكها، كما أنّ إخبار الغاصب بموت الجارية جازماً أو عالماً بالخلاف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الفرعي في كلام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سبباً لخروج الجارية عن ملك صاحبها و خروج قيمتها عن ملك الغاصب، فعدم جواز التحيّل يرجع إلى أنّ السبب غير مؤثر</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الوسيلة حلالاً، و لكن الغاية هي الوصول إلى الحرام على نحو لا تتعلّق إرادته الجدية إلاّ بالمحرّم، و لو تعلّقت بالسبب فإنّما تعلّقت به صورياً لا جدياً، كما إذا باع ما يساوي عشرة بثمانية نقداً ثمّ اشتراه بعشرة نسيئة إلى أربعة أشهر، فمن المعلوم أنّ الإرادة الجدية تعلّقت باقتراض ثمانية و دفع عشرة و حيث إنّه رباً محرّم احتال ببيعين مختلفين مع عدم تعلّق الإرادة الجدية بهما، فيكون فتح هذه الذريعة أمراً محرّماً، و هذا ما يسمّى ببيوع الآجال، و قد أشار سبحانه إلىه</w:t>
      </w:r>
      <w:r>
        <w:rPr>
          <w:rFonts w:eastAsia="Amiri" w:cs="Amiri" w:ascii="Amiri" w:hAnsi="Amiri"/>
          <w:color w:val="111111"/>
          <w:sz w:val="28"/>
          <w:szCs w:val="28"/>
          <w:rtl w:val="true"/>
          <w:lang w:bidi="ar-SA"/>
        </w:rPr>
        <w:t xml:space="preserve">. </w:t>
      </w:r>
      <w:bookmarkStart w:id="161" w:name="pg14687_217211"/>
    </w:p>
    <w:p>
      <w:pPr>
        <w:pStyle w:val="BookText"/>
        <w:rPr/>
      </w:pPr>
      <w:bookmarkEnd w:id="161"/>
      <w:r>
        <w:rPr>
          <w:rFonts w:ascii="Amiri" w:hAnsi="Amiri" w:eastAsia="Amiri" w:cs="Amiri"/>
          <w:color w:val="111111"/>
          <w:sz w:val="28"/>
          <w:sz w:val="28"/>
          <w:szCs w:val="28"/>
          <w:rtl w:val="true"/>
          <w:lang w:bidi="ar-SA"/>
        </w:rPr>
        <w:t>هذا النوع من فتح الذرائع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سْئَلْهُمْ عَنِ الْقَرْيَةِ الَّتِي كانَتْ حاضِرَةَ الْبَحْرِ إِذْ يَعْدُونَ فِي السَّبْتِ إِذْ تَأْتِيهِمْ حِيتانُهُمْ يَوْمَ سَبْتِهِمْ شُرَّعاً وَ يَوْمَ لا يَسْبِتُونَ لا تَأْتِيهِمْ كَذلِكَ نَبْلُوهُمْ بِما كانُوا يَفْسُقُونَ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p>
    <w:p>
      <w:pPr>
        <w:pStyle w:val="Heading5"/>
        <w:numPr>
          <w:ilvl w:val="4"/>
          <w:numId w:val="1"/>
        </w:numPr>
        <w:rPr/>
      </w:pPr>
      <w:bookmarkStart w:id="162" w:name="__RefHeading___Toc3432974_1878427129"/>
      <w:bookmarkStart w:id="163" w:name="_Toc58"/>
      <w:bookmarkEnd w:id="162"/>
      <w:r>
        <w:rPr/>
        <w:t>6</w:t>
      </w:r>
      <w:r>
        <w:rPr>
          <w:rtl w:val="true"/>
        </w:rPr>
        <w:t xml:space="preserve">. </w:t>
      </w:r>
      <w:r>
        <w:rPr>
          <w:rtl w:val="true"/>
        </w:rPr>
        <w:t>قول الصحابي</w:t>
      </w:r>
      <w:bookmarkEnd w:id="163"/>
    </w:p>
    <w:p>
      <w:pPr>
        <w:pStyle w:val="BookText"/>
        <w:rPr/>
      </w:pPr>
      <w:r>
        <w:rPr>
          <w:rFonts w:ascii="Amiri" w:hAnsi="Amiri" w:eastAsia="Amiri" w:cs="Amiri"/>
          <w:color w:val="111111"/>
          <w:sz w:val="28"/>
          <w:sz w:val="28"/>
          <w:szCs w:val="28"/>
          <w:rtl w:val="true"/>
          <w:lang w:bidi="ar-SA"/>
        </w:rPr>
        <w:t>تَعدّ المذاهب غير المذهب الحنفي قولَ الصحابي من مصادر التشريع إجمالاً، و التحقيق انّ لقول الصحابي صوراً يختلف حكمها باختلاف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نقل قول الرسول و سنّته يؤخذ به إذا اجتمعت فيه شرائط الحجّية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نقل قولاً و لم يسنده إلى الرسول و دلّت القرائن على أنّه نقل قول لا نقل رأي، فهو يعدّ في مصطلح أهل الحديث من الموقوف للوقف على الصحابي من دون إسناد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حجّة لعدم العلم بكونه قول الرسول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للصحابي رأي في مسألة و لم يقع موقع الإجماع إمّا لقلّة الابتلاء، أو لوجود المخالف، فهو حجّة لنفس الصحابي المستنبِط و لمقلّديه إذا كان مفتياً و قلنا بجواز تقليد الميت، و ليس بحجّة للمجتهد الآخر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ذهب مالك و بعض الأحناف إلى حجّيته ، و اختار الإمام الرازي و الأشاعرة و المعتزلة عدم كونه حجّة، و ثمة كلمة قيمة للشوكاني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ننقلها بنصّها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انّه رأي الصحابي ليس بحجّة، فإنّ اللّه لم يبعث إلى هذه الأُمّة إلاّ نبينا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ليس لنا إلاّ رسول واحد و كتاب واحد و جميع الأُمّة </w:t>
      </w:r>
      <w:bookmarkStart w:id="164" w:name="pg14687_217212"/>
    </w:p>
    <w:p>
      <w:pPr>
        <w:pStyle w:val="BookText"/>
        <w:rPr/>
      </w:pPr>
      <w:bookmarkEnd w:id="164"/>
      <w:r>
        <w:rPr>
          <w:rFonts w:ascii="Amiri" w:hAnsi="Amiri" w:eastAsia="Amiri" w:cs="Amiri"/>
          <w:color w:val="111111"/>
          <w:sz w:val="28"/>
          <w:sz w:val="28"/>
          <w:szCs w:val="28"/>
          <w:rtl w:val="true"/>
          <w:lang w:bidi="ar-SA"/>
        </w:rPr>
        <w:t>مأمورة باتّباع كتابه و سنّة نبيه، و لا فرق بين الصحابة و من بعدهم في ذلك، فكلّهم مكلّفون بالتكاليف الشرعية و باتباع الكتاب و السنّة،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تقوم الحجّة في دين اللّه عزّ و جلّ بعد كتاب اللّه تعالى و سنّة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يرجع إليها، فقد قال في دين اللّه بما لا يثبت</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هناك حقيقة مرّة و هي أنّ حذف قول الصحابي من الفقه السنّي الذي يعد الحجر الأساس للبناء الفقهيّ على صعيد التشريع، يوجب انهيار صَرْحِ البناء الذي أُشيد عليه و بالتالي انهيار القسم الأعظم من فتاواهم، و لو حلَّ محلّها فتاوى أُخرى ربما استتبع فقهاً جديداً لا أنس لهم به</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3432976_1878427129"/>
      <w:bookmarkStart w:id="166" w:name="_Toc59"/>
      <w:bookmarkEnd w:id="165"/>
      <w:r>
        <w:rPr/>
        <w:t>7</w:t>
      </w:r>
      <w:r>
        <w:rPr>
          <w:rtl w:val="true"/>
        </w:rPr>
        <w:t xml:space="preserve">. </w:t>
      </w:r>
      <w:r>
        <w:rPr>
          <w:rtl w:val="true"/>
        </w:rPr>
        <w:t>إجماع أهل المدينة</w:t>
      </w:r>
      <w:bookmarkEnd w:id="166"/>
    </w:p>
    <w:p>
      <w:pPr>
        <w:pStyle w:val="BookText"/>
        <w:rPr/>
      </w:pPr>
      <w:r>
        <w:rPr>
          <w:rFonts w:ascii="Amiri" w:hAnsi="Amiri" w:eastAsia="Amiri" w:cs="Amiri"/>
          <w:color w:val="111111"/>
          <w:sz w:val="28"/>
          <w:sz w:val="28"/>
          <w:szCs w:val="28"/>
          <w:rtl w:val="true"/>
          <w:lang w:bidi="ar-SA"/>
        </w:rPr>
        <w:t>ذهب مالك إلى حجّية اتّفاق أهل المدينة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أهل المدينة أعرف الناس بالتنزيل، فالحق لا يخرج عمّا يذهبون إليه، فيكون عملهم حجّة يقدم على القياس و خبر الواحد، و قد أفتى بمسائل نظراً لاتفاق أهل المدينة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نظير الجمع بين الصلاتين ليلة المطر، و القضاء بشهادة واحد و يمين صاحب الحق، و الاسهام في الجهاد لفرس أو لفرسين </w:t>
      </w:r>
      <w:r>
        <w:rPr>
          <w:rStyle w:val="FootnoteAnchor"/>
          <w:rtl w:val="true"/>
        </w:rPr>
        <w:footnoteReference w:id="1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ردّ عليه معاصره الليث بن سعد في رسالة مبسّطة</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القول الحاسم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اتّفاق أهل المدينة لو كان ملازماً لقول المعصوم ملازمة عادية فيؤخذ به، و إلاّ فلا يكون حجّة، و مثله اتّفاق المصرين الكوفة </w:t>
      </w:r>
    </w:p>
    <w:p>
      <w:pPr>
        <w:pStyle w:val="BookText"/>
        <w:rPr/>
      </w:pPr>
      <w:r>
        <w:rPr>
          <w:rFonts w:ascii="Amiri" w:hAnsi="Amiri" w:eastAsia="Amiri" w:cs="Amiri"/>
          <w:color w:val="111111"/>
          <w:sz w:val="28"/>
          <w:sz w:val="28"/>
          <w:szCs w:val="28"/>
          <w:rtl w:val="true"/>
          <w:lang w:bidi="ar-SA"/>
        </w:rPr>
        <w:t>و البصرة و إلاّ فلا قيمة لاتفاق فئة ليسوا بمعصومين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الإمام مالك أن يعدَّ اتّفاق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الحجج، مكان عدّ إجماع أهل المدينة منها، لأنّهم معصومون بنصِّ الكتاب و تصريح صاحب الرسالة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الأمارات التي عدّها فقهاء أهل السنّة حججاً شرعيّة، و قد تجلّت الحقيقة، و اتضح الحق و ليس وراءه شيء</w:t>
      </w:r>
      <w:r>
        <w:rPr>
          <w:rFonts w:eastAsia="Amiri" w:cs="Amiri" w:ascii="Amiri" w:hAnsi="Amiri"/>
          <w:color w:val="111111"/>
          <w:sz w:val="28"/>
          <w:szCs w:val="28"/>
          <w:rtl w:val="true"/>
          <w:lang w:bidi="ar-SA"/>
        </w:rPr>
        <w:t xml:space="preserve">. </w:t>
      </w:r>
      <w:bookmarkStart w:id="167" w:name="pg14687_217214"/>
    </w:p>
    <w:p>
      <w:pPr>
        <w:pStyle w:val="Heading2"/>
        <w:numPr>
          <w:ilvl w:val="1"/>
          <w:numId w:val="1"/>
        </w:numPr>
        <w:rPr/>
      </w:pPr>
      <w:bookmarkStart w:id="168" w:name="__RefHeading___Toc3432978_1878427129"/>
      <w:bookmarkStart w:id="169" w:name="_Toc60"/>
      <w:bookmarkEnd w:id="167"/>
      <w:bookmarkEnd w:id="168"/>
      <w:r>
        <w:rPr>
          <w:rtl w:val="true"/>
        </w:rPr>
        <w:t>المقصد السابع</w:t>
      </w:r>
      <w:r>
        <w:rPr>
          <w:rtl w:val="true"/>
        </w:rPr>
        <w:t xml:space="preserve">: </w:t>
      </w:r>
      <w:r>
        <w:rPr>
          <w:rtl w:val="true"/>
        </w:rPr>
        <w:t xml:space="preserve">في الأُصول العملية </w:t>
      </w:r>
      <w:r>
        <w:rPr>
          <w:rtl w:val="true"/>
        </w:rPr>
        <w:t>(</w:t>
      </w:r>
      <w:r>
        <w:rPr>
          <w:rtl w:val="true"/>
        </w:rPr>
        <w:t>البراءة، التخيير الاشتغال، و الاستصحاب</w:t>
      </w:r>
      <w:r>
        <w:rPr>
          <w:rtl w:val="true"/>
        </w:rPr>
        <w:t>)</w:t>
      </w:r>
      <w:bookmarkEnd w:id="1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0" w:name="__RefHeading___Toc3432980_1878427129"/>
      <w:bookmarkStart w:id="171" w:name="_Toc61"/>
      <w:bookmarkEnd w:id="170"/>
      <w:r>
        <w:rPr>
          <w:rtl w:val="true"/>
        </w:rPr>
        <w:t>اشارة</w:t>
      </w:r>
      <w:bookmarkEnd w:id="17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الأُصول العملية إنّ المكلّف الملتفت إلى الحكم الشرعي تحصل له إحدى حالات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حصل له القطع فقد فرغنا عن حكمه في بابه، و انّه حجّة عقلية لا مناص من العمل على وفقه، و إن حصل له الظن فالأصل فيه عدم الحجّية إلاّ إذا دلّ الدليل القطعي على صحّة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حصل له الشكّ يجب عليه العمل وفق القواعد التي قررها العقل و النقل للشاك</w:t>
      </w:r>
      <w:r>
        <w:rPr>
          <w:rFonts w:eastAsia="Amiri" w:cs="Amiri" w:ascii="Amiri" w:hAnsi="Amiri"/>
          <w:color w:val="111111"/>
          <w:sz w:val="28"/>
          <w:szCs w:val="28"/>
          <w:rtl w:val="true"/>
          <w:lang w:bidi="ar-SA"/>
        </w:rPr>
        <w:t xml:space="preserve">. </w:t>
      </w:r>
      <w:r>
        <w:rPr>
          <w:rStyle w:val="FootnoteAnchor"/>
          <w:rtl w:val="true"/>
        </w:rPr>
        <w:footnoteReference w:id="121"/>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المستنبط إنّما ينتهي إلى تلك القواعد التي تسمى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هناك دليل قطعي، كالخبر المتواتر، أو دليل علمي كالظنون المعتبرة التي دلّ على حجّيتها الدليل القطعي و تسمّى بالأمارات و الأدلّةك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الاجتهادية، كما تسمّى الأُصول العملية، بالأدلة الفقاهية، و إلاّ فلا تصل النوبة إلى الأُصول مع وجود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ترتيب الأدلّة في مقام الاستنباط، فالمفيد لليقين هو الدليل المقدّم على كلّ دليل، و يعقبه الدليل الاجتهادي ثمّ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الأُصول العملية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يختصّ بباب دون باب،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الطهارة المختصة بباب الطهارة و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الحلّية المختصة بباب الشك في خصوص الحلال و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المختصة بعمل صدر عن المكلّف و شُكّ في صحّته و فساده، سواء أ كان الشكّ في عمل نفس المكلّف فيسمّى بقاعدة التجاوز و الفراغ، أو في فعل الغير فيسمّى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يجري في عامة الأبواب الفقهية كافة و هي حسب الاستقراء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أُصول عامّة جارية في جميع أبواب الفقه، إنّما الكلام في تعيين مجاريها و تحديد مجرى كلّ أصل متميّزاً عن مجرى أصل آخر، و هذا هو المهم في المقام، و قد اختلفت كلمتهم في تحديد مجاريها و الصحيح ما يلي</w:t>
      </w:r>
      <w:r>
        <w:rPr>
          <w:rFonts w:eastAsia="Amiri" w:cs="Amiri" w:ascii="Amiri" w:hAnsi="Amiri"/>
          <w:color w:val="111111"/>
          <w:sz w:val="28"/>
          <w:szCs w:val="28"/>
          <w:rtl w:val="true"/>
          <w:lang w:bidi="ar-SA"/>
        </w:rPr>
        <w:t xml:space="preserve">: </w:t>
      </w:r>
      <w:bookmarkStart w:id="172" w:name="pg14687_217218"/>
    </w:p>
    <w:p>
      <w:pPr>
        <w:pStyle w:val="Heading3"/>
        <w:numPr>
          <w:ilvl w:val="2"/>
          <w:numId w:val="1"/>
        </w:numPr>
        <w:rPr/>
      </w:pPr>
      <w:bookmarkStart w:id="173" w:name="__RefHeading___Toc3432982_1878427129"/>
      <w:bookmarkStart w:id="174" w:name="_Toc62"/>
      <w:bookmarkEnd w:id="172"/>
      <w:bookmarkEnd w:id="173"/>
      <w:r>
        <w:rPr>
          <w:rtl w:val="true"/>
        </w:rPr>
        <w:t>تحديد مجاري الأُصول</w:t>
      </w:r>
      <w:bookmarkEnd w:id="174"/>
    </w:p>
    <w:p>
      <w:pPr>
        <w:pStyle w:val="BookText"/>
        <w:rPr/>
      </w:pPr>
      <w:r>
        <w:rPr>
          <w:rFonts w:ascii="Amiri" w:hAnsi="Amiri" w:eastAsia="Amiri" w:cs="Amiri"/>
          <w:color w:val="111111"/>
          <w:sz w:val="28"/>
          <w:sz w:val="28"/>
          <w:szCs w:val="28"/>
          <w:rtl w:val="true"/>
          <w:lang w:bidi="ar-SA"/>
        </w:rPr>
        <w:t>إنّ الشكّ إمّا أن يكون ملحوظاً فيه اليقين السابق عليه أو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مورد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إمّا أن يكون الاحتياط فيه ممكناً،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مورد التخيير، و الأوّل إمّا أن يدلّ دليل عقلي على ثبوت العقاب بمخالفة الواقع المجهول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مورد الاحتياط، و الثاني مورد البراءة</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و على ذلك فقد عُيِّن مجرى كلّ أصل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الحالة السابقة ملحوظة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الحالة السابقة ملحوظة و كان الاحتياط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الاحتياط و نهض دليل على العقاب لو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مجرى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أمكن الاحتياط و لم ينهض دليل على العقاب بل على عدمه من العقل، كقبح العقاب بلا بيان، أو من الشرع كحديث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ذكرنا يُعلم أنّ ما هو المعروف من أنّ الشكّ في التكليف مجرى البراءة غير تام بل مجرى البراءة عمّا لم ينهض فيه دليل على العقاب في صورة وجود التكليف، و إلاّ يجب الاحتياط و إن كان الشكّ في التكليف كما في الشكّ فيه قبل الفحص فيجب الاحتياط مع كون الشكّ في التكليف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ما هو المعروف من أنّ الشكّ في المكلّف به الذي هو عبارة عمّا إذا علم نوع التكليف مع تردد المكلّف به بين أمرين، كالعلم بوجوب إحدى </w:t>
      </w:r>
      <w:bookmarkStart w:id="175" w:name="pg14687_217219"/>
    </w:p>
    <w:p>
      <w:pPr>
        <w:pStyle w:val="BookText"/>
        <w:rPr/>
      </w:pPr>
      <w:bookmarkEnd w:id="175"/>
      <w:r>
        <w:rPr>
          <w:rFonts w:ascii="Amiri" w:hAnsi="Amiri" w:eastAsia="Amiri" w:cs="Amiri"/>
          <w:color w:val="111111"/>
          <w:sz w:val="28"/>
          <w:sz w:val="28"/>
          <w:szCs w:val="28"/>
          <w:rtl w:val="true"/>
          <w:lang w:bidi="ar-SA"/>
        </w:rPr>
        <w:t>الصلاتين مجرى الاحتياط غير تام بل مجرى الاشتغال هو ما إذا أمكن الاحتياط و نهض دليل على العقاب لو خالف و إن كان نوع التكليف مجهولاً كما إذا علم بوجوب شيء أو حرمة شيء آخر، فالعلم بالالزام أي الجنس الجامع بين الوجوب و الحرمة موجب للاحتياط لوجود الدليل على العقاب و إن كان نوع التكليف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ما ذكرنا من الميزان لمجرى البراءة و الاشتغال أولى من جعل الشكّ في التكليف مجرى البراءة و الشكّ في المكلّف به مجرى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الأُصول العملية الأربعة و هذه مجاريها على النحو الدقيق، و إليك البحث في كلّ من هذه</w:t>
      </w:r>
    </w:p>
    <w:p>
      <w:pPr>
        <w:pStyle w:val="Heading3"/>
        <w:numPr>
          <w:ilvl w:val="2"/>
          <w:numId w:val="1"/>
        </w:numPr>
        <w:rPr/>
      </w:pPr>
      <w:bookmarkStart w:id="176" w:name="__RefHeading___Toc3432984_1878427129"/>
      <w:bookmarkStart w:id="177" w:name="_Toc63"/>
      <w:bookmarkEnd w:id="176"/>
      <w:r>
        <w:rPr>
          <w:rtl w:val="true"/>
        </w:rPr>
        <w:t>الأُصول العملية الأربعة</w:t>
      </w:r>
      <w:bookmarkEnd w:id="177"/>
    </w:p>
    <w:p>
      <w:pPr>
        <w:pStyle w:val="Heading4"/>
        <w:numPr>
          <w:ilvl w:val="3"/>
          <w:numId w:val="1"/>
        </w:numPr>
        <w:rPr/>
      </w:pPr>
      <w:bookmarkStart w:id="178" w:name="__RefHeading___Toc3432986_1878427129"/>
      <w:bookmarkStart w:id="179" w:name="_Toc64"/>
      <w:bookmarkEnd w:id="178"/>
      <w:r>
        <w:rPr>
          <w:rtl w:val="true"/>
        </w:rPr>
        <w:t>اشارة</w:t>
      </w:r>
      <w:bookmarkEnd w:id="17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واحداً تلو الآخر</w:t>
      </w:r>
      <w:r>
        <w:rPr>
          <w:rFonts w:eastAsia="IRNazanin" w:cs="IRNazanin"/>
          <w:color w:val="111111"/>
          <w:sz w:val="28"/>
          <w:szCs w:val="28"/>
          <w:rtl w:val="true"/>
          <w:lang w:bidi="fa-IR"/>
        </w:rPr>
        <w:t xml:space="preserve">. </w:t>
      </w:r>
      <w:bookmarkStart w:id="180" w:name="pg14687_217220"/>
    </w:p>
    <w:p>
      <w:pPr>
        <w:pStyle w:val="Heading4"/>
        <w:numPr>
          <w:ilvl w:val="3"/>
          <w:numId w:val="1"/>
        </w:numPr>
        <w:rPr/>
      </w:pPr>
      <w:bookmarkStart w:id="181" w:name="__RefHeading___Toc3432988_1878427129"/>
      <w:bookmarkStart w:id="182" w:name="_Toc65"/>
      <w:bookmarkEnd w:id="180"/>
      <w:bookmarkEnd w:id="181"/>
      <w:r>
        <w:rPr>
          <w:rtl w:val="true"/>
        </w:rPr>
        <w:t>الأصل الأوّل</w:t>
      </w:r>
      <w:r>
        <w:rPr>
          <w:rtl w:val="true"/>
        </w:rPr>
        <w:t xml:space="preserve">: </w:t>
      </w:r>
      <w:r>
        <w:rPr>
          <w:rtl w:val="true"/>
        </w:rPr>
        <w:t>أصالة البراءة</w:t>
      </w:r>
      <w:bookmarkEnd w:id="182"/>
    </w:p>
    <w:p>
      <w:pPr>
        <w:pStyle w:val="Heading5"/>
        <w:numPr>
          <w:ilvl w:val="4"/>
          <w:numId w:val="1"/>
        </w:numPr>
        <w:rPr/>
      </w:pPr>
      <w:bookmarkStart w:id="183" w:name="__RefHeading___Toc3432990_1878427129"/>
      <w:bookmarkStart w:id="184" w:name="_Toc66"/>
      <w:bookmarkEnd w:id="183"/>
      <w:r>
        <w:rPr>
          <w:rtl w:val="true"/>
        </w:rPr>
        <w:t>اشارة</w:t>
      </w:r>
      <w:bookmarkEnd w:id="184"/>
    </w:p>
    <w:p>
      <w:pPr>
        <w:pStyle w:val="BookText"/>
        <w:rPr/>
      </w:pPr>
      <w:r>
        <w:rPr>
          <w:rFonts w:ascii="Amiri" w:hAnsi="Amiri" w:eastAsia="Amiri" w:cs="Amiri"/>
          <w:color w:val="111111"/>
          <w:sz w:val="28"/>
          <w:sz w:val="28"/>
          <w:szCs w:val="28"/>
          <w:rtl w:val="true"/>
          <w:lang w:bidi="ar-SA"/>
        </w:rPr>
        <w:t>عقد الشيخ الأعظم لمبحث البراءة فصولاً ثلاثة باعتبار انّ الشبهة تكون إمّا تحريمية أو وجوبية أو مشتبهة بينهما، فهذه مطالب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عقد لكلّ فصل مسائل أربع و ذلك، لأنّ منشأ الشكّ في الجميع أحد الأُمور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فقدان النصّ، أو إجماله، أو تعارض النّصين، أو خلط الأُمور الخارجية، و على ضوء ذلك فباب البراءة مشتمل على مطالب ثلاثة في اثنتي عشرة مسألة، و بذلك طال كلامه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السبب لعقد الفصول الثلاثة على حدة فهو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النزاع بين الأُصولي و الأخباري بالشبهة الحكمية التحريمية دون الوجوبية و دون الموضوعية منها، و دون دوران الأمر بين 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بعض أدلّة البراءة بالشبهة التحريمية و لا تعم الوجوبية و الموضوعية،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المحقّق الخراساني أدخل جميع المسائل تحت عنوان واحد و بحث عن الجميع بصفقة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 لم يقم عنده حجّة على واحد من الوجوب و الحرمة و كان عدم نهوض الحجّة لأجل فقدان النصّ أو إجماله أو تعارضه أو خلط الأُمور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السلوكين وجه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انّا اقتفينا أثر الشيخ الأعظم في الموجز، نمسك عن الاطالة و نعقد </w:t>
      </w:r>
      <w:bookmarkStart w:id="185" w:name="pg14687_217221"/>
    </w:p>
    <w:p>
      <w:pPr>
        <w:pStyle w:val="BookText"/>
        <w:rPr/>
      </w:pPr>
      <w:bookmarkEnd w:id="185"/>
      <w:r>
        <w:rPr>
          <w:rFonts w:ascii="Amiri" w:hAnsi="Amiri" w:eastAsia="Amiri" w:cs="Amiri"/>
          <w:color w:val="111111"/>
          <w:sz w:val="28"/>
          <w:sz w:val="28"/>
          <w:szCs w:val="28"/>
          <w:rtl w:val="true"/>
          <w:lang w:bidi="ar-SA"/>
        </w:rPr>
        <w:t>للجميع عنواناً واحداً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الأدلة على أنّ الوظيفة العملية فيما إذا أمكن الاحتياط و لكن لم ينهض دليل على العقاب حسب تعبيرنا أو إذا كان الشكّ في التكليف حسب تعبير المشهور هو البراءة و عدم وجوب الاحتياط، فلنذكر ما هو المهم</w:t>
      </w:r>
    </w:p>
    <w:p>
      <w:pPr>
        <w:pStyle w:val="Heading5"/>
        <w:numPr>
          <w:ilvl w:val="4"/>
          <w:numId w:val="1"/>
        </w:numPr>
        <w:rPr/>
      </w:pPr>
      <w:bookmarkStart w:id="186" w:name="__RefHeading___Toc3432992_1878427129"/>
      <w:bookmarkStart w:id="187" w:name="_Toc67"/>
      <w:bookmarkEnd w:id="186"/>
      <w:r>
        <w:rPr>
          <w:rtl w:val="true"/>
        </w:rPr>
        <w:t>من الأدلة</w:t>
      </w:r>
      <w:bookmarkEnd w:id="187"/>
    </w:p>
    <w:p>
      <w:pPr>
        <w:pStyle w:val="Heading6"/>
        <w:numPr>
          <w:ilvl w:val="5"/>
          <w:numId w:val="1"/>
        </w:numPr>
        <w:rPr/>
      </w:pPr>
      <w:bookmarkStart w:id="188" w:name="__RefHeading___Toc3432994_1878427129"/>
      <w:bookmarkStart w:id="189" w:name="_Toc68"/>
      <w:bookmarkEnd w:id="188"/>
      <w:r>
        <w:rPr>
          <w:rtl w:val="true"/>
        </w:rPr>
        <w:t>اشارة</w:t>
      </w:r>
      <w:bookmarkEnd w:id="189"/>
    </w:p>
    <w:p>
      <w:pPr>
        <w:pStyle w:val="BookText"/>
        <w:rPr/>
      </w:pPr>
      <w:r>
        <w:rPr>
          <w:rFonts w:ascii="IRNazanin" w:hAnsi="IRNazanin" w:eastAsia="IRNazanin"/>
          <w:color w:val="111111"/>
          <w:sz w:val="28"/>
          <w:sz w:val="28"/>
          <w:szCs w:val="28"/>
          <w:rtl w:val="true"/>
          <w:lang w:bidi="fa-IR"/>
        </w:rPr>
        <w:t>روماً للاختصار</w:t>
      </w:r>
      <w:r>
        <w:rPr>
          <w:rFonts w:eastAsia="IRNazanin" w:cs="IRNazanin"/>
          <w:color w:val="111111"/>
          <w:sz w:val="28"/>
          <w:szCs w:val="28"/>
          <w:rtl w:val="true"/>
          <w:lang w:bidi="fa-IR"/>
        </w:rPr>
        <w:t>:</w:t>
      </w:r>
    </w:p>
    <w:p>
      <w:pPr>
        <w:pStyle w:val="Heading6"/>
        <w:numPr>
          <w:ilvl w:val="5"/>
          <w:numId w:val="1"/>
        </w:numPr>
        <w:rPr/>
      </w:pPr>
      <w:bookmarkStart w:id="190" w:name="__RefHeading___Toc3432996_1878427129"/>
      <w:bookmarkStart w:id="191" w:name="_Toc69"/>
      <w:bookmarkEnd w:id="190"/>
      <w:r>
        <w:rPr>
          <w:rtl w:val="true"/>
        </w:rPr>
        <w:t>الاستدلال بالكتاب</w:t>
      </w:r>
      <w:bookmarkEnd w:id="191"/>
    </w:p>
    <w:p>
      <w:pPr>
        <w:pStyle w:val="Heading6"/>
        <w:numPr>
          <w:ilvl w:val="5"/>
          <w:numId w:val="1"/>
        </w:numPr>
        <w:rPr/>
      </w:pPr>
      <w:bookmarkStart w:id="192" w:name="__RefHeading___Toc3432998_1878427129"/>
      <w:bookmarkStart w:id="193" w:name="_Toc70"/>
      <w:bookmarkEnd w:id="192"/>
      <w:r>
        <w:rPr/>
        <w:t>1</w:t>
      </w:r>
      <w:r>
        <w:rPr>
          <w:rtl w:val="true"/>
        </w:rPr>
        <w:t xml:space="preserve">. </w:t>
      </w:r>
      <w:r>
        <w:rPr>
          <w:rtl w:val="true"/>
        </w:rPr>
        <w:t>التعذيب فرع البيان</w:t>
      </w:r>
      <w:bookmarkEnd w:id="193"/>
    </w:p>
    <w:p>
      <w:pPr>
        <w:pStyle w:val="BookText"/>
        <w:rPr/>
      </w:pPr>
      <w:r>
        <w:rPr>
          <w:rFonts w:ascii="Amiri" w:hAnsi="Amiri" w:eastAsia="Amiri" w:cs="Amiri"/>
          <w:color w:val="111111"/>
          <w:sz w:val="28"/>
          <w:sz w:val="28"/>
          <w:szCs w:val="28"/>
          <w:rtl w:val="true"/>
          <w:lang w:bidi="ar-SA"/>
        </w:rPr>
        <w:t>دلّت آيات الذكر الحكيم على أنّه سبحانه لا يعذِّب قوماً على تكليف إلاّ بعد بعث الرسول الذي هو كناية عن بيان التكليف، و قد تواتر ذلك المضمون في الآيات الكريمة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اهْتَدى فَإِنَّما يَهْتَدِي لِنَفْسِهِ وَ مَنْ ضَلَّ فَإِنَّما يَضِلُّ عَلَيْها وَ لا تَزِرُ وازِرَةٌ وِزْرَ أُخْرى وَ ما كُنّا مُعَذِّبِينَ حَتّى نَبْعَثَ رَسُولاً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رَبُّكَ مُهْلِكَ الْقُرى حَتّى يَبْعَثَ فِي أُمِّها رَسُولاً يَتْلُوا عَلَيْهِمْ آياتِنا وَ ما كُنّا مُهْلِكِي الْقُرى إِلاّ وَ أَهْلُها ظالِمُونَ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و الاستدلال بالآيتين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تستعمل في إحدى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نفي الشأن و الصلاحية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إِنَّ اللّهَ بِالنّاسِ لَرَؤُفٌ رَحِيمٌ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r>
        <w:rPr>
          <w:rFonts w:ascii="Amiri" w:hAnsi="Amiri" w:eastAsia="Amiri" w:cs="Amiri"/>
          <w:color w:val="111111"/>
          <w:sz w:val="28"/>
          <w:sz w:val="28"/>
          <w:szCs w:val="28"/>
          <w:rtl w:val="true"/>
          <w:lang w:bidi="ar-SA"/>
        </w:rPr>
        <w:t>، أو نفي الإمكان كقوله تعالى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بِإِذْنِ اللّهِ كِتاباً مُؤَجَّلاً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بعث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إتمام الحجّة على الناس، و بما انّ الرسول أفضل واسطة للبيان و الإبلاغ أُنيط التعذيب بالرسول، و إلاّ يصحّ العقاب ببعث غيره أيضاً لوحدة المناط و حصول الغاية المنشودة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فلو لم يبعث الرسول بتاتاً، أو بعث و لم يتوفق لبيان الأحكام أبداً، أو توفق لبيان البعض دون البعض الآخر، أو توفق للجميع لكن حالت الحواجز بينه و بين بعض الناس، لقبح العقاب إلاّ في الواصل من التكليف، و ذلك لاشتراك جميع الصور في عدم تمامية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المكلف الشاك في الشبهات التحريمية من مصاديق القسم الأخير، فإذا لم يصل إليه البيان لا بالعنوان الأوّلي و لا بالعنوان الثانوي كإيجاب الاحتياط، ينطبق عليه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نُبيّن الحكم و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أنّه سبحانه يعلّق إهلاك القرية على وجود المنذر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لَها مُنْذِرُونَ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
      </w:r>
      <w:r>
        <w:rPr>
          <w:rFonts w:ascii="Amiri" w:hAnsi="Amiri" w:eastAsia="Amiri" w:cs="Amiri"/>
          <w:color w:val="111111"/>
          <w:sz w:val="28"/>
          <w:sz w:val="28"/>
          <w:szCs w:val="28"/>
          <w:rtl w:val="true"/>
          <w:lang w:bidi="ar-SA"/>
        </w:rPr>
        <w:t>هذا كلّه حول الآيتين الأُوليين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أَهْلَكْناهُمْ بِعَذابٍ مِنْ قَبْلِهِ لَقالُوا رَبَّنا لَوْ لا أَرْسَلْتَ إِلَيْنا رَسُولاً فَنَتَّبِعَ آياتِكَ مِنْ قَبْلِ أَنْ نَذِلَّ وَ نَخْزى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تُصِيبَهُمْ مُصِيبَةٌ بِما قَدَّمَتْ أَيْدِيهِمْ فَيَقُولُوا رَبَّنا لَوْ لا أَرْسَلْتَ إِلَيْنا رَسُولاً فَنَتَّبِعَ آياتِكَ وَ نَكُونَ مِنَ الْمُؤْمِنِينَ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الاستدلال بهما مبني على أنّه سبحانه استصوب منطق المجرمين ، و هو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94" w:name="pg14687_217223"/>
    </w:p>
    <w:p>
      <w:pPr>
        <w:pStyle w:val="BookText"/>
        <w:rPr/>
      </w:pPr>
      <w:bookmarkEnd w:id="194"/>
      <w:r>
        <w:rPr>
          <w:rFonts w:ascii="Amiri" w:hAnsi="Amiri" w:eastAsia="Amiri" w:cs="Amiri"/>
          <w:color w:val="111111"/>
          <w:sz w:val="28"/>
          <w:sz w:val="28"/>
          <w:szCs w:val="28"/>
          <w:rtl w:val="true"/>
          <w:lang w:bidi="ar-SA"/>
        </w:rPr>
        <w:t>انّ التعذيب قبل البيان قبيح، فأرسل الرسل لإفحام المشركين و دحض حجتهم يوم القيامة، فلو كان منطقهم عند عدم البيان منطقاً، زائفاً كان عليه سبحانه نقض منطقهم ببيان انّ التعذيب صحيح مطلقاً مع أنّا نرى أنّه سبحانه استصوبه و أرسل الرسل لإتمام الحجّة</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3433000_1878427129"/>
      <w:bookmarkStart w:id="196" w:name="_Toc71"/>
      <w:bookmarkEnd w:id="195"/>
      <w:r>
        <w:rPr/>
        <w:t>2</w:t>
      </w:r>
      <w:r>
        <w:rPr>
          <w:rtl w:val="true"/>
        </w:rPr>
        <w:t xml:space="preserve">. </w:t>
      </w:r>
      <w:r>
        <w:rPr>
          <w:rtl w:val="true"/>
        </w:rPr>
        <w:t>الإضلال فرع البيان</w:t>
      </w:r>
      <w:bookmarkEnd w:id="196"/>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لِيُضِلَّ قَوْماً بَعْدَ إِذْ هَداهُمْ حَتّى يُبَيِّنَ لَهُمْ ما يَتَّقُونَ إِنَّ اللّهَ بِكُلِّ شَيْءٍ عَلِيمٌ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التعذيب من آثار الضلالة، و الضلالة معلَّقة على البيان في الآية، فيكون التعذيب معلَّقاً عليه، فينتج انّه سبحانه لا يعاقب إلاّ بعد بيان ما يجب العمل أو الاعتقاد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المراد من إضلاله سبحانه، فانّ الإضلال أمر قبيح فكيف نسب إلى اللّه سبحانه؟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الإضلال يقابل الهداية، و هي على قسمين، فيكون الإضلال أيضاً 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سبحانه هدايتين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هداية عامّة تعم جميع الناس من غير فرق بين إنسان دون إنسان حتى الجبابرة و الفراعنة، و هي تتحقق ببعث الرسل و إنزال الكتب و دعوة العلماء إلى بيان الحقائق، مضافاً إلى العقل الذي هو رسول باطني، و إلى الفطرة التي تسوق الإنسان إلى فعل الخير</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هداية خاصّة و هي تختص بمن استفاد من الهداية الأُولى، فعندئذ تشمله </w:t>
      </w:r>
    </w:p>
    <w:p>
      <w:pPr>
        <w:pStyle w:val="BookText"/>
        <w:rPr/>
      </w:pPr>
      <w:r>
        <w:rPr>
          <w:rFonts w:ascii="Amiri" w:hAnsi="Amiri" w:eastAsia="Amiri" w:cs="Amiri"/>
          <w:color w:val="111111"/>
          <w:sz w:val="28"/>
          <w:sz w:val="28"/>
          <w:szCs w:val="28"/>
          <w:rtl w:val="true"/>
          <w:lang w:bidi="ar-SA"/>
        </w:rPr>
        <w:t>الألطاف الإلهية الخفية التي نعبر عنها بالهداية الثانوية أو الإيصال إلى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اهْتَدَوْا زادَهُمْ هُدىً وَ آتاهُمْ تَقْواهُمْ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جاهَدُوا فِينا لَنَهْدِيَنَّهُمْ سُبُلَنا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 أمّا إذا لم يستفد من الهداية الأُولى، فلا يكون مستحقاً للهداية الثانية، فيضلّ بسبب سوء عمله، فإضلاله سبحانه، كناية عن الضلال الذي اكتسبه بعمله بالإعراض من الاستضاءة بالهداية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زاغُوا أَزاغَ اللّهُ قُلُوبَهُمْ وَ اللّهُ لا يَهْدِي الْقَوْمَ الْفاسِقِينَ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فإضلاله سبحانه كإزاغته نتيجة زيغهم و إعراضهم و كِبْرهم و تولّيهم عن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مفاد كثير من الآيات التي تنسب الضلالة إلى اللّه سبحانه فالمراد هو قبض الفيض لأجل تقصير العبد لعدم استفادته من الهداية الأُولى فيصدق عليه انّه أضلّه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يَهْدِي مَنْ هُوَ مُسْرِفٌ كَذّابٌ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
      </w:r>
      <w:r>
        <w:rPr>
          <w:rFonts w:ascii="Amiri" w:hAnsi="Amiri" w:eastAsia="Amiri" w:cs="Amiri"/>
          <w:color w:val="111111"/>
          <w:sz w:val="28"/>
          <w:sz w:val="28"/>
          <w:szCs w:val="28"/>
          <w:rtl w:val="true"/>
          <w:lang w:bidi="ar-SA"/>
        </w:rPr>
        <w:t>أي يضلّه لأنّه مسرف كذّاب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يهتد بالهداية الأُولى فأسرف و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فاستحق قبض الفيض و عدم شمول الهداية الخاصة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يُضِلُّ اللّهُ مَنْ هُوَ مُسْرِفٌ مُرْتابٌ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هو نفس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يهدي القوم الفاسقين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السابقة فكلاهما يرميان إلى معنى واحد و هو عدم الهداية لقبض الفيض لعدم قابليته للهداية الثانوية لأجل إسرافه و كذبه و ارتيابه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الاستدلال بالآيات و هناك آيات أُخر تركنا البحث فيها روماً للاختصار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97" w:name="pg14687_217225"/>
    </w:p>
    <w:p>
      <w:pPr>
        <w:pStyle w:val="Heading6"/>
        <w:numPr>
          <w:ilvl w:val="5"/>
          <w:numId w:val="1"/>
        </w:numPr>
        <w:rPr/>
      </w:pPr>
      <w:bookmarkStart w:id="198" w:name="__RefHeading___Toc3433002_1878427129"/>
      <w:bookmarkStart w:id="199" w:name="_Toc72"/>
      <w:bookmarkEnd w:id="197"/>
      <w:bookmarkEnd w:id="198"/>
      <w:r>
        <w:rPr>
          <w:rtl w:val="true"/>
        </w:rPr>
        <w:t>الاستدلال بالسنّة</w:t>
      </w:r>
      <w:bookmarkEnd w:id="199"/>
    </w:p>
    <w:p>
      <w:pPr>
        <w:pStyle w:val="Heading6"/>
        <w:numPr>
          <w:ilvl w:val="5"/>
          <w:numId w:val="1"/>
        </w:numPr>
        <w:rPr/>
      </w:pPr>
      <w:bookmarkStart w:id="200" w:name="__RefHeading___Toc3433004_1878427129"/>
      <w:bookmarkStart w:id="201" w:name="_Toc73"/>
      <w:bookmarkEnd w:id="200"/>
      <w:r>
        <w:rPr/>
        <w:t>1</w:t>
      </w:r>
      <w:r>
        <w:rPr>
          <w:rtl w:val="true"/>
        </w:rPr>
        <w:t xml:space="preserve">. </w:t>
      </w:r>
      <w:r>
        <w:rPr>
          <w:rtl w:val="true"/>
        </w:rPr>
        <w:t>حديث الرفع</w:t>
      </w:r>
      <w:bookmarkEnd w:id="201"/>
    </w:p>
    <w:p>
      <w:pPr>
        <w:pStyle w:val="Heading6"/>
        <w:numPr>
          <w:ilvl w:val="5"/>
          <w:numId w:val="1"/>
        </w:numPr>
        <w:rPr/>
      </w:pPr>
      <w:bookmarkStart w:id="202" w:name="__RefHeading___Toc3433006_1878427129"/>
      <w:bookmarkStart w:id="203" w:name="_Toc74"/>
      <w:bookmarkEnd w:id="202"/>
      <w:r>
        <w:rPr>
          <w:rtl w:val="true"/>
        </w:rPr>
        <w:t>اشارة</w:t>
      </w:r>
      <w:bookmarkEnd w:id="203"/>
    </w:p>
    <w:p>
      <w:pPr>
        <w:pStyle w:val="BookText"/>
        <w:rPr/>
      </w:pPr>
      <w:r>
        <w:rPr>
          <w:rFonts w:ascii="Amiri" w:hAnsi="Amiri" w:eastAsia="Amiri" w:cs="Amiri"/>
          <w:color w:val="111111"/>
          <w:sz w:val="28"/>
          <w:sz w:val="28"/>
          <w:szCs w:val="28"/>
          <w:rtl w:val="true"/>
          <w:lang w:bidi="ar-SA"/>
        </w:rPr>
        <w:t xml:space="preserve">روى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يحيى، عن سعد بن عبد اللّه، عن يعقوب بن يزيد، عن حماد بن عيسى، عن حريز بن عبد اللّه،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أكرهوا عليه، و ما لا يعلمون و ما لا يطيقون، و ما اضطروا إليه، و الحسد، و الطيرة، و التفكّر في الوسوسة في الخلق ما لم ينطقوا بشفة</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رواه محمد بن أحمد النهدي مرفوعاً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عن أُمّتي تسع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الخطأ، و النسيان، و ما لا يعلمون، و ما لا يطيقون، و ما اضطروا إليه، و ما استكرهوا عليه، و الطيرة، و الوسوسة في التفكّر في الخلق، و الحسد ما لم يظهر بلسان أو يد</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رواة الحديث الأُولى كلهم ثقات، و الرواية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أحمد بن محمد بن يحيى، فهو و إن لم يوثق ظاهراً و لكن المشايخ أرفع من التوثيق فهو من مشايخ الصدوق فهو ثقة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الرواية الثانية مرفوعة، مضافاً إلى انّ محمد بن أحمد النهدي مضطرب فيه، كما ذكره النجاشي في ترجمته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توضيح الاستدلال رهن بيان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الفرق بين الرفع و الدفع هو انّ الأوّل عبارة عن إزالة الشيء بعد</w:t>
      </w:r>
    </w:p>
    <w:p>
      <w:pPr>
        <w:pStyle w:val="BookText"/>
        <w:rPr/>
      </w:pPr>
      <w:r>
        <w:rPr>
          <w:rFonts w:ascii="Amiri" w:hAnsi="Amiri" w:eastAsia="Amiri" w:cs="Amiri"/>
          <w:color w:val="111111"/>
          <w:sz w:val="28"/>
          <w:sz w:val="28"/>
          <w:szCs w:val="28"/>
          <w:rtl w:val="true"/>
          <w:lang w:bidi="ar-SA"/>
        </w:rPr>
        <w:t>وجوده و تحقّقه، كما أنّ الثاني عبارة عن المنع عن تقرر الشيء و تحقّقه بعد وجود مقتضيه،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رَفَعَ السَّماواتِ بِغَيْرِ عَمَدٍ تَرَوْنَها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 فكانت السماء و الأرض ملتصقتين فأزالها عن مكانها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 أي ما له من شيء يمنع عن تحقّقه بعد تعلّق إرادته بالوقوع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فاستعمال الرفع في المقام لأجل تحقّق هذه الأُمور التسعة في صفحة الوجود، فتعلّق الرفع بها باعتبار كونها أُموراً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رفع هذه الأُمور التسعة بعد تحقّقها رفع ادّعائي باعتبار رفع آثارها، فتعلّقت الإرادة الاستعمالية برفع نفس هذه الأُمور التسعة المتحقّقة، و تعلّقت الإرادة الجدية برفع آثارها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نسبة الرفع إلى هذه التسعة مع وجودها يحتاج إلى مصحّح و مسوّغ و إلاّ يلزم الكذب، و ليس الحديث متفرداً في هذا الباب، بل له نظائر،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طلاق إلاّ على 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رهبانية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 هذه الأُمور التي دخلت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موجودة متحقّقة في صحيفة الوجود لكن الشارع أخبر عن عدمها و المصحح لهذا الإخبار هو سلب آثارها، مثلاً لا يترتب على الرضاع بعد الفطام أثر الرضاعة و هكذا، و على ذلك فيلزم تعيين ما هو الأثر المسلوب في هذه التسعة خصوصاً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المهم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تعمّ الحكم و الموضوع المجهولين، لوضوح انّه إذا جهل المكلّف بحكم التدخين، أو جهل بكون المائع</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الفلاني خلاً أو خمراً ، صدق على كلّ منهما انّه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الحديث عاماً حجّة في الشبهة الحكمية و الموضوعية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يتصوّر أنّ الموصول مختص بالموضوع المجهول لا الحكم المجهول، بشهادة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الفقرات التي أعقبته،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أُكرهوا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يطيقون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اضطروا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المراد هو الفعل المكرَه عليه، و العمل الخارج عن الإطاقة، و العمل المضطرّ إليه، فيلزم أن يكون المراد من الموصول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العمل المجهول لا الحكم المجهول، فيختصّ الحديث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الموصولة استعملت في جميع الفقرات في المعنى المبهم، لا في الحكم و لا في الموضوع، و إنّما يعلم السعة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شمولها للحكم و الموضوع المجهولين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اختصاصها بالموضوع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صلتها، و 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 للانطباق على الموضوع و الحكم، دون سائر الفقرات، فإنّها لا تنطبق إلاّ على الفعل، و لا يكون ذلك قرينة على اختصاص الفقرة الأُولى بالشكّ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المرفوع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 في الوسوسة في الخلق ما لم ينطق بشفة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أي حرمة الحسد و الطيرة، و أمّا النسيان و الخطأ المرفوعان في الحديث فيتعلّقان بالحكم و الموضوع معاً، فيصلحان لكلا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الحكم أو الموضوع و مثله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الرفع كما عرفت رفع تشريعي، و المراد منه رفع الموضوع بلحاظ رفع أثره، فحينئذ يقع الكلام في تعيين ما هو الأثر المسلوب الذي صار مصحِّحاً لنسبة الرفع إليها، فهنا أقوال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المرفوع هو المؤاخذة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المرفوع هو الأثر المناسب لكلّ واحد من تلك الفقرات، كالمضرّة في الطيرة، و الكفر في الوسوسة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المرفوع هو جميع الآثار أو الآثار البارزة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الأخير،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مقتضى الإطلاق و عدم التقييد بشيء من المؤاخذة و الأثر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فرض الشيء مرفوعاً في لوح التشريع ينصرف إلى خلوّه عن كلّ أثر و حكم، أو عن الآثار البارزة له</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فلو كان البعض مرفوعاً دون البعض، فلا يطلق عليه أنّه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فالآثار كلّها مرفوعة سواء تعلّق الجهل بالحكم كما في الشبهة الحكمية، أو بالموضوع كما في الشبهة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الشيء بكونه مرفوعاً في صفحة التشريع إنّما يصحّ إذا كان الشيء فاقداً للأثر مطلقاً فيصحّ للقائل أن يقول بأنّه مرفوع، و إلاّ فلو كان البعض مرفوعاً دون بعض لا يصحّ ادّعاء كونه مرفوعاً، من غير فرق بين الآثار التكليفية كحرمة شرب الخمر و وجوب جلد الشارب، أو الوضعية كالجزئية و الشرطية عند الجهل بحكم الجزء و الشرط أو نسيانهما و كالصحة في العقد المكره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 عموم الآثار ما رواه البرقي، عن صفوان بن يحيى و أحمد بن محمد بن أبي نصر البزنطي جميعاً، عن أبي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يُستكره على اليمين فيحلف بالطلاق و العتاق و صدقة ما يملك أ يلزمه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عن أُمّتي ما أُكرهوا عليه و ما لم يطيقوا و ما أخطئوا</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bookmarkStart w:id="204" w:name="pg14687_217229"/>
    </w:p>
    <w:p>
      <w:pPr>
        <w:pStyle w:val="BookText"/>
        <w:rPr/>
      </w:pPr>
      <w:bookmarkEnd w:id="204"/>
      <w:r>
        <w:rPr>
          <w:rFonts w:ascii="Amiri" w:hAnsi="Amiri" w:eastAsia="Amiri" w:cs="Amiri"/>
          <w:color w:val="111111"/>
          <w:sz w:val="28"/>
          <w:sz w:val="28"/>
          <w:szCs w:val="28"/>
          <w:rtl w:val="true"/>
          <w:lang w:bidi="ar-SA"/>
        </w:rPr>
        <w:t>و قد تمسّك الإمام بالحديث على بطلان الطلاق و رفع الصحة، فيكشف عن أنّ الموضوع أعم من المؤاخذة و الحكم التكليفي و الوضعي</w:t>
      </w:r>
      <w:r>
        <w:rPr>
          <w:rFonts w:eastAsia="Amiri" w:cs="Amiri" w:ascii="Amiri" w:hAnsi="Amiri"/>
          <w:color w:val="111111"/>
          <w:sz w:val="28"/>
          <w:szCs w:val="28"/>
          <w:rtl w:val="true"/>
          <w:lang w:bidi="ar-SA"/>
        </w:rPr>
        <w:t>.</w:t>
      </w:r>
    </w:p>
    <w:p>
      <w:pPr>
        <w:pStyle w:val="Heading6"/>
        <w:numPr>
          <w:ilvl w:val="5"/>
          <w:numId w:val="1"/>
        </w:numPr>
        <w:rPr/>
      </w:pPr>
      <w:bookmarkStart w:id="205" w:name="__RefHeading___Toc3433008_1878427129"/>
      <w:bookmarkStart w:id="206" w:name="_Toc75"/>
      <w:bookmarkEnd w:id="205"/>
      <w:r>
        <w:rPr>
          <w:rtl w:val="true"/>
        </w:rPr>
        <w:t>تنبيه</w:t>
      </w:r>
      <w:bookmarkEnd w:id="206"/>
    </w:p>
    <w:p>
      <w:pPr>
        <w:pStyle w:val="BookText"/>
        <w:rPr/>
      </w:pPr>
      <w:r>
        <w:rPr>
          <w:rFonts w:ascii="Amiri" w:hAnsi="Amiri" w:eastAsia="Amiri" w:cs="Amiri"/>
          <w:color w:val="111111"/>
          <w:sz w:val="28"/>
          <w:sz w:val="28"/>
          <w:szCs w:val="28"/>
          <w:rtl w:val="true"/>
          <w:lang w:bidi="ar-SA"/>
        </w:rPr>
        <w:t>المراد من الآثار الموضوعة، هي الآثار المترتبة على المعنون، أي ما تعلّق بالنسيان أو الخطاء أو الجهل، لا آثار هذه العنوانات مثلاً دلّ الدليل الاجتهادي على وجوب سورة تامّة في الصلوات الواجبة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تقرأ في المكتوبة بأقلّ من سورة و لا بأكثر</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و اطلاقه يعم حالتي الذكر و النسيان فالوجوب الضمني ثابت في الحالتين مع قطع النظر عن حديث الرفع و أمّا معه فهو حاكم عليه، حيث يرفع وجوبها في حالة النسيان، و يخصّه بحالة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دلّ على وجوب سجدتي السهو عند نسيان الجزء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تسجد سجدتي السهو في كلّ زيادة و نقصان تدخل عليك أو نقصان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فهو غير مرفوع لأنه أثر نفس النسيان، لا أثر المنسىّ أعني وجوب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إذا قتل إنساناً خطأ، فالمرفوع هو أثر القتل أعني القصاص الوارد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كَتَبْنا عَلَيْهِمْ فِيها أَنَّ النَّفْسَ بِالنَّفْسِ وَ الْعَيْنَ بِالْعَيْنِ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
      </w:r>
      <w:r>
        <w:rPr>
          <w:rFonts w:ascii="Amiri" w:hAnsi="Amiri" w:eastAsia="Amiri" w:cs="Amiri"/>
          <w:color w:val="111111"/>
          <w:sz w:val="28"/>
          <w:sz w:val="28"/>
          <w:szCs w:val="28"/>
          <w:rtl w:val="true"/>
          <w:lang w:bidi="ar-SA"/>
        </w:rPr>
        <w:t>الشامل اطلاقه حالتي العمد و الخطأ</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الأثر المترتّب على عنوان الخطأ كالدية الّتي دلّ عليها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قَتَلَ مُؤْمِناً خَطَأً فَتَحْرِيرُ رَقَبَةٍ مُؤْمِنَةٍ وَ دِيَةٌ مُسَلَّمَةٌ إِلى أَهْلِهِ</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
      </w:r>
      <w:r>
        <w:rPr>
          <w:rFonts w:ascii="Amiri" w:hAnsi="Amiri" w:eastAsia="Amiri" w:cs="Amiri"/>
          <w:color w:val="111111"/>
          <w:sz w:val="28"/>
          <w:sz w:val="28"/>
          <w:szCs w:val="28"/>
          <w:rtl w:val="true"/>
          <w:lang w:bidi="ar-SA"/>
        </w:rPr>
        <w:t>فهي غَيْرُ مرفوعة</w:t>
      </w:r>
      <w:r>
        <w:rPr>
          <w:rFonts w:eastAsia="Amiri" w:cs="Amiri" w:ascii="Amiri" w:hAnsi="Amiri"/>
          <w:color w:val="111111"/>
          <w:sz w:val="28"/>
          <w:szCs w:val="28"/>
          <w:rtl w:val="true"/>
          <w:lang w:bidi="ar-SA"/>
        </w:rPr>
        <w:t xml:space="preserve">. </w:t>
      </w:r>
      <w:bookmarkStart w:id="207" w:name="pg14687_217230"/>
    </w:p>
    <w:p>
      <w:pPr>
        <w:pStyle w:val="Heading6"/>
        <w:numPr>
          <w:ilvl w:val="5"/>
          <w:numId w:val="1"/>
        </w:numPr>
        <w:rPr/>
      </w:pPr>
      <w:bookmarkStart w:id="208" w:name="__RefHeading___Toc3433010_1878427129"/>
      <w:bookmarkStart w:id="209" w:name="_Toc76"/>
      <w:bookmarkEnd w:id="207"/>
      <w:bookmarkEnd w:id="208"/>
      <w:r>
        <w:rPr/>
        <w:t>2</w:t>
      </w:r>
      <w:r>
        <w:rPr>
          <w:rtl w:val="true"/>
        </w:rPr>
        <w:t xml:space="preserve">. </w:t>
      </w:r>
      <w:r>
        <w:rPr>
          <w:rtl w:val="true"/>
        </w:rPr>
        <w:t>مرسلة الصدوق</w:t>
      </w:r>
      <w:bookmarkEnd w:id="209"/>
    </w:p>
    <w:p>
      <w:pPr>
        <w:pStyle w:val="BookText"/>
        <w:rPr/>
      </w:pPr>
      <w:r>
        <w:rPr>
          <w:rFonts w:ascii="Amiri" w:hAnsi="Amiri" w:eastAsia="Amiri" w:cs="Amiri"/>
          <w:color w:val="111111"/>
          <w:sz w:val="28"/>
          <w:sz w:val="28"/>
          <w:szCs w:val="28"/>
          <w:rtl w:val="true"/>
          <w:lang w:bidi="ar-SA"/>
        </w:rPr>
        <w:t xml:space="preserve">روى الصدوق مرسلاً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مطلق حتّى يرد فيه نهي</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و الحديث و إن كان مرسلاً، و لكن الصدوق يُسنده إلى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بصورة جازمة،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يعرب عن يقينه بصدور الحديث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لو قال رُوي عن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الاعتماد على مثله مشكلاً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كيفية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دلّ الحديث على أنّ الأصل في كلّ شيء هو الإطلاق و الإرسال حتى يرد فيه النهي بعنوانه، فإنّ الضمير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الشيء بما هو هو،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أو الرشوة حرام، فما لم يرد النهي عن الشيء بعنوانه يكون محكوماً بالإطلاق و الإرسال، و بما أنّ التدخين لم يرد فيه النهي بعنوانه الأوّلي فهو مطلق، و على هذا فلا يكفي في رفع الإطلاق ورود النهي بعنوانه الثانوي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فاحتط، بل هو باق على إطلاقه حتى يرد النهي فيه بالعنوان الأوّلي، فتكون الشبهات البدوية التي لم يرد النهي فيها بعنوانها الأوّلي محكومة بالإطلاق و 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لو تمّ دليل الأخباري بورود النهي عن ارتكاب الشبهات التحريمية بالعنوان الثانوي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التعارض بينه و بين دليله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قلنا بأنّ المراد من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فيه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الأعم من ورود النهي بعنوانه الأوّلي أو بعنوانه الثانوي، يكون دليل الأخباري مقدّماً عليه، لأنّ الإطلاق في المقام معلّق على عدم ورود النهي مطلقاً، لا بالعنوان الأوّلي و لا الثانوي، و الأخباري يدّعي ورود النهي بعنوانه الثانوي و حصول المعلّق عليه</w:t>
      </w:r>
      <w:r>
        <w:rPr>
          <w:rFonts w:eastAsia="Amiri" w:cs="Amiri" w:ascii="Amiri" w:hAnsi="Amiri"/>
          <w:color w:val="111111"/>
          <w:sz w:val="28"/>
          <w:szCs w:val="28"/>
          <w:rtl w:val="true"/>
          <w:lang w:bidi="ar-SA"/>
        </w:rPr>
        <w:t xml:space="preserve">. </w:t>
      </w:r>
      <w:bookmarkStart w:id="210" w:name="pg14687_217231"/>
    </w:p>
    <w:p>
      <w:pPr>
        <w:pStyle w:val="BookText"/>
        <w:rPr/>
      </w:pPr>
      <w:bookmarkEnd w:id="210"/>
      <w:r>
        <w:rPr>
          <w:rFonts w:ascii="Amiri" w:hAnsi="Amiri" w:eastAsia="Amiri" w:cs="Amiri"/>
          <w:color w:val="111111"/>
          <w:sz w:val="28"/>
          <w:sz w:val="28"/>
          <w:szCs w:val="28"/>
          <w:rtl w:val="true"/>
          <w:lang w:bidi="ar-SA"/>
        </w:rPr>
        <w:t>و لكن تفسير الحديث بهذا النحو الأعم خلاف الظاهر،لأنّ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يرد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يرد النهي في نفس الشيء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تمّ الاستدلال على البراءة بالكتاب العزيز و السنّة المطهّرة، بقي الكلام في الاستدلال عليها بالعقل </w:t>
      </w:r>
      <w:r>
        <w:rPr>
          <w:rFonts w:eastAsia="Amiri" w:cs="Amiri" w:ascii="Amiri" w:hAnsi="Amiri"/>
          <w:color w:val="111111"/>
          <w:sz w:val="28"/>
          <w:szCs w:val="28"/>
          <w:rtl w:val="true"/>
          <w:lang w:bidi="ar-SA"/>
        </w:rPr>
        <w:t>.</w:t>
      </w:r>
    </w:p>
    <w:p>
      <w:pPr>
        <w:pStyle w:val="Heading6"/>
        <w:numPr>
          <w:ilvl w:val="5"/>
          <w:numId w:val="1"/>
        </w:numPr>
        <w:rPr/>
      </w:pPr>
      <w:bookmarkStart w:id="211" w:name="__RefHeading___Toc3433012_1878427129"/>
      <w:bookmarkStart w:id="212" w:name="_Toc77"/>
      <w:bookmarkEnd w:id="211"/>
      <w:r>
        <w:rPr>
          <w:rtl w:val="true"/>
        </w:rPr>
        <w:t>الاستدلال بحكم العقل</w:t>
      </w:r>
      <w:bookmarkEnd w:id="212"/>
    </w:p>
    <w:p>
      <w:pPr>
        <w:pStyle w:val="Heading6"/>
        <w:numPr>
          <w:ilvl w:val="5"/>
          <w:numId w:val="1"/>
        </w:numPr>
        <w:rPr/>
      </w:pPr>
      <w:bookmarkStart w:id="213" w:name="__RefHeading___Toc3433014_1878427129"/>
      <w:bookmarkStart w:id="214" w:name="_Toc78"/>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استدلّ القائل بالبراءة بحكم العقل بقبح العقاب بلا بيان واصل إلى المكلف بعد إعمال العبد ما تقتضيه وظيفتُه من الفحص عن حكم الشبهة و اليأس عن الظفر به في مظانّه، و انّ وجود التكليف في الواقع مع عدم وصوله إلى المكلّف غير كاف في صحّة التعذيب، و انّ وجوده بلا وصول إلى المكلّف كعدمه في عدم ترتب الأثر، و ذلك لأنّ فوت المراد مستند إلى المولى في كلتا الصورتين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لم يكن هناك بيان أصلاً فحاله معلوم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إذا كان هناك بيان صادر من المولى لكنّه غير واصل إلى العبد، فلأنّ الفوت أيضاً مستند إلى المولى إذ في وسعه إيجاب الاحتياط على العبد، في كلّ ما يحتمل وجود التكليف، و مع تركه يكون ترك المراد مستنداً إلى المولى و ذلك لانّه اقتصر في طلب المقصود، بالحكم على الموضوع بالعنوان الواقعي، و لو كان مريداً للتكليف حتى في ظرف الشك فيه و عدم الظفر به بعد الفحص، كان عليه استيفاء مراده بإيجاب التحفّظ، و مع عدمه يحكم العقل بالبراءة و انّ العقاب قبيح، و يشكَّل قياساً 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العقاب على محتمل التكليف بعد الفحص التام و عدم العثور عليه في مظانّه لا بالعنوان الأوّلي و لا بالعنوان الثانوي عقاب بلا بيان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العقاب بلا بيان مطلقاً أمر قبيح</w:t>
      </w:r>
      <w:r>
        <w:rPr>
          <w:rFonts w:eastAsia="Amiri" w:cs="Amiri" w:ascii="Amiri" w:hAnsi="Amiri"/>
          <w:color w:val="111111"/>
          <w:sz w:val="28"/>
          <w:szCs w:val="28"/>
          <w:rtl w:val="true"/>
          <w:lang w:bidi="ar-SA"/>
        </w:rPr>
        <w:t xml:space="preserve">. </w:t>
      </w:r>
      <w:bookmarkStart w:id="215" w:name="pg14687_217232"/>
    </w:p>
    <w:p>
      <w:pPr>
        <w:pStyle w:val="BookText"/>
        <w:rPr/>
      </w:pPr>
      <w:bookmarkEnd w:id="215"/>
      <w:r>
        <w:rPr>
          <w:rFonts w:ascii="Amiri" w:hAnsi="Amiri" w:eastAsia="Amiri" w:cs="Amiri"/>
          <w:color w:val="111111"/>
          <w:sz w:val="28"/>
          <w:sz w:val="28"/>
          <w:szCs w:val="28"/>
          <w:rtl w:val="true"/>
          <w:lang w:bidi="ar-SA"/>
        </w:rPr>
        <w:t>فينتج انّ العقاب على محتمل التكليف أمر قبيح</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3433016_1878427129"/>
      <w:bookmarkStart w:id="217" w:name="_Toc79"/>
      <w:bookmarkEnd w:id="216"/>
      <w:r>
        <w:rPr>
          <w:rtl w:val="true"/>
        </w:rPr>
        <w:t>الإشكال على كبرى البرهان</w:t>
      </w:r>
      <w:bookmarkEnd w:id="217"/>
    </w:p>
    <w:p>
      <w:pPr>
        <w:pStyle w:val="BookText"/>
        <w:rPr/>
      </w:pPr>
      <w:r>
        <w:rPr>
          <w:rFonts w:ascii="Amiri" w:hAnsi="Amiri" w:eastAsia="Amiri" w:cs="Amiri"/>
          <w:color w:val="111111"/>
          <w:sz w:val="28"/>
          <w:sz w:val="28"/>
          <w:szCs w:val="28"/>
          <w:rtl w:val="true"/>
          <w:lang w:bidi="ar-SA"/>
        </w:rPr>
        <w:t xml:space="preserve">ثمّ إنّ السيد الشهيد الصدر قدِّس سرُّه استشكل على كبرى هذا البرهان و أنكر قبح العقاب بلا بيان بتأسيس مسلك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الطاعة 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ندركه بعقولنا انّ مولانا سبحانه و تعالى، له حقّ الطاعة في كلّ ما ينكشف لنا من تكاليفه بالقطع أو بالظن أو بالاحتمال، ما لم يرخص هو نفسه في عدم التحفّظ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فليست منجّزية القطع ثابتة له بما هو قطع بل بما هو انكشاف و انّ أيّ انكشاف، منجِّز، مهما كانت درجته ما لم يحرز ترخيص الشارع نفسه في عدم الاهتمام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كلما كان الانكشاف بدرجة أكبر كانت الإدانة و قبح المخالفة أشد، فالقطع بالتكليف يستتبع لا محالة مرتبة أشدّ من التنجز و الإدانة، لأنّها المرتبة العليا من الانكشاف، و بهذا يظهر انّ القطع لا يتميز عن الظن و الاحتمال في أصل المنجزية، و إنّما يتميز عنهما في عدم إمكان تجريده عن تلك المنجزية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يرخص على خلاف ما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الترخيص في مورده مستحيل، و ليس كذلك في حالات الظن و الاحتمال، فانّ الترخيص الظاهري فيها ممكن لأنّه لا يتطلب أكثر من فرض الشك و الشكّ موجود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صحّ أن يقال بأنّ منجزية القطع غير معلقة بل ثابتة على الإطلاق و انّ منجزية غيره من الظن و الاحتمال معلقة لأنّها مشروطة بعدم إحراز الترخيص الظاهري في ترك التحفظ</w:t>
      </w:r>
      <w:r>
        <w:rPr>
          <w:rFonts w:eastAsia="Amiri" w:cs="Amiri" w:ascii="Amiri" w:hAnsi="Amiri"/>
          <w:color w:val="111111"/>
          <w:sz w:val="28"/>
          <w:szCs w:val="28"/>
          <w:rtl w:val="true"/>
          <w:lang w:bidi="ar-SA"/>
        </w:rPr>
        <w:t xml:space="preserve">. </w:t>
      </w:r>
      <w:r>
        <w:rPr>
          <w:rStyle w:val="FootnoteAnchor"/>
          <w:rtl w:val="true"/>
        </w:rPr>
        <w:footnoteReference w:id="166"/>
      </w:r>
      <w:bookmarkStart w:id="218" w:name="pg14687_217233"/>
    </w:p>
    <w:p>
      <w:pPr>
        <w:pStyle w:val="BookText"/>
        <w:rPr/>
      </w:pPr>
      <w:bookmarkEnd w:id="218"/>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بأنّ احتمال التكليف منجِّز للواقع عند العقل و إن لم يستوف المولى البيان الممكن غير تام، و ذلك لأنّ الاعتمادَ في التعذيب و المؤاخذة على مثل هذا الحكم العقلي، إنّما يصحّ إذا كان ذلك الحكم من الأحكام العقلية الواضحة لدى العقلاء حتى يعتمد عليه المولى سبحانه في التنجيز و التعذيب و لكن المعلوم خلافها إذ لو كان حكماً واضحاً لما أنكره العلماء من غير فرق بين الأُصولي و الأخباري لما ستعرف من أنّ الأخباري لا ينكر الكبرى و إنّما ينكر الصغرى أي عدم البيان و يقول بورود البيان بالعنوان الثانوي كوجوب الاحتياط و التوقّف في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اتفاق العقلاء على قبح العقاب بلا بيان نابع عن حكم العقل بأنّ العبد إذا قام بوظيفته في الوقوف على مقاصد المولى و لم يجد بياناً بأحد العنوانين، يُعدُّ العقاب بحكم وحي الفطرة أمراً قبيحاً و إلاّ يعود بناء العقلاء إلى أمر تعبدي و 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الظاهر من الذكر الحكيم كون المسألة من الأُمور الفطرية حيث يستدلُّ بها الوحي على الناس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كُنّا مُعَذِّبِينَ حَتّى نَبْعَثَ رَسُولاً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و يذكر في آية أُخرى انّه سبحانه أبطل ببعث الرسل، حجّة الكفار و العصاة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أَنّا أَهْلَكْناهُمْ بِعَذابٍ مِنْ قَبْلِهِ لَقالُوا رَبَّنا لَوْ لا أَرْسَلْتَ إِلَيْنا رَسُولاً فَنَتَّبِعَ آياتِكَ مِنْ قَبْلِ أَنْ نَذِلَّ وَ نَخْزى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
      </w:r>
      <w:r>
        <w:rPr>
          <w:rFonts w:ascii="Amiri" w:hAnsi="Amiri" w:eastAsia="Amiri" w:cs="Amiri"/>
          <w:color w:val="111111"/>
          <w:sz w:val="28"/>
          <w:sz w:val="28"/>
          <w:szCs w:val="28"/>
          <w:rtl w:val="true"/>
          <w:lang w:bidi="ar-SA"/>
        </w:rPr>
        <w:t>فتبين بذلك انّ الكبرى من الأحكام الواضحة لدى العقل و العقلاء بشرط التقرير على نحو ما ذكرناه</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3433018_1878427129"/>
      <w:bookmarkStart w:id="220" w:name="_Toc80"/>
      <w:bookmarkEnd w:id="219"/>
      <w:r>
        <w:rPr>
          <w:rtl w:val="true"/>
        </w:rPr>
        <w:t>الإشكال على صغرى البرهان</w:t>
      </w:r>
      <w:bookmarkEnd w:id="220"/>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حال الإشكال على الكبرى، و لكنّ هناك إشكالاً آخر يتوجه إلى </w:t>
      </w:r>
    </w:p>
    <w:p>
      <w:pPr>
        <w:pStyle w:val="BookText"/>
        <w:rPr/>
      </w:pPr>
      <w:r>
        <w:rPr>
          <w:rFonts w:ascii="Amiri" w:hAnsi="Amiri" w:eastAsia="Amiri" w:cs="Amiri"/>
          <w:color w:val="111111"/>
          <w:sz w:val="28"/>
          <w:sz w:val="28"/>
          <w:szCs w:val="28"/>
          <w:rtl w:val="true"/>
          <w:lang w:bidi="ar-SA"/>
        </w:rPr>
        <w:t>الصغرى تعرّض إليه المحقّقون، و حاصل الإشكال انّه يكفي في مقام البيان حكم العقل بوجوب دفع الضرر المحتمل، الموجود في مورد الشبهة التحريمية الحكمية، و يكون شكل القياس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المشتبه التحريمي ضرر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ما فيه ضرر محتمل يلزم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فينتج المشتبه التحريمي يجب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الضرر في القاعدة أحد الأُمور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الأُخروي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الدنيوي الشخصي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العقاب الأُخروي فهو بين قطعيّ الإحراز، و قطعيّ الانتفاء، و ليس هنا ضرر محتمل، فالأوّل كما في مورد العلم الإجمالي بحرمة أحد الأمرين أو وجوبه، فينطبق الكبرى على الصغرى و لذلك أطبق العلماء على وجوب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قطعي الانتفاء كما في المقام، فانّ الضرر بمعنى العقاب قطعي الانتفاء بحكم العقل على قبح العقاب بلا بيان، و مع العلم بعدمه لا يصحّ الاحتجاج بالكبرى المجردة عن الصغرى، و بذلك يعلم انّه لا تعارض بين الكبريين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قبح العقاب بلا 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دفع الضرر المحتمل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لكلّ موضعاً خاصاً، فمورد الأُولى هو الشبهة البدوية، كما أنّ موضع الثانية إنّما هو صورة العلم بالتكليف إجمالاً أو تفصيلاً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يعرب عن أنّ ما اشتهر من ورود القاعدة الأُولى على الثانية أمر غير </w:t>
      </w:r>
      <w:bookmarkStart w:id="221" w:name="pg14687_217235"/>
    </w:p>
    <w:p>
      <w:pPr>
        <w:pStyle w:val="BookText"/>
        <w:rPr/>
      </w:pPr>
      <w:bookmarkEnd w:id="221"/>
      <w:r>
        <w:rPr>
          <w:rFonts w:ascii="Amiri" w:hAnsi="Amiri" w:eastAsia="Amiri" w:cs="Amiri"/>
          <w:color w:val="111111"/>
          <w:sz w:val="28"/>
          <w:sz w:val="28"/>
          <w:szCs w:val="28"/>
          <w:rtl w:val="true"/>
          <w:lang w:bidi="ar-SA"/>
        </w:rPr>
        <w:t>صحيح، فانّ الورود فرع التعارض و لا معارضة بينهما بل كلّ يطلب لنفسه مورداً خاصاً غير ما يطلبه الآخر لنفسه، فمورد قاعدة القبح هو ما إذا لم يكن من المولى أيّ بيان، كما أنّ مورد القاعدة الثانية ما إذا تم البيان و إن جهل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العقاب الأُخروي و أمّا الضرر الدنيوي الشخصي فالإجابة عنه واضحة، لأنّ الأحكام الشرعية لا تدور مدار الضرر أو النفع الشخصيين حتى يكون احتمال الحرمة ملازماً لاحتمال الضرر الشخصي على الجسم و الروح بل الأحكام تابعة لمصالح و مفاسد نوعية، و ربما تكمن المصلحة النوعية في الضرر الشخصي كما في ترك الربا و ترك الظلم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يجتمع الضرر الشخصي مع المفسدة النوعية كشرب المسكر لكنّه ليس ضابطة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انّ في ارتكاب المشتبه احتمالَ ضرر دنيوي لكن إنّما يجب دفعه إذا لم يكن في تجويز الارتكاب مصلحة كما هو المقام، لأنّ في الترخيص دفعَ عسر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المصالح و المفاسد النوعية فحكم الشارع بالبراءة يكشف عن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الأهمية، و إمّا لوجود المصلحة الغالبة على المفسدة الحاصلة</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3433020_1878427129"/>
      <w:bookmarkStart w:id="223" w:name="_Toc81"/>
      <w:bookmarkEnd w:id="222"/>
      <w:r>
        <w:rPr>
          <w:rtl w:val="true"/>
        </w:rPr>
        <w:t>أدلة الأخباري على وجوب الاحتياط</w:t>
      </w:r>
      <w:bookmarkEnd w:id="22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الأخباري على وجوب الاحتياط في الشبهات الحكمية التحريمية بالأدلة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العقل، و بما انّا استقصينا ذكر أدلّتهم و أجوبتها في الموجز فلا حاجة إلى التكرار</w:t>
      </w:r>
      <w:r>
        <w:rPr>
          <w:rFonts w:eastAsia="Amiri" w:cs="Amiri" w:ascii="Amiri" w:hAnsi="Amiri"/>
          <w:color w:val="111111"/>
          <w:sz w:val="28"/>
          <w:szCs w:val="28"/>
          <w:rtl w:val="true"/>
          <w:lang w:bidi="ar-SA"/>
        </w:rPr>
        <w:t xml:space="preserve">. </w:t>
      </w:r>
      <w:r>
        <w:rPr>
          <w:rStyle w:val="FootnoteAnchor"/>
          <w:rtl w:val="true"/>
        </w:rPr>
        <w:footnoteReference w:id="171"/>
      </w:r>
      <w:bookmarkStart w:id="224" w:name="pg14687_217236"/>
    </w:p>
    <w:p>
      <w:pPr>
        <w:pStyle w:val="Heading5"/>
        <w:numPr>
          <w:ilvl w:val="4"/>
          <w:numId w:val="1"/>
        </w:numPr>
        <w:rPr/>
      </w:pPr>
      <w:bookmarkStart w:id="225" w:name="__RefHeading___Toc3433022_1878427129"/>
      <w:bookmarkStart w:id="226" w:name="_Toc82"/>
      <w:bookmarkEnd w:id="224"/>
      <w:bookmarkEnd w:id="225"/>
      <w:r>
        <w:rPr>
          <w:rtl w:val="true"/>
        </w:rPr>
        <w:t>تنبيهات</w:t>
      </w:r>
      <w:bookmarkEnd w:id="226"/>
    </w:p>
    <w:p>
      <w:pPr>
        <w:pStyle w:val="Heading6"/>
        <w:numPr>
          <w:ilvl w:val="5"/>
          <w:numId w:val="1"/>
        </w:numPr>
        <w:rPr/>
      </w:pPr>
      <w:bookmarkStart w:id="227" w:name="__RefHeading___Toc3433024_1878427129"/>
      <w:bookmarkStart w:id="228" w:name="_Toc83"/>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إنّ في المقام أُموراً يلزم التنبيه عليها، لأنّ لها دوراً هاماً في استنباط الأحكام</w:t>
      </w:r>
      <w:r>
        <w:rPr>
          <w:rFonts w:eastAsia="Amiri" w:cs="Amiri" w:ascii="Amiri" w:hAnsi="Amiri"/>
          <w:color w:val="111111"/>
          <w:sz w:val="28"/>
          <w:szCs w:val="28"/>
          <w:rtl w:val="true"/>
          <w:lang w:bidi="ar-SA"/>
        </w:rPr>
        <w:t>.</w:t>
      </w:r>
    </w:p>
    <w:p>
      <w:pPr>
        <w:pStyle w:val="Heading6"/>
        <w:numPr>
          <w:ilvl w:val="5"/>
          <w:numId w:val="1"/>
        </w:numPr>
        <w:rPr/>
      </w:pPr>
      <w:bookmarkStart w:id="229" w:name="__RefHeading___Toc3433026_1878427129"/>
      <w:bookmarkStart w:id="230" w:name="_Toc84"/>
      <w:bookmarkEnd w:id="229"/>
      <w:r>
        <w:rPr>
          <w:rtl w:val="true"/>
        </w:rPr>
        <w:t>التنبيه الأوّل</w:t>
      </w:r>
      <w:r>
        <w:rPr>
          <w:rtl w:val="true"/>
        </w:rPr>
        <w:t xml:space="preserve">: </w:t>
      </w:r>
      <w:r>
        <w:rPr>
          <w:rtl w:val="true"/>
        </w:rPr>
        <w:t>في حكومة الأصل الموضوعي على البراءة و الحلية</w:t>
      </w:r>
      <w:bookmarkEnd w:id="230"/>
    </w:p>
    <w:p>
      <w:pPr>
        <w:pStyle w:val="BookText"/>
        <w:rPr/>
      </w:pPr>
      <w:r>
        <w:rPr>
          <w:rFonts w:ascii="Amiri" w:hAnsi="Amiri" w:eastAsia="Amiri" w:cs="Amiri"/>
          <w:color w:val="111111"/>
          <w:sz w:val="28"/>
          <w:sz w:val="28"/>
          <w:szCs w:val="28"/>
          <w:rtl w:val="true"/>
          <w:lang w:bidi="ar-SA"/>
        </w:rPr>
        <w:t>من المعروف انّ الأُصول الموضوعية التي تجري في الموضوع و تُنقّح حاله مقدمة على الأُصول الحكمية كأصالة البراءة و الحلّية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البراءة العقلية هو عدم البيان، و موضوع البراءة الشرعية هو الشكّ في الحكم الشرعي، فلو كان هناك أصل آخر يصلح لأن يكون بياناً أو رافعاً للشكّ تعبّداً فلا يبقى موضوع لأصل البراءة، و لهذا اشتهر أنّ الأصل المنقِّح للموضوع، حاكم على أصل البراءة، أو أصالة الحلّية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شككنا في تذكية حيوان على النحو الوارد في الشرع فمقتضى الأصل الحكمي هو الحليّة، لدخوله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انّه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لكنّه محكوم بأصل موضوعيّ آخر أعني أصالة عدم التذكية، و هو أصل موضوعي ينقِّح حال الموضوع، و يُحرِز انّه غير مذكى، و بطبع الحال يكون محرّماً لا حلالاً، و هذا الأصل عبارة عن استصحاب عدم التذكية، لأنّه حينما كان حيّاً لم يكن مذكى، و بعد زهوق روحه نشكّ في تذكيته، فاستصحاب عدم التذكية مقدّم على أصالة الحل، و ذلك لأنّ الشكّ في الحليّة مُسَبب عن الجهل بحال الموضوع و أنّه هل وردت عليه التذكية أو لا؟ فإذا ثبت حال الحيوان بالاستصحاب، و حكم عليه بعدم التذكية، لا يبقى الشكّ في حرمته، و هذا ما يعبر عنه بتعبيرين</w:t>
      </w:r>
      <w:r>
        <w:rPr>
          <w:rFonts w:eastAsia="Amiri" w:cs="Amiri" w:ascii="Amiri" w:hAnsi="Amiri"/>
          <w:color w:val="111111"/>
          <w:sz w:val="28"/>
          <w:szCs w:val="28"/>
          <w:rtl w:val="true"/>
          <w:lang w:bidi="ar-SA"/>
        </w:rPr>
        <w:t xml:space="preserve">: </w:t>
      </w:r>
      <w:bookmarkStart w:id="231" w:name="pg14687_217237"/>
    </w:p>
    <w:p>
      <w:pPr>
        <w:pStyle w:val="BookText"/>
        <w:rPr/>
      </w:pPr>
      <w:bookmarkEnd w:id="231"/>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الأصل الموضوعي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التذكية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 الحكمي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حكومة الأصل السببي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الأصل المسببي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دلالة الدليل الاجتهادي على جواز مسّ المرأة بعد النقاء و قبل الاغتسال، و لكن وقع الشكّ في حصول النقاء، فاستصحاب كونها حائضاً حاكم على أصالة الحلية لأنّه بيان، فيرتفع موضوع البراءة العقلية، و رافع أيضاً للشك في الظاهر فيكون رافعاً لموضوع البراءة الشرعية</w:t>
      </w:r>
      <w:r>
        <w:rPr>
          <w:rFonts w:eastAsia="Amiri" w:cs="Amiri" w:ascii="Amiri" w:hAnsi="Amiri"/>
          <w:color w:val="111111"/>
          <w:sz w:val="28"/>
          <w:szCs w:val="28"/>
          <w:rtl w:val="true"/>
          <w:lang w:bidi="ar-SA"/>
        </w:rPr>
        <w:t>.</w:t>
      </w:r>
    </w:p>
    <w:p>
      <w:pPr>
        <w:pStyle w:val="Heading6"/>
        <w:numPr>
          <w:ilvl w:val="5"/>
          <w:numId w:val="1"/>
        </w:numPr>
        <w:rPr/>
      </w:pPr>
      <w:bookmarkStart w:id="232" w:name="__RefHeading___Toc3433028_1878427129"/>
      <w:bookmarkStart w:id="233" w:name="_Toc85"/>
      <w:bookmarkEnd w:id="232"/>
      <w:r>
        <w:rPr>
          <w:rtl w:val="true"/>
        </w:rPr>
        <w:t>التنبيه الثاني</w:t>
      </w:r>
      <w:r>
        <w:rPr>
          <w:rtl w:val="true"/>
        </w:rPr>
        <w:t xml:space="preserve">: </w:t>
      </w:r>
      <w:r>
        <w:rPr>
          <w:rtl w:val="true"/>
        </w:rPr>
        <w:t>في حسن الاحتياط</w:t>
      </w:r>
      <w:bookmarkEnd w:id="233"/>
    </w:p>
    <w:p>
      <w:pPr>
        <w:pStyle w:val="BookText"/>
        <w:rPr/>
      </w:pPr>
      <w:r>
        <w:rPr>
          <w:rFonts w:ascii="Amiri" w:hAnsi="Amiri" w:eastAsia="Amiri" w:cs="Amiri"/>
          <w:color w:val="111111"/>
          <w:sz w:val="28"/>
          <w:sz w:val="28"/>
          <w:szCs w:val="28"/>
          <w:rtl w:val="true"/>
          <w:lang w:bidi="ar-SA"/>
        </w:rPr>
        <w:t>لا شكّ في حسن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لا يخل بالنظام عقلاً، أو لا ينجرّ إلى العسر و الحرج شرعاً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 الظاهر من الشيخ الأعظم اتّفاق الفقهاء على لزوم الاحتياط في الموارد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النفوس، و الأعراض، و الأموال مطلقاً، فيجب الاحتياط لكون المحتمل ذا أهميّة حتّى و إن كان الاحتمال ضعيفاً، مع كون الشبهة موضوعية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اتّفاقهم على وجوب الاحتياط فيها مبنيّ على قاعدة مضى الإيعاز إليها في مبحث العام و الخاص </w:t>
      </w:r>
      <w:r>
        <w:rPr>
          <w:rStyle w:val="FootnoteAnchor"/>
          <w:rtl w:val="true"/>
        </w:rPr>
        <w:footnoteReference w:id="172"/>
      </w:r>
      <w:r>
        <w:rPr>
          <w:rFonts w:ascii="Amiri" w:hAnsi="Amiri" w:eastAsia="Amiri" w:cs="Amiri"/>
          <w:color w:val="111111"/>
          <w:sz w:val="28"/>
          <w:sz w:val="28"/>
          <w:szCs w:val="28"/>
          <w:rtl w:val="true"/>
          <w:lang w:bidi="ar-SA"/>
        </w:rPr>
        <w:t>و هي انّ كلّ موضوع كانت الحرمة و الفساد هو الحكم الأصلي فيه، يجب الاجتناب عنه حتى في الشبهة الموضوعية، و لذلك حكم الفقهاء بالاحتياط وراء الموارد الثلاثة أيضاً، كما إذا ترددت المرأة بين كونها ممّن يجوز النظر إليها أو غيرها، أو تردّد بيع الوقف بين احتمال وجود المسوِّغ فيه و عدمه، أو تردّد تصرف غير الولي في مال اليتيم بين وجود الغبطة فيه، و عدمه، ففي هذه الموارد يحمل على الحرمة و الفساد، لأنّ طبيعة الموضوع تقتضي الحرمة و الفساد إلاّ ما خرج بالدليل</w:t>
      </w:r>
      <w:r>
        <w:rPr>
          <w:rFonts w:eastAsia="Amiri" w:cs="Amiri" w:ascii="Amiri" w:hAnsi="Amiri"/>
          <w:color w:val="111111"/>
          <w:sz w:val="28"/>
          <w:szCs w:val="28"/>
          <w:rtl w:val="true"/>
          <w:lang w:bidi="ar-SA"/>
        </w:rPr>
        <w:t xml:space="preserve">. </w:t>
      </w:r>
      <w:bookmarkStart w:id="234" w:name="pg14687_217238"/>
    </w:p>
    <w:p>
      <w:pPr>
        <w:pStyle w:val="Heading6"/>
        <w:numPr>
          <w:ilvl w:val="5"/>
          <w:numId w:val="1"/>
        </w:numPr>
        <w:rPr/>
      </w:pPr>
      <w:bookmarkStart w:id="235" w:name="__RefHeading___Toc3433030_1878427129"/>
      <w:bookmarkStart w:id="236" w:name="_Toc86"/>
      <w:bookmarkEnd w:id="234"/>
      <w:bookmarkEnd w:id="235"/>
      <w:r>
        <w:rPr>
          <w:rtl w:val="true"/>
        </w:rPr>
        <w:t>التنبيه الثالث</w:t>
      </w:r>
      <w:r>
        <w:rPr>
          <w:rtl w:val="true"/>
        </w:rPr>
        <w:t xml:space="preserve">: </w:t>
      </w:r>
      <w:r>
        <w:rPr>
          <w:rtl w:val="true"/>
        </w:rPr>
        <w:t>قاعدة التسامح في أدلّة السنن</w:t>
      </w:r>
      <w:bookmarkEnd w:id="236"/>
    </w:p>
    <w:p>
      <w:pPr>
        <w:pStyle w:val="Heading6"/>
        <w:numPr>
          <w:ilvl w:val="5"/>
          <w:numId w:val="1"/>
        </w:numPr>
        <w:rPr/>
      </w:pPr>
      <w:bookmarkStart w:id="237" w:name="__RefHeading___Toc3433032_1878427129"/>
      <w:bookmarkStart w:id="238" w:name="_Toc87"/>
      <w:bookmarkEnd w:id="237"/>
      <w:r>
        <w:rPr>
          <w:rtl w:val="true"/>
        </w:rPr>
        <w:t>اشارة</w:t>
      </w:r>
      <w:bookmarkEnd w:id="238"/>
    </w:p>
    <w:p>
      <w:pPr>
        <w:pStyle w:val="BookText"/>
        <w:rPr/>
      </w:pPr>
      <w:r>
        <w:rPr>
          <w:rFonts w:ascii="Amiri" w:hAnsi="Amiri" w:eastAsia="Amiri" w:cs="Amiri"/>
          <w:color w:val="111111"/>
          <w:sz w:val="28"/>
          <w:sz w:val="28"/>
          <w:szCs w:val="28"/>
          <w:rtl w:val="true"/>
          <w:lang w:bidi="ar-SA"/>
        </w:rPr>
        <w:t xml:space="preserve">اشتهر بين الأصحاب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التسامح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منها انّه لا يعتبر في ثبوتها و العمل بها ما يشترط في ثبوت غيرها كالواجبات و المحرمات من كون الراوي ثقة، ضابطاً، بل يكفي وروده و لو عن طريق ضعيف، و المسألة معنونة في كلمات الفريقين، غير انّ أهل السنة يعبِّرون عن المسألة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بالخبر الضعيف في فضائل الأعمال</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و قد ورد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 متعددة في ذلك المضمار و ربما يناهز عددها إلى خمسة بعد توحيد بعضها مع بعض</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و قد اختلفت كلمة الأُصوليّين في تفسير هذه الروايات، و نحن نذكر بعض الروايات ثمّ نبحث في مدلولها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 بسند صحيح عن ابن أبي عمير، عن حسن بن سالم،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شيئاً من الثواب على شيء فصنعه كان له، و إن لم يكن على ما 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البرقي عن هشام بن سالم بمتن آخر و هو</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بلغه عن النبي شيء من الثواب فعمله كان أجر ذلك له و إن 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يقله</w:t>
      </w:r>
      <w:r>
        <w:rPr>
          <w:rFonts w:eastAsia="Amiri" w:cs="Amiri" w:ascii="Amiri" w:hAnsi="Amiri"/>
          <w:color w:val="111111"/>
          <w:sz w:val="28"/>
          <w:szCs w:val="28"/>
          <w:rtl w:val="true"/>
          <w:lang w:bidi="ar-SA"/>
        </w:rPr>
        <w:t xml:space="preserve">«. </w:t>
      </w:r>
      <w:bookmarkStart w:id="239" w:name="pg14687_217239"/>
    </w:p>
    <w:p>
      <w:pPr>
        <w:pStyle w:val="BookText"/>
        <w:rPr/>
      </w:pPr>
      <w:bookmarkEnd w:id="23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صفوان،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 على شيء من الخير فعمل به كان له أجر ذلك و إن كان رسول اللّه لم يقله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الشيخ الأنصاري إلى أنّ هذه الأخبار لا تدلّ إلاّ على ثبوت الأجر للعامل و لا يدلّ على استحباب نفس العمل، و بالتالي لا يمكن تصحيح العمل العبادي المردد بين الاستحباب و غير الوجوب، بهذه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صاحب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مفادها هو انّه لا يعتبر في الخبر الوارد في المستحبات ما يشترط فيما دلّ على الحكم الإلزامي، و يكون مفاد هذه الأخبار إضفاء الحجية للخبر الضعيف في مجال خاص و بالتالي بكون الفعل مستحباً بالذات، مضافاً إلى ترتب الثواب</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الحقّ مع النظرية الأُولى، لأنّ لسانها غير لسان إعطاء الحجية للخبر الضعيف، و ذلك لأنّ لسان الحجية هو إلغاء احتمال الخلاف و البناء على أنّ مؤدّى الطريق هو الواقع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،لا الأخذ به مع احتمال عدم ثبوت المؤدّى في الواقع كما هو الحال في روايات هذا الباب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كان رسول اللّه لم يقله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فهذا اللسان غير مناسب لإعطاء الحجية و لا يصلح لها</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3433034_1878427129"/>
      <w:bookmarkStart w:id="241" w:name="_Toc88"/>
      <w:bookmarkEnd w:id="240"/>
      <w:r>
        <w:rPr>
          <w:rtl w:val="true"/>
        </w:rPr>
        <w:t>ثمرات القاعدة</w:t>
      </w:r>
      <w:bookmarkEnd w:id="241"/>
    </w:p>
    <w:p>
      <w:pPr>
        <w:pStyle w:val="BookText"/>
        <w:rPr/>
      </w:pPr>
      <w:r>
        <w:rPr>
          <w:rFonts w:ascii="Amiri" w:hAnsi="Amiri" w:eastAsia="Amiri" w:cs="Amiri"/>
          <w:color w:val="111111"/>
          <w:sz w:val="28"/>
          <w:sz w:val="28"/>
          <w:szCs w:val="28"/>
          <w:rtl w:val="true"/>
          <w:lang w:bidi="ar-SA"/>
        </w:rPr>
        <w:t>و تظهر الثمرة في عدّة موارد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ورد خبر غير معتبر بالأمر بالوضوء في وقت خاص كدخول المسجد،</w:t>
      </w:r>
    </w:p>
    <w:p>
      <w:pPr>
        <w:pStyle w:val="BookText"/>
        <w:rPr/>
      </w:pPr>
      <w:r>
        <w:rPr>
          <w:rFonts w:ascii="Amiri" w:hAnsi="Amiri" w:eastAsia="Amiri" w:cs="Amiri"/>
          <w:color w:val="111111"/>
          <w:sz w:val="28"/>
          <w:sz w:val="28"/>
          <w:szCs w:val="28"/>
          <w:rtl w:val="true"/>
          <w:lang w:bidi="ar-SA"/>
        </w:rPr>
        <w:t>فعلى القول الأوّل لا يترتب عليه إلاّ الثواب، و على الثاني يعامل معه معاملة المستحب بالذات فيكون رافعاً للحدث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ورد خبر ضعيف يدل على استحباب غسل اللحية المسترسلة، فلو قلنا باستفادة الاستحباب يجوز المسح ببلله إذا جفّت يده، دون ما إذا قلنا بالنظرية الأُولى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هذه الثمرات نظر ذكرناه في محاضراتنا الأُصولية</w:t>
      </w:r>
      <w:r>
        <w:rPr>
          <w:rFonts w:eastAsia="Amiri" w:cs="Amiri" w:ascii="Amiri" w:hAnsi="Amiri"/>
          <w:color w:val="111111"/>
          <w:sz w:val="28"/>
          <w:szCs w:val="28"/>
          <w:rtl w:val="true"/>
          <w:lang w:bidi="ar-SA"/>
        </w:rPr>
        <w:t xml:space="preserve">. </w:t>
      </w:r>
      <w:r>
        <w:rPr>
          <w:rStyle w:val="FootnoteAnchor"/>
        </w:rPr>
        <w:footnoteReference w:id="177"/>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42" w:name="pg14687_217241"/>
    </w:p>
    <w:p>
      <w:pPr>
        <w:pStyle w:val="Heading4"/>
        <w:numPr>
          <w:ilvl w:val="3"/>
          <w:numId w:val="1"/>
        </w:numPr>
        <w:rPr/>
      </w:pPr>
      <w:bookmarkStart w:id="243" w:name="__RefHeading___Toc3433036_1878427129"/>
      <w:bookmarkStart w:id="244" w:name="_Toc89"/>
      <w:bookmarkEnd w:id="242"/>
      <w:bookmarkEnd w:id="243"/>
      <w:r>
        <w:rPr>
          <w:rtl w:val="true"/>
        </w:rPr>
        <w:t>الأصل الثاني</w:t>
      </w:r>
      <w:r>
        <w:rPr>
          <w:rtl w:val="true"/>
        </w:rPr>
        <w:t xml:space="preserve">: </w:t>
      </w:r>
      <w:r>
        <w:rPr>
          <w:rtl w:val="true"/>
        </w:rPr>
        <w:t>أصالة التخيير</w:t>
      </w:r>
      <w:bookmarkEnd w:id="244"/>
    </w:p>
    <w:p>
      <w:pPr>
        <w:pStyle w:val="Heading5"/>
        <w:numPr>
          <w:ilvl w:val="4"/>
          <w:numId w:val="1"/>
        </w:numPr>
        <w:rPr/>
      </w:pPr>
      <w:bookmarkStart w:id="245" w:name="__RefHeading___Toc3433038_1878427129"/>
      <w:bookmarkStart w:id="246" w:name="_Toc90"/>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و قبل الخوض في المقصود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الواجب على علماء الأُصول المتأخرين عقد فصل خاص لأصالة التخيير كبقية الأُصول العملية غير انّهم بحثوا قسماً منه في أصالة البراءة و قسماً آخر في أصالة الاحتياط، و صار ذلك سبباً لغموض البحث و عدم وقوف الطالب على مجرى أصالة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الميزان في جريان أصالة التخيير هو عدم إمكان الاحتياط، أعني الموافقة القطعية، سواء أ كانت المخالفة القطعية أيضاً ممتنعة كما في دوران الأمر بين الوجوب و الحرمة في واقعة واحدة، كشرب مائع مردد بين الحلف على فعله أو تركه في ليلة واحدة، أو كانت ممكنة كتردده بينهما مع تعدد الواقعة ككل ليلة جمعة إلى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دوران الأمر بين المحذورين يجتمع تارة مع الشكّ في التكليف إذا كان نوعه مجهولاً، و مع الشكّ في المكلف به إذا كان نوعه معلوماً و المتعلّق مردداً بين أمرين غير قابلين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كتردد العبادة في أيام الاستظهار بين كونها واجبة أو محرمة، فهنا تكليف واحد مجهول نوعه، فلو كانت المرأة حائضاً فنوع التكليف هو الحرمة و لو كانت مستحاضة فنوع التكليف هو الوجوب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أنّ واحدة من الصلاتين واجبة و أُخرى محرمة، و تردد </w:t>
      </w:r>
      <w:bookmarkStart w:id="247" w:name="pg14687_217242"/>
    </w:p>
    <w:p>
      <w:pPr>
        <w:pStyle w:val="BookText"/>
        <w:rPr/>
      </w:pPr>
      <w:bookmarkEnd w:id="247"/>
      <w:r>
        <w:rPr>
          <w:rFonts w:ascii="Amiri" w:hAnsi="Amiri" w:eastAsia="Amiri" w:cs="Amiri"/>
          <w:color w:val="111111"/>
          <w:sz w:val="28"/>
          <w:sz w:val="28"/>
          <w:szCs w:val="28"/>
          <w:rtl w:val="true"/>
          <w:lang w:bidi="ar-SA"/>
        </w:rPr>
        <w:t>أمرهما بين الظهر و الجمعة، فالنوع هنا معلوم و هو انّ هنا واجباً و محرماً، غير انّ الموضوع مردد بين الجمعة و الظهر، فالجامع لكلا القسمين عدم امكان الموافقة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ذكروا ما إذا كان نوع التكليف مجهولاً كدوران الأمر بين محذورين في باب البراءة، كما ذكروا ما إذا كان نوعه معلوماً و المتعلّق مردداً في باب الاشتغال، و صار ذلك سبباً لغموض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عقدنا لهذا الأصل عنواناً مستقلاً و أوردنا الجميع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الكلام يقع في مقامات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مع الجهل بنوع التكليف التوصلي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مع الجهل بنوع التكليف التعبدي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الأمر بين المحذورين مع العلم بنوع التكليف و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الكلام في كلّ واحد منها</w:t>
      </w:r>
      <w:r>
        <w:rPr>
          <w:rFonts w:eastAsia="Amiri" w:cs="Amiri" w:ascii="Amiri" w:hAnsi="Amiri"/>
          <w:color w:val="111111"/>
          <w:sz w:val="28"/>
          <w:szCs w:val="28"/>
          <w:rtl w:val="true"/>
          <w:lang w:bidi="ar-SA"/>
        </w:rPr>
        <w:t>.</w:t>
      </w:r>
    </w:p>
    <w:p>
      <w:pPr>
        <w:pStyle w:val="Heading5"/>
        <w:numPr>
          <w:ilvl w:val="4"/>
          <w:numId w:val="1"/>
        </w:numPr>
        <w:rPr/>
      </w:pPr>
      <w:bookmarkStart w:id="248" w:name="__RefHeading___Toc3433040_1878427129"/>
      <w:bookmarkStart w:id="249" w:name="_Toc91"/>
      <w:bookmarkEnd w:id="248"/>
      <w:r>
        <w:rPr>
          <w:rtl w:val="true"/>
        </w:rPr>
        <w:t>المقام الأوّل</w:t>
      </w:r>
      <w:r>
        <w:rPr>
          <w:rtl w:val="true"/>
        </w:rPr>
        <w:t xml:space="preserve">: </w:t>
      </w:r>
      <w:r>
        <w:rPr>
          <w:rtl w:val="true"/>
        </w:rPr>
        <w:t>دوران الأمر بين المحذورين مع الجهل بنوع الحكم التوصلي</w:t>
      </w:r>
      <w:bookmarkEnd w:id="249"/>
    </w:p>
    <w:p>
      <w:pPr>
        <w:pStyle w:val="BookText"/>
        <w:rPr/>
      </w:pPr>
      <w:r>
        <w:rPr>
          <w:rFonts w:ascii="Amiri" w:hAnsi="Amiri" w:eastAsia="Amiri" w:cs="Amiri"/>
          <w:color w:val="111111"/>
          <w:sz w:val="28"/>
          <w:sz w:val="28"/>
          <w:szCs w:val="28"/>
          <w:rtl w:val="true"/>
          <w:lang w:bidi="ar-SA"/>
        </w:rPr>
        <w:t>إذا دار أمر التكليف بين المحذورين، كما إذا علم إجمالاً بوجوب قتل إنسان أو حرمته، و منشأ التردد كونه مجهول الهوية، فهو دائر بين كونه مؤمناً أو محارباً، فعلى الأوّل يحرم قتله، و على الثاني يجب، فأمر القتل دائر بين الحرمة و الوجوب، و لكن الحكم الواقعي الأعم من الوجوب و الحرمة على فرض ثبوته ، توصلي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إذا كانت الشبهة موضوعية، و ربما تكون الشبهة حكمية كالولاية عن الجائر لدفع الظلامة عن الناس، فقالت طائفة بالحرمة، لأنّها إعانة للظالم، </w:t>
      </w:r>
      <w:bookmarkStart w:id="250" w:name="pg14687_217243"/>
    </w:p>
    <w:p>
      <w:pPr>
        <w:pStyle w:val="BookText"/>
        <w:rPr/>
      </w:pPr>
      <w:bookmarkEnd w:id="250"/>
      <w:r>
        <w:rPr>
          <w:rFonts w:ascii="Amiri" w:hAnsi="Amiri" w:eastAsia="Amiri" w:cs="Amiri"/>
          <w:color w:val="111111"/>
          <w:sz w:val="28"/>
          <w:sz w:val="28"/>
          <w:szCs w:val="28"/>
          <w:rtl w:val="true"/>
          <w:lang w:bidi="ar-SA"/>
        </w:rPr>
        <w:t>و أُخرى بالوجوب لأنّ فيها التمكّن من الأمر بالمعروف و النهي عن المنكر حسب المقدرة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المخالفة و الموافقة القطعيتين غير ممكنة و المكلّف مخيّر تكويناً بين الفعل و الترك، لكن يقع الكلام في الحكم الظاهري و الأصل الجاري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 المقام محكوم بالبراءة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كلاًّ من الوجوب و الحرمة مجهولان فيقبح المؤاخذة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فلعموم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ما لا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تجري أصالة الإباحة المستفادة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حلال حتّى تعلم أنّه حرام، و ذلك لأنّ أصالة الإباحة بمدلولها المطابقي تنافي المعلوم بالإجمال لأنّ مفاد أصالة الإباحة الرخصة في الفعل و الترك و ذلك يناقض العلم بالإلزام، و هو لا يجتمع مع جعل الإباحة و لو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أحد الأقوال في الحكم الظاهري، و هناك أقوال أُخرى تطلب من محالها</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3433042_1878427129"/>
      <w:bookmarkStart w:id="252" w:name="_Toc92"/>
      <w:bookmarkEnd w:id="251"/>
      <w:r>
        <w:rPr>
          <w:rtl w:val="true"/>
        </w:rPr>
        <w:t>المقام الثاني</w:t>
      </w:r>
      <w:r>
        <w:rPr>
          <w:rtl w:val="true"/>
        </w:rPr>
        <w:t xml:space="preserve">: </w:t>
      </w:r>
      <w:r>
        <w:rPr>
          <w:rtl w:val="true"/>
        </w:rPr>
        <w:t>دوران الأمر بين المحذورين مع الجهل بنوع التكليف التعبدي</w:t>
      </w:r>
      <w:bookmarkEnd w:id="25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أحد الحكمين أو كلاهما تعبديّين كصلاة المرأة في أيام الاستظهار، فلو كانت حائضاً حرمت العبادة حرمة توصلية، و أمّا إذا كانت طاهراً وجبت الصلاة وجوباً تعبدياً، فلا تجري هنا البراءتان العقلية و النقلية لاستلزام الجريان المخالفة القطعيّة، للفرق بين المقام و ما قبله، ففي المقام السابق كانت الموافقة القطعيةَ كالمخالفة القطعية ممتنعة، و أمّا في المقام فالموافقة القطعية و إن كانت ممتنعة لكن المخالفة القطعية ممكنة، فلو صلت بلا نيّة القربة معتمدة على جريان البراءة من الوجوب و الحرمة فقد أتت بالمبغوض إذ لو كانت طاهرة فصلاتها </w:t>
      </w:r>
      <w:bookmarkStart w:id="253" w:name="pg14687_217244"/>
    </w:p>
    <w:p>
      <w:pPr>
        <w:pStyle w:val="BookText"/>
        <w:rPr/>
      </w:pPr>
      <w:bookmarkEnd w:id="253"/>
      <w:r>
        <w:rPr>
          <w:rFonts w:ascii="Amiri" w:hAnsi="Amiri" w:eastAsia="Amiri" w:cs="Amiri"/>
          <w:color w:val="111111"/>
          <w:sz w:val="28"/>
          <w:sz w:val="28"/>
          <w:szCs w:val="28"/>
          <w:rtl w:val="true"/>
          <w:lang w:bidi="ar-SA"/>
        </w:rPr>
        <w:t>باطلة، و لو كانت حائضاً فقد ارتكبت الحرام بناء على أنّ صورة العبادة محرمة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فالمرجع هو أصالة التخيير إمّا الإتيان بالصلاة مع قصد القربة أو تركها أصلاً، و الميزان في جريان أصالة التخيير هو امتناع الموافقة القطعية سواء أمكنت المخالفة القطعية كما في المقام أو لا كما في المقام السابق</w:t>
      </w:r>
      <w:r>
        <w:rPr>
          <w:rFonts w:eastAsia="Amiri" w:cs="Amiri" w:ascii="Amiri" w:hAnsi="Amiri"/>
          <w:color w:val="111111"/>
          <w:sz w:val="28"/>
          <w:szCs w:val="28"/>
          <w:rtl w:val="true"/>
          <w:lang w:bidi="ar-SA"/>
        </w:rPr>
        <w:t>.</w:t>
      </w:r>
    </w:p>
    <w:p>
      <w:pPr>
        <w:pStyle w:val="Heading5"/>
        <w:numPr>
          <w:ilvl w:val="4"/>
          <w:numId w:val="1"/>
        </w:numPr>
        <w:rPr/>
      </w:pPr>
      <w:bookmarkStart w:id="254" w:name="__RefHeading___Toc3433044_1878427129"/>
      <w:bookmarkStart w:id="255" w:name="_Toc93"/>
      <w:bookmarkEnd w:id="254"/>
      <w:r>
        <w:rPr>
          <w:rtl w:val="true"/>
        </w:rPr>
        <w:t>المقام الثالث</w:t>
      </w:r>
      <w:r>
        <w:rPr>
          <w:rtl w:val="true"/>
        </w:rPr>
        <w:t>:</w:t>
      </w:r>
      <w:r>
        <w:rPr>
          <w:rtl w:val="true"/>
        </w:rPr>
        <w:t>دوران الأمر بين المحذورين مع الشكّ في المكلّف به</w:t>
      </w:r>
      <w:bookmarkEnd w:id="255"/>
    </w:p>
    <w:p>
      <w:pPr>
        <w:pStyle w:val="BookText"/>
        <w:rPr/>
      </w:pPr>
      <w:r>
        <w:rPr>
          <w:rFonts w:ascii="Amiri" w:hAnsi="Amiri" w:eastAsia="Amiri" w:cs="Amiri"/>
          <w:color w:val="111111"/>
          <w:sz w:val="28"/>
          <w:sz w:val="28"/>
          <w:szCs w:val="28"/>
          <w:rtl w:val="true"/>
          <w:lang w:bidi="ar-SA"/>
        </w:rPr>
        <w:t>أنّ أصالة التخيير بملاك عدم إمكان الموافقة القطعية كما تجري في الشك في التكليف كما في الصورتين السابقتين، كذلك تجري في الشكّ في المكلّف به كما في المقام و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أنّ أحد الفعلين واجب و الآخر حرام في زمان معيّن و اشتبه أحدهما بالآخر، فهو مخيّر بين فعل أحدهما و ترك الآخر، لأنّ الموافقة القطعية غير ممكنة، نعم ليس له ترك كليهما أو فعل كليهما، إذ تلزم فيه المخالفة القطعية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بتعلّق الحلف بإيجاد فعل في زمان، و ترك ذاك في زمان آخر، و اشتبه زمان كلّ منهما كما إذا حلف بالإفطار في يوم، و الصيام في يوم آخر، فاشتبه اليومان فهو مخيّر بين الإفطار في يوم، و الصيام في يوم آخر، لكن ليس له المخالفة القطعية كأن يصومهما أو يفطر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تجري أصالة التخيير فيما إذا دار أمر شيء بين كونه شرطاً للصحّة أو مانعاً كالجهر، و ذلك لأنّ الموافقة القطعية بإقامة صلاة واحدة و إن كانت غير ممكنة لكنّها ممكنة بإقامة صلاتين يجهر في إحداهما و يخافت في الأُخرى</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أنّ الملاك لجريان أصالة التخيير امتناع الموافقة القطعية و هو ليس بموجود في هذا المورد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في دوران الأمر بين المحذورين عند عدم النص و نظيره إجمال النصّ، و تعارض النصّين أو الشبهة الموضوعية التحريمية، فالحكم في الجميع واحد، و قد استقصينا الكلام في هذه الصور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بالنتائج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الميزان في جريان أصل التخيير عدم إمكان الموافقة القطعية سواء أمكنت المخالفة القطعية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المكلّف في المقام الأوّل مخيّر تكويناً، و الحكم الظاهري هو البراءة، بخلاف المقامين الأخيرين فالحكم الظاهري فيهما هو التخيير</w:t>
      </w:r>
      <w:r>
        <w:rPr>
          <w:rFonts w:eastAsia="Amiri" w:cs="Amiri" w:ascii="Amiri" w:hAnsi="Amiri"/>
          <w:color w:val="111111"/>
          <w:sz w:val="28"/>
          <w:szCs w:val="28"/>
          <w:rtl w:val="true"/>
          <w:lang w:bidi="ar-SA"/>
        </w:rPr>
        <w:t xml:space="preserve">. </w:t>
      </w:r>
      <w:bookmarkStart w:id="256" w:name="pg14687_217246"/>
    </w:p>
    <w:p>
      <w:pPr>
        <w:pStyle w:val="Heading4"/>
        <w:numPr>
          <w:ilvl w:val="3"/>
          <w:numId w:val="1"/>
        </w:numPr>
        <w:rPr/>
      </w:pPr>
      <w:bookmarkStart w:id="257" w:name="__RefHeading___Toc3433046_1878427129"/>
      <w:bookmarkStart w:id="258" w:name="_Toc94"/>
      <w:bookmarkEnd w:id="256"/>
      <w:bookmarkEnd w:id="257"/>
      <w:r>
        <w:rPr>
          <w:rtl w:val="true"/>
        </w:rPr>
        <w:t>الأصل الثالث</w:t>
      </w:r>
      <w:r>
        <w:rPr>
          <w:rtl w:val="true"/>
        </w:rPr>
        <w:t xml:space="preserve">: </w:t>
      </w:r>
      <w:r>
        <w:rPr>
          <w:rtl w:val="true"/>
        </w:rPr>
        <w:t>أصالة الاحتياط</w:t>
      </w:r>
      <w:bookmarkEnd w:id="258"/>
    </w:p>
    <w:p>
      <w:pPr>
        <w:pStyle w:val="Heading5"/>
        <w:numPr>
          <w:ilvl w:val="4"/>
          <w:numId w:val="1"/>
        </w:numPr>
        <w:rPr/>
      </w:pPr>
      <w:bookmarkStart w:id="259" w:name="__RefHeading___Toc3433048_1878427129"/>
      <w:bookmarkStart w:id="260" w:name="_Toc95"/>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 xml:space="preserve">قد تقدّم بيان مجرى الاحتياط </w:t>
      </w:r>
      <w:r>
        <w:rPr>
          <w:rStyle w:val="FootnoteAnchor"/>
          <w:rtl w:val="true"/>
        </w:rPr>
        <w:footnoteReference w:id="178"/>
      </w:r>
      <w:r>
        <w:rPr>
          <w:rFonts w:ascii="Amiri" w:hAnsi="Amiri" w:eastAsia="Amiri" w:cs="Amiri"/>
          <w:color w:val="111111"/>
          <w:sz w:val="28"/>
          <w:sz w:val="28"/>
          <w:szCs w:val="28"/>
          <w:rtl w:val="true"/>
          <w:lang w:bidi="ar-SA"/>
        </w:rPr>
        <w:t>و هو ما إذا قام دليل عقلي أو نقلي على ثبوت العقاب بمخالفة الواقع، و له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التكليفية قبل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البدوية و لكن كان للمحتمل أهمية بالغة، كما في الدماء و الأعراض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دار الأمر بين وجوب فعل و ترك فعل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نوع التكليف و تردّد الواجب بين أمرين، كتردد الفريضة بين الظهر و الجمعة، و الخمر بين الإناءين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الثلاثة الأُول من قبيل الشك في التكليف مع وجوب الاحتياط فيها، و الرابع من قبيل الشكّ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علم أنّ مجرى أصالة الاحتياط أعمّ من الشكّ في المكلّف به، و الميزان قيام الدليل العقلي أو النقلي على وجود العقاب عند المخالفة و الجميع داخل تحت هذا العنوان، و بما انّ حكم الصور الثلاث الأُول واضحة نكرس البحث في الصورة الرابعة أي الشكّ في المكلّف به، و الكلام فيه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اشتباه الحرام بغير الواجب بمسائله الأربع، و يعبّر عنه بالشبهة التحريمية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اشتباه الواجب بغير الحرام بمسائله الأربع، و يعبّر عنه بالشبهة الوجوبية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إليك الكلام في كلا المقامين</w:t>
      </w:r>
      <w:r>
        <w:rPr>
          <w:rFonts w:eastAsia="Amiri" w:cs="Amiri" w:ascii="Amiri" w:hAnsi="Amiri"/>
          <w:color w:val="111111"/>
          <w:sz w:val="28"/>
          <w:szCs w:val="28"/>
          <w:rtl w:val="true"/>
          <w:lang w:bidi="ar-SA"/>
        </w:rPr>
        <w:t xml:space="preserve">: </w:t>
      </w:r>
      <w:bookmarkStart w:id="261" w:name="pg14687_217247"/>
    </w:p>
    <w:p>
      <w:pPr>
        <w:pStyle w:val="Heading5"/>
        <w:numPr>
          <w:ilvl w:val="4"/>
          <w:numId w:val="1"/>
        </w:numPr>
        <w:rPr/>
      </w:pPr>
      <w:bookmarkStart w:id="262" w:name="__RefHeading___Toc3433050_1878427129"/>
      <w:bookmarkStart w:id="263" w:name="_Toc96"/>
      <w:bookmarkEnd w:id="261"/>
      <w:bookmarkEnd w:id="262"/>
      <w:r>
        <w:rPr>
          <w:rtl w:val="true"/>
        </w:rPr>
        <w:t>المقام الأوّل</w:t>
      </w:r>
      <w:r>
        <w:rPr>
          <w:rtl w:val="true"/>
        </w:rPr>
        <w:t xml:space="preserve">: </w:t>
      </w:r>
      <w:r>
        <w:rPr>
          <w:rtl w:val="true"/>
        </w:rPr>
        <w:t>أصالة الاحتياط الشبهة التحريمية</w:t>
      </w:r>
      <w:bookmarkEnd w:id="263"/>
    </w:p>
    <w:p>
      <w:pPr>
        <w:pStyle w:val="Heading6"/>
        <w:numPr>
          <w:ilvl w:val="5"/>
          <w:numId w:val="1"/>
        </w:numPr>
        <w:rPr/>
      </w:pPr>
      <w:bookmarkStart w:id="264" w:name="__RefHeading___Toc3433052_1878427129"/>
      <w:bookmarkStart w:id="265" w:name="_Toc97"/>
      <w:bookmarkEnd w:id="264"/>
      <w:r>
        <w:rPr>
          <w:rtl w:val="true"/>
        </w:rPr>
        <w:t>اشارة</w:t>
      </w:r>
      <w:bookmarkEnd w:id="265"/>
    </w:p>
    <w:p>
      <w:pPr>
        <w:pStyle w:val="BookText"/>
        <w:rPr/>
      </w:pPr>
      <w:r>
        <w:rPr>
          <w:rFonts w:ascii="Amiri" w:hAnsi="Amiri" w:eastAsia="Amiri" w:cs="Amiri"/>
          <w:color w:val="111111"/>
          <w:sz w:val="28"/>
          <w:sz w:val="28"/>
          <w:szCs w:val="28"/>
          <w:rtl w:val="true"/>
          <w:lang w:bidi="ar-SA"/>
        </w:rPr>
        <w:t>مقتضى ما ذكرناه في الشكّ في التكليف أن يكون في هذا المقام أيضاً مسائل أربع، لأنّ منشأ الشكّ إمّا فقدان النص أو إجماله أو تعارض النصين، أو خلط الأُمور الخارجية، و بما انّ المسائل الثلاث الأُول، فاقدة للتطبيقات الفقهية، خصصنا البحث في الشبهة التحريمية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الحرام المشتبه بغيره إمّا مشتبه في أُمور محصورة أو غير محصورة، فيقع</w:t>
      </w:r>
    </w:p>
    <w:p>
      <w:pPr>
        <w:pStyle w:val="Heading6"/>
        <w:numPr>
          <w:ilvl w:val="5"/>
          <w:numId w:val="1"/>
        </w:numPr>
        <w:rPr/>
      </w:pPr>
      <w:bookmarkStart w:id="266" w:name="__RefHeading___Toc3433054_1878427129"/>
      <w:bookmarkStart w:id="267" w:name="_Toc98"/>
      <w:bookmarkEnd w:id="266"/>
      <w:r>
        <w:rPr>
          <w:rtl w:val="true"/>
        </w:rPr>
        <w:t>الكلام في هذا المقام في موردين</w:t>
      </w:r>
      <w:r>
        <w:rPr>
          <w:rtl w:val="true"/>
        </w:rPr>
        <w:t>:</w:t>
      </w:r>
      <w:bookmarkEnd w:id="267"/>
    </w:p>
    <w:p>
      <w:pPr>
        <w:pStyle w:val="Heading6"/>
        <w:numPr>
          <w:ilvl w:val="5"/>
          <w:numId w:val="1"/>
        </w:numPr>
        <w:rPr/>
      </w:pPr>
      <w:bookmarkStart w:id="268" w:name="__RefHeading___Toc3433056_1878427129"/>
      <w:bookmarkStart w:id="269" w:name="_Toc99"/>
      <w:bookmarkEnd w:id="268"/>
      <w:r>
        <w:rPr>
          <w:rtl w:val="true"/>
        </w:rPr>
        <w:t>المورد الأوّل</w:t>
      </w:r>
      <w:r>
        <w:rPr>
          <w:rtl w:val="true"/>
        </w:rPr>
        <w:t xml:space="preserve">: </w:t>
      </w:r>
      <w:r>
        <w:rPr>
          <w:rtl w:val="true"/>
        </w:rPr>
        <w:t>حكم الشبهة المحصورة</w:t>
      </w:r>
      <w:bookmarkEnd w:id="269"/>
    </w:p>
    <w:p>
      <w:pPr>
        <w:pStyle w:val="Heading6"/>
        <w:numPr>
          <w:ilvl w:val="5"/>
          <w:numId w:val="1"/>
        </w:numPr>
        <w:rPr/>
      </w:pPr>
      <w:bookmarkStart w:id="270" w:name="__RefHeading___Toc3433058_1878427129"/>
      <w:bookmarkStart w:id="271" w:name="_Toc100"/>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إذا علم المكلّف بتكليف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يرضى المولى بمخالفته، فلا محيص عن وجوب الموافقة القطعية، فضلا عن حرمة المخالفة القطعية سواء أ كان العلم إجمالياً أم تفصيلياً، فالبحث عن إمكان جعل الترخيص لبعض الأطراف أو لجميعها مع العلم الوجداني بالتكليف الجدي تهافت، لاستلزامه اجتماع الإرادتين المتضادتين، و هذا كمثل قتل المؤمن إذا اشتبه بغيره، و هذا النوع من العلم الإجمالي يناسب البحث عنه في باب القطع</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المناسب للمقام، كما هو الظاهر من كلام الشيخ </w:t>
      </w:r>
      <w:r>
        <w:rPr>
          <w:rStyle w:val="FootnoteAnchor"/>
          <w:rtl w:val="true"/>
        </w:rPr>
        <w:footnoteReference w:id="179"/>
      </w:r>
      <w:r>
        <w:rPr>
          <w:rFonts w:ascii="Amiri" w:hAnsi="Amiri" w:eastAsia="Amiri" w:cs="Amiri"/>
          <w:color w:val="111111"/>
          <w:sz w:val="28"/>
          <w:sz w:val="28"/>
          <w:szCs w:val="28"/>
          <w:rtl w:val="true"/>
          <w:lang w:bidi="ar-SA"/>
        </w:rPr>
        <w:t>فهو ما إذا قامت الأمارة على حرمة شيء و شمل إطلاق الدليل مورد العلم الإجمالي، كما إذا قال</w:t>
      </w:r>
      <w:r>
        <w:rPr>
          <w:rFonts w:eastAsia="Amiri" w:cs="Amiri" w:ascii="Amiri" w:hAnsi="Amiri"/>
          <w:color w:val="111111"/>
          <w:sz w:val="28"/>
          <w:szCs w:val="28"/>
          <w:rtl w:val="true"/>
          <w:lang w:bidi="ar-SA"/>
        </w:rPr>
        <w:t xml:space="preserve">: </w:t>
      </w:r>
      <w:bookmarkStart w:id="272" w:name="pg14687_217248"/>
    </w:p>
    <w:p>
      <w:pPr>
        <w:pStyle w:val="BookText"/>
        <w:rPr/>
      </w:pPr>
      <w:bookmarkEnd w:id="272"/>
      <w:r>
        <w:rPr>
          <w:rFonts w:ascii="Amiri" w:hAnsi="Amiri" w:eastAsia="Amiri" w:cs="Amiri"/>
          <w:color w:val="111111"/>
          <w:sz w:val="28"/>
          <w:sz w:val="28"/>
          <w:szCs w:val="28"/>
          <w:rtl w:val="true"/>
          <w:lang w:bidi="ar-SA"/>
        </w:rPr>
        <w:t>اجتنب عن النجس، و كان مقتضى إطلاقه شموله للنجس المعلوم إجمالاً أيضاً، و عندئذ فمقتضى القاعدة الأوّلية هو تحصيل البراءة القطعيّة بالاجتناب عن كلا الطرفين لأن المفروض شمول اطلاق الدليل، المعلوم اجمالاً كشموله للمعلوم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الكلام في مقتضيا لقاعدة الثانويّة أعني إمكان الترخيص اوّلاً، و وقوعه ثانياً و إليك الكلام فيهما</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3433060_1878427129"/>
      <w:bookmarkStart w:id="274" w:name="_Toc101"/>
      <w:bookmarkEnd w:id="273"/>
      <w:r>
        <w:rPr>
          <w:rtl w:val="true"/>
        </w:rPr>
        <w:t>الأوّل</w:t>
      </w:r>
      <w:r>
        <w:rPr>
          <w:rtl w:val="true"/>
        </w:rPr>
        <w:t xml:space="preserve">: </w:t>
      </w:r>
      <w:r>
        <w:rPr>
          <w:rtl w:val="true"/>
        </w:rPr>
        <w:t>إمكان الترخيص</w:t>
      </w:r>
      <w:bookmarkEnd w:id="274"/>
    </w:p>
    <w:p>
      <w:pPr>
        <w:pStyle w:val="BookText"/>
        <w:rPr/>
      </w:pPr>
      <w:r>
        <w:rPr>
          <w:rFonts w:ascii="Amiri" w:hAnsi="Amiri" w:eastAsia="Amiri" w:cs="Amiri"/>
          <w:color w:val="111111"/>
          <w:sz w:val="28"/>
          <w:sz w:val="28"/>
          <w:szCs w:val="28"/>
          <w:rtl w:val="true"/>
          <w:lang w:bidi="ar-SA"/>
        </w:rPr>
        <w:t>فالحقّ إمكانه لأنّك عرفت أنّ ما لا يقبل الترخيص هو العلم الوجداني بالتكليف و هو الذي لا يجتمع مع الترخيص لاستلزامه اجتماع الإرادتين المتناقضتين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سبب العلم بالتكليف هو إطلاق الدليل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لَعَلَّكُمْ تُفْلِحُونَ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IRNazanin" w:hAnsi="IRNazanin" w:eastAsia="IRNazanin"/>
          <w:color w:val="111111"/>
          <w:sz w:val="28"/>
          <w:sz w:val="28"/>
          <w:szCs w:val="28"/>
          <w:rtl w:val="true"/>
          <w:lang w:bidi="fa-IR"/>
        </w:rPr>
        <w:t>الشامل للصور الثلاث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المشكوك وجوداً مع وجوده واقعاً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يصحّ تقييد إطلاقه بإخراج المشكوك و جعل الترخيص فيه، فهكذا يجوز تقييد إطلاقه بإخراج صورة المعلوم بالإجمال، فتكون النتيجة اختصاص حرمة الخمر بصورة العلم به تفصيلاً، فالشكّ في إمكان التقييد كأنّه شكّ في أمر بديهي، إنّما الكلام في الأمر الثاني</w:t>
      </w:r>
      <w:r>
        <w:rPr>
          <w:rFonts w:eastAsia="Amiri" w:cs="Amiri" w:ascii="Amiri" w:hAnsi="Amiri"/>
          <w:color w:val="111111"/>
          <w:sz w:val="28"/>
          <w:szCs w:val="28"/>
          <w:rtl w:val="true"/>
          <w:lang w:bidi="ar-SA"/>
        </w:rPr>
        <w:t xml:space="preserve">. </w:t>
      </w:r>
      <w:bookmarkStart w:id="275" w:name="pg14687_217249"/>
    </w:p>
    <w:p>
      <w:pPr>
        <w:pStyle w:val="Heading6"/>
        <w:numPr>
          <w:ilvl w:val="5"/>
          <w:numId w:val="1"/>
        </w:numPr>
        <w:rPr/>
      </w:pPr>
      <w:bookmarkStart w:id="276" w:name="__RefHeading___Toc3433062_1878427129"/>
      <w:bookmarkStart w:id="277" w:name="_Toc102"/>
      <w:bookmarkEnd w:id="275"/>
      <w:bookmarkEnd w:id="276"/>
      <w:r>
        <w:rPr>
          <w:rtl w:val="true"/>
        </w:rPr>
        <w:t>الثاني</w:t>
      </w:r>
      <w:r>
        <w:rPr>
          <w:rtl w:val="true"/>
        </w:rPr>
        <w:t xml:space="preserve">: </w:t>
      </w:r>
      <w:r>
        <w:rPr>
          <w:rtl w:val="true"/>
        </w:rPr>
        <w:t>ورود الترخيص في لسان الشارع</w:t>
      </w:r>
      <w:bookmarkEnd w:id="277"/>
    </w:p>
    <w:p>
      <w:pPr>
        <w:pStyle w:val="BookText"/>
        <w:rPr/>
      </w:pPr>
      <w:r>
        <w:rPr>
          <w:rFonts w:ascii="Amiri" w:hAnsi="Amiri" w:eastAsia="Amiri" w:cs="Amiri"/>
          <w:color w:val="111111"/>
          <w:sz w:val="28"/>
          <w:sz w:val="28"/>
          <w:szCs w:val="28"/>
          <w:rtl w:val="true"/>
          <w:lang w:bidi="ar-SA"/>
        </w:rPr>
        <w:t xml:space="preserve">و هذا هو الأمر المهم في هذا الباب، و المتتبع للروايات و فتاوى العلماء يقف على عدم ورود الترخيص لبعض الأطراف، فكيف بجميعها، و قد ذكرنا بعض الروايات في الموجز </w:t>
      </w:r>
      <w:r>
        <w:rPr>
          <w:rStyle w:val="FootnoteAnchor"/>
          <w:rtl w:val="true"/>
        </w:rPr>
        <w:footnoteReference w:id="182"/>
      </w:r>
      <w:r>
        <w:rPr>
          <w:rFonts w:ascii="Amiri" w:hAnsi="Amiri" w:eastAsia="Amiri" w:cs="Amiri"/>
          <w:color w:val="111111"/>
          <w:sz w:val="28"/>
          <w:sz w:val="28"/>
          <w:szCs w:val="28"/>
          <w:rtl w:val="true"/>
          <w:lang w:bidi="ar-SA"/>
        </w:rPr>
        <w:t>؟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استدلّ ببعض الروايات على جعل الترخيص نذكر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لك حلال حتى تعلم أنّه حرام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للضمير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المعنى حتى تعلم أنّه بعينه حرام، فيكون مفاده انّ محتمل الحرمة ما لم يتعين انّه بعينه حرام فهو حلال فيعم العلم الإجمالي و 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جزء من رواية مسعدة بن صدقة، و الإمعان في الأمثلة الواردة فيها يورث اليقين بأنّ موردها هو الشبهة البدوية و لا صلة لها بأطراف العلم الإجمالي، و قد أوضحنا حالها في الموجز فلاحظ</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عبد اللّه بن سنان،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الجبن،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سألتني عن طعام يُعجبني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أعطى الغلام درهماً،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ابتع لنا جبناً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دعا بالغداء، فتغدّينا معه، فأتى بالجبن فأكل و أكلنا، فلمّا فرغنا من الغذاء،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سأخبرك عن الجبن و غيره، كلّما كان فيه حلال و حرام، فهو لك حلال حتى تعرف الحرام بعينه فتدعه</w:t>
      </w:r>
      <w:r>
        <w:rPr>
          <w:rFonts w:eastAsia="Amiri" w:cs="Amiri" w:ascii="Amiri" w:hAnsi="Amiri"/>
          <w:color w:val="111111"/>
          <w:sz w:val="28"/>
          <w:szCs w:val="28"/>
          <w:rtl w:val="true"/>
          <w:lang w:bidi="ar-SA"/>
        </w:rPr>
        <w:t xml:space="preserve">«. </w:t>
      </w:r>
      <w:r>
        <w:rPr>
          <w:rStyle w:val="FootnoteAnchor"/>
          <w:rtl w:val="true"/>
        </w:rPr>
        <w:footnoteReference w:id="184"/>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يتوهم جواز الترخيص في أطراف العلم الإجمالي لكن الرواية ناظرة إلى الشبهة غير المحصورة، إذ كان في المدينة المنورة أمكنة كثيرة تُجعل الميتة في الجبن، و كان هذا سببَ السؤال، فأجاب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سمعت</w:t>
      </w:r>
      <w:r>
        <w:rPr>
          <w:rFonts w:eastAsia="Amiri" w:cs="Amiri" w:ascii="Amiri" w:hAnsi="Amiri"/>
          <w:color w:val="111111"/>
          <w:sz w:val="28"/>
          <w:szCs w:val="28"/>
          <w:rtl w:val="true"/>
          <w:lang w:bidi="ar-SA"/>
        </w:rPr>
        <w:t xml:space="preserve">. </w:t>
      </w:r>
      <w:bookmarkStart w:id="278" w:name="pg14687_217250"/>
    </w:p>
    <w:p>
      <w:pPr>
        <w:pStyle w:val="BookText"/>
        <w:rPr/>
      </w:pPr>
      <w:bookmarkEnd w:id="278"/>
      <w:r>
        <w:rPr>
          <w:rFonts w:ascii="Amiri" w:hAnsi="Amiri" w:eastAsia="Amiri" w:cs="Amiri"/>
          <w:color w:val="111111"/>
          <w:sz w:val="28"/>
          <w:sz w:val="28"/>
          <w:szCs w:val="28"/>
          <w:rtl w:val="true"/>
          <w:lang w:bidi="ar-SA"/>
        </w:rPr>
        <w:t>و يشهد على ذلك ما رواه أبو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الجبن،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أنّه يجعل فيه الميتة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من أجل مكان واحد يجعل فيه الميتة، حرّم في جميع الأرضين</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الروايتين المرخِّصتين خارجتان عن محطّ البحث، و انّ العلم الإجمالي بالتكليف منجّز مطلقاً سواء أ كان علماً قطعياً، أم حاصلاً من إطلاق الدليل، فتحرم مخالفته القطعية كما تجب موافقته القطعية</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3433064_1878427129"/>
      <w:bookmarkStart w:id="280" w:name="_Toc103"/>
      <w:bookmarkEnd w:id="279"/>
      <w:r>
        <w:rPr>
          <w:rtl w:val="true"/>
        </w:rPr>
        <w:t>المورد الثاني</w:t>
      </w:r>
      <w:r>
        <w:rPr>
          <w:rtl w:val="true"/>
        </w:rPr>
        <w:t xml:space="preserve">: </w:t>
      </w:r>
      <w:r>
        <w:rPr>
          <w:rtl w:val="true"/>
        </w:rPr>
        <w:t>حكم الشبهة غير المحصورة</w:t>
      </w:r>
      <w:bookmarkEnd w:id="280"/>
    </w:p>
    <w:p>
      <w:pPr>
        <w:pStyle w:val="BookText"/>
        <w:rPr/>
      </w:pPr>
      <w:r>
        <w:rPr>
          <w:rFonts w:ascii="Amiri" w:hAnsi="Amiri" w:eastAsia="Amiri" w:cs="Amiri"/>
          <w:color w:val="111111"/>
          <w:sz w:val="28"/>
          <w:sz w:val="28"/>
          <w:szCs w:val="28"/>
          <w:rtl w:val="true"/>
          <w:lang w:bidi="ar-SA"/>
        </w:rPr>
        <w:t>قد عرفت أنّ الشبهة التحريمية الموضوعية تنقسم إلى محصورة و غير محصورة، و قد عرفت حكم الأُولى، و إليك الكلام في الثانية، فيقع الكلام تارة في معيار كون الشبهة غير محصورة، و أُخرى في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الشبهة غير المحصورة بتعاريف أفضلها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بلوغ كثرة الوقائع المحتملة للتحريم إلى درجة لا يعتني العقلاء بالعلم الإجمالي الحاصل فيها، أ لا ترى أنّ المولى إذا نهى عبده عن المعاملة مع زيد، فعامل مع واحد من أهل قرية كثيرة الأهل يعلم وجود زيد فيها لم يكن ملوماً و إن صادف الواقع، و قد ذكر انّ المعلوم بالإجمال قد يؤثر مع قلّة الاحتمال، ما لا يؤثّر مع الانتشار و كثرة الاحتمال، كما إذا نهى المولى عن سبّ زيد و هو تارة مردّد بين اثنين و ثلاثة، و أُخرى بين أهل بلدة و نحوها</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أي حكمها، فانّ عنواني المحصورة و غير المحصورة لم يردا في </w:t>
      </w:r>
    </w:p>
    <w:p>
      <w:pPr>
        <w:pStyle w:val="BookText"/>
        <w:rPr/>
      </w:pPr>
      <w:r>
        <w:rPr>
          <w:rFonts w:ascii="Amiri" w:hAnsi="Amiri" w:eastAsia="Amiri" w:cs="Amiri"/>
          <w:color w:val="111111"/>
          <w:sz w:val="28"/>
          <w:sz w:val="28"/>
          <w:szCs w:val="28"/>
          <w:rtl w:val="true"/>
          <w:lang w:bidi="ar-SA"/>
        </w:rPr>
        <w:t>النصوص لكن العنوان الأوّل مشير إلى تنجيز العلم الإجمالي لاعتناء العقلاء بالعلم فيها لقلة الأطراف، و العنوان الثاني مشيراً إلى عدم تنجيزه لعدم اعتنائهم بالتكليف فيه لصيرورته موهوماً في كلّ طرف، و هذا هو الدليل القاطع على عدم التنجيز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الاجتناب عن الأطراف في الثاني يوجب العسر، و التبعيض في الارتكاب إلى حدّ العسر غير خال عن العسر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هناك روايات في أبواب مختلفة تدلّ على إمضاء الشارع بناء العقلاء، و هذه الروايات مبثوثة في أبواب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حول الجبن</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ورد حول شراء الطعام و الأنعام من العامل الظالم</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حول قبول جائزة الظالم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ورد حول التصرف في المال الحلال المختلط بالربا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لعلّ هذه الروايات مع بناء العقلاء و السيرة الجارية بين المتشرعة كافية في رفع اليد عن إطلاق الدليل لو قلنا بأنّ له إطلاقاً لصورة اختلاط الحرام بين كثير من الحلال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حكم الشبهتين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المحصورة و غير المحصورة فاعلم انّ هنا تنبيهات مهمة حول المحصورة نذكرها واحداً بعد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bookmarkStart w:id="281" w:name="pg14687_217252"/>
    </w:p>
    <w:p>
      <w:pPr>
        <w:pStyle w:val="Heading6"/>
        <w:numPr>
          <w:ilvl w:val="5"/>
          <w:numId w:val="1"/>
        </w:numPr>
        <w:rPr/>
      </w:pPr>
      <w:bookmarkStart w:id="282" w:name="__RefHeading___Toc3433066_1878427129"/>
      <w:bookmarkStart w:id="283" w:name="_Toc104"/>
      <w:bookmarkEnd w:id="281"/>
      <w:bookmarkEnd w:id="282"/>
      <w:r>
        <w:rPr>
          <w:rtl w:val="true"/>
        </w:rPr>
        <w:t>تنبيهات</w:t>
      </w:r>
      <w:bookmarkEnd w:id="283"/>
    </w:p>
    <w:p>
      <w:pPr>
        <w:pStyle w:val="Heading6"/>
        <w:numPr>
          <w:ilvl w:val="5"/>
          <w:numId w:val="1"/>
        </w:numPr>
        <w:rPr/>
      </w:pPr>
      <w:bookmarkStart w:id="284" w:name="__RefHeading___Toc3433068_1878427129"/>
      <w:bookmarkStart w:id="285" w:name="_Toc105"/>
      <w:bookmarkEnd w:id="284"/>
      <w:r>
        <w:rPr>
          <w:rtl w:val="true"/>
        </w:rPr>
        <w:t>التنبيه الأوّل</w:t>
      </w:r>
      <w:r>
        <w:rPr>
          <w:rtl w:val="true"/>
        </w:rPr>
        <w:t xml:space="preserve">: </w:t>
      </w:r>
      <w:r>
        <w:rPr>
          <w:rtl w:val="true"/>
        </w:rPr>
        <w:t>تنجيز العلم الإجمالي في التدريجيات</w:t>
      </w:r>
      <w:bookmarkEnd w:id="285"/>
    </w:p>
    <w:p>
      <w:pPr>
        <w:pStyle w:val="BookText"/>
        <w:rPr/>
      </w:pPr>
      <w:r>
        <w:rPr>
          <w:rFonts w:ascii="Amiri" w:hAnsi="Amiri" w:eastAsia="Amiri" w:cs="Amiri"/>
          <w:color w:val="111111"/>
          <w:sz w:val="28"/>
          <w:sz w:val="28"/>
          <w:szCs w:val="28"/>
          <w:rtl w:val="true"/>
          <w:lang w:bidi="ar-SA"/>
        </w:rPr>
        <w:t>لا فرق في تنجيز العلم الإجمالي بين أن يكون أطرافه حاصلة بالفعل، أو يكون بعضها حاصلة بالفعل دون بعض، و هذا ما يسمّى بالعلم الإجمالي بالتدريجيات، كما إذا علم بأنّ أحد البيعين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 يبيعه اليوم أو ما يبيعه غداً، ربوي، فلا فرق عند العقل بينه و بين ما علم أنّ أحد البيعين الحاضرين ربوي، فيجب ترك الجميع تحصيلاً للموافقة القطعية</w:t>
      </w:r>
      <w:r>
        <w:rPr>
          <w:rFonts w:eastAsia="Amiri" w:cs="Amiri" w:ascii="Amiri" w:hAnsi="Amiri"/>
          <w:color w:val="111111"/>
          <w:sz w:val="28"/>
          <w:szCs w:val="28"/>
          <w:rtl w:val="true"/>
          <w:lang w:bidi="ar-SA"/>
        </w:rPr>
        <w:t>.</w:t>
      </w:r>
    </w:p>
    <w:p>
      <w:pPr>
        <w:pStyle w:val="Heading6"/>
        <w:numPr>
          <w:ilvl w:val="5"/>
          <w:numId w:val="1"/>
        </w:numPr>
        <w:rPr/>
      </w:pPr>
      <w:bookmarkStart w:id="286" w:name="__RefHeading___Toc3433070_1878427129"/>
      <w:bookmarkStart w:id="287" w:name="_Toc106"/>
      <w:bookmarkEnd w:id="286"/>
      <w:r>
        <w:rPr>
          <w:rtl w:val="true"/>
        </w:rPr>
        <w:t>التنبيه الثاني</w:t>
      </w:r>
      <w:r>
        <w:rPr>
          <w:rtl w:val="true"/>
        </w:rPr>
        <w:t xml:space="preserve">: </w:t>
      </w:r>
      <w:r>
        <w:rPr>
          <w:rtl w:val="true"/>
        </w:rPr>
        <w:t>تنجيز العلم الإجمالي إذا تعلّق بحقيقتين</w:t>
      </w:r>
      <w:bookmarkEnd w:id="287"/>
    </w:p>
    <w:p>
      <w:pPr>
        <w:pStyle w:val="BookText"/>
        <w:rPr/>
      </w:pPr>
      <w:r>
        <w:rPr>
          <w:rFonts w:ascii="Amiri" w:hAnsi="Amiri" w:eastAsia="Amiri" w:cs="Amiri"/>
          <w:color w:val="111111"/>
          <w:sz w:val="28"/>
          <w:sz w:val="28"/>
          <w:szCs w:val="28"/>
          <w:rtl w:val="true"/>
          <w:lang w:bidi="ar-SA"/>
        </w:rPr>
        <w:t>لا فرق في تنجيز العلم الإجمالي بين أن تكون المشتبهات من حقيقة واحدة ، كما إذا علم بنجاسة ماء أحد الإناءين، أو من حقيقتين، كما إذا علم إجمالاً إمّا نجاسة هذا الماء، أو غصبية الماء الآخر، و المناط في الجميع واحد، و هو انّ الاشتغال اليقيني بالتكليف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البراءة اليقينية</w:t>
      </w:r>
      <w:r>
        <w:rPr>
          <w:rFonts w:eastAsia="Amiri" w:cs="Amiri" w:ascii="Amiri" w:hAnsi="Amiri"/>
          <w:color w:val="111111"/>
          <w:sz w:val="28"/>
          <w:szCs w:val="28"/>
          <w:rtl w:val="true"/>
          <w:lang w:bidi="ar-SA"/>
        </w:rPr>
        <w:t>.</w:t>
      </w:r>
    </w:p>
    <w:p>
      <w:pPr>
        <w:pStyle w:val="Heading6"/>
        <w:numPr>
          <w:ilvl w:val="5"/>
          <w:numId w:val="1"/>
        </w:numPr>
        <w:rPr/>
      </w:pPr>
      <w:bookmarkStart w:id="288" w:name="__RefHeading___Toc3433072_1878427129"/>
      <w:bookmarkStart w:id="289" w:name="_Toc107"/>
      <w:bookmarkEnd w:id="288"/>
      <w:r>
        <w:rPr>
          <w:rtl w:val="true"/>
        </w:rPr>
        <w:t>التنبيه الثالث</w:t>
      </w:r>
      <w:r>
        <w:rPr>
          <w:rtl w:val="true"/>
        </w:rPr>
        <w:t xml:space="preserve">: </w:t>
      </w:r>
      <w:r>
        <w:rPr>
          <w:rtl w:val="true"/>
        </w:rPr>
        <w:t>شرط التنجيز كونه محدثاً للتكليف على كلّ تقدير</w:t>
      </w:r>
      <w:bookmarkEnd w:id="28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يشترط في تنجيز العلم الإجمالي أن يكون محدِثاً للتكليف على كلّ حال فلو وقعت النجاسة في أحد الإناءين الطاهرين و لم يعلم أنّها وقعت في أيّ واحد منهما، فهو ينجّز، لأنّها لو وقعت في أيّ منهما يحدث تكليفاً بإيجاب الاجتناب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لم يحصل لنا علم بحدوث التكليف على كلّ تقدير فلا يكون منجزاً، كما إذا علم بوقوع النجاسة إمّا في هذا الماء القليل، أو في ذاك الماء الكر، فلا ينجّز </w:t>
      </w:r>
    </w:p>
    <w:p>
      <w:pPr>
        <w:pStyle w:val="BookText"/>
        <w:rPr/>
      </w:pPr>
      <w:r>
        <w:rPr>
          <w:rFonts w:ascii="Amiri" w:hAnsi="Amiri" w:eastAsia="Amiri" w:cs="Amiri"/>
          <w:color w:val="111111"/>
          <w:sz w:val="28"/>
          <w:sz w:val="28"/>
          <w:szCs w:val="28"/>
          <w:rtl w:val="true"/>
          <w:lang w:bidi="ar-SA"/>
        </w:rPr>
        <w:t>حتى يجب الاجتناب عن الماء القليل فإنّه لو وقع في الماء القليل يكون محدثاً للتكليف دون ما إذا وقع في الكر، فلا يكون محدثاً للتكليف على كلّ تقدير فلا يكون هناك علم بالتكليف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الاجمالي بوقوع النجاسة في أحد الماءين و إن كان متحقّقاً، لكنّ العلم بانعقاده مؤثّر على كلّ تقدير بمعنى احتمال احداث التكليف في كلّ من الطرفين على فرض وقوعها فيه غير متحقّق و ذلك لأنّه لو وقعت النجاسة في الماء الكر لا تؤثر فيه أبداً فلا يُحتمل فيه التكليف، فهو طاهر قطعاً على كلّ تقدير، و لو وقعت في الإناء الآخر فهو و إن كان يحدث تكليفاً، لكن وقوعه فيه محتمل فيكون محتمل النجاسة و يقع مجرىً لأصل البراءة و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 العلم الإجمالي بوقوع النجاسة في أحدهما ،إلى طاهر قطعي و هو الماء الكرّ، و مشكوك النجاسة و هو الماء القليل فلا ينعقد العلم الإجمالي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إذا كان أحد الإناءين نجساً قطعاً و الآخر طاهراً قطعاً، فوقعت النجاسة في أحدهما، فمثل هذا العلم بما أنّه لا يحدث تكليفاً على كلّ تقدير لا يكون منجزاً، لأنّه لو وقعت في الإناء النجس لا تزيده النجاسة الجديدة حكماً جديداً، و وقوعه في الإناء الآخر مشكوك، فتجري فيه البراءة ، فلا ينعقد العلم الإجمالي مؤثّراً، إذ لا يصحّ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هذا نجس، أو ذاك نجس، بل الأوّل نجس قطعاً، و الثاني مشكوك النجاسة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يحدث تكليفاً في كلّ طرف على فرض وقوعها فيه لا ينعقد العلم الإجمالي مؤثراً، لأنّ العلم بوقوع النجاسة في أحد الإناءين و إن كان حاصلاً، لكن العلم الإجمالي بتنجيس أحدهما لا بعينه غير حاصل بل أحدهما نجس قطعاً و الآخر مشكوك، فتدبّر</w:t>
      </w:r>
      <w:r>
        <w:rPr>
          <w:rFonts w:eastAsia="Amiri" w:cs="Amiri" w:ascii="Amiri" w:hAnsi="Amiri"/>
          <w:color w:val="111111"/>
          <w:sz w:val="28"/>
          <w:szCs w:val="28"/>
          <w:rtl w:val="true"/>
          <w:lang w:bidi="ar-SA"/>
        </w:rPr>
        <w:t xml:space="preserve">. </w:t>
      </w:r>
      <w:bookmarkStart w:id="290" w:name="pg14687_217254"/>
    </w:p>
    <w:p>
      <w:pPr>
        <w:pStyle w:val="Heading6"/>
        <w:numPr>
          <w:ilvl w:val="5"/>
          <w:numId w:val="1"/>
        </w:numPr>
        <w:rPr/>
      </w:pPr>
      <w:bookmarkStart w:id="291" w:name="__RefHeading___Toc3433074_1878427129"/>
      <w:bookmarkStart w:id="292" w:name="_Toc108"/>
      <w:bookmarkEnd w:id="290"/>
      <w:bookmarkEnd w:id="291"/>
      <w:r>
        <w:rPr>
          <w:rtl w:val="true"/>
        </w:rPr>
        <w:t>التنبيه الرابع</w:t>
      </w:r>
      <w:r>
        <w:rPr>
          <w:rtl w:val="true"/>
        </w:rPr>
        <w:t xml:space="preserve">: </w:t>
      </w:r>
      <w:r>
        <w:rPr>
          <w:rtl w:val="true"/>
        </w:rPr>
        <w:t>حكم خروج أحد الطرفين عن محلّ الابتلاء قبل العلم</w:t>
      </w:r>
      <w:bookmarkEnd w:id="292"/>
    </w:p>
    <w:p>
      <w:pPr>
        <w:pStyle w:val="BookText"/>
        <w:rPr/>
      </w:pPr>
      <w:r>
        <w:rPr>
          <w:rFonts w:ascii="Amiri" w:hAnsi="Amiri" w:eastAsia="Amiri" w:cs="Amiri"/>
          <w:color w:val="111111"/>
          <w:sz w:val="28"/>
          <w:sz w:val="28"/>
          <w:szCs w:val="28"/>
          <w:rtl w:val="true"/>
          <w:lang w:bidi="ar-SA"/>
        </w:rPr>
        <w:t xml:space="preserve">إذا تعلّق العلم الإجمالي بنجاسة أحد الإناءين اللّذين يتمكّن المكلّف عرفاً من ارتكاب أحدهما دون الإناء الآخر لأنّه في بيت شخص لا يتفق للمكلّف عادة دخوله و استعماله فلا يكون منجِّزاً، لأنّه لا يحدث التكليف على كلّ تقدير، إذ لو وقعت النجاسة في الإناء الذي ابتلى به يُحدث التكليف و يحسن الخطاب بالاجتناب دون ما إذا وقعت فيما لا يبتلى به لأنّه يقبح الخطاب، فلا يصحّ خطابه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إمّا عن هذا الإناء، أو ذلك الإناء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كان الخطاب بالنسبة إلى الإناء الخارج عن ابتلائه قبيحاً لا ينعقد العلم الإجمالي منجّزاً و مؤثراً، فيكون الشكّ في الإناء الأوّل أشبه بالشبهة البدوية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يشترط في تنجيز العلم الإجمالي أن يكون كلا الطرفين مورداً للابتلاء قبل حدوث العلم الإجمالي حتى يصحّ خطابه بالنسبة إلى كلا الطرفين، و أمّا لو كان أحدهما خارجاً عن محلّ الابتلاء قبل حدوث العلم الإجمالي، ثمّ حدث فلا يكون منجزاً، لأنّه ليس محدثاً للتكليف على كلّ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حدث العلم الإجمالي و الطرفان في محل الابتلاء، ثمّ خرج أحدهما عن محلّ الابتلاء، فالاجتناب عن الإناء الآخر لازم، و ذلك لأنّ الخطاب بالاجتناب على وجه الترديد و إن كان قبيحاً بعد خروج أحد أطرافه عن محلّ الابتلاء، و لكنّ العلم الإجمالي لما انعقد مؤثراً فالاجتناب عن الإناء الباقي، من آثار العلم الإجمالي السابق، فوجوده آناً ما، يوجب الاجتناب عن الثاني ما دام موجوداً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يدلّ على ذلك أنّه لو كان الخروج عن محل الابتلاء بعد طروء العلم موجباً لجواز ارتكاب الإناء الآخر، لما أمر الإمام بإهراقهما </w:t>
      </w:r>
      <w:r>
        <w:rPr>
          <w:rStyle w:val="FootnoteAnchor"/>
          <w:rtl w:val="true"/>
        </w:rPr>
        <w:footnoteReference w:id="191"/>
      </w:r>
      <w:r>
        <w:rPr>
          <w:rFonts w:ascii="IRNazanin" w:hAnsi="IRNazanin" w:eastAsia="IRNazanin"/>
          <w:color w:val="111111"/>
          <w:sz w:val="28"/>
          <w:sz w:val="28"/>
          <w:szCs w:val="28"/>
          <w:rtl w:val="true"/>
          <w:lang w:bidi="fa-IR"/>
        </w:rPr>
        <w:t xml:space="preserve">، بل أمر بإهراق </w:t>
      </w:r>
      <w:bookmarkStart w:id="293" w:name="pg14687_217255"/>
    </w:p>
    <w:p>
      <w:pPr>
        <w:pStyle w:val="BookText"/>
        <w:rPr/>
      </w:pPr>
      <w:bookmarkEnd w:id="293"/>
      <w:r>
        <w:rPr>
          <w:rFonts w:ascii="IRNazanin" w:hAnsi="IRNazanin" w:eastAsia="IRNazanin"/>
          <w:color w:val="111111"/>
          <w:sz w:val="28"/>
          <w:sz w:val="28"/>
          <w:szCs w:val="28"/>
          <w:rtl w:val="true"/>
          <w:lang w:bidi="fa-IR"/>
        </w:rPr>
        <w:t>أحدهما و التوضّؤ بالآخر</w:t>
      </w:r>
      <w:r>
        <w:rPr>
          <w:rFonts w:eastAsia="IRNazanin" w:cs="IRNazanin"/>
          <w:color w:val="111111"/>
          <w:sz w:val="28"/>
          <w:szCs w:val="28"/>
          <w:rtl w:val="true"/>
          <w:lang w:bidi="fa-IR"/>
        </w:rPr>
        <w:t>.</w:t>
      </w:r>
    </w:p>
    <w:p>
      <w:pPr>
        <w:pStyle w:val="Heading6"/>
        <w:numPr>
          <w:ilvl w:val="5"/>
          <w:numId w:val="1"/>
        </w:numPr>
        <w:rPr/>
      </w:pPr>
      <w:bookmarkStart w:id="294" w:name="__RefHeading___Toc3433076_1878427129"/>
      <w:bookmarkStart w:id="295" w:name="_Toc109"/>
      <w:bookmarkEnd w:id="294"/>
      <w:r>
        <w:rPr>
          <w:rtl w:val="true"/>
        </w:rPr>
        <w:t>التنبيه الخامس</w:t>
      </w:r>
      <w:r>
        <w:rPr>
          <w:rtl w:val="true"/>
        </w:rPr>
        <w:t xml:space="preserve">: </w:t>
      </w:r>
      <w:r>
        <w:rPr>
          <w:rtl w:val="true"/>
        </w:rPr>
        <w:t>الاضطرار إلى بعض الأطراف</w:t>
      </w:r>
      <w:bookmarkEnd w:id="295"/>
    </w:p>
    <w:p>
      <w:pPr>
        <w:pStyle w:val="BookText"/>
        <w:rPr/>
      </w:pPr>
      <w:r>
        <w:rPr>
          <w:rFonts w:ascii="Amiri" w:hAnsi="Amiri" w:eastAsia="Amiri" w:cs="Amiri"/>
          <w:color w:val="111111"/>
          <w:sz w:val="28"/>
          <w:sz w:val="28"/>
          <w:szCs w:val="28"/>
          <w:rtl w:val="true"/>
          <w:lang w:bidi="ar-SA"/>
        </w:rPr>
        <w:t>لو اضطرّ إلى ارتكاب بعض المحتملات،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ارتكاب واحد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ارتكاب واحد لا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القسم الأوّل، فله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ارتكاب واحد معيّن قبلَ العلم أو معه، فلا يجب الاجتناب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ارتكاب واحد معيّن بعد العلم، فيجب الاجتناب عن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أي إذا كان الاضطرار إلى طرف معيّن قبل العلم، أو معه، فلما عرفت من أنّه يشترط في تنجيز العلم الإجمالي أن يكون محدِثاً للتكليف على كلّ تقدير و أن يصحّ خطاب المكلّف بالاجتناب عن كلّ من الطرفين، و هذا الشرط غير موجود في هذه الصورة، لأنّ الحرام لو كان فيما اضطرّ إليه معيّناً فلا يكون العلم محدثاً للتكليف لفرض اضطراره إليه و هو رافع للتكليف فلا يصحّ خطابه بالاجتناب عنه، و لو كان الحرام في غير ما اضطرّ إليه فهو، و إن كان يحدث فيه التكليف و يصحّ خطابه بالاجتناب عنه، لكن وجوده فيه عندئذ أمر محتمل فتجري فيه البراءة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الإجمالي بحرمة واحد من الأُمور إنّما ينجّز فيما لو عُلِم تفصيلاً لوجب الاجتناب عنه على كل حال، و هذا الشرط غير متحقّق، لأنّه لو عُلِم أنّ الحرام في غير الطرف المضطرّ إليه و إن وجب الاجتناب عنه، لكن لو </w:t>
      </w:r>
    </w:p>
    <w:p>
      <w:pPr>
        <w:pStyle w:val="BookText"/>
        <w:rPr/>
      </w:pPr>
      <w:r>
        <w:rPr>
          <w:rFonts w:ascii="Amiri" w:hAnsi="Amiri" w:eastAsia="Amiri" w:cs="Amiri"/>
          <w:color w:val="111111"/>
          <w:sz w:val="28"/>
          <w:sz w:val="28"/>
          <w:szCs w:val="28"/>
          <w:rtl w:val="true"/>
          <w:lang w:bidi="ar-SA"/>
        </w:rPr>
        <w:t>كان في الجانب المضطرّ إليه لا يجب و يقبح الخطاب، فاذاً العلم التفصيلي بالحرام ليس منجّزاً على كلّ حال بل منجّز على حال دون حال، فيكون العلم الإجمالي مثله، فلا يكون هناك قطع بالتكليف المنجَّز على كلّ التقادير حتى يجب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 أي إذا كان الاضطرار إلى واحد معيّن بعد انعقاد العلم الإجمالي، فالحقّ وجوب الاجتناب عن الآخر، لأنّ الخطاب بعد طروء الاضطرار بالاجتناب عن كلّ من الطرفين و إن لم يكن صحيحاً، لكن وجوب الاجتناب عن الطرف الآخر من آثار العلم الإجمالي السابق حيث نجّز التكليف و أوجب الاجتناب و حكم العقل بوجوبه، فإذا طرأ الاضطرار فلا يتقدّر إلاّ بقدر الضرورة، فالحكم العقلي السابق من لزوم الخروج عن عهدة التكليف القطعي باق على حاله إلاّ ما خرج بالدليل، أي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الاضطرار إلى طرف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 الثاني، أي إذا كان الاضطرار إلى ارتكاب واحد لا بعينه، فيجب الاجتناب عن الطرف الآخر مطلقاً سواء أ كان الاضطرار بعد العلم كما هو واضح لما عرفت في القسم الأوّل من أنّ وجوب الاجتناب في هذه الصورة من آثار العلم السابق المتقدّم على الاضطرار ، أم كان الاضطرار قبل العلم الإجمالي، أو معه فهو على خلاف ما إذا كان الاضطرار إلى معين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القسمين ظاهر ممّا سبق، و هو أنّ العلم الإجمالي في هذا القسم حاصل بحرمة واحد من أُمور على وجه لو علم بحرمته تفصيلاً، وجب الاجتناب عنه على كل تقدير، لإمكان رفع الاضطرار ، بغير الحرام، فيكون العلم الإجمالي مثل التفصيلي، غاية الأمر انّ ترخيص بعضها على البدل لرفع الاضطرار موجب لاكتفاء الآمر في مقام الامتثال، بالاجتناب عن الباقي، بخلاف القسم السابق فإنّ </w:t>
      </w:r>
      <w:bookmarkStart w:id="296" w:name="pg14687_217257"/>
    </w:p>
    <w:p>
      <w:pPr>
        <w:pStyle w:val="BookText"/>
        <w:rPr/>
      </w:pPr>
      <w:bookmarkEnd w:id="296"/>
      <w:r>
        <w:rPr>
          <w:rFonts w:ascii="Amiri" w:hAnsi="Amiri" w:eastAsia="Amiri" w:cs="Amiri"/>
          <w:color w:val="111111"/>
          <w:sz w:val="28"/>
          <w:sz w:val="28"/>
          <w:szCs w:val="28"/>
          <w:rtl w:val="true"/>
          <w:lang w:bidi="ar-SA"/>
        </w:rPr>
        <w:t>العلم التفصيلي فيه لم يكن فيه منجزاً على كلّ تقدير،لما قلنا من أنّ الحرام لو كان في غير الطرف المضطرّ إليه و إن وجب اجتنابه لكن لو كان في الجانب المضطر إليه لا يجب بل يقبح الخطاب، فإذا كان هذا حال العلم التفصيلي فكيف بالعلم الإجماليّ؟</w:t>
      </w:r>
    </w:p>
    <w:p>
      <w:pPr>
        <w:pStyle w:val="Heading6"/>
        <w:numPr>
          <w:ilvl w:val="5"/>
          <w:numId w:val="1"/>
        </w:numPr>
        <w:rPr/>
      </w:pPr>
      <w:bookmarkStart w:id="297" w:name="__RefHeading___Toc3433078_1878427129"/>
      <w:bookmarkStart w:id="298" w:name="_Toc110"/>
      <w:bookmarkEnd w:id="297"/>
      <w:r>
        <w:rPr>
          <w:rtl w:val="true"/>
        </w:rPr>
        <w:t>التنبيه السادس</w:t>
      </w:r>
      <w:r>
        <w:rPr>
          <w:rtl w:val="true"/>
        </w:rPr>
        <w:t xml:space="preserve">: </w:t>
      </w:r>
      <w:r>
        <w:rPr>
          <w:rtl w:val="true"/>
        </w:rPr>
        <w:t>حكم ملاقي أحد الأطراف</w:t>
      </w:r>
      <w:bookmarkEnd w:id="298"/>
    </w:p>
    <w:p>
      <w:pPr>
        <w:pStyle w:val="Heading6"/>
        <w:numPr>
          <w:ilvl w:val="5"/>
          <w:numId w:val="1"/>
        </w:numPr>
        <w:rPr/>
      </w:pPr>
      <w:bookmarkStart w:id="299" w:name="__RefHeading___Toc3433080_1878427129"/>
      <w:bookmarkStart w:id="300" w:name="_Toc111"/>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لا شكّ انّه يجب الاجتناب عن ملاقي النجس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الكلام فيما إذا لاقى شيئاً لا نعلم بنجاسته و لكنّه محكوم عقلاً و شرعاً بوجوب الاجتناب، كأحد طرفي العلم الإجمالي، فهل يجب الاجتناب عن الملاقي أيضاً أو لا؟و هذا كما إذا علم بنجاسة موضع من ثوبه و تردد بين أسفله و أعلاه ثمّ أصاب الملاقي الرطب، أحد الموضعين، فيقع الكلام في وجوب الاجتناب عن الملاقي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اتضح خروج الموارد التالية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لاقى الملاقي كلا الطرفين، فهو معلوم النجاسة قطعاً لا مشكوكها فيجب الاجتناب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تعدّد الملاقي، بأن يلاقي شيء أحدَ الطرفين و شيء آخر الطرف الآخر، فيحدث علم إجمالي بنجاسة أحد الملاقيين، كالعلم الإجمالي بنجاسة أحد الأصلين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البحث عن طهارة الملاقي و نجاسته إذا كان هناك مجرّد ملاقاة دون أن يحمل شيئاً من أجزاء الملاقى، و على ذلك فلو غمس يده في أحد الإناءين ثمّ أخرجها تكون اليد طرفاً للعلم الإجمالي لا ملاقياً، فينقلب العلم عن كونه ثنائي الأطراف إلى ثلاثيّها، نظير ما إذا قسّم أحد المشتبهين، قسمين و جعل كلّ قسم في إناء</w:t>
      </w:r>
      <w:r>
        <w:rPr>
          <w:rFonts w:eastAsia="Amiri" w:cs="Amiri" w:ascii="Amiri" w:hAnsi="Amiri"/>
          <w:color w:val="111111"/>
          <w:sz w:val="28"/>
          <w:szCs w:val="28"/>
          <w:rtl w:val="true"/>
          <w:lang w:bidi="ar-SA"/>
        </w:rPr>
        <w:t xml:space="preserve">. </w:t>
      </w:r>
      <w:bookmarkStart w:id="301" w:name="pg14687_217258"/>
    </w:p>
    <w:p>
      <w:pPr>
        <w:pStyle w:val="BookText"/>
        <w:rPr/>
      </w:pPr>
      <w:bookmarkEnd w:id="301"/>
      <w:r>
        <w:rPr>
          <w:rFonts w:ascii="Amiri" w:hAnsi="Amiri" w:eastAsia="Amiri" w:cs="Amiri"/>
          <w:color w:val="111111"/>
          <w:sz w:val="28"/>
          <w:sz w:val="28"/>
          <w:szCs w:val="28"/>
          <w:rtl w:val="true"/>
          <w:lang w:bidi="ar-SA"/>
        </w:rPr>
        <w:t>إذا علمت ذلك، فالمشهور بين الأُصوليّين المتأخّرين عدم وجوب الاجتناب عن الملاقي</w:t>
      </w:r>
      <w:r>
        <w:rPr>
          <w:rFonts w:eastAsia="Amiri" w:cs="Amiri" w:ascii="Amiri" w:hAnsi="Amiri"/>
          <w:color w:val="111111"/>
          <w:sz w:val="28"/>
          <w:szCs w:val="28"/>
          <w:rtl w:val="true"/>
          <w:lang w:bidi="ar-SA"/>
        </w:rPr>
        <w:t>.</w:t>
      </w:r>
    </w:p>
    <w:p>
      <w:pPr>
        <w:pStyle w:val="Heading6"/>
        <w:numPr>
          <w:ilvl w:val="5"/>
          <w:numId w:val="1"/>
        </w:numPr>
        <w:rPr/>
      </w:pPr>
      <w:bookmarkStart w:id="302" w:name="__RefHeading___Toc3433082_1878427129"/>
      <w:bookmarkStart w:id="303" w:name="_Toc112"/>
      <w:bookmarkEnd w:id="302"/>
      <w:r>
        <w:rPr>
          <w:rtl w:val="true"/>
        </w:rPr>
        <w:t>ادلّة الطرفين</w:t>
      </w:r>
      <w:bookmarkEnd w:id="303"/>
    </w:p>
    <w:p>
      <w:pPr>
        <w:pStyle w:val="BookText"/>
        <w:rPr/>
      </w:pPr>
      <w:r>
        <w:rPr>
          <w:rFonts w:ascii="Amiri" w:hAnsi="Amiri" w:eastAsia="Amiri" w:cs="Amiri"/>
          <w:color w:val="111111"/>
          <w:sz w:val="28"/>
          <w:sz w:val="28"/>
          <w:szCs w:val="28"/>
          <w:rtl w:val="true"/>
          <w:lang w:bidi="ar-SA"/>
        </w:rPr>
        <w:t>استدل القائل بعدم وجوب الاجتناب بأنّ وجوب الاجتناب عن الملاقي من شئون ملاقاة النجس لا من شئون محتمل النجاسة و إن حكم على المحتمل بوجوب الاجتناب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الشكّ في طهارة الملاقي ناشئ من طهارة الملاقى و نجاسته، فليس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 في الملاقي، في رتبة الأصل الجاري في الملاقى في رتبة واحدة، و بما أنّ أصالة الطهارة في الملاقى معارضة لأصالة الطهارة في الطرف الآخر فتتعارضان و تتساقطان، فيجري الأصل في الملاقي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يجري في الملاقى و الطرف الآخر ثمّ يتساقطان، و لا يجري في الملاقي حين جريانه في الملاقى لتأخّر رتبته عن الملاقى و المفروض انّ الأصلين فيهما تعارضا و تساقطا، فيكون الأصل في جانب الملاقي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القائل بالاجتناب عن الملاقي بأنّه بعد العلم بالملاقاة يتبدّل العلم، الثُنائي الأطراف، إلى ثُلاثي الأطراف، فيحصل العلم إمّا بنجاسة الملاقي و الملاقى أو ذاك الطرف، و ذلك لاتحاد حكم الملاقى و الملاقي، فلو كان الأوّل طرفاً للعلم، فالثاني أيضاً كذلك، وعليه يجب الاجتناب عن الجميع لتحصيل العلم بالاجتناب عن النجس الموجود في البين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مرّ في التنبيه الثالث من أنّه يشترط في تنجيز العلم الإجمالي أن يكون محدِثاً للتكليف على كلّ تقدير، فلو أحدث على تقدير دون آخر فلا </w:t>
      </w:r>
    </w:p>
    <w:p>
      <w:pPr>
        <w:pStyle w:val="BookText"/>
        <w:rPr/>
      </w:pPr>
      <w:r>
        <w:rPr>
          <w:rFonts w:ascii="Amiri" w:hAnsi="Amiri" w:eastAsia="Amiri" w:cs="Amiri"/>
          <w:color w:val="111111"/>
          <w:sz w:val="28"/>
          <w:sz w:val="28"/>
          <w:szCs w:val="28"/>
          <w:rtl w:val="true"/>
          <w:lang w:bidi="ar-SA"/>
        </w:rPr>
        <w:t>يكون منجِّزاً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الشرط موجود في العلم الأوّل لأنّه لمّا لم يكن واحد من المشتبهين محكوماً بوجوب الاجتناب، حدث العلم الإجمالي مؤثراً، و هذا بخلاف العلم الثاني، لأنّه حدث عند ما كان الطرف الآخر محكوماً بوجوب الاجتناب بالعلم الإجمالي الأوّل، و معه لا يُحدث في الملاقي و لا يؤثر فيه حكماً لفقدان الشرط المؤثّر في تنجيز العلم الإجمالي،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محدثاً للتكليف على كلّ تقدير، فيكون الملاقي بحكم الشبهة البدويّة يجري فيه الأصل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علماً إجمالياً ثالثاً و هو العلم الإجمالي بنجاسة الطرف، أو الملاقي و الملاقى معاً فالطرفان بين أُحاديّ، و ثُنائيّ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علماً ثالثاً وراء العلمين و إنّما هو تلفيق منهما و قد عرفت أنّ العلم الأوّل منجز دون الثاني، فليس هنا علم ثالث نبحث في حكمه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خلاصة الكلام و التفصيل موكول إلى دراسات عليا</w:t>
      </w:r>
      <w:r>
        <w:rPr>
          <w:rFonts w:eastAsia="Amiri" w:cs="Amiri" w:ascii="Amiri" w:hAnsi="Amiri"/>
          <w:color w:val="111111"/>
          <w:sz w:val="28"/>
          <w:szCs w:val="28"/>
          <w:rtl w:val="true"/>
          <w:lang w:bidi="ar-SA"/>
        </w:rPr>
        <w:t xml:space="preserve">. </w:t>
      </w:r>
      <w:bookmarkStart w:id="304" w:name="pg14687_217260"/>
    </w:p>
    <w:p>
      <w:pPr>
        <w:pStyle w:val="Heading4"/>
        <w:numPr>
          <w:ilvl w:val="3"/>
          <w:numId w:val="1"/>
        </w:numPr>
        <w:rPr/>
      </w:pPr>
      <w:bookmarkStart w:id="305" w:name="__RefHeading___Toc3433084_1878427129"/>
      <w:bookmarkStart w:id="306" w:name="_Toc113"/>
      <w:bookmarkEnd w:id="304"/>
      <w:bookmarkEnd w:id="305"/>
      <w:r>
        <w:rPr>
          <w:rtl w:val="true"/>
        </w:rPr>
        <w:t>المقام الثاني</w:t>
      </w:r>
      <w:r>
        <w:rPr>
          <w:rtl w:val="true"/>
        </w:rPr>
        <w:t xml:space="preserve">: </w:t>
      </w:r>
      <w:r>
        <w:rPr>
          <w:rtl w:val="true"/>
        </w:rPr>
        <w:t>أصالة الاحتياط الشبهة الوجوبية</w:t>
      </w:r>
      <w:bookmarkEnd w:id="306"/>
    </w:p>
    <w:p>
      <w:pPr>
        <w:pStyle w:val="Heading5"/>
        <w:numPr>
          <w:ilvl w:val="4"/>
          <w:numId w:val="1"/>
        </w:numPr>
        <w:rPr/>
      </w:pPr>
      <w:bookmarkStart w:id="307" w:name="__RefHeading___Toc3433086_1878427129"/>
      <w:bookmarkStart w:id="308" w:name="_Toc114"/>
      <w:bookmarkEnd w:id="307"/>
      <w:r>
        <w:rPr>
          <w:rtl w:val="true"/>
        </w:rPr>
        <w:t>اشارة</w:t>
      </w:r>
      <w:bookmarkEnd w:id="308"/>
    </w:p>
    <w:p>
      <w:pPr>
        <w:pStyle w:val="BookText"/>
        <w:rPr/>
      </w:pPr>
      <w:r>
        <w:rPr>
          <w:rFonts w:ascii="Amiri" w:hAnsi="Amiri" w:eastAsia="Amiri" w:cs="Amiri"/>
          <w:color w:val="111111"/>
          <w:sz w:val="28"/>
          <w:sz w:val="28"/>
          <w:szCs w:val="28"/>
          <w:rtl w:val="true"/>
          <w:lang w:bidi="ar-SA"/>
        </w:rPr>
        <w:t>قد عرفت أنّ الشكّ في المكلّف به ينقسم إلى شبهة تحريمية و إلى شبهة وجوبية، و قد تمّ الكلام في الأُولى مع الإشارة إلى مسائلها الأربع، و لكن ركزنا البحث على مسألة واحدة من المسائل الأربع و هي الشبهة الموضوعية لعدم وجود تطبيقات عملية لسائر مسائلها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الشبهة الوجوبية من المكلّف به فهي تنقسم إلى قسمين، تارة يكون الشكّ مردداً بين المتباينين كتردد الأمر بين وجوب الظهر أو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بين الأقل و الأكثر كتردد الواجب بين الصلاة مع السورة أو بدونها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يقع الكلام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كان حكم المتباينين واضحاً و هو وجوب الاحتياط فيهما مضافاً إلى أنّا تعرضنا له في الموجز </w:t>
      </w:r>
      <w:r>
        <w:rPr>
          <w:rStyle w:val="FootnoteAnchor"/>
          <w:rtl w:val="true"/>
        </w:rPr>
        <w:footnoteReference w:id="192"/>
      </w:r>
      <w:r>
        <w:rPr>
          <w:rFonts w:ascii="Amiri" w:hAnsi="Amiri" w:eastAsia="Amiri" w:cs="Amiri"/>
          <w:color w:val="111111"/>
          <w:sz w:val="28"/>
          <w:sz w:val="28"/>
          <w:szCs w:val="28"/>
          <w:rtl w:val="true"/>
          <w:lang w:bidi="ar-SA"/>
        </w:rPr>
        <w:t>نقتصر في المقام من الشبهة الوجوبية على الأقل و الأكثر</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الأقل و الأكثر ينقسمان إلى الاستقلاليين و الارتباطيين، و الفرق بينهما بأنّ الأقل الاستقلالي يغاير الأكثر الاستقلالي على فرض وجوبه حكماً و وجوباً، ملاكاً و غرضاً، طاعة و امتثالاً، كالفائتة المرددة بين الواحد و الكثير، و الدّين المردّد بين الدرهم و الدرهمين، بخلاف الأقل الارتباطي فانّه على فرض وجوب الأكثر، متحد معه حكماً و وجوباً، ملاكاً و غرضاً، طاعة و امتثالاً، و لا استقلال له في شيء من الأُمور الثلاثة، كالشكّ في وجوب الصلاة مع السورة أو لا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المشكوك في الشبهة الوجوبية يكون تارة الجزء الخارجي كالسورة و القنوت و جلسة الاستراحة بعد السجدتين، و أُخرى الشرط أي الخصوصية المعتبرة في العبادة، المنتزعة من الأمر الخارجي كالطهارة الحاصلة عن الغسلات و المسحات بنيّة التقرب، و ثالثة الخصوصية المتحدة مع المأمور به، كما إذا دار أمر الواجب بين مطلق الرقبة أو الرقبة المؤمنة، أو دار أمر الواجب بين واحد معين من الخصال أو المردد بين الأُمور الثلاثة، و حكم الجميع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الأقوال في المقام لا تتجاوز عن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البراءة العقلية و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بالاحتياط و عدم جريانهما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العقلية و الشرعية تجري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جريانهما معاً، و قد استدل على البراءة العقليّة بوجوه مختلفة نذكر منها وجهاً واحداً و هو أوضح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انّ الأمر و إن تعلق بعنوان الصلاة لكنّها ليست شيئاً مغايراً للأجزاء بل هو عبارة أُخرى عن نفس الأجزاء لكن بصورة الجمع و الوحدة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لانّ الاجزاء تارة تلاحظ بصورة الكثرة بملاحظة كلّ جزء مستقلاً مع جزء آخر، و أُخرى تلاحظ بنعت الجمع و في لباس الوحدة، و العنوان المشير إلى ذات الأجزاء بهذا النعت هو عنوان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نفس الأجزاء في لحاظ الوحدة و على نحو الجمع في التعبير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قامت على وجوب العنوان نحو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قيام الحجّة عليه نفس قيامها على الأجزاء، و قد عرفت أنّ نسبة الصلاة إليها نسبة المجمل إلى المفصّل لكن الاحتجاج بالعنوان على وجوب </w:t>
      </w:r>
    </w:p>
    <w:p>
      <w:pPr>
        <w:pStyle w:val="BookText"/>
        <w:rPr/>
      </w:pPr>
      <w:r>
        <w:rPr>
          <w:rFonts w:ascii="Amiri" w:hAnsi="Amiri" w:eastAsia="Amiri" w:cs="Amiri"/>
          <w:color w:val="111111"/>
          <w:sz w:val="28"/>
          <w:sz w:val="28"/>
          <w:szCs w:val="28"/>
          <w:rtl w:val="true"/>
          <w:lang w:bidi="ar-SA"/>
        </w:rPr>
        <w:t>الأجزاء إنّما يصحّ فيما إذا علم انحلاله إلى جزء و جزء حتى يكون داعياً إليه، و أمّا إذا جُهلت جزئية الشيء فلا يكون الأمر به، حجّة عليها و داعياً إليها ضرورة انّ قوام الاحتجاج بالعلم، و العلم بتعلّق الأمر المركب، إنّما يكون حجّة على الأجزاء التي علم تركب المركب منها دون ما لا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نزّل المقام على ما إذا تعلّق الأمر بالأجزاء بلا توسط عنوان، فكما أنّه لا يحتج إلاّ على الأجزاء المعلومة دون المشكوكة، فهكذا المقام فانّ الأمر و إن تعلق بالعنوان مباشرة دونها، لكنّك عرفت أنّ نسبة العنوان إليها نسبة المجمل إلى المفصل، فالأجزاء في مرآة الإجمال،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مرآة التفصيل،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بذل العبد جهده للعثور على الأجزاء التي ينحلّ العنوان إليها، فلم يقف إلاّ على التسعة منها دون الجزء العاشر المحتمل، يستقل العقل بانّه ممتثل حسب قيام الحجة و يعدّ العقاب على ترك الجزء المشكوك عقاباً بلا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موجزة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العقل يستقل بقبح مؤاخذ مَنْ أُمر بمركب لم يُعلَم من أجزائه إلاّ عدّة أجزاء، و يشكّ في وجود جزء آخر، ثمّ بذل جهده في طلب الدليل على جزئية ذلك الأمر، فلم يعثر فأتى بما علم و ترك المشكوك، خصوصاً مع اعتراف المولى بعدم نصب قرينة عليه، فكما تقبح المؤاخذة فيما إذا لم ينصب قرينة فهكذا تقبح فيما إذا نصب و لكن لم تصل إلى المكلّف بعد الفحص و هذا تقرير للبراءة العقلية</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يعلم جريان البراءة الشرعية حيث إنّ تعلّق الوجوب الشرعي بالنسبة إلى الجزء أو الشرط أو القيد مجهول فيشمله حديث الرفع و غيره من أدلّة البراءةن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انّ المرجع في الأقل و الأكثر هو البراءة من غير فرق بين أن يكون منشأ الشك فقدان النص كما علمت أو إجمال النص، كما إذا دلّ الدليل على غسل ظاهر البدن و يشك في أنّ الجزء الفلاني داخل فيه أو لا، أو تعارض النصين، كما إذا دلّ دليل على جزئية السورة، و أُخرى على عدم جزئيتها، فالمرجع حسب القاعدة الأُولى هو البراءة، غير انّ الأدلة الشرعية دلت على التخيير بين الدليلين عند عدم المرجح</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أو كان منشأ الشك خلط الأُمور الخارجية، كما إذا أمر بتكريم مجموع العلماء على نحو العام المجموعي بأن يكون هناك وجوب واحد و إطاعة واحدة فشكّ في كون زيد عالماً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فالمرجع هو البراءة، لأنّ الشكّ في كون زيد عالماً يرجع إلى الشكّ في كون الموضوع ذا أجزاء كثيرة أو قليلة فيكون حكمه، حكم الأقل و الأكثر الارتباطيين</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ثمة سؤال و هو لما ذا خصصنا الأقل و الأكثر بالشبهة الوجوبية و لم نتعرض له في الشبهة التحريمية؟ و الجواب واضح لأنّ مرجع دوران الأمر بين الأقل و الأكثر في الشبهة التحريمية إلى الشكّ في أصل التكليف، لأنّ الأقل معلوم الحرمة و الشكّ في حرمة الأكثر، نظير الشك في الأقل و الأكثر الاستقلاليين في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9" w:name="pg14687_217264"/>
    </w:p>
    <w:p>
      <w:pPr>
        <w:pStyle w:val="Heading5"/>
        <w:numPr>
          <w:ilvl w:val="4"/>
          <w:numId w:val="1"/>
        </w:numPr>
        <w:rPr/>
      </w:pPr>
      <w:bookmarkStart w:id="310" w:name="__RefHeading___Toc3433088_1878427129"/>
      <w:bookmarkStart w:id="311" w:name="_Toc115"/>
      <w:bookmarkEnd w:id="309"/>
      <w:bookmarkEnd w:id="310"/>
      <w:r>
        <w:rPr>
          <w:rtl w:val="true"/>
        </w:rPr>
        <w:t>تنبيهات</w:t>
      </w:r>
      <w:bookmarkEnd w:id="311"/>
    </w:p>
    <w:p>
      <w:pPr>
        <w:pStyle w:val="Heading6"/>
        <w:numPr>
          <w:ilvl w:val="5"/>
          <w:numId w:val="1"/>
        </w:numPr>
        <w:rPr/>
      </w:pPr>
      <w:bookmarkStart w:id="312" w:name="__RefHeading___Toc3433090_1878427129"/>
      <w:bookmarkStart w:id="313" w:name="_Toc116"/>
      <w:bookmarkEnd w:id="312"/>
      <w:r>
        <w:rPr>
          <w:rtl w:val="true"/>
        </w:rPr>
        <w:t>التنبيه الأوّل</w:t>
      </w:r>
      <w:r>
        <w:rPr>
          <w:rtl w:val="true"/>
        </w:rPr>
        <w:t xml:space="preserve">: </w:t>
      </w:r>
      <w:r>
        <w:rPr>
          <w:rtl w:val="true"/>
        </w:rPr>
        <w:t>حكم النقيصة السهوية</w:t>
      </w:r>
      <w:bookmarkEnd w:id="313"/>
    </w:p>
    <w:p>
      <w:pPr>
        <w:pStyle w:val="BookText"/>
        <w:rPr/>
      </w:pPr>
      <w:r>
        <w:rPr>
          <w:rFonts w:ascii="Amiri" w:hAnsi="Amiri" w:eastAsia="Amiri" w:cs="Amiri"/>
          <w:color w:val="111111"/>
          <w:sz w:val="28"/>
          <w:sz w:val="28"/>
          <w:szCs w:val="28"/>
          <w:rtl w:val="true"/>
          <w:lang w:bidi="ar-SA"/>
        </w:rPr>
        <w:t>إذا ترك جزء المركب أو شرطه سهواً فهل تبطل عبادته أو لا؟ و الكلام في المقام في تبيين حكم القاعدة الأُولى دون النظر إلى الأدلة الخارجية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القاعدة الثانويّة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للمسألة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لدليل المركب إطلاق يدلّ على مطلوبية الباقي مطلقاً سواء كان معه الجزء المنسيّ أو لا، مثل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 الصلاة بحال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لفظ الصلاة صادقاً على غير المنسي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لدليل الجزء إطلاق يدل على مدخليته في المركب مطلقاً في حالتي الذكر و النسيان، 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من دليلي المركب و الجزء إطلاق، فمقتضى إطلاق دليل المركب وجود الأمر بالباقي، و مقتضى إطلاق دليل الجزء عدم الأمر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لواحد منهما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وجود الإطلاق لدليل المركب دون دليل الجزء، فيؤخذ بمقتضى إطلاق دليل المركب، و يحكم بصحّة المأتي به عدا المنسيّ، و لو شكّ في جزئية الجزء أو شرطية الشرط في حال النسيان تجري أصالة البراءة فيها</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كان لدليل الجزء و الشرط إطلاق دون دليل المركب، فيدلّ على فعلية أحكامهما في حالتي الذكر و النسيان، و مقتضى الإطلاق </w:t>
      </w:r>
    </w:p>
    <w:p>
      <w:pPr>
        <w:pStyle w:val="BookText"/>
        <w:rPr/>
      </w:pPr>
      <w:r>
        <w:rPr>
          <w:rFonts w:ascii="Amiri" w:hAnsi="Amiri" w:eastAsia="Amiri" w:cs="Amiri"/>
          <w:color w:val="111111"/>
          <w:sz w:val="28"/>
          <w:sz w:val="28"/>
          <w:szCs w:val="28"/>
          <w:rtl w:val="true"/>
          <w:lang w:bidi="ar-SA"/>
        </w:rPr>
        <w:t>عدم الاكتفاء بالمأتي به، و لو ارتفع النسيان كان عليه الإعادة أو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كان لكلّ من الدليلين إطلاق فيقدم إطلاق دليل الجزء على إطلاق المركب تقدمَ المقيد على المطلق، فإنّ دليل المركّب و إن كان يدلّ على مطلوبية كلّ واحد من الأجزاء غير المنسيّة حالتي الذكر و النسيان و بالتالي يدل وجود الأمر بما عدا المنسي سواء أنسي الجزء الآخر أم لا، لكن دليل الجزء أخص منه حيث يدلّ على دخله في صحّة المركب و عدم إيفاء الباقي بغرض المولى مطلقاً ذاكراً كان أو ناسياً، فيقدم على إطلاق المركب، و على ذلك فلا يجوز الاكتفاء بما عدا المنسي، فإذا قال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Style w:val="FootnoteAnchor"/>
          <w:rtl w:val="true"/>
        </w:rPr>
        <w:footnoteReference w:id="196"/>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لا يقيم صلبه</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كان ظاهرهما مدخليتهما في ماهية الصلاة و حقيقتها، فيعمّان حالتي الذكر و النسيان، فتكون النتيجة بطلانَ الصلاة المنسيّ جزؤها حسب إطلاق دليل الجزء و الشرط، و ليس المقام مجرى للبراءة العقلية أو الشرعية من شرطية الشرط أو جزئية الجزء لفرض وجود الدليل الاجتهادي،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فيهما</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لدليل المركب و لا لدليل الجزء إطلاق فأتى بما عدا المنسي ثمّ ذكر بعد الفراغ عن العمل، فهذا هو المناسب للمقام و المحكّم فيه هو البراءة، لأنّ الواقع لا يخلو من أحد أمرين، إمّا أن تكون الجزئية مطلقة تلزم إعادتها، أو مختصة بحال الذكر فيكفي ما أتى به، فيكون مرجع الشك في وجوب الإعادة، إلى الشك في ثبوت جزئية الجزء أو شرطية الشرط في حال النسيان و الأصل البراءة من الجزئية أو الشرطية في هذه الحالة، فيحكم عليها بالصحّة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14" w:name="pg14687_217266"/>
    </w:p>
    <w:p>
      <w:pPr>
        <w:pStyle w:val="Heading6"/>
        <w:numPr>
          <w:ilvl w:val="5"/>
          <w:numId w:val="1"/>
        </w:numPr>
        <w:rPr/>
      </w:pPr>
      <w:bookmarkStart w:id="315" w:name="__RefHeading___Toc3433092_1878427129"/>
      <w:bookmarkStart w:id="316" w:name="_Toc117"/>
      <w:bookmarkEnd w:id="314"/>
      <w:bookmarkEnd w:id="315"/>
      <w:r>
        <w:rPr>
          <w:rtl w:val="true"/>
        </w:rPr>
        <w:t>التنبيه الثاني</w:t>
      </w:r>
      <w:r>
        <w:rPr>
          <w:rtl w:val="true"/>
        </w:rPr>
        <w:t xml:space="preserve">: </w:t>
      </w:r>
      <w:r>
        <w:rPr>
          <w:rtl w:val="true"/>
        </w:rPr>
        <w:t>تعذّر الإتيان ببعض الأجزاء</w:t>
      </w:r>
      <w:bookmarkEnd w:id="316"/>
    </w:p>
    <w:p>
      <w:pPr>
        <w:pStyle w:val="Heading6"/>
        <w:numPr>
          <w:ilvl w:val="5"/>
          <w:numId w:val="1"/>
        </w:numPr>
        <w:rPr/>
      </w:pPr>
      <w:bookmarkStart w:id="317" w:name="__RefHeading___Toc3433094_1878427129"/>
      <w:bookmarkStart w:id="318" w:name="_Toc118"/>
      <w:bookmarkEnd w:id="317"/>
      <w:r>
        <w:rPr>
          <w:rtl w:val="true"/>
        </w:rPr>
        <w:t>اشارة</w:t>
      </w:r>
      <w:bookmarkEnd w:id="318"/>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تعذّر الإتيان ببعض الأجزاء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إذا عُلِمت جزئية شيء أو شرطيته و دار الأمر بين كونه جزءاً أو شرطاً مطلقاً و لو في حال العجز حتى يسقط الأمر بالباقي لعدم تمكنه من الإتيان بالمأمور به، أو كونه جزءاً أو شرطاً في حال التمكّن فيبقى الأمر بالباقي على حاله، فللمسألة 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المركّب وحده إطلاق بالنسبة إلى سائر الأجزاء يعم الحكم حالتي التمكّن و التعذّر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الجزء وحده إطلاق يعم الحكم كلتا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لكلا الدليلين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لواحد منهما 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فالمحكّم هو الدليل الاجتهادي،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في الأوّلين، فتكون النتيجة لزوم الإتيان بغير المتعذّر في الأُولى و عدمه في الثانية، و تقديم إطلاق الجزء على إطلاق المركّب في الصورة الثالثة، فتكون النتيجة عدم جواز الإتيان بغير المتعذر، لتقدّم إطلاق دليل الجزء على دليل المركّب، تقدمَ المقيد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النقيصة السهويّة</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الكلام في الصورة الرابعة، أي ما لا يكون هناك إطلاق في كلا الموضعين، فهل يجب الإتيان بالباقي إذا كان عنوان المركّب صادقاً على الباقي، كالأمر بالصلاة في ثوب طاهر مع تعذر إقامتها في الطاهر، أو لا؟ </w:t>
      </w:r>
      <w:bookmarkStart w:id="319" w:name="pg14687_217267"/>
    </w:p>
    <w:p>
      <w:pPr>
        <w:pStyle w:val="BookText"/>
        <w:rPr/>
      </w:pPr>
      <w:bookmarkEnd w:id="319"/>
      <w:r>
        <w:rPr>
          <w:rFonts w:ascii="Amiri" w:hAnsi="Amiri" w:eastAsia="Amiri" w:cs="Amiri"/>
          <w:color w:val="111111"/>
          <w:sz w:val="28"/>
          <w:sz w:val="28"/>
          <w:szCs w:val="28"/>
          <w:rtl w:val="true"/>
          <w:lang w:bidi="ar-SA"/>
        </w:rPr>
        <w:t>الظاهر هو الثاني، لأنّ التكليف المتيقّن إنّما كان بمجموع الأجزاء و الشرائط، فإذا لم يتمكّن من بعضها فكأنّه لم يتمكّن من الكل بما هو كل، فالتكليف الجديد بالنسبة إلى الباقي يحتاج إلى الدليل و الأصل البراءة منه</w:t>
      </w:r>
      <w:r>
        <w:rPr>
          <w:rFonts w:eastAsia="Amiri" w:cs="Amiri" w:ascii="Amiri" w:hAnsi="Amiri"/>
          <w:color w:val="111111"/>
          <w:sz w:val="28"/>
          <w:szCs w:val="28"/>
          <w:rtl w:val="true"/>
          <w:lang w:bidi="ar-SA"/>
        </w:rPr>
        <w:t>.</w:t>
      </w:r>
    </w:p>
    <w:p>
      <w:pPr>
        <w:pStyle w:val="Heading6"/>
        <w:numPr>
          <w:ilvl w:val="5"/>
          <w:numId w:val="1"/>
        </w:numPr>
        <w:rPr/>
      </w:pPr>
      <w:bookmarkStart w:id="320" w:name="__RefHeading___Toc3433096_1878427129"/>
      <w:bookmarkStart w:id="321" w:name="_Toc119"/>
      <w:bookmarkEnd w:id="320"/>
      <w:r>
        <w:rPr>
          <w:rtl w:val="true"/>
        </w:rPr>
        <w:t>قاعدة الميسور</w:t>
      </w:r>
      <w:bookmarkEnd w:id="321"/>
    </w:p>
    <w:p>
      <w:pPr>
        <w:pStyle w:val="BookText"/>
        <w:rPr/>
      </w:pPr>
      <w:r>
        <w:rPr>
          <w:rFonts w:ascii="Amiri" w:hAnsi="Amiri" w:eastAsia="Amiri" w:cs="Amiri"/>
          <w:color w:val="111111"/>
          <w:sz w:val="28"/>
          <w:sz w:val="28"/>
          <w:szCs w:val="28"/>
          <w:rtl w:val="true"/>
          <w:lang w:bidi="ar-SA"/>
        </w:rPr>
        <w:t>و ربما يقال بوجوب الإتيان بالباقي تمسّكاً بقاعدة الميسور التي دلّ عليها الحديث النبويّ و الولويّ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مسلم في صحيحه عن أبي هريرة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فرض عليكم الحجّ فحجّوا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عام يا رسول اللّه؟ فسكت حتى قالها ثلاثاً،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قلت نعم لوجب و لما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ذروني ما تركتكم، فإنّما هلك من قبلكم بكثرة سؤالهم و اختلافهم على أنبيائهم، فإذا أمرتكم بشيء فأتوا منه ما استطعتم، و إذا نهيتكم عن شيء فدعوه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 الرواية غير صالحة سنداً و 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فيكفي في ضعفه كون الناقل ممّن لا يصحّ الاحتجاج برواياته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الرواية ناظرة إلى واجب ذي افراد لا ذي أجزاء بقرينة موردها، و هو الحج، و بقرينة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عام يا رسول اللّه؟ و لكنّ الكلام في المقام انّما هو في واجب ذي أَجزاء لا في واجب ذي افراد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رواه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غوالي اللآلي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يُترك الميسور بالمعسور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22" w:name="pg14687_217268"/>
    </w:p>
    <w:p>
      <w:pPr>
        <w:pStyle w:val="BookText"/>
        <w:rPr/>
      </w:pPr>
      <w:bookmarkEnd w:id="322"/>
      <w:r>
        <w:rPr>
          <w:rFonts w:ascii="Amiri" w:hAnsi="Amiri" w:eastAsia="Amiri" w:cs="Amiri"/>
          <w:color w:val="111111"/>
          <w:sz w:val="28"/>
          <w:sz w:val="28"/>
          <w:szCs w:val="28"/>
          <w:rtl w:val="true"/>
          <w:lang w:bidi="ar-SA"/>
        </w:rPr>
        <w:t>يلاحظ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سند الحديثين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الدلالة، فالظاهر أنّه لا غبار في دلالتهما شريطة أن يكون الباقي ميسوراً للمعسور، كالثمانية بالنسبة إلى العشرة، لا الخمسة بالنسبة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يدرك كلّه لا يترك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المنصرف إلى ما إذا كان المُدرَك مرتبة ناقصة ممّا لا يُدرك</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433098_1878427129"/>
      <w:bookmarkStart w:id="324" w:name="_Toc120"/>
      <w:bookmarkEnd w:id="323"/>
      <w:r>
        <w:rPr>
          <w:rtl w:val="true"/>
        </w:rPr>
        <w:t>التنبيه الثالث</w:t>
      </w:r>
      <w:r>
        <w:rPr>
          <w:rtl w:val="true"/>
        </w:rPr>
        <w:t xml:space="preserve">: </w:t>
      </w:r>
      <w:r>
        <w:rPr>
          <w:rtl w:val="true"/>
        </w:rPr>
        <w:t>حكم الزيادة السهوية</w:t>
      </w:r>
      <w:bookmarkEnd w:id="324"/>
    </w:p>
    <w:p>
      <w:pPr>
        <w:pStyle w:val="BookText"/>
        <w:rPr/>
      </w:pPr>
      <w:r>
        <w:rPr>
          <w:rFonts w:ascii="Amiri" w:hAnsi="Amiri" w:eastAsia="Amiri" w:cs="Amiri"/>
          <w:color w:val="111111"/>
          <w:sz w:val="28"/>
          <w:sz w:val="28"/>
          <w:szCs w:val="28"/>
          <w:rtl w:val="true"/>
          <w:lang w:bidi="ar-SA"/>
        </w:rPr>
        <w:t>انّ لزيادة الجزء صوراً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شيء جزء للمركب و أُخذَ عدم زيادته قيداً للمركب لا لجزئيّة الجزء،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 الصلاة بشرط عدم زيادة جزء من أجزائها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شيء جزء للمركّب لكن أُخذ عدم زيادته قيداً لجزئيّة الجزء فصار الجزء بقيد الوحدة جزء،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اركع بشرط عدم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شيء جزءاً و كان بالنسبة إلى الزيادة لا بشرط، بأن تكون الزيادة و عدمها غير مؤثرين في صحّة الواجب و لا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انّ الصلاة في الصورتين الأُوليين باطلة لعدم كون المأتي به موافقاً للمأمور به كما لا شكّ في صحّة الصلاة في الصورة الثالثة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فيما إذا لم تحرز كيفية اعتبار الجزء و دار الأمر بين كونه من ذينك القسمين أو 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مقتضى القاعدة الأوّلية، و المرجع هو البراءة، لأنّ مرجع الشك إلى أخذ العدم قيداً للمركب أو لجزئية الجزء أو أخذ الزائد مانعاً، و قاطعاً و الأصل في الجميع هو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الزيادة حسب القواعد الأوّلية، و أمّا حكمها حسب القواعد الثانوية فهو موكول إلى الفقه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نقول على وجه الإجمال انّ مقتضى القاعدة الثانوية هو البطلان في موارد خمسة </w:t>
      </w:r>
      <w:bookmarkStart w:id="325" w:name="pg14687_217269"/>
    </w:p>
    <w:p>
      <w:pPr>
        <w:pStyle w:val="BookText"/>
        <w:rPr/>
      </w:pPr>
      <w:bookmarkEnd w:id="325"/>
      <w:r>
        <w:rPr>
          <w:rFonts w:ascii="Amiri" w:hAnsi="Amiri" w:eastAsia="Amiri" w:cs="Amiri"/>
          <w:color w:val="111111"/>
          <w:sz w:val="28"/>
          <w:sz w:val="28"/>
          <w:szCs w:val="28"/>
          <w:rtl w:val="true"/>
          <w:lang w:bidi="ar-SA"/>
        </w:rPr>
        <w:t xml:space="preserve">اعتماداً على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زرارة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تعاد الصلاة إلاّ من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القراءة سنّة، و التشهد سنّة فلا تنقض السنة الفريضة</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هذا بناء على أنّ شمول الحديث النقيصة و الزيادة</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433100_1878427129"/>
      <w:bookmarkStart w:id="327" w:name="_Toc121"/>
      <w:bookmarkEnd w:id="326"/>
      <w:r>
        <w:rPr>
          <w:rtl w:val="true"/>
        </w:rPr>
        <w:t>التنبيه الرابع</w:t>
      </w:r>
      <w:r>
        <w:rPr>
          <w:rtl w:val="true"/>
        </w:rPr>
        <w:t xml:space="preserve">: </w:t>
      </w:r>
      <w:r>
        <w:rPr>
          <w:rtl w:val="true"/>
        </w:rPr>
        <w:t>دوران الأمر بين شرطية شيء و مانعيته أو قاطعيته</w:t>
      </w:r>
      <w:bookmarkEnd w:id="327"/>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شرطية شيء و مانعيته أو قاطعيته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إذا علمنا اعتبار شيء في المأمور به و لكن دار الأمر بين كون وجوده مؤثراً في الصحّة أو وجوده مانعاً عنها</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و هذا كالجهر بالقراءة في ظهر يوم الجمعة حيث قيل بوجوبه، و قيل بوجوب الإخفات، و كتدارك الحمد بعد الدخول في السورة و غيرهما من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وجوب الاحتياط إذا أمكن، كما إذا كان للواجب أفراد طولية، كصلاة الظهر في يوم الجمعة فدار الأمر بين كون الجهر شرطاً أو مانعاً فيجب التكرار، و نظير ذلك دوران الأمر بين التمام و القصر للشك في كون الركعتين الأخيرتين جزءاً أو مانعاً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لم يتمكّن إلاّ من فرد واحد كصلاة الجمعة في الشبهة الحكمية، فالمرجع هو التخيير</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3433102_1878427129"/>
      <w:bookmarkStart w:id="329" w:name="_Toc122"/>
      <w:bookmarkEnd w:id="328"/>
      <w:r>
        <w:rPr>
          <w:rtl w:val="true"/>
        </w:rPr>
        <w:t>خاتمة</w:t>
      </w:r>
      <w:r>
        <w:rPr>
          <w:rtl w:val="true"/>
        </w:rPr>
        <w:t xml:space="preserve">: </w:t>
      </w:r>
      <w:r>
        <w:rPr>
          <w:rtl w:val="true"/>
        </w:rPr>
        <w:t>في شرائط العمل بالاحتياط و البراءة</w:t>
      </w:r>
      <w:bookmarkEnd w:id="329"/>
    </w:p>
    <w:p>
      <w:pPr>
        <w:pStyle w:val="Heading4"/>
        <w:numPr>
          <w:ilvl w:val="3"/>
          <w:numId w:val="1"/>
        </w:numPr>
        <w:rPr/>
      </w:pPr>
      <w:bookmarkStart w:id="330" w:name="__RefHeading___Toc3433104_1878427129"/>
      <w:bookmarkStart w:id="331" w:name="_Toc123"/>
      <w:bookmarkEnd w:id="330"/>
      <w:r>
        <w:rPr>
          <w:rtl w:val="true"/>
        </w:rPr>
        <w:t>اشارة</w:t>
      </w:r>
      <w:bookmarkEnd w:id="3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الشرائط ما هو شرط لجريانهما دون جواز العمل بهما، و الفرق </w:t>
      </w:r>
      <w:bookmarkStart w:id="332" w:name="pg14687_217270"/>
    </w:p>
    <w:p>
      <w:pPr>
        <w:pStyle w:val="BookText"/>
        <w:rPr/>
      </w:pPr>
      <w:bookmarkEnd w:id="332"/>
      <w:r>
        <w:rPr>
          <w:rFonts w:ascii="Amiri" w:hAnsi="Amiri" w:eastAsia="Amiri" w:cs="Amiri"/>
          <w:color w:val="111111"/>
          <w:sz w:val="28"/>
          <w:sz w:val="28"/>
          <w:szCs w:val="28"/>
          <w:rtl w:val="true"/>
          <w:lang w:bidi="ar-SA"/>
        </w:rPr>
        <w:t>بينهما واضح، لأنّ الشرائط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وجوده محقِّقاً لموضوع الأصل بحيث لولاه لما كان هناك محلّ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وجوده شرطاً للعمل بالأصل على وجه يكون الأصل جارياً، و لكن لا يعمل به إلاّ مع هذا الشرط، و إليك الكلام في كلا الشرطين على وجه الإيجاز</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3433106_1878427129"/>
      <w:bookmarkStart w:id="334" w:name="_Toc124"/>
      <w:bookmarkEnd w:id="333"/>
      <w:r>
        <w:rPr>
          <w:rtl w:val="true"/>
        </w:rPr>
        <w:t>أصل الاحتياط و شروط جريانه</w:t>
      </w:r>
      <w:bookmarkEnd w:id="334"/>
    </w:p>
    <w:p>
      <w:pPr>
        <w:pStyle w:val="BookText"/>
        <w:rPr/>
      </w:pPr>
      <w:r>
        <w:rPr>
          <w:rFonts w:ascii="Amiri" w:hAnsi="Amiri" w:eastAsia="Amiri" w:cs="Amiri"/>
          <w:color w:val="111111"/>
          <w:sz w:val="28"/>
          <w:sz w:val="28"/>
          <w:szCs w:val="28"/>
          <w:rtl w:val="true"/>
          <w:lang w:bidi="ar-SA"/>
        </w:rPr>
        <w:t>لا شكّ في حسن الاحتياط لكونه طريقاً لتحصيل الحقّ و العمل به و العقل حاكم بحسنه، و لا يشترط فيه سوى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استلزامه لاختلال النظام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مخالفته لاحتياط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موارده فتنحصر في المواضع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المطلق فيما إذا لم يكن هنا علم إجمالي و لا حجّة شرعية، كالشبهة البدويّة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فيما إذا كان هناك علم وجداني إجمالي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الاحتياط إذا كانت هناك حجّة شرعية لها إطلاق بالنسبة إلى المعلوم بالتفصيل و المعلوم بالإجمال</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3433108_1878427129"/>
      <w:bookmarkStart w:id="336" w:name="_Toc125"/>
      <w:bookmarkEnd w:id="335"/>
      <w:r>
        <w:rPr>
          <w:rtl w:val="true"/>
        </w:rPr>
        <w:t>أصل البراءة و شرط جريانه</w:t>
      </w:r>
      <w:bookmarkEnd w:id="336"/>
    </w:p>
    <w:p>
      <w:pPr>
        <w:pStyle w:val="Heading5"/>
        <w:numPr>
          <w:ilvl w:val="4"/>
          <w:numId w:val="1"/>
        </w:numPr>
        <w:rPr/>
      </w:pPr>
      <w:bookmarkStart w:id="337" w:name="__RefHeading___Toc3433110_1878427129"/>
      <w:bookmarkStart w:id="338" w:name="_Toc126"/>
      <w:bookmarkEnd w:id="337"/>
      <w:r>
        <w:rPr>
          <w:rtl w:val="true"/>
        </w:rPr>
        <w:t>اشارة</w:t>
      </w:r>
      <w:bookmarkEnd w:id="33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يشترط في جريان البراءة في الشبهات الحكمية إلاّ الفحص عن الدليل الاجتهادي، لأنّ البيان الرافع لقبح العقاب هو البيان الواصل هذا من جانب</w:t>
      </w:r>
      <w:r>
        <w:rPr>
          <w:rFonts w:eastAsia="Amiri" w:cs="Amiri" w:ascii="Amiri" w:hAnsi="Amiri"/>
          <w:color w:val="111111"/>
          <w:sz w:val="28"/>
          <w:szCs w:val="28"/>
          <w:rtl w:val="true"/>
          <w:lang w:bidi="ar-SA"/>
        </w:rPr>
        <w:t xml:space="preserve">. </w:t>
      </w:r>
      <w:bookmarkStart w:id="339" w:name="pg14687_217271"/>
    </w:p>
    <w:p>
      <w:pPr>
        <w:pStyle w:val="BookText"/>
        <w:rPr/>
      </w:pPr>
      <w:bookmarkEnd w:id="339"/>
      <w:r>
        <w:rPr>
          <w:rFonts w:ascii="Amiri" w:hAnsi="Amiri" w:eastAsia="Amiri" w:cs="Amiri"/>
          <w:color w:val="111111"/>
          <w:sz w:val="28"/>
          <w:sz w:val="28"/>
          <w:szCs w:val="28"/>
          <w:rtl w:val="true"/>
          <w:lang w:bidi="ar-SA"/>
        </w:rPr>
        <w:t>و من جانب آخر ليس المراد من الواصل هو إيصاله إلى كلّ واحد بدقّ باب بيته و إعطائه البيان، بل المراد وجود البيان في مظانّه على وجه لو أراد لوقف عليه، و على هذا فوجود البيان عند الرواة أو حملة العلم أو في الجوامع الحديثية كاف في رفع القبح و مع احتماله فيها لا يستقل العقل بالقبح ما لم يتفحّص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الشبهات الموضوعية، فالظاهر تسالم الأُصوليين على عدم وجوب الفحص، و لكنّه على إطلاقه غير صحيح، و إنّما لا يحتاج إلى الفحص إذا كان تحصيل العلم منوطاً بمقدّمات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العلم بالواقع ممكناً بأدنى نظر، كالنظر إلى الأُفق فيمن شكّ في دخول الفجر فيجب عليه الفحص، و مثله إذا شكّ في بلوغ الأموال الزكوية حدّ النصاب، أو الشكّ في زيادة الربح على المئونة، أو الشكّ في حصول الاستطاعة المالية للحج، أو الشكّ في مقدار الدين مع العلم بضبطه في السجلاّت، إلى غير ذلك من الشبهات الموضوعية التي يحصل العلم بها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شرائط العمل بالبراءة فيمكن أن يعدّ منها، عدم معارضته مع أصل آخر، كما في موارد العلم الإجمالي، أو أن لا يكون على خلاف المنّة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يختص هذا الشرط بالبراءة، بل يعم الاضطرار الوارد في حديث الرفع أيضاً، كعدم الضمان في عام المجاعة إذا توقفت حياة المضطر على أكل طعام الغير، فالمرفوع هو حرمة التصرف لأجل الاضطرار لا الضمان، فالتصرف جائز لكن مع ضمان قيمته، لأنّ عدمه على خلاف المنَّة</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3433112_1878427129"/>
      <w:bookmarkStart w:id="341" w:name="_Toc127"/>
      <w:bookmarkEnd w:id="340"/>
      <w:r>
        <w:rPr>
          <w:rtl w:val="true"/>
        </w:rPr>
        <w:t>صحّة عمل تارك الفحص و عدمها</w:t>
      </w:r>
      <w:bookmarkEnd w:id="34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ترك المجتهد الفحص عن الدليل الاجتهادي، أو ترك العامي طريقي </w:t>
      </w:r>
    </w:p>
    <w:p>
      <w:pPr>
        <w:pStyle w:val="BookText"/>
        <w:rPr/>
      </w:pPr>
      <w:r>
        <w:rPr>
          <w:rFonts w:ascii="Amiri" w:hAnsi="Amiri" w:eastAsia="Amiri" w:cs="Amiri"/>
          <w:color w:val="111111"/>
          <w:sz w:val="28"/>
          <w:sz w:val="28"/>
          <w:szCs w:val="28"/>
          <w:rtl w:val="true"/>
          <w:lang w:bidi="ar-SA"/>
        </w:rPr>
        <w:t>الاجتهاد و التقليد، فهل يحكم بصحّة العمل أو لا؟ لا شكّ في عدم الصحّة إذا خالف الواقع توصليّاً كان أو تعبديّاً ، و كما لا شكّ في الصحة إذا صادف الواقع في التوصليات كالمعاملات، لأنّ الصحّة ليست رهن قصد القربة، و أمّا العبادات إذا صادفت الواقع، فإن تمكن من الإتيان بها بقصد القربة كما إذا كان غافلاً حين العمل صحّت عبادته ظاهراً لحصول شرطها و هي القربة و مطابقتها للواقع، و إلاّ فهي باطلة لخلوّها من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اتّفق الأصحاب على بطلان عمل الجاهل المقصّر في التعبديات إذا خالف الواقع إلاّ في موضعين، فأفتوا بالصحّة و عدم لزوم الإعادة و القضاء، 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أتمّ في موضع القصر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جهر في موضع الإخفات أو بالعكس، لتضافر الروايات على ذلك</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تمّ الكلام في الاحتياط، و يليه البحث في الأصل الرابع، و هو الاستصحاب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42" w:name="pg14687_217273"/>
    </w:p>
    <w:p>
      <w:pPr>
        <w:pStyle w:val="Heading2"/>
        <w:numPr>
          <w:ilvl w:val="1"/>
          <w:numId w:val="1"/>
        </w:numPr>
        <w:rPr/>
      </w:pPr>
      <w:bookmarkStart w:id="343" w:name="__RefHeading___Toc3433114_1878427129"/>
      <w:bookmarkStart w:id="344" w:name="_Toc128"/>
      <w:bookmarkEnd w:id="342"/>
      <w:bookmarkEnd w:id="343"/>
      <w:r>
        <w:rPr>
          <w:rtl w:val="true"/>
        </w:rPr>
        <w:t>الأصل الرابع</w:t>
      </w:r>
      <w:r>
        <w:rPr>
          <w:rtl w:val="true"/>
        </w:rPr>
        <w:t xml:space="preserve">: </w:t>
      </w:r>
      <w:r>
        <w:rPr>
          <w:rtl w:val="true"/>
        </w:rPr>
        <w:t>الاستصحاب</w:t>
      </w:r>
      <w:bookmarkEnd w:id="344"/>
    </w:p>
    <w:p>
      <w:pPr>
        <w:pStyle w:val="Heading3"/>
        <w:numPr>
          <w:ilvl w:val="2"/>
          <w:numId w:val="1"/>
        </w:numPr>
        <w:rPr/>
      </w:pPr>
      <w:bookmarkStart w:id="345" w:name="__RefHeading___Toc3433116_1878427129"/>
      <w:bookmarkStart w:id="346" w:name="_Toc129"/>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الاستصحاب أحد الأُصول الأربعة العامة الذي له دور كبير في استنباط الوظيفة العملية، و لم يزل يُتمسك به بين الفقهاء من عصر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يومنا هذا، و يتميز عن سائر الأُصول الثلاثة بوجود الحالة السابقة و ملاحظتها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وجود الحالة السابقة فهو أساس الاستصحاب، و أمّا اشتراط كونها ملحوظة، فلأجل انّه ربّما لا تكون الحالة السابقة معتبرة عند الشارع بأن تكون حجة في استنباط الوظيفة العملية كما سيوافيك موارده</w:t>
      </w:r>
      <w:r>
        <w:rPr>
          <w:rFonts w:eastAsia="Amiri" w:cs="Amiri" w:ascii="Amiri" w:hAnsi="Amiri"/>
          <w:color w:val="111111"/>
          <w:sz w:val="28"/>
          <w:szCs w:val="28"/>
          <w:rtl w:val="true"/>
          <w:lang w:bidi="ar-SA"/>
        </w:rPr>
        <w:t xml:space="preserve">. </w:t>
      </w:r>
      <w:r>
        <w:rPr>
          <w:rStyle w:val="FootnoteAnchor"/>
          <w:rtl w:val="true"/>
        </w:rPr>
        <w:footnoteReference w:id="204"/>
      </w:r>
    </w:p>
    <w:p>
      <w:pPr>
        <w:pStyle w:val="Heading3"/>
        <w:numPr>
          <w:ilvl w:val="2"/>
          <w:numId w:val="1"/>
        </w:numPr>
        <w:rPr/>
      </w:pPr>
      <w:bookmarkStart w:id="347" w:name="__RefHeading___Toc3433118_1878427129"/>
      <w:bookmarkStart w:id="348" w:name="_Toc130"/>
      <w:bookmarkEnd w:id="347"/>
      <w:r>
        <w:rPr>
          <w:rtl w:val="true"/>
        </w:rPr>
        <w:t>و قبل الخوض في المقصود نقدّم أُموراً</w:t>
      </w:r>
      <w:r>
        <w:rPr>
          <w:rtl w:val="true"/>
        </w:rPr>
        <w:t>:</w:t>
      </w:r>
      <w:bookmarkEnd w:id="348"/>
    </w:p>
    <w:p>
      <w:pPr>
        <w:pStyle w:val="Heading4"/>
        <w:numPr>
          <w:ilvl w:val="3"/>
          <w:numId w:val="1"/>
        </w:numPr>
        <w:rPr/>
      </w:pPr>
      <w:bookmarkStart w:id="349" w:name="__RefHeading___Toc3433120_1878427129"/>
      <w:bookmarkStart w:id="350" w:name="_Toc131"/>
      <w:bookmarkEnd w:id="349"/>
      <w:r>
        <w:rPr>
          <w:rtl w:val="true"/>
        </w:rPr>
        <w:t>الأوّل</w:t>
      </w:r>
      <w:r>
        <w:rPr>
          <w:rtl w:val="true"/>
        </w:rPr>
        <w:t xml:space="preserve">: </w:t>
      </w:r>
      <w:r>
        <w:rPr>
          <w:rtl w:val="true"/>
        </w:rPr>
        <w:t>الاستصحاب في اللغة</w:t>
      </w:r>
      <w:bookmarkEnd w:id="350"/>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أخذ الشيء مصاحَباً أو طلب صحبته، و في الاصطلاح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إبقاء ما كان على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المعروف بين المتأخرين أنّ الاستصحاب أصل كسائر الأُصول و إن كانت مرتبته متقدّمة على سائر الأُصول العملية لكن الظاهر من قدماء الأُصوليين أنّه أمارة ظنية، فكأنّ اليقين السابق بالحدوث أمارة ظنية لبقاء الشيء في ظرف </w:t>
      </w:r>
      <w:bookmarkStart w:id="351" w:name="pg14687_217274"/>
    </w:p>
    <w:p>
      <w:pPr>
        <w:pStyle w:val="BookText"/>
        <w:rPr/>
      </w:pPr>
      <w:bookmarkEnd w:id="351"/>
      <w:r>
        <w:rPr>
          <w:rFonts w:ascii="Amiri" w:hAnsi="Amiri" w:eastAsia="Amiri" w:cs="Amiri"/>
          <w:color w:val="111111"/>
          <w:sz w:val="28"/>
          <w:sz w:val="28"/>
          <w:szCs w:val="28"/>
          <w:rtl w:val="true"/>
          <w:lang w:bidi="ar-SA"/>
        </w:rPr>
        <w:t>الشك، إذ ليس المراد من الشك هو الشكّ المنطقي أعني به تساوي الطرفين حتى ينافي الظن بالبقاء، بل المراد احتمال الخلاف الجامع مع الظن بالبقاء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المتأخرون فلم يعتبروه أمارة ظنية بل تلقّوه أصلاً عملياً و حجّة في ظرف الشك، و استدلّوا عليه بروايات ستوافيك</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3433122_1878427129"/>
      <w:bookmarkStart w:id="353" w:name="_Toc132"/>
      <w:bookmarkEnd w:id="352"/>
      <w:r>
        <w:rPr>
          <w:rtl w:val="true"/>
        </w:rPr>
        <w:t>الثاني</w:t>
      </w:r>
      <w:r>
        <w:rPr>
          <w:rtl w:val="true"/>
        </w:rPr>
        <w:t xml:space="preserve">: </w:t>
      </w:r>
      <w:r>
        <w:rPr>
          <w:rtl w:val="true"/>
        </w:rPr>
        <w:t>الاستصحاب مسألة أُصولية لا قاعدة فقهية،</w:t>
      </w:r>
      <w:bookmarkEnd w:id="353"/>
    </w:p>
    <w:p>
      <w:pPr>
        <w:pStyle w:val="BookText"/>
        <w:rPr/>
      </w:pPr>
      <w:r>
        <w:rPr>
          <w:rFonts w:ascii="Amiri" w:hAnsi="Amiri" w:eastAsia="Amiri" w:cs="Amiri"/>
          <w:color w:val="111111"/>
          <w:sz w:val="28"/>
          <w:sz w:val="28"/>
          <w:szCs w:val="28"/>
          <w:rtl w:val="true"/>
          <w:lang w:bidi="ar-SA"/>
        </w:rPr>
        <w:t>و ذلك لأنّ المعيار في تمييز المسائل الأُصولية عن القواعد الفقهية هو محمولاتها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المحمول في القواعد الفقهية لا يخلو إمّا أن يكون حكماً فرعيّاً تكليفيّاً كالوجوب و الحرمة و الاستحباب و الكراهة و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حكماً فرعيّاً وضعيّاً كالضمان و الصحّة و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حلال حتى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 بحكم أنّ المحمول هو الحليّة، التي هي من الأحكام الفرعية التكليفية،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يضمن بصحيحه يضمن بفاسده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فقهية، لأنّ المحمول فيها هو الضمان و هو حكم وضعي، و مثله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 الصلاة إلاّ من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الطهور و الوقت و القبلة و الركوع و السجود</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فانّ المحمول هو البطلان في الخمسة و الصحّة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ميزان القاعدة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القاعدة الأُصولية فتختلف محمولاً عن القاعدة الفقهية، فالمحمول فيها ليس حكماً شرعياً تكليفياً أو وضعياً، بل يدور حول الحجّية و عدمها،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الظواهر حجّة، الشهرة العملية حجّة، خبر الواحد حجّة، أصل البراءة و الاحتياط و الاستصحاب، كلٌّ حجّة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يخطر بالبال بأنّ المحمول في المسائل الأُصولية ربما يكون غير الحجّة،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ظاهر في الوجوب و النهي ظاهر في الحرمة، و لكنّه عند التدقيق يرجع إلى البحث عن الحجّة على الوجوب و الحرمة، فالغاية من إثبات ظهورهما هي إقامة الحجّة على الوجوب و التحريم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من إثبات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 ظاهراً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bookmarkStart w:id="354" w:name="pg14687_217275"/>
    </w:p>
    <w:p>
      <w:pPr>
        <w:pStyle w:val="BookText"/>
        <w:rPr/>
      </w:pPr>
      <w:bookmarkEnd w:id="354"/>
      <w:r>
        <w:rPr>
          <w:rFonts w:ascii="Amiri" w:hAnsi="Amiri" w:eastAsia="Amiri" w:cs="Amiri"/>
          <w:color w:val="111111"/>
          <w:sz w:val="28"/>
          <w:sz w:val="28"/>
          <w:szCs w:val="28"/>
          <w:rtl w:val="true"/>
          <w:lang w:bidi="ar-SA"/>
        </w:rPr>
        <w:t>احتجاج المولى به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المسألة عبارة عن كون الأمر حجّة في الوجوب أو لا، و هكذا كلّ ما مرّ في باب الأوامر و النواهي</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3433124_1878427129"/>
      <w:bookmarkStart w:id="356" w:name="_Toc133"/>
      <w:bookmarkEnd w:id="355"/>
      <w:r>
        <w:rPr>
          <w:rtl w:val="true"/>
        </w:rPr>
        <w:t>الثالث</w:t>
      </w:r>
      <w:r>
        <w:rPr>
          <w:rtl w:val="true"/>
        </w:rPr>
        <w:t xml:space="preserve">: </w:t>
      </w:r>
      <w:r>
        <w:rPr>
          <w:rtl w:val="true"/>
        </w:rPr>
        <w:t>قد تضافرت الأخبار عن أئمّة أهل البيت</w:t>
      </w:r>
      <w:r>
        <w:rPr>
          <w:rtl w:val="true"/>
        </w:rPr>
        <w:t>(</w:t>
      </w:r>
      <w:r>
        <w:rPr>
          <w:rtl w:val="true"/>
        </w:rPr>
        <w:t>عليهم السلام</w:t>
      </w:r>
      <w:r>
        <w:rPr>
          <w:rtl w:val="true"/>
        </w:rPr>
        <w:t>)</w:t>
      </w:r>
      <w:r>
        <w:rPr>
          <w:rtl w:val="true"/>
        </w:rPr>
        <w:t>فى</w:t>
      </w:r>
      <w:r>
        <w:rPr>
          <w:rtl w:val="true"/>
        </w:rPr>
        <w:t>...</w:t>
      </w:r>
      <w:bookmarkEnd w:id="356"/>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تضافرت الأخبار عن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اليقين لا يُنقض بالشك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ظاهره اجتماعهما في زمان واحد و عدم نقض أحدهما الآخر، و هو في بادئ النظر أمر غريب، لأنّهما لا يجتمعان حتى لا ينقض أحدُهما الآخر، لأنّ اليقين هو الجزم بشيء، و الشكّ هو التردّد و انفصام الجزم، فكيف يجتمعان؟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الجواب أنّ اليقين و الشكّ لا يجتمعان إذا كان المتعلّق واحداً ذاتاً و زماناً، كما إذا فرضنا انّه تيقّن بعدالة زيد يوم الجمعة ثمّ شكّ في نفس ذلك اليوم في عدالته، ففي مثله لا يمكن اجتماع اليقين و الشكّ، فعند ما يكون متيقناً لا يمكن أن يكون شاكاً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متعلقاهما متحدين جوهراً، و متغايرين زماناً، فاليقين و الشكّ يجتمعان قطعاً، مثلاً لو تيقن بعدالة زيد يوم الجمعة لكن صدر منه يوم السبت فعلٌ شكَ معه في بقاء عدالته في ذلك اليوم، ففي هذا الظرف يجتمع اليقين و الشكّ فهو في آن واحد متيقن بعدالة زيد يوم الجمعة لا يشك فيه أبداً، و هو في الوقت نفسه شاك في عدالته يوم السبت، و بذلك صحّ اجتماع اليقين و الشكّ في زمان واحد لتغاير المتعلّقين زماناً، و إلى ذلك يؤول قولهم في باب الاستصحاب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يتعلّق بالحدوث و الشكّ بالبقاء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الاستصحاب إبقاء عدالة زيد يوم الجمعة إلى يوم السبت و ترتيب أثر العدالة في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علم أنّ الاستصحاب يتقوّم بأمرين</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فعليّة اليقين في ظرف الشكّ، و وجودهما في آن واحد في وجدان المستصحِب</w:t>
      </w:r>
      <w:r>
        <w:rPr>
          <w:rFonts w:eastAsia="Amiri" w:cs="Amiri" w:ascii="Amiri" w:hAnsi="Amiri"/>
          <w:color w:val="111111"/>
          <w:sz w:val="28"/>
          <w:szCs w:val="28"/>
          <w:rtl w:val="true"/>
          <w:lang w:bidi="ar-SA"/>
        </w:rPr>
        <w:t xml:space="preserve">. </w:t>
      </w:r>
      <w:bookmarkStart w:id="357" w:name="pg14687_217276"/>
    </w:p>
    <w:p>
      <w:pPr>
        <w:pStyle w:val="BookText"/>
        <w:rPr/>
      </w:pPr>
      <w:bookmarkEnd w:id="35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متعلّقهما جوهراً و ذاتاً، و تعدده زماناً بسبق زمان المتيقن على المشكوك</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3433126_1878427129"/>
      <w:bookmarkStart w:id="359" w:name="_Toc134"/>
      <w:bookmarkEnd w:id="358"/>
      <w:r>
        <w:rPr>
          <w:rtl w:val="true"/>
        </w:rPr>
        <w:t>الرابع</w:t>
      </w:r>
      <w:r>
        <w:rPr>
          <w:rtl w:val="true"/>
        </w:rPr>
        <w:t>:</w:t>
      </w:r>
      <w:r>
        <w:rPr>
          <w:rtl w:val="true"/>
        </w:rPr>
        <w:t>الفرق بين الاستصحاب و قاعدة اليقين</w:t>
      </w:r>
      <w:bookmarkEnd w:id="359"/>
    </w:p>
    <w:p>
      <w:pPr>
        <w:pStyle w:val="BookText"/>
        <w:rPr/>
      </w:pPr>
      <w:r>
        <w:rPr>
          <w:rFonts w:ascii="Amiri" w:hAnsi="Amiri" w:eastAsia="Amiri" w:cs="Amiri"/>
          <w:color w:val="111111"/>
          <w:sz w:val="28"/>
          <w:sz w:val="28"/>
          <w:szCs w:val="28"/>
          <w:rtl w:val="true"/>
          <w:lang w:bidi="ar-SA"/>
        </w:rPr>
        <w:t>إنّ في مصطلح الأُصوليين قاعدة موسومة بقاعدة اليقين و الشك الساري لسريان الشكّ إلى نفس اليقين كما إذا تيقّن بعدالة زيد يوم الجمعة ثم طرأ عليه الشكّ يوم السبت في عدالة زيد في نفس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تبين بذلك أركان قاعدة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فعلية اليقين في ظرف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متعلقهما جوهراً و زماناً، حيث تعلّق الشكّ بنفس ما تعلّق به اليقين و هو عدالة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بين الأصحاب انّ الاستصحاب حجّة دون قاعدة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روايات الباب منطبقة على الأوّل دون الثانية كما سيوافيك</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3433128_1878427129"/>
      <w:bookmarkStart w:id="361" w:name="_Toc135"/>
      <w:bookmarkEnd w:id="360"/>
      <w:r>
        <w:rPr>
          <w:rtl w:val="true"/>
        </w:rPr>
        <w:t>الخامس</w:t>
      </w:r>
      <w:r>
        <w:rPr>
          <w:rtl w:val="true"/>
        </w:rPr>
        <w:t xml:space="preserve">: </w:t>
      </w:r>
      <w:r>
        <w:rPr>
          <w:rtl w:val="true"/>
        </w:rPr>
        <w:t>انّ هنا قاعدة ثالثة</w:t>
      </w:r>
      <w:bookmarkEnd w:id="361"/>
    </w:p>
    <w:p>
      <w:pPr>
        <w:pStyle w:val="BookText"/>
        <w:rPr/>
      </w:pPr>
      <w:r>
        <w:rPr>
          <w:rFonts w:ascii="Amiri" w:hAnsi="Amiri" w:eastAsia="Amiri" w:cs="Amiri"/>
          <w:color w:val="111111"/>
          <w:sz w:val="28"/>
          <w:sz w:val="28"/>
          <w:szCs w:val="28"/>
          <w:rtl w:val="true"/>
          <w:lang w:bidi="ar-SA"/>
        </w:rPr>
        <w:t>و هي قاعدة المقتضي و المانع التي تغاير القاعدتين الماضيتين و تختلف عنهما باختلاف متعلّق اليقين و الشك جوهراً و ذاتاً فضلاً عن الاختلاف في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تيقن بصبِّ الماء على اليد للوضوء، و شك في تحقّق الغَسْل للشك في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تيقن برمي السهم و شكّ في القتل للشك في وجود المانع، فمتعلّق اليقين غير متعلّق الشكّ بالذات، حيث تعلّق اليقين بصبّ الماء و الرمي، و تعلّق الشكّ بوجود الحاجب و المانع</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يتولد من هذا اليقين و الشكّ، شك آخر، و هو الشكّ في حصول </w:t>
      </w:r>
      <w:bookmarkStart w:id="362" w:name="pg14687_217277"/>
    </w:p>
    <w:p>
      <w:pPr>
        <w:pStyle w:val="BookText"/>
        <w:rPr/>
      </w:pPr>
      <w:bookmarkEnd w:id="362"/>
      <w:r>
        <w:rPr>
          <w:rFonts w:ascii="Amiri" w:hAnsi="Amiri" w:eastAsia="Amiri" w:cs="Amiri"/>
          <w:color w:val="111111"/>
          <w:sz w:val="28"/>
          <w:sz w:val="28"/>
          <w:szCs w:val="28"/>
          <w:rtl w:val="true"/>
          <w:lang w:bidi="ar-SA"/>
        </w:rPr>
        <w:t>المقتضى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و القَتل، و القائل بحجّية تلك القاعدة يتمسك بأصالة عدم المانع و الحاجب و يثبت بذلك الغَسل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بحجّة انّ المقتضي موجود، و المانع مرفوع بالأصل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ربما حاول تطبيق روايات الباب على تلك القاعدة</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المشهور أعرضوا عن تلك القاعدة بحجّة عدم الدليل عليها</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3433130_1878427129"/>
      <w:bookmarkStart w:id="364" w:name="_Toc136"/>
      <w:bookmarkEnd w:id="363"/>
      <w:r>
        <w:rPr>
          <w:rtl w:val="true"/>
        </w:rPr>
        <w:t>السادس</w:t>
      </w:r>
      <w:r>
        <w:rPr>
          <w:rtl w:val="true"/>
        </w:rPr>
        <w:t>:</w:t>
      </w:r>
      <w:r>
        <w:rPr>
          <w:rtl w:val="true"/>
        </w:rPr>
        <w:t>تقسيمات الاستصحاب</w:t>
      </w:r>
      <w:bookmarkEnd w:id="364"/>
    </w:p>
    <w:p>
      <w:pPr>
        <w:pStyle w:val="Heading5"/>
        <w:numPr>
          <w:ilvl w:val="4"/>
          <w:numId w:val="1"/>
        </w:numPr>
        <w:rPr/>
      </w:pPr>
      <w:bookmarkStart w:id="365" w:name="__RefHeading___Toc3433132_1878427129"/>
      <w:bookmarkStart w:id="366" w:name="_Toc137"/>
      <w:bookmarkEnd w:id="365"/>
      <w:r>
        <w:rPr>
          <w:rtl w:val="true"/>
        </w:rPr>
        <w:t>اشارة</w:t>
      </w:r>
      <w:bookmarkEnd w:id="366"/>
    </w:p>
    <w:p>
      <w:pPr>
        <w:pStyle w:val="BookText"/>
        <w:rPr/>
      </w:pPr>
      <w:r>
        <w:rPr>
          <w:rFonts w:ascii="Amiri" w:hAnsi="Amiri" w:eastAsia="Amiri" w:cs="Amiri"/>
          <w:color w:val="111111"/>
          <w:sz w:val="28"/>
          <w:sz w:val="28"/>
          <w:szCs w:val="28"/>
          <w:rtl w:val="true"/>
          <w:lang w:bidi="ar-SA"/>
        </w:rPr>
        <w:t>إنّ للاستصحاب تقسيمات، تارة باعتبار المستصحَب، و أُخرى باعتبار الشكّ المأخوذ فيه، و إليك البيان</w:t>
      </w:r>
      <w:r>
        <w:rPr>
          <w:rFonts w:eastAsia="Amiri" w:cs="Amiri" w:ascii="Amiri" w:hAnsi="Amiri"/>
          <w:color w:val="111111"/>
          <w:sz w:val="28"/>
          <w:szCs w:val="28"/>
          <w:rtl w:val="true"/>
          <w:lang w:bidi="ar-SA"/>
        </w:rPr>
        <w:t>:</w:t>
      </w:r>
    </w:p>
    <w:p>
      <w:pPr>
        <w:pStyle w:val="Heading5"/>
        <w:numPr>
          <w:ilvl w:val="4"/>
          <w:numId w:val="1"/>
        </w:numPr>
        <w:rPr/>
      </w:pPr>
      <w:bookmarkStart w:id="367" w:name="__RefHeading___Toc3433134_1878427129"/>
      <w:bookmarkStart w:id="368" w:name="_Toc138"/>
      <w:bookmarkEnd w:id="367"/>
      <w:r>
        <w:rPr/>
        <w:t>1</w:t>
      </w:r>
      <w:r>
        <w:rPr>
          <w:rtl w:val="true"/>
        </w:rPr>
        <w:t xml:space="preserve">. </w:t>
      </w:r>
      <w:r>
        <w:rPr>
          <w:rtl w:val="true"/>
        </w:rPr>
        <w:t>تقسيمه باعتبار المستصحَب</w:t>
      </w:r>
      <w:bookmarkEnd w:id="368"/>
    </w:p>
    <w:p>
      <w:pPr>
        <w:pStyle w:val="BookText"/>
        <w:rPr/>
      </w:pPr>
      <w:r>
        <w:rPr>
          <w:rFonts w:ascii="Amiri" w:hAnsi="Amiri" w:eastAsia="Amiri" w:cs="Amiri"/>
          <w:color w:val="111111"/>
          <w:sz w:val="28"/>
          <w:sz w:val="28"/>
          <w:szCs w:val="28"/>
          <w:rtl w:val="true"/>
          <w:lang w:bidi="ar-SA"/>
        </w:rPr>
        <w:t>ينقسم الاستصحاب باعتبار المستصحَب إلى الأقسام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أمراً وجوديّاً أو عدميّاً، كاستصحاب الكرّية إذا كان الماء مسبوقاً بها، أو عدم الكرّية إذا كان مسبوقاً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حكماً شرعيّاً تكليفيّاً سواء أ كان كليّاً كاستصحاب حليّة المتعة، أم جزئياً كاستصحاب وجوب الإنفاق على الزوجة المعيّنة إذا شكّ في كونها ناشزة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المستصحَب حكماً شرعيّاً وضعياً لا تكليفياً كاستصحاب الزوجية، و الجزئية، و المانعية و الشرطية، و السببية عند طروء الشك في بقائها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المستصحب موضوعاً لحكم </w:t>
      </w:r>
      <w:bookmarkStart w:id="369" w:name="pg14687_217278"/>
    </w:p>
    <w:p>
      <w:pPr>
        <w:pStyle w:val="BookText"/>
        <w:rPr/>
      </w:pPr>
      <w:bookmarkEnd w:id="369"/>
      <w:r>
        <w:rPr>
          <w:rFonts w:ascii="Amiri" w:hAnsi="Amiri" w:eastAsia="Amiri" w:cs="Amiri"/>
          <w:color w:val="111111"/>
          <w:sz w:val="28"/>
          <w:sz w:val="28"/>
          <w:szCs w:val="28"/>
          <w:rtl w:val="true"/>
          <w:lang w:bidi="ar-SA"/>
        </w:rPr>
        <w:t>شرعي سواء كان موضوعاً لحكم شرعي تكليفي، أو موضوعاً لحكم وضعي، و هذا كاستصحاب حياة زيد، فتترتب عليه حرمة قسمة أمواله، و بقاء علقة الزوجية بينه و بين زوجته</w:t>
      </w:r>
      <w:r>
        <w:rPr>
          <w:rFonts w:eastAsia="Amiri" w:cs="Amiri" w:ascii="Amiri" w:hAnsi="Amiri"/>
          <w:color w:val="111111"/>
          <w:sz w:val="28"/>
          <w:szCs w:val="28"/>
          <w:rtl w:val="true"/>
          <w:lang w:bidi="ar-SA"/>
        </w:rPr>
        <w:t>.</w:t>
      </w:r>
    </w:p>
    <w:p>
      <w:pPr>
        <w:pStyle w:val="Heading5"/>
        <w:numPr>
          <w:ilvl w:val="4"/>
          <w:numId w:val="1"/>
        </w:numPr>
        <w:rPr/>
      </w:pPr>
      <w:bookmarkStart w:id="370" w:name="__RefHeading___Toc3433136_1878427129"/>
      <w:bookmarkStart w:id="371" w:name="_Toc139"/>
      <w:bookmarkEnd w:id="370"/>
      <w:r>
        <w:rPr/>
        <w:t>2</w:t>
      </w:r>
      <w:r>
        <w:rPr>
          <w:rtl w:val="true"/>
        </w:rPr>
        <w:t xml:space="preserve">. </w:t>
      </w:r>
      <w:r>
        <w:rPr>
          <w:rtl w:val="true"/>
        </w:rPr>
        <w:t>تقسيمه باعتبار الشك</w:t>
      </w:r>
      <w:bookmarkEnd w:id="371"/>
    </w:p>
    <w:p>
      <w:pPr>
        <w:pStyle w:val="BookText"/>
        <w:rPr/>
      </w:pPr>
      <w:r>
        <w:rPr>
          <w:rFonts w:ascii="Amiri" w:hAnsi="Amiri" w:eastAsia="Amiri" w:cs="Amiri"/>
          <w:color w:val="111111"/>
          <w:sz w:val="28"/>
          <w:sz w:val="28"/>
          <w:szCs w:val="28"/>
          <w:rtl w:val="true"/>
          <w:lang w:bidi="ar-SA"/>
        </w:rPr>
        <w:t>ينقسم الاستصحاب باعتبار الشكّ المأخوذ فيه إلى الأقسام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الشكّ باستعداد المستصحَب للبقاء في الحالة الثانية، كالشكّ في بقاء نجاسة الماء، المتغيّرِ أحدُ أوصافه الثلاثة، بالنجس، إذا زال تغيره بنفسه، حيث إنّه يتعلّق الشكّ بمقدار استعداد النجاسة للبقاء، بعد زوال تغيّره بنفسه، و مثله الشكّ في بقاء الليل أو النهار، حيث إنّه يتعلّق بمقدار استعدادهما للبقاء من حيث الطول و القِصَر، و هذا ما يسمّى بالشكّ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يتعلّق بطروء الرافع مع إحراز قابلية بقاء المستصحب و دوامه لولاه، و هو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يتعلّق الشكّ بوجود الرافع، مع إحراز قابلية بقائه و دوامه لو لا الرافع، كما إذا شكّ في وجود الحدث بعد الوضوء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يتعلّق الشكّ برافعية الأمر الموجود للجهل بحكمه، كالمذي الخارج من الإنسان، فيشك في أنّه رافع للطهارة مثل البول أو لا؟ فيرجع الشكّ إلى رافعية الأمر الموجود للجهل بحكمه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يتعلّق الشكّ برافعية الأمر الموجود للجهل بوصفه و حاله، كالبلل المردّد بين البول و الوذي مع العلم بحكمهما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التقسيمات الرئيسيّة، و هناك تقسيمات أُخرى تركنا ذكرها للاختصار</w:t>
      </w:r>
      <w:r>
        <w:rPr>
          <w:rFonts w:eastAsia="Amiri" w:cs="Amiri" w:ascii="Amiri" w:hAnsi="Amiri"/>
          <w:color w:val="111111"/>
          <w:sz w:val="28"/>
          <w:szCs w:val="28"/>
          <w:rtl w:val="true"/>
          <w:lang w:bidi="ar-SA"/>
        </w:rPr>
        <w:t xml:space="preserve">. </w:t>
      </w:r>
      <w:bookmarkStart w:id="372" w:name="pg14687_217279"/>
    </w:p>
    <w:p>
      <w:pPr>
        <w:pStyle w:val="Heading3"/>
        <w:numPr>
          <w:ilvl w:val="2"/>
          <w:numId w:val="1"/>
        </w:numPr>
        <w:rPr/>
      </w:pPr>
      <w:bookmarkStart w:id="373" w:name="__RefHeading___Toc3433138_1878427129"/>
      <w:bookmarkStart w:id="374" w:name="_Toc140"/>
      <w:bookmarkEnd w:id="372"/>
      <w:bookmarkEnd w:id="373"/>
      <w:r>
        <w:rPr>
          <w:rtl w:val="true"/>
        </w:rPr>
        <w:t>إذا عرفت ذلك، فاعلم انّه استدلّ على حجّية الاستصحاب بوجوه</w:t>
      </w:r>
      <w:bookmarkEnd w:id="374"/>
    </w:p>
    <w:p>
      <w:pPr>
        <w:pStyle w:val="Heading4"/>
        <w:numPr>
          <w:ilvl w:val="3"/>
          <w:numId w:val="1"/>
        </w:numPr>
        <w:rPr/>
      </w:pPr>
      <w:bookmarkStart w:id="375" w:name="__RefHeading___Toc3433140_1878427129"/>
      <w:bookmarkStart w:id="376" w:name="_Toc141"/>
      <w:bookmarkEnd w:id="375"/>
      <w:r>
        <w:rPr>
          <w:rtl w:val="true"/>
        </w:rPr>
        <w:t>اشارة</w:t>
      </w:r>
      <w:bookmarkEnd w:id="376"/>
    </w:p>
    <w:p>
      <w:pPr>
        <w:pStyle w:val="BookText"/>
        <w:rPr/>
      </w:pPr>
      <w:r>
        <w:rPr>
          <w:rFonts w:ascii="Amiri" w:hAnsi="Amiri" w:eastAsia="Amiri" w:cs="Amiri"/>
          <w:color w:val="111111"/>
          <w:sz w:val="28"/>
          <w:sz w:val="28"/>
          <w:szCs w:val="28"/>
          <w:rtl w:val="true"/>
          <w:lang w:bidi="ar-SA"/>
        </w:rPr>
        <w:t>مختلفة أصحها هو الأخبار المتضافرة في المقام و قد أوردنا في الموجز ثلاث روايات، فلنذكر سائرها</w:t>
      </w:r>
      <w:r>
        <w:rPr>
          <w:rFonts w:eastAsia="Amiri" w:cs="Amiri" w:ascii="Amiri" w:hAnsi="Amiri"/>
          <w:color w:val="111111"/>
          <w:sz w:val="28"/>
          <w:szCs w:val="28"/>
          <w:rtl w:val="true"/>
          <w:lang w:bidi="ar-SA"/>
        </w:rPr>
        <w:t>.</w:t>
      </w:r>
    </w:p>
    <w:p>
      <w:pPr>
        <w:pStyle w:val="Heading4"/>
        <w:numPr>
          <w:ilvl w:val="3"/>
          <w:numId w:val="1"/>
        </w:numPr>
        <w:rPr/>
      </w:pPr>
      <w:bookmarkStart w:id="377" w:name="__RefHeading___Toc3433142_1878427129"/>
      <w:bookmarkStart w:id="378" w:name="_Toc142"/>
      <w:bookmarkEnd w:id="377"/>
      <w:r>
        <w:rPr/>
        <w:t>1</w:t>
      </w:r>
      <w:r>
        <w:rPr>
          <w:rtl w:val="true"/>
        </w:rPr>
        <w:t xml:space="preserve">. </w:t>
      </w:r>
      <w:r>
        <w:rPr>
          <w:rtl w:val="true"/>
        </w:rPr>
        <w:t>صحيحة زرارة الثالثة</w:t>
      </w:r>
      <w:bookmarkEnd w:id="378"/>
    </w:p>
    <w:p>
      <w:pPr>
        <w:pStyle w:val="BookText"/>
        <w:rPr/>
      </w:pPr>
      <w:r>
        <w:rPr>
          <w:rFonts w:ascii="Amiri" w:hAnsi="Amiri" w:eastAsia="Amiri" w:cs="Amiri"/>
          <w:color w:val="111111"/>
          <w:sz w:val="28"/>
          <w:sz w:val="28"/>
          <w:szCs w:val="28"/>
          <w:rtl w:val="true"/>
          <w:lang w:bidi="ar-SA"/>
        </w:rPr>
        <w:t>روى الكليني ، عن زرارة، عن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يدر في ثلاث هو أو في أربع، و قد أحرز الثلاث، قام فأضاف إليها أُخرى و لا شيء عليه، و لا ينقض اليقين بالشك</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للأمر بإضافة ركعة أُخرى،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بركعة أُخرى و لا شيء عليه، لأنّه كان على يقين بعدم الإتيان بها فليمض على يقينه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يأتي بالركعة الاحتياطيّة متصلة، مع أنّ الفتوى على الانفصال، فتُرفع اليد عن هذا الظاهر بقرينة إجماع الطائفة على الانفصال</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433144_1878427129"/>
      <w:bookmarkStart w:id="380" w:name="_Toc143"/>
      <w:bookmarkEnd w:id="379"/>
      <w:r>
        <w:rPr/>
        <w:t>2</w:t>
      </w:r>
      <w:r>
        <w:rPr>
          <w:rtl w:val="true"/>
        </w:rPr>
        <w:t xml:space="preserve">. </w:t>
      </w:r>
      <w:r>
        <w:rPr>
          <w:rtl w:val="true"/>
        </w:rPr>
        <w:t>موثقة إسحاق بن عمّار</w:t>
      </w:r>
      <w:bookmarkEnd w:id="380"/>
    </w:p>
    <w:p>
      <w:pPr>
        <w:pStyle w:val="BookText"/>
        <w:rPr/>
      </w:pPr>
      <w:r>
        <w:rPr>
          <w:rFonts w:ascii="Amiri" w:hAnsi="Amiri" w:eastAsia="Amiri" w:cs="Amiri"/>
          <w:color w:val="111111"/>
          <w:sz w:val="28"/>
          <w:sz w:val="28"/>
          <w:szCs w:val="28"/>
          <w:rtl w:val="true"/>
          <w:lang w:bidi="ar-SA"/>
        </w:rPr>
        <w:t>روى الصدوق باسناده،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الكلام فعليّة اليقين و الشكّ، فهو في آن واحد ذو </w:t>
      </w:r>
      <w:bookmarkStart w:id="381" w:name="pg14687_217280"/>
    </w:p>
    <w:p>
      <w:pPr>
        <w:pStyle w:val="BookText"/>
        <w:rPr/>
      </w:pPr>
      <w:bookmarkEnd w:id="381"/>
      <w:r>
        <w:rPr>
          <w:rFonts w:ascii="Amiri" w:hAnsi="Amiri" w:eastAsia="Amiri" w:cs="Amiri"/>
          <w:color w:val="111111"/>
          <w:sz w:val="28"/>
          <w:sz w:val="28"/>
          <w:szCs w:val="28"/>
          <w:rtl w:val="true"/>
          <w:lang w:bidi="ar-SA"/>
        </w:rPr>
        <w:t>يقين و شك، فينطبق على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قاعدة اليقين، فالشكّ فيها فعلي دون اليقين بل هو زائل كما مرّ في توضيح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 الرواية ظاهرة في الاستصحاب بقرينة وحدة لسانها مع سائر الروايات</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3433146_1878427129"/>
      <w:bookmarkStart w:id="383" w:name="_Toc144"/>
      <w:bookmarkEnd w:id="382"/>
      <w:r>
        <w:rPr/>
        <w:t>3</w:t>
      </w:r>
      <w:r>
        <w:rPr>
          <w:rtl w:val="true"/>
        </w:rPr>
        <w:t xml:space="preserve">. </w:t>
      </w:r>
      <w:r>
        <w:rPr>
          <w:rtl w:val="true"/>
        </w:rPr>
        <w:t>مكاتبة القاساني</w:t>
      </w:r>
      <w:bookmarkEnd w:id="383"/>
    </w:p>
    <w:p>
      <w:pPr>
        <w:pStyle w:val="BookText"/>
        <w:rPr/>
      </w:pPr>
      <w:r>
        <w:rPr>
          <w:rFonts w:ascii="Amiri" w:hAnsi="Amiri" w:eastAsia="Amiri" w:cs="Amiri"/>
          <w:color w:val="111111"/>
          <w:sz w:val="28"/>
          <w:sz w:val="28"/>
          <w:szCs w:val="28"/>
          <w:rtl w:val="true"/>
          <w:lang w:bidi="ar-SA"/>
        </w:rPr>
        <w:t>كتب علي بن محمد القاساني إلى أبي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و أنا بالمدينة عن اليوم الذي يشك فيه من رمضان، هل يصام أم لا؟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لا يدخل فيه الشك، صم للرؤية و أفطر للرؤية</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اليقين، إمّا هو اليقين بأنّ الزمان الماضي كان من شعبان فشكّ في خروجه بحلول اليوم التالي، أو اليقين بعدم دخول رمضان و قد شكّ في دخوله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كلا التقديرين لا يكون اليقين السابق منقوضاً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اليقين لا يدخل فيه الشك</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3433148_1878427129"/>
      <w:bookmarkStart w:id="385" w:name="_Toc145"/>
      <w:bookmarkEnd w:id="384"/>
      <w:r>
        <w:rPr/>
        <w:t>4</w:t>
      </w:r>
      <w:r>
        <w:rPr>
          <w:rtl w:val="true"/>
        </w:rPr>
        <w:t xml:space="preserve">. </w:t>
      </w:r>
      <w:r>
        <w:rPr>
          <w:rtl w:val="true"/>
        </w:rPr>
        <w:t>صحيحة عبد اللّه بن سنان</w:t>
      </w:r>
      <w:bookmarkEnd w:id="385"/>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بسند 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أبي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أُعير الذمِّي ثوبي و أنا أعلم أنّه يشرب الخمرَ، و يأكل لحم الخنزير، فيردّها عليّ أ فأغسِلُه قبل أن أُصلّي فيه؟فقال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فيه و لا تَغْسله من أجل ذلك، فإنّك أعرته إيّاه و هو طاهر، و لم تستيقن أنّه نجّسه، </w:t>
      </w:r>
      <w:bookmarkStart w:id="386" w:name="pg14687_217281"/>
    </w:p>
    <w:p>
      <w:pPr>
        <w:pStyle w:val="BookText"/>
        <w:rPr/>
      </w:pPr>
      <w:bookmarkEnd w:id="386"/>
      <w:r>
        <w:rPr>
          <w:rFonts w:ascii="Amiri" w:hAnsi="Amiri" w:eastAsia="Amiri" w:cs="Amiri"/>
          <w:color w:val="111111"/>
          <w:sz w:val="28"/>
          <w:sz w:val="28"/>
          <w:szCs w:val="28"/>
          <w:rtl w:val="true"/>
          <w:lang w:bidi="ar-SA"/>
        </w:rPr>
        <w:t>فلا بأس أن تصلّي فيه حتى تستيقن أنّه نجّسه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لم يعلِّل طهارة الثوب بعدم العلم بالنجاسة حتى ينطبق على قاعدة الطهارة، بل علّله بأنّك كنتَ على يقين من طهارة ثوبك و شككتَ في تنجيسه فما لم تستيقن انّه نجّسه فلا يصحّ لك الحكم على خلاف اليقين السابق، و المورد و إن كان خاصّاً بطهارة الثوب لكنه غير مخصِّص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الرواية في صدد إعطاء الضابطة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التعليل بأمر ارتكازيّ يورث إسراء الحكم إلى غير مورد السؤال</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433150_1878427129"/>
      <w:bookmarkStart w:id="388" w:name="_Toc146"/>
      <w:bookmarkEnd w:id="387"/>
      <w:r>
        <w:rPr/>
        <w:t>5</w:t>
      </w:r>
      <w:r>
        <w:rPr>
          <w:rtl w:val="true"/>
        </w:rPr>
        <w:t xml:space="preserve">. </w:t>
      </w:r>
      <w:r>
        <w:rPr>
          <w:rtl w:val="true"/>
        </w:rPr>
        <w:t>خبر بكير بن أعين</w:t>
      </w:r>
      <w:bookmarkEnd w:id="388"/>
    </w:p>
    <w:p>
      <w:pPr>
        <w:pStyle w:val="BookText"/>
        <w:rPr/>
      </w:pPr>
      <w:r>
        <w:rPr>
          <w:rFonts w:ascii="Amiri" w:hAnsi="Amiri" w:eastAsia="Amiri" w:cs="Amiri"/>
          <w:color w:val="111111"/>
          <w:sz w:val="28"/>
          <w:sz w:val="28"/>
          <w:szCs w:val="28"/>
          <w:rtl w:val="true"/>
          <w:lang w:bidi="ar-SA"/>
        </w:rPr>
        <w:t>روى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توضّأت، فإيّاك أن تحدث وضوءاً حتى تستيقن أنّك أحدثت</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هذه هي المهمّات من روايات الباب، و فيما ذكرنا غنىً و كفاية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إطلاق الروايات، و كون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ارتكازياً، حجّية الاستصحاب في جميع الأبواب و الموارد، سواء أ كان المستصحب أمراً وجودياً أم عدميّاً، و على فرض كونه وجوديّاً لا فرق بين كونه حكماً شرعيّاً تكليفياً أو وضعياً أو موضوعاً خارجياً له آثاره الشرعيّة كالكرّية، و حياة زيد، و غير ذلك</w:t>
      </w:r>
      <w:r>
        <w:rPr>
          <w:rFonts w:eastAsia="Amiri" w:cs="Amiri" w:ascii="Amiri" w:hAnsi="Amiri"/>
          <w:color w:val="111111"/>
          <w:sz w:val="28"/>
          <w:szCs w:val="28"/>
          <w:rtl w:val="true"/>
          <w:lang w:bidi="ar-SA"/>
        </w:rPr>
        <w:t xml:space="preserve">. </w:t>
      </w:r>
      <w:bookmarkStart w:id="389" w:name="pg14687_217282"/>
    </w:p>
    <w:p>
      <w:pPr>
        <w:pStyle w:val="Heading3"/>
        <w:numPr>
          <w:ilvl w:val="2"/>
          <w:numId w:val="1"/>
        </w:numPr>
        <w:rPr/>
      </w:pPr>
      <w:bookmarkStart w:id="390" w:name="__RefHeading___Toc3433152_1878427129"/>
      <w:bookmarkStart w:id="391" w:name="_Toc147"/>
      <w:bookmarkEnd w:id="389"/>
      <w:bookmarkEnd w:id="390"/>
      <w:r>
        <w:rPr>
          <w:rtl w:val="true"/>
        </w:rPr>
        <w:t>حجّية الاستصحاب في الشكّ في المقتضي</w:t>
      </w:r>
      <w:bookmarkEnd w:id="391"/>
    </w:p>
    <w:p>
      <w:pPr>
        <w:pStyle w:val="BookText"/>
        <w:rPr/>
      </w:pPr>
      <w:r>
        <w:rPr>
          <w:rFonts w:ascii="Amiri" w:hAnsi="Amiri" w:eastAsia="Amiri" w:cs="Amiri"/>
          <w:color w:val="111111"/>
          <w:sz w:val="28"/>
          <w:sz w:val="28"/>
          <w:szCs w:val="28"/>
          <w:rtl w:val="true"/>
          <w:lang w:bidi="ar-SA"/>
        </w:rPr>
        <w:t>ذهب بعضهم إلى عدم حجّيته في خصوص الشكّ في المقتضي دون الرافع، و لإيضاح الفرق بين الشكّين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حكم أو موضوع لو ترك لبقي على حاله إلى أن يرفعه الرافع فالشكّ فيه شكّ في الرافع، و أمّا كلّ حكم أو موضوع لو ترك لزال بنفسه و إن لم يرفعه الرافع فالشك فيه من قبيل الشكّ في المقتضي، فمثلاً وجوب الصلاة و الصوم و الحجّ من التكاليف التي لا ترفع إلاّ برافع، و ذلك لأنّ الوجوب الجزئي منه لا يُرفع إلاّ بالامتثال، و أمّا الوجوب الكلي فبالنسخ، فالشكّ في الامتثال في مورد الحكم الجزئي، أو الشكّ في النسخ في مورد الحكم الكلي، شك في الرافع، لإحراز المقتضي لبقائه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لو شكّ في بقاء الخيار في الآونة المتأخرة، كالخيار المجعول للمغبون بعد علمه بالغبن و تمكّنه من إعمال الخيار، إذا لم يفسخ، فيشكّ في بقاء الخيار، لأجل الشكّ في اقتضائه للبقاء بعد العلم و المساهلة في إعماله، و مثله الشكّ في بقاء النهار إذا كانت في السماء غيوم، فالشكّ في تحقّق الغروب يرجع إلى طول النهار و قصره، فالشكّ فيه شكّ في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 استدل القائل بعدم حجّية الاستصحاب في الشكّ في المقتضي بدليل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حقيقة النقض هي رفع الهيئة الاتصالية، كما في قوله نقضت الحبل،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كَالَّتِي نَقَضَتْ غَزْلَها مِنْ بَعْدِ قُوَّةٍ أَنْكاثاً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إرادة المعنى الحقيقي ممتنعة في المقام لعدم اشتمال اليقين على </w:t>
      </w:r>
    </w:p>
    <w:p>
      <w:pPr>
        <w:pStyle w:val="BookText"/>
        <w:rPr/>
      </w:pPr>
      <w:r>
        <w:rPr>
          <w:rFonts w:ascii="Amiri" w:hAnsi="Amiri" w:eastAsia="Amiri" w:cs="Amiri"/>
          <w:color w:val="111111"/>
          <w:sz w:val="28"/>
          <w:sz w:val="28"/>
          <w:szCs w:val="28"/>
          <w:rtl w:val="true"/>
          <w:lang w:bidi="ar-SA"/>
        </w:rPr>
        <w:t>الهيئة الاتصالية، فلا بدّ من حمله على المعنى المجازي، و أقرب المجازات هو ما إذا تعلّق اليقين بما أحرز فيه المقتضي للبقاء و شك في رافعه، لا ما شكّ في أصل اقتضائه للبقاء مع صرف النظر عن الرافع، و قد قُرر في محلّه أنّه إذا تعذرت الحقيقة فأقرب المجازات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يثبت في اللغة كون النقض حقيقة في رفع الهيئة الاتصالية حتى لا تصح نسبته إلى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اشتماله عليها، بل هو عبارة عن نقض الأمر المبرم و المستحكم سواء أ كان أمراً حسيّاً أم قلبيّاً و الشاهد على ذلك صحّة نسبة النقض إلى اليمين و الميثاق و العهد في الذكر الحكيم، قال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تَنْقُضُوا الْأَيْمانَ بَعْدَ تَوْكِيدِها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نَقْضِهِمْ مِيثاقَهُمْ وَ كُفْرِهِمْ بِآياتِ اللّهِ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يَنْقُضُونَ عَهْدَ اللّهِ مِنْ بَعْدِ مِيثاقِهِ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
      </w:r>
      <w:r>
        <w:rPr>
          <w:rFonts w:ascii="Amiri" w:hAnsi="Amiri" w:eastAsia="Amiri" w:cs="Amiri"/>
          <w:color w:val="111111"/>
          <w:sz w:val="28"/>
          <w:sz w:val="28"/>
          <w:szCs w:val="28"/>
          <w:rtl w:val="true"/>
          <w:lang w:bidi="ar-SA"/>
        </w:rPr>
        <w:t>و اليقين كالميثاق و اليمين و العهد من الأُمور النفسانية المبرمة المستحكمة فتصح نسبة النقض إليه، سواء تعلق بما أحرز فيه المقتضي للبقاء أو لا، و المصحح للنسبة هو كون نفس اليقين أمراً مبرماً مستحكماً، سواء أ كان المتعلّق كذلك، كما في الشكّ في الرافع، أم لم يكن كذلك كما في الشكّ في المقتضي</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تمام الكلام في أدلّة الاستصحاب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92" w:name="pg14687_217284"/>
    </w:p>
    <w:p>
      <w:pPr>
        <w:pStyle w:val="Heading3"/>
        <w:numPr>
          <w:ilvl w:val="2"/>
          <w:numId w:val="1"/>
        </w:numPr>
        <w:rPr/>
      </w:pPr>
      <w:bookmarkStart w:id="393" w:name="__RefHeading___Toc3433154_1878427129"/>
      <w:bookmarkStart w:id="394" w:name="_Toc148"/>
      <w:bookmarkEnd w:id="392"/>
      <w:bookmarkEnd w:id="393"/>
      <w:r>
        <w:rPr>
          <w:rtl w:val="true"/>
        </w:rPr>
        <w:t>تنبيهات</w:t>
      </w:r>
      <w:bookmarkEnd w:id="394"/>
    </w:p>
    <w:p>
      <w:pPr>
        <w:pStyle w:val="Heading4"/>
        <w:numPr>
          <w:ilvl w:val="3"/>
          <w:numId w:val="1"/>
        </w:numPr>
        <w:rPr/>
      </w:pPr>
      <w:bookmarkStart w:id="395" w:name="__RefHeading___Toc3433156_1878427129"/>
      <w:bookmarkStart w:id="396" w:name="_Toc149"/>
      <w:bookmarkEnd w:id="395"/>
      <w:r>
        <w:rPr>
          <w:rtl w:val="true"/>
        </w:rPr>
        <w:t>التنبيه الأوّل</w:t>
      </w:r>
      <w:r>
        <w:rPr>
          <w:rtl w:val="true"/>
        </w:rPr>
        <w:t xml:space="preserve">: </w:t>
      </w:r>
      <w:r>
        <w:rPr>
          <w:rtl w:val="true"/>
        </w:rPr>
        <w:t>كفاية إحراز المتيقّن بالأمارة</w:t>
      </w:r>
      <w:bookmarkEnd w:id="396"/>
    </w:p>
    <w:p>
      <w:pPr>
        <w:pStyle w:val="BookText"/>
        <w:rPr/>
      </w:pPr>
      <w:r>
        <w:rPr>
          <w:rFonts w:ascii="Amiri" w:hAnsi="Amiri" w:eastAsia="Amiri" w:cs="Amiri"/>
          <w:color w:val="111111"/>
          <w:sz w:val="28"/>
          <w:sz w:val="28"/>
          <w:szCs w:val="28"/>
          <w:rtl w:val="true"/>
          <w:lang w:bidi="ar-SA"/>
        </w:rPr>
        <w:t xml:space="preserve">تنبيهات </w:t>
      </w:r>
      <w:r>
        <w:rPr>
          <w:rStyle w:val="FootnoteAnchor"/>
          <w:rtl w:val="true"/>
        </w:rPr>
        <w:footnoteReference w:id="2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إحراز المتيقّن بالأمارة</w:t>
      </w:r>
    </w:p>
    <w:p>
      <w:pPr>
        <w:pStyle w:val="BookText"/>
        <w:rPr/>
      </w:pPr>
      <w:r>
        <w:rPr>
          <w:rFonts w:ascii="Amiri" w:hAnsi="Amiri" w:eastAsia="Amiri" w:cs="Amiri"/>
          <w:color w:val="111111"/>
          <w:sz w:val="28"/>
          <w:sz w:val="28"/>
          <w:szCs w:val="28"/>
          <w:rtl w:val="true"/>
          <w:lang w:bidi="ar-SA"/>
        </w:rPr>
        <w:t>قد عرفت أنّ اليقين بالحدوث من أركان الاستصحاب فلا كلام فيما إذا كان حدوث المتيقّن محرزاً باليقين، إنّما الكلام فيما إذا كان محرزاً بالأمارة و شكّ في بقائه، كما إذا دلّ قول الثقة على وجود الخيار للمغبون في الآن الأوّل و شُكَّ في بقائه في الآن الثاني، أو دلّت البيّنة على حياة زيد أو كونه مالكاً فشُك في بقاء حياته أو مالكيته فهل يحكم بالبقاء أو لا؟ وجه الإشكال أنّه لا يقين بالحدوث لعدم إفادة قول الثقة أو البيّنة ، اليقينَ فكيف يحكم بالبقاء؟ و الجواب أنّ المراد من اليقين في أحاديث الاستصحاب هو الحجّة على وجه الإطلاق، لا خصوص اليقين بمعنى الاعتقاد الجازم، كما هو المصطلح في علم المنطق، و الشاهد على ذلك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العلم و اليقين يستعملان في الحجّة الشرعية، كما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الإفتاء بغير علم، فيُراد به الحجّة الشرعية لا العلم الجازم القاطع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لكفاية الحجّة غير القطعية في جواز الافتاء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ملاحظة روايات الباب مثلاً ففي الصحيحة الأُولى </w:t>
      </w:r>
      <w:r>
        <w:rPr>
          <w:rStyle w:val="FootnoteAnchor"/>
          <w:rtl w:val="true"/>
        </w:rPr>
        <w:footnoteReference w:id="221"/>
      </w:r>
      <w:r>
        <w:rPr>
          <w:rFonts w:ascii="Amiri" w:hAnsi="Amiri" w:eastAsia="Amiri" w:cs="Amiri"/>
          <w:color w:val="111111"/>
          <w:sz w:val="28"/>
          <w:sz w:val="28"/>
          <w:szCs w:val="28"/>
          <w:rtl w:val="true"/>
          <w:lang w:bidi="ar-SA"/>
        </w:rPr>
        <w:t xml:space="preserve">لزرارة لم يكن له علم وجداني بالطهارة النفسانية، بل كان علمه مبنياً على طهارة مائه و بدنه و لباسه، بالأُصول و الأمارات، و هكذا سائر الروايات، فإنّ حصول اليقين فيها هناك كان رهنَ قواعد فقهية و أُصولية، و في الصحيحة الثانية كان اليقين بطهارة ثوبه </w:t>
      </w:r>
      <w:bookmarkStart w:id="397" w:name="pg14687_217285"/>
    </w:p>
    <w:p>
      <w:pPr>
        <w:pStyle w:val="BookText"/>
        <w:rPr/>
      </w:pPr>
      <w:bookmarkEnd w:id="397"/>
      <w:r>
        <w:rPr>
          <w:rFonts w:ascii="Amiri" w:hAnsi="Amiri" w:eastAsia="Amiri" w:cs="Amiri"/>
          <w:color w:val="111111"/>
          <w:sz w:val="28"/>
          <w:sz w:val="28"/>
          <w:szCs w:val="28"/>
          <w:rtl w:val="true"/>
          <w:lang w:bidi="ar-SA"/>
        </w:rPr>
        <w:t>و الشكّ في طروء النجاسة مستنداً إلى جريان أصالة الطهارة في الإناء و الماء الذي غسل به ثوبه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دليل على أنّ المراد من اليقين في الروايات هو الحجّة، عقلية كانت كالقطع، أو شرعية كالبيّنة و الأمارة، و يكون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المقابلة هو اللاحجّة من غير فرق بين الظن و الشكّ والوهم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الشارع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تنقض الحجّة باللاحجّة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اليقين فيه صلابة، و الشكّ فيه رخاوة فلا يُنقض الأوّل بالثاني كما لا يُنقض الحجر بالقطن</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3433158_1878427129"/>
      <w:bookmarkStart w:id="399" w:name="_Toc150"/>
      <w:bookmarkEnd w:id="398"/>
      <w:r>
        <w:rPr>
          <w:rtl w:val="true"/>
        </w:rPr>
        <w:t>التنبيه الثاني</w:t>
      </w:r>
      <w:r>
        <w:rPr>
          <w:rtl w:val="true"/>
        </w:rPr>
        <w:t xml:space="preserve">: </w:t>
      </w:r>
      <w:r>
        <w:rPr>
          <w:rtl w:val="true"/>
        </w:rPr>
        <w:t>في استصحاب الزمان و الزمانيات</w:t>
      </w:r>
      <w:bookmarkEnd w:id="399"/>
    </w:p>
    <w:p>
      <w:pPr>
        <w:pStyle w:val="BookText"/>
        <w:rPr/>
      </w:pPr>
      <w:r>
        <w:rPr>
          <w:rFonts w:ascii="Amiri" w:hAnsi="Amiri" w:eastAsia="Amiri" w:cs="Amiri"/>
          <w:color w:val="111111"/>
          <w:sz w:val="28"/>
          <w:sz w:val="28"/>
          <w:szCs w:val="28"/>
          <w:rtl w:val="true"/>
          <w:lang w:bidi="ar-SA"/>
        </w:rPr>
        <w:t>المستصحب تارة يكون نفس الزمان، و أُخرى الشيء الواقع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كان الزمان موصوفاً بوصف ككونه ليلاً أو نهاراً، فشككنا في بقاء ذلك الوصف، فيستصحب بقاء الليل أو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الزمان غير قارّ الذات و لا يتصوّر فيه البقاء بل سنخ تحقّقه هو الوجود شيئاً فشيئاً، و ما هذا حاله، لا يتصور فيه الحدوث و البقاء، حتى يتحقّق فيه أركان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بقاء كلّ شيء بحسبه، فللأُمور القارّة بقاء و انقضاء، و للأُمور المتصرّمة كالليل و النهار أيضاً بقاء و زوال مثلاً، يطلق على الطليعة، أوّل النهار، و على الظهيرة، وسط النهار، و على الغروب، آخره، و هذا يعرب عن أنّ للنهار بقاءً حسب العرف، و إن لم يكن كذلك بالدقة العقلية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الشيء الواقع في الزمان و هو المسمّى بالزماني كالتكلم و الكتابة و المشي و جريان الماء، فلكل منها حدوث و بقاء في نظر العرف، فلو شرع الإنسان بالتكلّم أو أخذ بالمشي ، فشككنا في بقائهما أو انقطاعهما، يصح استصحابهما كاستصحاب الزمان، و الإشكال فيه كالإشكال في الزمان، و الجواب </w:t>
      </w:r>
      <w:bookmarkStart w:id="400" w:name="pg14687_217286"/>
    </w:p>
    <w:p>
      <w:pPr>
        <w:pStyle w:val="BookText"/>
        <w:rPr/>
      </w:pPr>
      <w:bookmarkEnd w:id="400"/>
      <w:r>
        <w:rPr>
          <w:rFonts w:ascii="IRNazanin" w:hAnsi="IRNazanin" w:eastAsia="IRNazanin"/>
          <w:color w:val="111111"/>
          <w:sz w:val="28"/>
          <w:sz w:val="28"/>
          <w:szCs w:val="28"/>
          <w:rtl w:val="true"/>
          <w:lang w:bidi="fa-IR"/>
        </w:rPr>
        <w:t>نفس 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مثاله الشرعي إذا كانت العين نابعة، جارية و وقعت فيها نجاسة، و شككنا عند الوقوع في بقاء النبع و الجريان ، فيستصحب، و يترتب عليه الأثر الشرعي و هو عدم انفعال ماء العين بالنجاسة</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3433160_1878427129"/>
      <w:bookmarkStart w:id="402" w:name="_Toc151"/>
      <w:bookmarkEnd w:id="401"/>
      <w:r>
        <w:rPr>
          <w:rtl w:val="true"/>
        </w:rPr>
        <w:t>التنبيه الثالث</w:t>
      </w:r>
      <w:r>
        <w:rPr>
          <w:rtl w:val="true"/>
        </w:rPr>
        <w:t xml:space="preserve">: </w:t>
      </w:r>
      <w:r>
        <w:rPr>
          <w:rtl w:val="true"/>
        </w:rPr>
        <w:t>في شرطية فعلية الشك</w:t>
      </w:r>
      <w:bookmarkEnd w:id="402"/>
    </w:p>
    <w:p>
      <w:pPr>
        <w:pStyle w:val="BookText"/>
        <w:rPr/>
      </w:pPr>
      <w:r>
        <w:rPr>
          <w:rFonts w:ascii="Amiri" w:hAnsi="Amiri" w:eastAsia="Amiri" w:cs="Amiri"/>
          <w:color w:val="111111"/>
          <w:sz w:val="28"/>
          <w:sz w:val="28"/>
          <w:szCs w:val="28"/>
          <w:rtl w:val="true"/>
          <w:lang w:bidi="ar-SA"/>
        </w:rPr>
        <w:t>يشترط في الاستصحاب، فعلية الشكّ فلا يفيد الشكّ التقديريّ، فلو تيقن الحدث من دون أن يشكّ ثمّ غفل و صلّى ثمّ التفت بعدها فشكّ في طهارته من حدثه السابق فلا يجري الاستصحاب، لأنّ اليقين بالحدث و إن كان موجوداً قبل الصلاة لكنّه لم يشك لغفلته فلا يتحقّق أركان الاستصحاب، و لأجل عدم جريانه يحكم عليه بصحّة الصلاة أخذاً بقاعدة الفراغ، لاحتمال أنّه توضّأ قبل الصلاة، و هذا المقدار من الاحتمال كاف لجريان قاعدة الفراغ، و لكن يجب عليه التوضّؤ بالنسبة إلى سائر الصلوات، لأنّ قاعدة الفراغ لا تثبت إلاّ صحّة الصلاة السابقة، و أمّا الصلوات الآتية فهي رهن إحراز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كان على يقين من الحدث ثمّ شكّ في وضوئه و مع ذلك غفل و صلّى و التفت بعدها فالصلاة محكومة بالبطلان لتماميّة أركان الاستصحاب و إن احتمل انّه توضأ بعد الغفلة</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3433162_1878427129"/>
      <w:bookmarkStart w:id="404" w:name="_Toc152"/>
      <w:bookmarkEnd w:id="403"/>
      <w:r>
        <w:rPr>
          <w:rtl w:val="true"/>
        </w:rPr>
        <w:t>التنبيه الرابع</w:t>
      </w:r>
      <w:r>
        <w:rPr>
          <w:rtl w:val="true"/>
        </w:rPr>
        <w:t xml:space="preserve">: </w:t>
      </w:r>
      <w:r>
        <w:rPr>
          <w:rtl w:val="true"/>
        </w:rPr>
        <w:t>المراد من الشك مطلق الاحتمال</w:t>
      </w:r>
      <w:bookmarkEnd w:id="404"/>
    </w:p>
    <w:p>
      <w:pPr>
        <w:pStyle w:val="BookText"/>
        <w:rPr/>
      </w:pPr>
      <w:r>
        <w:rPr>
          <w:rFonts w:ascii="Amiri" w:hAnsi="Amiri" w:eastAsia="Amiri" w:cs="Amiri"/>
          <w:color w:val="111111"/>
          <w:sz w:val="28"/>
          <w:sz w:val="28"/>
          <w:szCs w:val="28"/>
          <w:rtl w:val="true"/>
          <w:lang w:bidi="ar-SA"/>
        </w:rPr>
        <w:t>يطلق الظن على الاحتمال الراجح، والوهم على الاحتمال المرجوح، فيكون الشكّ هو الاحتمال المساوي و هذا هو المسمّى بالشكّ المنطقي</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الشكّ الأُصولي المطروح في باب الاستصحاب فهو عبارة عن خلاف </w:t>
      </w:r>
      <w:bookmarkStart w:id="405" w:name="pg14687_217287"/>
    </w:p>
    <w:p>
      <w:pPr>
        <w:pStyle w:val="BookText"/>
        <w:rPr/>
      </w:pPr>
      <w:bookmarkEnd w:id="405"/>
      <w:r>
        <w:rPr>
          <w:rFonts w:ascii="Amiri" w:hAnsi="Amiri" w:eastAsia="Amiri" w:cs="Amiri"/>
          <w:color w:val="111111"/>
          <w:sz w:val="28"/>
          <w:sz w:val="28"/>
          <w:szCs w:val="28"/>
          <w:rtl w:val="true"/>
          <w:lang w:bidi="ar-SA"/>
        </w:rPr>
        <w:t>اليقين، سواء كان البقاء مظنوناً أو موهوماً أو مشكوكاً متساوي الطرفين، و هذا هو المراد من الشكّ في لسان الروايات، و قد ورد الشك بالمعنى الأُصولي في الذكر الحكيم،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فِي شَكٍّ مِمّا أَنْزَلْنا إِلَيْكَ فَسْئَلِ الَّذِينَ يَقْرَؤُنَ الْكِتابَ مِنْ قَبْلِكَ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 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فِي اللّهِ شَكٌّ فاطِرِ السَّماواتِ وَ الْأَرْضِ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ascii="Amiri" w:hAnsi="Amiri" w:eastAsia="Amiri" w:cs="Amiri"/>
          <w:color w:val="111111"/>
          <w:sz w:val="28"/>
          <w:sz w:val="28"/>
          <w:szCs w:val="28"/>
          <w:rtl w:val="true"/>
          <w:lang w:bidi="ar-SA"/>
        </w:rPr>
        <w:t>، و الشكّ في الآيتين يعمّ الحالات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حُرّك على جنبه شيء و لم يعلم 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حتى يستيقن أنّه قد نام حتى يجيء من ذلك أمر بيّن، و إلاّ فانّه على يقين من وضوئه، و لا ينقض اليقين أبداً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التحريك على جنب الإنسان يفيد الظن بأنّه قد نام، و مع ذلك أطلق عليه الإمام الشك و لم يستفصل بين إفادته الظن بالنوم و عدمه، و هذا يدل على أنّ المراد من الشكّ هو مطلق الاحتمال المخالف لليقين، من غير فرق بين كون البقاء مظنوناً أو مرجوحاً أو مساوياً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مرّ من أنّ المراد من اليقين هو الحجّة الشرعية، و يكون ذلك قرينة على أنّ المراد من الشكّ هو اللاّحجة ، و يكون معنى الحديث لا تنقض الحجّة باللاّحجّة ، فالملاك في الجميع عدم وجود الحجّة، من دون نظر إلى كون البقاء راجحاً أو مرجوحاً أو متساوياً</w:t>
      </w:r>
      <w:r>
        <w:rPr>
          <w:rFonts w:eastAsia="Amiri" w:cs="Amiri" w:ascii="Amiri" w:hAnsi="Amiri"/>
          <w:color w:val="111111"/>
          <w:sz w:val="28"/>
          <w:szCs w:val="28"/>
          <w:rtl w:val="true"/>
          <w:lang w:bidi="ar-SA"/>
        </w:rPr>
        <w:t>.</w:t>
      </w:r>
    </w:p>
    <w:p>
      <w:pPr>
        <w:pStyle w:val="Heading4"/>
        <w:numPr>
          <w:ilvl w:val="3"/>
          <w:numId w:val="1"/>
        </w:numPr>
        <w:rPr/>
      </w:pPr>
      <w:bookmarkStart w:id="406" w:name="__RefHeading___Toc3433164_1878427129"/>
      <w:bookmarkStart w:id="407" w:name="_Toc153"/>
      <w:bookmarkEnd w:id="406"/>
      <w:r>
        <w:rPr>
          <w:rtl w:val="true"/>
        </w:rPr>
        <w:t>التنبيه الخامس</w:t>
      </w:r>
      <w:r>
        <w:rPr>
          <w:rtl w:val="true"/>
        </w:rPr>
        <w:t xml:space="preserve">: </w:t>
      </w:r>
      <w:r>
        <w:rPr>
          <w:rtl w:val="true"/>
        </w:rPr>
        <w:t>التمسّك بعموم العام أو استصحاب حكم المخصص</w:t>
      </w:r>
      <w:bookmarkEnd w:id="40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هناك عموم يدل على استمرار الحكم في جميع الأزمنة، كقوله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يدلّ على وجوب الوفاء على وجه الإطلاق من غير فرق بين زمان دون زمان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إذا فرضنا أنّه خرج منه عقد في وقت خاص، كالعقد الغبني، فانّ المغبون يملك الخيار و له أن يفسخ العقد بظهوره، و لكنّه تساهل و لم يفسخ، فيقع الشكّ في بقاء الخيار في الآن الثاني فهل المرجع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العام، فيكون العقد واجب الوفاء في الآن الثاني و الخيار فوريّاً؟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استصحاب حكم المخصِّص </w:t>
      </w:r>
      <w:r>
        <w:rPr>
          <w:rStyle w:val="FootnoteAnchor"/>
          <w:rtl w:val="true"/>
        </w:rPr>
        <w:footnoteReference w:id="227"/>
      </w:r>
      <w:r>
        <w:rPr>
          <w:rFonts w:ascii="Amiri" w:hAnsi="Amiri" w:eastAsia="Amiri" w:cs="Amiri"/>
          <w:color w:val="111111"/>
          <w:sz w:val="28"/>
          <w:sz w:val="28"/>
          <w:szCs w:val="28"/>
          <w:rtl w:val="true"/>
          <w:lang w:bidi="ar-SA"/>
        </w:rPr>
        <w:t xml:space="preserve">و يكون الخيار غير فوري؟ و مثله خيار العيب إذا تساهل المشتري و لم يفسخ، فهل المرجع عموم وجوب الوفاء بالعقد أو استصحاب حكم المخصص الذي دلّ على جواز الفسخ إذا ظهر العيب؟ </w:t>
      </w:r>
      <w:r>
        <w:rPr>
          <w:rStyle w:val="FootnoteAnchor"/>
          <w:rtl w:val="true"/>
        </w:rPr>
        <w:footnoteReference w:id="228"/>
      </w:r>
      <w:r>
        <w:rPr>
          <w:rFonts w:ascii="Amiri" w:hAnsi="Amiri" w:eastAsia="Amiri" w:cs="Amiri"/>
          <w:color w:val="111111"/>
          <w:sz w:val="28"/>
          <w:sz w:val="28"/>
          <w:szCs w:val="28"/>
          <w:rtl w:val="true"/>
          <w:lang w:bidi="ar-SA"/>
        </w:rPr>
        <w:t>فالتحقيق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لزم من العمل بحكم المخصِّص عن طريق الاستصحاب، تخصيص زائد وراء التخصيص الأوّل فالمرجع هو عموم العام، و أمّا إذا لم يلزم إلاّ نفس التخصيص الأوّل فالمرجع هو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تارة يكون قيداً للموضوع في ناحية العام، بحيث يكون العقد في الزمان الأوّل موضوعاً و في الزمان الثاني موضوعاً آخر و هكذا، و هذا ما يطلق عليه بكون الزمان مفرِّداً للموضوع</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يكون الزمان ظرفاً للحكم و مبيّناً لاستمراره، بمعنى أنّ العقد في جميع الآونة موضوع واحد، فلو خرج في الآن الأوّل أو خرج في جميع الآونة لم يلزم إلاّ تخصيص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الصورة الأُولى يكون المرجع هو عموم العام، لافتراض أنّ الأخذ بحكم المخصص يستلزم تخصيصاً زائداً ، و من المعلوم أنّ المرجع عند الشكّ في التخصيص هو عموم الدليل الاجتهادي، مثلاً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 علمنا بخروج زيد ثمّ شككنا في خروج عمرو، فكما أنّ المرجع عندئذ هو عموم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لأنّ خروج عمرو تخصيص زائد، فهكذا المقام، فالعقد الغبني في الآن الأوّل موضوع كما انّه في الآن الثاني موضوع ثان، و قد دلّ الدليل على التخصيص الأوّل، و بقي العقد في الآن الثاني تحت العام، فيتمسك به لتقدم الدليل الاجتهادي على الأصل العملي و هو استصحاب حكم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كان للفرد في جميع الأزمنة مصداق واحد بحيث لا يلزم من خروجه في الآن الأوّل و الثاني إلاّ تخصيص واحد، ففي مثله يؤخذ باستصحاب حكم المخصص، لأنّه كان متيقناً و شكّ في بقائه، و لا ينقض اليقين بالشك و لا يؤخذ بالعام لخروجه عنه حسب الفرض، فرجوعه تحت العام ثانياً يتوقف على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زبدة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أنّه لو كان الزمان في ناحية العام قيداً للموضوع العقد و مفرِّداً له بحيث يلزم من خروجه بعد الآن الأوّل تخصيص ثان و ثالث فالمرجع هو عموم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الزمان في ناحية العام ظرفاً لبيان استمرار الحكم بحيث يكون له في جميع الأزمنة فرد واحد و لا يلزم من خروجه في الآونة المتأخرة تخصيص زائد، فالمرجع هو استصحاب حكم المخصص</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هي النظرية المعروفة من الشيخ الأعظم قدَّس سرّه ، و هناك نظريات أُخرى تطلب من محالها</w:t>
      </w:r>
      <w:r>
        <w:rPr>
          <w:rFonts w:eastAsia="Amiri" w:cs="Amiri" w:ascii="Amiri" w:hAnsi="Amiri"/>
          <w:color w:val="111111"/>
          <w:sz w:val="28"/>
          <w:szCs w:val="28"/>
          <w:rtl w:val="true"/>
          <w:lang w:bidi="ar-SA"/>
        </w:rPr>
        <w:t xml:space="preserve">. </w:t>
      </w:r>
      <w:bookmarkStart w:id="408" w:name="pg14687_217290"/>
    </w:p>
    <w:p>
      <w:pPr>
        <w:pStyle w:val="Heading4"/>
        <w:numPr>
          <w:ilvl w:val="3"/>
          <w:numId w:val="1"/>
        </w:numPr>
        <w:rPr/>
      </w:pPr>
      <w:bookmarkStart w:id="409" w:name="__RefHeading___Toc3433166_1878427129"/>
      <w:bookmarkStart w:id="410" w:name="_Toc154"/>
      <w:bookmarkEnd w:id="408"/>
      <w:bookmarkEnd w:id="409"/>
      <w:r>
        <w:rPr>
          <w:rtl w:val="true"/>
        </w:rPr>
        <w:t>التنبيه السادس</w:t>
      </w:r>
      <w:r>
        <w:rPr>
          <w:rtl w:val="true"/>
        </w:rPr>
        <w:t xml:space="preserve">: </w:t>
      </w:r>
      <w:r>
        <w:rPr>
          <w:rtl w:val="true"/>
        </w:rPr>
        <w:t>كفاية وجود الأثر بقاءً</w:t>
      </w:r>
      <w:bookmarkEnd w:id="410"/>
    </w:p>
    <w:p>
      <w:pPr>
        <w:pStyle w:val="BookText"/>
        <w:rPr/>
      </w:pPr>
      <w:r>
        <w:rPr>
          <w:rFonts w:ascii="Amiri" w:hAnsi="Amiri" w:eastAsia="Amiri" w:cs="Amiri"/>
          <w:color w:val="111111"/>
          <w:sz w:val="28"/>
          <w:sz w:val="28"/>
          <w:szCs w:val="28"/>
          <w:rtl w:val="true"/>
          <w:lang w:bidi="ar-SA"/>
        </w:rPr>
        <w:t>يكفي في جريان الاستصحاب ترتّب الأثر بقاءً و لا يشترط ترتّب الأثر عليه حدوثاً، 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ترتّب الأثر في زمان الشكّ و ظرف التعبّد بالبقاء، دون زمان اليقين، إذ يكفي في صحّة التعبّد بالبقاء، وجود أصل الأثر حتى لا يكون التعبّد ببقاء المستصحب أمراً لغواً، و لذلك يصحّ الاستصحاب في 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الوالد و الولد حيّين فمات الوالد و شككنا في حياة الولد، فتُستصحب حياتُه، و يترتب عليها الأثر الشرعي من إرثه، و بالتالي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تُعزل حصته من التركة، فحياة الولد ذاتُ أثر الوراثة القطعيّة بقاءً و إن لم يكن كذلك حدوثاً، أي في زمان حياة الوالد إلاّ على وجه التعليق</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3433168_1878427129"/>
      <w:bookmarkStart w:id="412" w:name="_Toc155"/>
      <w:bookmarkEnd w:id="411"/>
      <w:r>
        <w:rPr>
          <w:rtl w:val="true"/>
        </w:rPr>
        <w:t>التنبيه السابع</w:t>
      </w:r>
      <w:r>
        <w:rPr>
          <w:rtl w:val="true"/>
        </w:rPr>
        <w:t xml:space="preserve">: </w:t>
      </w:r>
      <w:r>
        <w:rPr>
          <w:rtl w:val="true"/>
        </w:rPr>
        <w:t>قياس الحادث إلى أجزاء الزمان</w:t>
      </w:r>
      <w:bookmarkEnd w:id="412"/>
    </w:p>
    <w:p>
      <w:pPr>
        <w:pStyle w:val="BookText"/>
        <w:rPr/>
      </w:pPr>
      <w:r>
        <w:rPr>
          <w:rFonts w:ascii="Amiri" w:hAnsi="Amiri" w:eastAsia="Amiri" w:cs="Amiri"/>
          <w:color w:val="111111"/>
          <w:sz w:val="28"/>
          <w:sz w:val="28"/>
          <w:szCs w:val="28"/>
          <w:rtl w:val="true"/>
          <w:lang w:bidi="ar-SA"/>
        </w:rPr>
        <w:t>إذا علم بحادث في زمان معيّن و لم يُعلم وقته فيمكن استصحاب عدم حدوثه إلى زمان العلم به، مثلاً إذا علمنا بحدوث الكرّية و شككنا في حدوثها يوم الخميس أو الجمعة، فتجري أصالة عدم حدوثها إلى نهاية يوم الخميس، فيترتب عليه أثر عدم الكرّية في ذلك اليوم، فلو غسل ثوب بهذا الماء في يوم الخميس يحكم ببقاء النجاسة فيه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يثبت باستصحاب عدم حدوث الكرية إلى يوم الخميس عنوان تأخرها عنه، لأنّه لازم عقلي لا شرعي، و لو كان للتأخر أثر شرعي فلا يثبت بهذا الاستصحاب</w:t>
      </w:r>
      <w:r>
        <w:rPr>
          <w:rFonts w:eastAsia="Amiri" w:cs="Amiri" w:ascii="Amiri" w:hAnsi="Amiri"/>
          <w:color w:val="111111"/>
          <w:sz w:val="28"/>
          <w:szCs w:val="28"/>
          <w:rtl w:val="true"/>
          <w:lang w:bidi="ar-SA"/>
        </w:rPr>
        <w:t xml:space="preserve">. </w:t>
      </w:r>
      <w:bookmarkStart w:id="413" w:name="pg14687_217291"/>
    </w:p>
    <w:p>
      <w:pPr>
        <w:pStyle w:val="Heading4"/>
        <w:numPr>
          <w:ilvl w:val="3"/>
          <w:numId w:val="1"/>
        </w:numPr>
        <w:rPr/>
      </w:pPr>
      <w:bookmarkStart w:id="414" w:name="__RefHeading___Toc3433170_1878427129"/>
      <w:bookmarkStart w:id="415" w:name="_Toc156"/>
      <w:bookmarkEnd w:id="413"/>
      <w:bookmarkEnd w:id="414"/>
      <w:r>
        <w:rPr>
          <w:rtl w:val="true"/>
        </w:rPr>
        <w:t>التنبيه الثامن</w:t>
      </w:r>
      <w:r>
        <w:rPr>
          <w:rtl w:val="true"/>
        </w:rPr>
        <w:t xml:space="preserve">: </w:t>
      </w:r>
      <w:r>
        <w:rPr>
          <w:rtl w:val="true"/>
        </w:rPr>
        <w:t>قياس الحادث بحادث آخر</w:t>
      </w:r>
      <w:bookmarkEnd w:id="415"/>
    </w:p>
    <w:p>
      <w:pPr>
        <w:pStyle w:val="BookText"/>
        <w:rPr/>
      </w:pPr>
      <w:r>
        <w:rPr>
          <w:rFonts w:ascii="Amiri" w:hAnsi="Amiri" w:eastAsia="Amiri" w:cs="Amiri"/>
          <w:color w:val="111111"/>
          <w:sz w:val="28"/>
          <w:sz w:val="28"/>
          <w:szCs w:val="28"/>
          <w:rtl w:val="true"/>
          <w:lang w:bidi="ar-SA"/>
        </w:rPr>
        <w:t>الكلام هنا حول قياس حادث بحادث آخر، كما إذا علم بحدوث حادثين، و لم يعلم المتقدّم و المتأخر منهما، فهل يجري الأصل أو لا؟ مثلاً لو علم موت الوالد المسلم و علم أيضاً إسلام وارثه، و لكن شكّ في تقدّم موت المورِّث على إسلام الوارث حتى لا يرثه لأنّ الكافر لا يرث المسلم حتى و إن أسلم بعد موت المورِّث أو تأخر موته عن إسلامه حتى يرثه، فهل يجري الأصل أو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للمسألة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الحادثين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التاريخ و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مجهوله، فيجري الأصل في المجهول دون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أنّه لا يجري الأصل في معلوم التاريخ كموت الوالد المسلم في غرّة رجب فلأجل أنّ حقيقة الاستصحاب هو استمرار حكم المستصحَب عدم الموت إلى الزمان الذي يشكّ في بقائه، و هذا إنّما يتصور فيما إذا جهل تاريخ حدوثه، و أمّا لو فرض العلم بزمان الحدوث و أنّه مات في غرّة رجب فلا معنى لاستصحاب عدمه لعدم الشكّ في زمان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الاستصحاب من وجود زمان يشكّ في بقاء المستصحَب فيه، و هذا غير متصوّر في معلوم التاريخ، لأنّا نعلم عدم موت الوالد قبل غرّة رجب و موته فيها، فليس هنا زمان خال يُشك في بقاء المستصحب عدم موت الوالد فيه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جريانه في مجهول التاريخ، و هو إسلام الولد، حيث كان كافراً في شهر جمادى الآخرة و مسلماً في غرّة شعبان و مشكوك الإسلام بين الشهرين </w:t>
      </w:r>
    </w:p>
    <w:p>
      <w:pPr>
        <w:pStyle w:val="BookText"/>
        <w:rPr/>
      </w:pPr>
      <w:r>
        <w:rPr>
          <w:rFonts w:ascii="Amiri" w:hAnsi="Amiri" w:eastAsia="Amiri" w:cs="Amiri"/>
          <w:color w:val="111111"/>
          <w:sz w:val="28"/>
          <w:sz w:val="28"/>
          <w:szCs w:val="28"/>
          <w:rtl w:val="true"/>
          <w:lang w:bidi="ar-SA"/>
        </w:rPr>
        <w:t>فيُستصحب بقاؤه أي عدم الإسلام في الظرف المشكوك، و يترتب عليه أثره و هو حرمانه من الإرث لثبوت موضوعه و هو موت الوالد حين كفر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كلّ من الحادثين مجهول التاريخ و شكّ في التقدّم و التأخر، فيجري الاستصحاب في كلّ منهما و يسقطان بالتعارض و يرجع إلى دليل اجتهاديّ كعامّ أو اطلاق أو أصل آخر، و إليك بعض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موت المورث و في الوقت نفسه علم إسلام الوارث و لكن شكّ في تقدّم أحدهما على الآخر، فلو كان موت المورث متقدّماً على إسلام الوارث فلا يرث الوارثُ الكافر، بخلاف ما انعكس فيرى الوارث كسائر الورثة، فيقال الأصل عدم إسلام الوارث إلى زمان موت المورث، كما انّ الأصل عدم موت المورث إلى زمان إسلام الوارث، فيجريان و يتساقطان، و لأجل التساقط لا يثبت تقارن الإسلام و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انّ التقارن لازم الأصلين فيكون الأصلان بالنسبة إليه مثبتين، فإذا سقط الأصلان يرجع إلى دليل أو أصل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وجد كرّ فيه نجاسة يعلم بعدم حصول الكرية للماء في زمان و عدم وجود النجاسة فيه أيضاً و لكن لا يعلم زمان حدوثهما فيحتمل تقدّم كلّ منها على الآخر و تقارنهما، فيستصحب حينئذ عدم تقدّم كلّ منهما على الآخر فيتعارضان و يتساقطان و لا يثبت بهما التقارن لما عرفت انّ الأصلين بالنسبة إليه مثبتان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حكم الماء أو الثوب النجس الوارد عليه فيرجع فيهما إلى دليل أو أصل آخر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انّه ليس هنا ضابطة خاصة لتعيين ذلك الدليل أو الأصل بل لكلّ مورد، حكمه الخاص أعرضا عن التفصيل فيهما</w:t>
      </w:r>
      <w:r>
        <w:rPr>
          <w:rFonts w:eastAsia="Amiri" w:cs="Amiri" w:ascii="Amiri" w:hAnsi="Amiri"/>
          <w:color w:val="111111"/>
          <w:sz w:val="28"/>
          <w:szCs w:val="28"/>
          <w:rtl w:val="true"/>
          <w:lang w:bidi="ar-SA"/>
        </w:rPr>
        <w:t xml:space="preserve">. </w:t>
      </w:r>
      <w:bookmarkStart w:id="416" w:name="pg14687_217293"/>
    </w:p>
    <w:p>
      <w:pPr>
        <w:pStyle w:val="Heading4"/>
        <w:numPr>
          <w:ilvl w:val="3"/>
          <w:numId w:val="1"/>
        </w:numPr>
        <w:rPr/>
      </w:pPr>
      <w:bookmarkStart w:id="417" w:name="__RefHeading___Toc3433172_1878427129"/>
      <w:bookmarkStart w:id="418" w:name="_Toc157"/>
      <w:bookmarkEnd w:id="416"/>
      <w:bookmarkEnd w:id="417"/>
      <w:r>
        <w:rPr>
          <w:rtl w:val="true"/>
        </w:rPr>
        <w:t>التنبيه التاسع</w:t>
      </w:r>
      <w:r>
        <w:rPr>
          <w:rtl w:val="true"/>
        </w:rPr>
        <w:t xml:space="preserve">: </w:t>
      </w:r>
      <w:r>
        <w:rPr>
          <w:rtl w:val="true"/>
        </w:rPr>
        <w:t>تقدّم الاستصحاب على سائر الأُصول</w:t>
      </w:r>
      <w:bookmarkEnd w:id="418"/>
    </w:p>
    <w:p>
      <w:pPr>
        <w:pStyle w:val="BookText"/>
        <w:rPr/>
      </w:pPr>
      <w:r>
        <w:rPr>
          <w:rFonts w:ascii="Amiri" w:hAnsi="Amiri" w:eastAsia="Amiri" w:cs="Amiri"/>
          <w:color w:val="111111"/>
          <w:sz w:val="28"/>
          <w:sz w:val="28"/>
          <w:szCs w:val="28"/>
          <w:rtl w:val="true"/>
          <w:lang w:bidi="ar-SA"/>
        </w:rPr>
        <w:t>الاستصحاب متقدّم على سائر الأُصول، لأنّ التعبّد ببقاء اليقين السابق و جعله حجّة في الآن اللاحق يوجب ارتفاع موضوعات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حصول غاياتها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بالحرمة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البراءة العقلية هو عدم البيان، فإذا كان الشيء مستصحَب الحرمة أو الوجوب، فالأمر بالتعبّد بإبقاء اليقين السابق بيان من الشارع، فلا يبقى موضوع للبراءة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موضوع البراءة الشرعية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العلم هو الحجّة الشرعيّة، و الاستصحاب كما قرّرناه حجّة شرعيّة على بقاء الوجوب و الحرمة في الأزمنة اللاحقة، فيرتفع موضوع البراءة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التخيير هو تساوي الطرفين من حيث الاحتمال، و الاستصحاب بحكم الشرع هادم لذلك 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الاشتغال هو احتمال العقاب في الفعل أو الترك، و الاستصحاب بما أنّه حجّة مؤمِّن، فالاستصحاب بالنسبة إلى هذه الأُصول رافع لموضوعها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شئت فسمِّه وارداً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الاستصحاب موجباً لحصول غاية الأصل كما هو الحال في أصالتي الطهارة و الحليّة، فإنّ الغاية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تعلم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هو العلم، لكن المراد منه هو الحجّة، و الاستصحاب حجّة، و مع جريانه تحصل الغاية، فلا يبقى للقاعدة مجال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انجرّ الكلام إلى تقدّم الاستصحاب على عامّة الأُصول اقتضى المقام بيان نسبة بعض القواعد إلى الاستصحاب</w:t>
      </w:r>
      <w:r>
        <w:rPr>
          <w:rFonts w:eastAsia="Amiri" w:cs="Amiri" w:ascii="Amiri" w:hAnsi="Amiri"/>
          <w:color w:val="111111"/>
          <w:sz w:val="28"/>
          <w:szCs w:val="28"/>
          <w:rtl w:val="true"/>
          <w:lang w:bidi="ar-SA"/>
        </w:rPr>
        <w:t xml:space="preserve">. </w:t>
      </w:r>
      <w:bookmarkStart w:id="419" w:name="pg14687_217294"/>
    </w:p>
    <w:p>
      <w:pPr>
        <w:pStyle w:val="Heading3"/>
        <w:numPr>
          <w:ilvl w:val="2"/>
          <w:numId w:val="1"/>
        </w:numPr>
        <w:rPr/>
      </w:pPr>
      <w:bookmarkStart w:id="420" w:name="__RefHeading___Toc3433174_1878427129"/>
      <w:bookmarkStart w:id="421" w:name="_Toc158"/>
      <w:bookmarkEnd w:id="419"/>
      <w:bookmarkEnd w:id="420"/>
      <w:r>
        <w:rPr>
          <w:rtl w:val="true"/>
        </w:rPr>
        <w:t xml:space="preserve">خاتمة المطاف </w:t>
      </w:r>
      <w:r>
        <w:rPr>
          <w:rtl w:val="true"/>
        </w:rPr>
        <w:t xml:space="preserve">: </w:t>
      </w:r>
      <w:r>
        <w:rPr>
          <w:rtl w:val="true"/>
        </w:rPr>
        <w:t>الاستصحاب و القواعد الأربع</w:t>
      </w:r>
      <w:bookmarkEnd w:id="421"/>
    </w:p>
    <w:p>
      <w:pPr>
        <w:pStyle w:val="Heading4"/>
        <w:numPr>
          <w:ilvl w:val="3"/>
          <w:numId w:val="1"/>
        </w:numPr>
        <w:rPr/>
      </w:pPr>
      <w:bookmarkStart w:id="422" w:name="__RefHeading___Toc3433176_1878427129"/>
      <w:bookmarkStart w:id="423" w:name="_Toc159"/>
      <w:bookmarkEnd w:id="422"/>
      <w:r>
        <w:rPr>
          <w:rtl w:val="true"/>
        </w:rPr>
        <w:t>اشارة</w:t>
      </w:r>
      <w:bookmarkEnd w:id="423"/>
    </w:p>
    <w:p>
      <w:pPr>
        <w:pStyle w:val="BookText"/>
        <w:rPr/>
      </w:pPr>
      <w:r>
        <w:rPr>
          <w:rFonts w:ascii="Amiri" w:hAnsi="Amiri" w:eastAsia="Amiri" w:cs="Amiri"/>
          <w:color w:val="111111"/>
          <w:sz w:val="28"/>
          <w:sz w:val="28"/>
          <w:szCs w:val="28"/>
          <w:rtl w:val="true"/>
          <w:lang w:bidi="ar-SA"/>
        </w:rPr>
        <w:t>ثمّة قواعد فقهية أربع لها دور عظيم في تنقيح الفروع الفقهية و تعدُّ من أهمّ القواعد، و قد تناولها مؤلّفو القواعد الفقهيّة في كتبهم على وجه التفصيل، و نحن نشير إلى بعض ما له صلة بالاستصحاب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أصالة الصحّة في فعل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التجاوز و الفراغ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قاعدة القرعة</w:t>
      </w:r>
      <w:r>
        <w:rPr>
          <w:rFonts w:eastAsia="Amiri" w:cs="Amiri" w:ascii="Amiri" w:hAnsi="Amiri"/>
          <w:color w:val="111111"/>
          <w:sz w:val="28"/>
          <w:szCs w:val="28"/>
          <w:rtl w:val="true"/>
          <w:lang w:bidi="ar-SA"/>
        </w:rPr>
        <w:t xml:space="preserve">.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4687_217296"/>
      <w:bookmarkStart w:id="425" w:name="pg14687_217296"/>
      <w:bookmarkEnd w:id="425"/>
    </w:p>
    <w:p>
      <w:pPr>
        <w:pStyle w:val="Heading4"/>
        <w:numPr>
          <w:ilvl w:val="3"/>
          <w:numId w:val="1"/>
        </w:numPr>
        <w:rPr/>
      </w:pPr>
      <w:bookmarkStart w:id="426" w:name="pg14687_217296"/>
      <w:bookmarkStart w:id="427" w:name="__RefHeading___Toc3433178_1878427129"/>
      <w:bookmarkStart w:id="428" w:name="_Toc160"/>
      <w:bookmarkEnd w:id="426"/>
      <w:bookmarkEnd w:id="427"/>
      <w:r>
        <w:rPr/>
        <w:t>1</w:t>
      </w:r>
      <w:r>
        <w:rPr>
          <w:rtl w:val="true"/>
        </w:rPr>
        <w:t xml:space="preserve">. </w:t>
      </w:r>
      <w:r>
        <w:rPr>
          <w:rtl w:val="true"/>
        </w:rPr>
        <w:t>قاعدة اليد</w:t>
      </w:r>
      <w:bookmarkEnd w:id="428"/>
    </w:p>
    <w:p>
      <w:pPr>
        <w:pStyle w:val="BookText"/>
        <w:rPr/>
      </w:pPr>
      <w:r>
        <w:rPr>
          <w:rFonts w:ascii="Amiri" w:hAnsi="Amiri" w:eastAsia="Amiri" w:cs="Amiri"/>
          <w:color w:val="111111"/>
          <w:sz w:val="28"/>
          <w:sz w:val="28"/>
          <w:szCs w:val="28"/>
          <w:rtl w:val="true"/>
          <w:lang w:bidi="ar-SA"/>
        </w:rPr>
        <w:t>إنّ اليد و الاستيلاء على الشيء عند العقلاء أمارة الملكية و دليلها، إلاّ إذا دلّ الدليل على خلافها، كيد الغاصب و السارق و السمسار، و على ذلك استقرّت السيرة في الأعصار و أمضاها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اعتبار اليد من دعائم الحياة الاجتماعية و قوام نظام المعاملات و المبادلات فلو رُفِضَت اليد لاختلّ النظام التجاري، إذ من المحال أن يُقيم كلُّ إنسان شاهداً على ما تحت يده، أو أن يُسجّل كلّ شيء مما يملكه في دائرة خاصّة، و قد صار هذا سبباً لإمضاء تلك السيرة العقلائية، قولاً و تقريراً، و أمّا سيرة المتشرّعة أو إجماع الفقهاء و أصحاب الفتوى على حجّية اليد، فالكل يستند إلى السيرة العقلائية، و يشهد بذلك قول الإمام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لحفص بن غياث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دلالة اليد على الملكية لم يقم للمسلمين سوق</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يستفاد من غير و احد من الأخبار أنّ اليد أمارة الملكية و ليست أصلاً من الأُصول، روى محمد بن مسلم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الدار يوجد فيها الورق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معمورة، فيها أهلها فهي لهم، و إن كانت خربة قد جلا عنها أهلها، فالذي وجد المال أحقّ به</w:t>
      </w:r>
      <w:r>
        <w:rPr>
          <w:rFonts w:eastAsia="Amiri" w:cs="Amiri" w:ascii="Amiri" w:hAnsi="Amiri"/>
          <w:color w:val="111111"/>
          <w:sz w:val="28"/>
          <w:szCs w:val="28"/>
          <w:rtl w:val="true"/>
          <w:lang w:bidi="ar-SA"/>
        </w:rPr>
        <w:t xml:space="preserve">«. </w:t>
      </w:r>
      <w:r>
        <w:rPr>
          <w:rStyle w:val="FootnoteAnchor"/>
          <w:rtl w:val="true"/>
        </w:rPr>
        <w:footnoteReference w:id="23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يونس بن يعقوب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امرأة تموت قبل الرجل، أو </w:t>
      </w:r>
    </w:p>
    <w:p>
      <w:pPr>
        <w:pStyle w:val="BookText"/>
        <w:rPr/>
      </w:pPr>
      <w:r>
        <w:rPr>
          <w:rFonts w:ascii="Amiri" w:hAnsi="Amiri" w:eastAsia="Amiri" w:cs="Amiri"/>
          <w:color w:val="111111"/>
          <w:sz w:val="28"/>
          <w:sz w:val="28"/>
          <w:szCs w:val="28"/>
          <w:rtl w:val="true"/>
          <w:lang w:bidi="ar-SA"/>
        </w:rPr>
        <w:t>رجل قبل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 و ما كان من متاع الرجال و النساء فهو بينهما، و من استولى على شيء منه فهو له</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كفى في دلالة اليد على الملكية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استولى على شيء منه فهو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الرواية و إن وردت في متاع البيت لكن المورد لا يخصصها، فالعرف يتلقاها قاعدة كلّية في جميع الموارد، و اللام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للملكية، أي الاستيلاء دليل الملكية سواء كان من خصائص الزوج أو من خصائص الزوجة، و إنّما يستدل بمتاع الرجل على أنّه له، و متاع المرأة على أنّه لها، إذا لم يكن لأحدهما استيلاء تام، و أمّا معه فهو مقدّم على الاستدلال بكون المتاع من الخصائص فيدفع إلى من يختصّ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انّ قاعدة اليد مقدّمة على الاستصحاب تقدّمَ الأمارة على الأصل، و لذلك نشتري من السوق كلَّ الأمتعة مع العلم بأنّها كانت ملكاً للغير، و ما هذا إلاّ لتقدّم اليد على استصحاب بقاء الملكية للغير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429" w:name="pg14687_217298"/>
    </w:p>
    <w:p>
      <w:pPr>
        <w:pStyle w:val="Heading4"/>
        <w:numPr>
          <w:ilvl w:val="3"/>
          <w:numId w:val="1"/>
        </w:numPr>
        <w:rPr/>
      </w:pPr>
      <w:bookmarkStart w:id="430" w:name="__RefHeading___Toc3433180_1878427129"/>
      <w:bookmarkStart w:id="431" w:name="_Toc161"/>
      <w:bookmarkEnd w:id="429"/>
      <w:bookmarkEnd w:id="430"/>
      <w:r>
        <w:rPr/>
        <w:t>2</w:t>
      </w:r>
      <w:r>
        <w:rPr>
          <w:rtl w:val="true"/>
        </w:rPr>
        <w:t xml:space="preserve">. </w:t>
      </w:r>
      <w:r>
        <w:rPr>
          <w:rtl w:val="true"/>
        </w:rPr>
        <w:t>أصالة الصحّة في فعل الغير</w:t>
      </w:r>
      <w:bookmarkEnd w:id="431"/>
    </w:p>
    <w:p>
      <w:pPr>
        <w:pStyle w:val="BookText"/>
        <w:rPr/>
      </w:pPr>
      <w:r>
        <w:rPr>
          <w:rFonts w:ascii="Amiri" w:hAnsi="Amiri" w:eastAsia="Amiri" w:cs="Amiri"/>
          <w:color w:val="111111"/>
          <w:sz w:val="28"/>
          <w:sz w:val="28"/>
          <w:szCs w:val="28"/>
          <w:rtl w:val="true"/>
          <w:lang w:bidi="ar-SA"/>
        </w:rPr>
        <w:t>أصالة الصحّة في فعل الغير من الأُصول المجمع عليها و لها معنيان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الظن بالمؤمن و الاعتقاد الجميل في حقّه حتّى لا ينسبه إلى اعتقاد فاسد أو صدور عمل محرّم منه أو فاسد، و هذه من الوظائف الإسلامية التي يدعو إليها القرآن و السنّة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اجْتَنِبُوا كَثِيراً مِنَ الظَّنِّ إِنَّ بَعْضَ الظَّنِّ إِثْمٌ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السنّة فروى إبراهيم بن عمر اليماني،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اتّهم المؤمن أخاه، إنماث الإيمان في قلبه كما ينماث الملح في الماء</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و أصالة الصحّة بهذا المعنى أصل أخلاقي لا كلام فيه و لا يترتّب عليه أثر فقهيّ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فرض الفعل الصادر من الغير صحيحاً مطابقاً للواقع، مثلاً إذا قام المسلم بغَسْل الميت و تكفينه و الصلاة عليه، و دفنه، أو قام بغسل الأواني و اللحوم المتنجّسة، يحمل فعله على الصحّة بهذا المعنى، و بالتالي يسقط التكليف عن الغير و لا يحتاج إلى إحراز الصحّة بالعلم و البيّنة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إذا أذّن أحد المؤمنين أو أقام و شُكّ في صحّة عمله، يحمل على الصحّة، و يسقط التكليف عن الغير، أو ناب المسلم عن رجل في الحجّ أو العمرة أو في جزء من أعمالهما، و شُكّ في صحّة العمل المأتي به، يحمل على الصحّة، إلى غير ذلك من أعمال الوكلاء في الزواج و الطلاق و البيع و الشراء و الإجارة، أو فعل الأولياء كالأب و الجدّ في تزويج من يتوليانه أو الاتّجار بماله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الدليل على أصالة الصحّة بهذا المعنى هو وجود الإجماع العملي بين الفقهاء و سيرة المسلمين النابعين من سيرة العقلاء على حمل فعل الغير على الصحّة، و هذا ممّا لا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دعا إلى اتخاذهم هذا الأصل سنداً في الحياة هو ملاحظة طبع العمل الصادر عن إنسان عاقل، و هو يعمل لغاية الانتفاع بعمله آجلاً أو عاجلاً، و مقتضى ذلك هو إيجاد العمل صحيحاً لا فاسداً، كاملاً لا ناقصاً، و إلاّ يلزم نقض الغرض و فعل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أصالة الصحّة متقدّمة على الاستصحاب 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أمارة على الصحّة، لأنّ الغالب على فعل الإنسان العاقل المريد هو الصحّة لا الفساد، و انّ الفاسد أقلّ بكثير من الصحيح، فتكون أمارة ظنّية أمضاها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أصل لكنّها متقدّمة على الاستصحاب للزوم اللغوية إذا قُدِّم الاستصحاب عليها، إذ ما من مورد من مواردها إلاّ و فيه أصل يدل على الفساد في المعاملات، و على الاشتغال في العبادات، لأنّ الشكّ في الصحّة ناشئ غالباً من احتمال تخلّف شرط أو جزء، و الأصل عدم اقتران العمل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تُقدَّم أصالة الصحّة على استصحاب الفساد إلاّ في موارد كان الفساد فيها هو الطبع الأوّلي للعمل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طبع العمل مقتضياً للفساد، بحيث تكون الصحّة من عوارضه الشاذة و أطواره النادرة، كبيع الوقف مع احتمال المسوّغ له، و مال اليتيم إذا لم يكن البائع وليّاً و بيع العين المرهونة مدّعياً إذن المرتهن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المعاملات و نظيره في العبادات، كإقامة الصلاة في المكان المغصوب، و في الثوب النجس، مع احتمال المسوّغ لها فلا تجري أصالة الصحة فيهما</w:t>
      </w:r>
      <w:r>
        <w:rPr>
          <w:rFonts w:eastAsia="Amiri" w:cs="Amiri" w:ascii="Amiri" w:hAnsi="Amiri"/>
          <w:color w:val="111111"/>
          <w:sz w:val="28"/>
          <w:szCs w:val="28"/>
          <w:rtl w:val="true"/>
          <w:lang w:bidi="ar-SA"/>
        </w:rPr>
        <w:t xml:space="preserve">. </w:t>
      </w:r>
      <w:bookmarkStart w:id="432" w:name="pg14687_217300"/>
    </w:p>
    <w:p>
      <w:pPr>
        <w:pStyle w:val="Heading4"/>
        <w:numPr>
          <w:ilvl w:val="3"/>
          <w:numId w:val="1"/>
        </w:numPr>
        <w:rPr/>
      </w:pPr>
      <w:bookmarkStart w:id="433" w:name="__RefHeading___Toc3433182_1878427129"/>
      <w:bookmarkStart w:id="434" w:name="_Toc162"/>
      <w:bookmarkEnd w:id="432"/>
      <w:bookmarkEnd w:id="433"/>
      <w:r>
        <w:rPr/>
        <w:t>3</w:t>
      </w:r>
      <w:r>
        <w:rPr>
          <w:rtl w:val="true"/>
        </w:rPr>
        <w:t xml:space="preserve">. </w:t>
      </w:r>
      <w:r>
        <w:rPr>
          <w:rtl w:val="true"/>
        </w:rPr>
        <w:t>قاعدة التجاوز و الفراغ</w:t>
      </w:r>
      <w:bookmarkEnd w:id="434"/>
    </w:p>
    <w:p>
      <w:pPr>
        <w:pStyle w:val="BookText"/>
        <w:rPr/>
      </w:pPr>
      <w:r>
        <w:rPr>
          <w:rFonts w:ascii="Amiri" w:hAnsi="Amiri" w:eastAsia="Amiri" w:cs="Amiri"/>
          <w:color w:val="111111"/>
          <w:sz w:val="28"/>
          <w:sz w:val="28"/>
          <w:szCs w:val="28"/>
          <w:rtl w:val="true"/>
          <w:lang w:bidi="ar-SA"/>
        </w:rPr>
        <w:t>إذا شكّ في وجود الشيء، كالشكّ في الركوع بعد السجود، أو الشكّ في صحّة الشيء الموجود، كالشكّ في الصلاة المأتي بها، بعد الفراغ، فالأصل هو عدم الاعتداد بالشك، سواء أتعلّق بوجوده أم بصحته، و قد تضافرت الروايات في هذا المضمار، و في الحقيقة يرجع هذا الأصل إلى حمل فعل النفس على الصحّة كما أنّ القاعدة السابقة ترجع إلى حمل فعل الغير على الصحّة، فكأنّهما قاعدة واحدة لها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عليها من الروايات، صحيحة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 الإقامة و قد كبّر؟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 قد قرأ؟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 قد ركع؟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 قد سجد؟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على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و الرواية و إن وردت في مورد الصلاة لكن المستفاد من الذيل انّها بصدد إعطاء ضابطة كلّية في جميع المجالات، و انّ المكلّف إذا قام بعمل سواء أ كان مركّباً أم بسيطاً، عبادياً كان أم معاملياً، و خرج منه ثمّ شكّ فيه، لا يلتفت إليه، و يؤيده سائر الروايات الواردة في هذا المضمار</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بكير بن أعين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يشكّ بعد ما </w:t>
      </w:r>
    </w:p>
    <w:p>
      <w:pPr>
        <w:pStyle w:val="BookText"/>
        <w:rPr/>
      </w:pPr>
      <w:r>
        <w:rPr>
          <w:rFonts w:ascii="Amiri" w:hAnsi="Amiri" w:eastAsia="Amiri" w:cs="Amiri"/>
          <w:color w:val="111111"/>
          <w:sz w:val="28"/>
          <w:sz w:val="28"/>
          <w:szCs w:val="28"/>
          <w:rtl w:val="true"/>
          <w:lang w:bidi="ar-SA"/>
        </w:rPr>
        <w:t>يتوضأ؟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التعليل بأمر ارتكازي يدل على أنّها قاعدة عامّة في جميع أبواب الفقه من غير فرق بين العبادات و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القاعدة متقدّمة على الاستصحاب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قدّمها على الاستصحاب في صحيحة زرارة حيث إنّ الأصل كان يقتضي عدم تحقّق الركوع و السجود، مع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بالصحة و عدم الاعتداد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تقديم الاستصحاب على القاعدة يستلزم لغوية تشريعها كما مرّ في البحث السابق، فإنّ كلّ مشكوك مسبوق بالعدم فلا يبقى مجال لقاعدة التجاوز و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35" w:name="pg14687_217302"/>
    </w:p>
    <w:p>
      <w:pPr>
        <w:pStyle w:val="Heading4"/>
        <w:numPr>
          <w:ilvl w:val="3"/>
          <w:numId w:val="1"/>
        </w:numPr>
        <w:rPr/>
      </w:pPr>
      <w:bookmarkStart w:id="436" w:name="__RefHeading___Toc3433184_1878427129"/>
      <w:bookmarkStart w:id="437" w:name="_Toc163"/>
      <w:bookmarkEnd w:id="435"/>
      <w:bookmarkEnd w:id="436"/>
      <w:r>
        <w:rPr/>
        <w:t>4</w:t>
      </w:r>
      <w:r>
        <w:rPr>
          <w:rtl w:val="true"/>
        </w:rPr>
        <w:t xml:space="preserve">. </w:t>
      </w:r>
      <w:r>
        <w:rPr>
          <w:rtl w:val="true"/>
        </w:rPr>
        <w:t>قاعدة القرعة</w:t>
      </w:r>
      <w:bookmarkEnd w:id="437"/>
    </w:p>
    <w:p>
      <w:pPr>
        <w:pStyle w:val="Heading5"/>
        <w:numPr>
          <w:ilvl w:val="4"/>
          <w:numId w:val="1"/>
        </w:numPr>
        <w:rPr/>
      </w:pPr>
      <w:bookmarkStart w:id="438" w:name="__RefHeading___Toc3433186_1878427129"/>
      <w:bookmarkStart w:id="439" w:name="_Toc164"/>
      <w:bookmarkEnd w:id="438"/>
      <w:r>
        <w:rPr>
          <w:rtl w:val="true"/>
        </w:rPr>
        <w:t>اشارة</w:t>
      </w:r>
      <w:bookmarkEnd w:id="439"/>
    </w:p>
    <w:p>
      <w:pPr>
        <w:pStyle w:val="BookText"/>
        <w:rPr/>
      </w:pPr>
      <w:r>
        <w:rPr>
          <w:rFonts w:ascii="Amiri" w:hAnsi="Amiri" w:eastAsia="Amiri" w:cs="Amiri"/>
          <w:color w:val="111111"/>
          <w:sz w:val="28"/>
          <w:sz w:val="28"/>
          <w:szCs w:val="28"/>
          <w:rtl w:val="true"/>
          <w:lang w:bidi="ar-SA"/>
        </w:rPr>
        <w:t>القرعة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الدّق و الضرب، يقال قرع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دقّه، و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الإقراع و المقارعة بمعنى المساهمة، و سمّيت بذلك لأنّها شيء كأنّه يضرب</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 يظهر من الآيات و الروايات أنّ القرعة كانت رائجة في الأعصار السابقة عند تزاحم الحقوق و المصالح دفعاً للترجيح بلا ملاك و التفريق بلا وجه، و لا يتمسك بها إلاّ إذا انغلقت أبواب الحلول كلّها و انحصر وجه الحل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أَنْباءِ الْغَيْبِ نُوحِيهِ إِلَيْكَ وَ ما كُنْتَ لَدَيْهِمْ إِذْ يُلْقُونَ أَقْلامَهُمْ أَيُّهُمْ يَكْفُلُ مَرْيَمَ وَ ما كُنْتَ لَدَيْهِمْ إِذْ يَخْتَصِمُونَ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Amiri" w:hAnsi="Amiri" w:eastAsia="Amiri" w:cs="Amiri"/>
          <w:color w:val="111111"/>
          <w:sz w:val="28"/>
          <w:sz w:val="28"/>
          <w:szCs w:val="28"/>
          <w:rtl w:val="true"/>
          <w:lang w:bidi="ar-SA"/>
        </w:rPr>
        <w:t>لمّا حملت امرأة عمران أُمّ مريم العذراء بنتها إلى الكنيسة حتى يكفل حضانتها العُبّاد بعد وفاة والدها، و هي في بطن أُمّها، فعند ما رأوها تشاحّوا و طلب كلٌّ أن يتكفّل حضانتها، لأنّها بنت عمران، و من البيوت الرفيعة في بني إسرائيل، فاتّفقوا على المساهمة فخرج السهم باسم خير الكفلاء لها أعني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زكريا و المقام من قبيل تزاحم الحقوق، لأنّ الحضانة كانت حقّاً لها ابتداءً و بالذات و لما دفعتها إلى العبّاد و الزهاد، دون أن تعيّن واحداً منهم، صار الجميع بالنسبة إلى هذه المفخرة على حد سواء، فاتّفقوا على المقارعة لأجل حسم النزاع</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 xml:space="preserve">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روى المفسرون أنّه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أوعد قوم يونس بالعذاب و أخبرهم يونس به، فلمّا كُشف عنهم العذاب و قُبلت توبتهم، ترك يونس قومه مغاضباً، و مضى إلى ساحل البحر، و ركب السفينة، و أحسّ الربّان أنّ السفينة مشرفة على الغرق، و لو خُفِّفت بإلقاء واحد من الركّاب في البحر لنجا الكلّ، فساهموا فأصاب السهم اسم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في الذكر الحكيم، و قد وردت في السنّة روايات كثيرة حول القرعة تناهز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و من جوامع الكلم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تنازعوا ثمّ فوّضوا أمرهم إلى اللّه إلاّ خرج سهم المحقّ</w:t>
      </w:r>
      <w:r>
        <w:rPr>
          <w:rFonts w:eastAsia="Amiri" w:cs="Amiri" w:ascii="Amiri" w:hAnsi="Amiri"/>
          <w:color w:val="111111"/>
          <w:sz w:val="28"/>
          <w:szCs w:val="28"/>
          <w:rtl w:val="true"/>
          <w:lang w:bidi="ar-SA"/>
        </w:rPr>
        <w:t>«.</w:t>
      </w:r>
    </w:p>
    <w:p>
      <w:pPr>
        <w:pStyle w:val="BookText"/>
        <w:rPr/>
      </w:pPr>
      <w:r>
        <w:rPr>
          <w:rStyle w:val="FootnoteAnchor"/>
          <w:rtl w:val="true"/>
        </w:rPr>
        <w:footnoteReference w:id="241"/>
      </w: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قضية أعدل من القرعة إذا فوِّض الأمر إلى اللّه، أ ليس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فَساهَمَ فَكانَ مِنَ الْمُدْحَضِينَ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القرعة لا تتجاوز عن مورد التنازع أو التزاحم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على العمل بها في خصوص مورد التنازع و التزاحم لا في كلّ مجهول، أو كلّ مشتبه أو كلّ مشكل و إن لم يكن مثاراً للتنازع</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استقصاء روايات القرعة يرشدنا إلى أنّها وردت في خصوص المنازعات تعارضاً أو تزاحماً</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نعم، وردت رواية بالقرعة في مورد تمييز الموطوءة من الشاة عن غيرها، و لكنّها رواية شاذة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غيرها فيدلّ على اختصاصها بتزاحم الحقوق و تعارضها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440" w:name="pg14687_217304"/>
    </w:p>
    <w:p>
      <w:pPr>
        <w:pStyle w:val="BookText"/>
        <w:rPr/>
      </w:pPr>
      <w:bookmarkEnd w:id="440"/>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الأصحاب عملوا بالقرعة في الموارد التالية و جميعها إلاّ مورد الشاة من هذا الباب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قسمة الأعيان المشتركة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تزاحم المدعيين عند القاضي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قسمة الليالي بين الزوجات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تداعي الرجلين أو أكثر ولداً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تعارض البيّنتين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توريث الخنثى المشكل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توريث المشتبهين في تقدّم موت أحدهما على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الوصايا المتعددة إذا لم يف الثلث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إذا أوصى بعتق عبيده و لم يف الثلث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اشتباه الشاة الموطوءة بغيرها</w:t>
      </w:r>
      <w:r>
        <w:rPr>
          <w:rFonts w:eastAsia="Amiri" w:cs="Amiri" w:ascii="Amiri" w:hAnsi="Amiri"/>
          <w:color w:val="111111"/>
          <w:sz w:val="28"/>
          <w:szCs w:val="28"/>
          <w:rtl w:val="true"/>
          <w:lang w:bidi="ar-SA"/>
        </w:rPr>
        <w:t>.</w:t>
      </w:r>
    </w:p>
    <w:p>
      <w:pPr>
        <w:pStyle w:val="Heading5"/>
        <w:numPr>
          <w:ilvl w:val="4"/>
          <w:numId w:val="1"/>
        </w:numPr>
        <w:rPr/>
      </w:pPr>
      <w:bookmarkStart w:id="441" w:name="__RefHeading___Toc3433188_1878427129"/>
      <w:bookmarkStart w:id="442" w:name="_Toc165"/>
      <w:bookmarkEnd w:id="441"/>
      <w:r>
        <w:rPr>
          <w:rtl w:val="true"/>
        </w:rPr>
        <w:t>تنبيه</w:t>
      </w:r>
      <w:r>
        <w:rPr>
          <w:rtl w:val="true"/>
        </w:rPr>
        <w:t xml:space="preserve">: </w:t>
      </w:r>
      <w:r>
        <w:rPr>
          <w:rtl w:val="true"/>
        </w:rPr>
        <w:t>أدلّة القرعة غير مخصصة</w:t>
      </w:r>
      <w:bookmarkEnd w:id="442"/>
    </w:p>
    <w:p>
      <w:pPr>
        <w:pStyle w:val="BookText"/>
        <w:rPr/>
      </w:pPr>
      <w:r>
        <w:rPr>
          <w:rFonts w:ascii="Amiri" w:hAnsi="Amiri" w:eastAsia="Amiri" w:cs="Amiri"/>
          <w:color w:val="111111"/>
          <w:sz w:val="28"/>
          <w:sz w:val="28"/>
          <w:szCs w:val="28"/>
          <w:rtl w:val="true"/>
          <w:lang w:bidi="ar-SA"/>
        </w:rPr>
        <w:t>قد اشتهر بين الأصحاب أنّ عمومات القرعة لا يعمل بها إلاّ أن يُجبر عمومها بعمل الأصحاب، و ذلك لأجل كثرة ورود التخصيص عليها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الصواب غير ذلك، فإنّ من وصف أدلّة القرعة بكثرة التخصيص تصوّر أنّ موضوعها هو مطلق المجهول أو مطلق المشكل و إن لم يكن مورداً للتشاجر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رأى أنّه لا يُعْمل بالقرعة في كلّ مجهول أو مشكل زعم ورود كثرة التخصيص عليها و صيرورة عمومها موهوناً لا يتمسك بها إلاّ عند عمل </w:t>
      </w:r>
    </w:p>
    <w:p>
      <w:pPr>
        <w:pStyle w:val="BookText"/>
        <w:rPr/>
      </w:pPr>
      <w:r>
        <w:rPr>
          <w:rFonts w:ascii="IRNazanin" w:hAnsi="IRNazanin" w:eastAsia="IRNazanin"/>
          <w:color w:val="111111"/>
          <w:sz w:val="28"/>
          <w:sz w:val="28"/>
          <w:szCs w:val="28"/>
          <w:rtl w:val="true"/>
          <w:lang w:bidi="fa-IR"/>
        </w:rPr>
        <w:t>الأصحاب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على ما اخترناه من أنّ موضوعها هو خصوص التنازع أو التزاحم في الحقوق، مع انغلاق الأبواب لسائر الحلول، فأدلّة القرعة غير مخصصة، و العمل بها ليس رهن عمل الأصحاب</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 الأُصول العملية، و يليه البحث في تعارض الأدلّة الشرعية إن شاء اللّه و الحمد للّه ربّ العالمين </w:t>
      </w:r>
      <w:bookmarkStart w:id="443" w:name="pg14687_217306"/>
    </w:p>
    <w:p>
      <w:pPr>
        <w:pStyle w:val="Heading2"/>
        <w:numPr>
          <w:ilvl w:val="1"/>
          <w:numId w:val="1"/>
        </w:numPr>
        <w:rPr/>
      </w:pPr>
      <w:bookmarkStart w:id="444" w:name="__RefHeading___Toc3433190_1878427129"/>
      <w:bookmarkStart w:id="445" w:name="_Toc166"/>
      <w:bookmarkEnd w:id="443"/>
      <w:bookmarkEnd w:id="444"/>
      <w:r>
        <w:rPr>
          <w:rtl w:val="true"/>
        </w:rPr>
        <w:t>المقصد الثامن</w:t>
      </w:r>
      <w:r>
        <w:rPr>
          <w:rtl w:val="true"/>
        </w:rPr>
        <w:t xml:space="preserve">: </w:t>
      </w:r>
      <w:r>
        <w:rPr>
          <w:rtl w:val="true"/>
        </w:rPr>
        <w:t>في تعارض الأدلّة الشرعية في تعارض الأدلّة الشرعية</w:t>
      </w:r>
      <w:bookmarkEnd w:id="445"/>
    </w:p>
    <w:p>
      <w:pPr>
        <w:pStyle w:val="Heading3"/>
        <w:numPr>
          <w:ilvl w:val="2"/>
          <w:numId w:val="1"/>
        </w:numPr>
        <w:rPr/>
      </w:pPr>
      <w:bookmarkStart w:id="446" w:name="__RefHeading___Toc3433192_1878427129"/>
      <w:bookmarkStart w:id="447" w:name="_Toc167"/>
      <w:bookmarkEnd w:id="446"/>
      <w:r>
        <w:rPr>
          <w:rtl w:val="true"/>
        </w:rPr>
        <w:t>اشارة</w:t>
      </w:r>
      <w:bookmarkEnd w:id="447"/>
    </w:p>
    <w:p>
      <w:pPr>
        <w:pStyle w:val="BookText"/>
        <w:rPr/>
      </w:pPr>
      <w:r>
        <w:rPr>
          <w:rFonts w:ascii="Amiri" w:hAnsi="Amiri" w:eastAsia="Amiri" w:cs="Amiri"/>
          <w:color w:val="111111"/>
          <w:sz w:val="28"/>
          <w:sz w:val="28"/>
          <w:szCs w:val="28"/>
          <w:rtl w:val="true"/>
          <w:lang w:bidi="ar-SA"/>
        </w:rPr>
        <w:t>المقصد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الأدلّة الشرعية في تعارض الأدلّة الشرعية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و فيه أُمور و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التعارض و التزاحم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مرجحات باب التزاحم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التعارض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التعارض المستقر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التعارض على نحو العموم و الخصوص من وجه</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8" w:name="pg14687_217308"/>
      <w:bookmarkStart w:id="449" w:name="pg14687_217308"/>
      <w:bookmarkEnd w:id="449"/>
    </w:p>
    <w:p>
      <w:pPr>
        <w:pStyle w:val="BookText"/>
        <w:rPr/>
      </w:pPr>
      <w:bookmarkStart w:id="450" w:name="pg14687_217308"/>
      <w:bookmarkEnd w:id="450"/>
      <w:r>
        <w:rPr>
          <w:rFonts w:ascii="Amiri" w:hAnsi="Amiri" w:eastAsia="Amiri" w:cs="Amiri"/>
          <w:color w:val="111111"/>
          <w:sz w:val="28"/>
          <w:sz w:val="28"/>
          <w:szCs w:val="28"/>
          <w:rtl w:val="true"/>
          <w:lang w:bidi="ar-SA"/>
        </w:rPr>
        <w:t>في تعارض الأدلّة الشرعية</w:t>
      </w:r>
    </w:p>
    <w:p>
      <w:pPr>
        <w:pStyle w:val="Heading3"/>
        <w:numPr>
          <w:ilvl w:val="2"/>
          <w:numId w:val="1"/>
        </w:numPr>
        <w:rPr/>
      </w:pPr>
      <w:bookmarkStart w:id="451" w:name="__RefHeading___Toc3433194_1878427129"/>
      <w:bookmarkStart w:id="452" w:name="_Toc168"/>
      <w:bookmarkEnd w:id="451"/>
      <w:r>
        <w:rPr>
          <w:rtl w:val="true"/>
        </w:rPr>
        <w:t>قبل الخوض في الموضوع نقدّم أُموراً</w:t>
      </w:r>
      <w:r>
        <w:rPr>
          <w:rtl w:val="true"/>
        </w:rPr>
        <w:t>:</w:t>
      </w:r>
      <w:bookmarkEnd w:id="452"/>
    </w:p>
    <w:p>
      <w:pPr>
        <w:pStyle w:val="Heading4"/>
        <w:numPr>
          <w:ilvl w:val="3"/>
          <w:numId w:val="1"/>
        </w:numPr>
        <w:rPr/>
      </w:pPr>
      <w:bookmarkStart w:id="453" w:name="__RefHeading___Toc3433196_1878427129"/>
      <w:bookmarkStart w:id="454" w:name="_Toc169"/>
      <w:bookmarkEnd w:id="453"/>
      <w:r>
        <w:rPr>
          <w:rtl w:val="true"/>
        </w:rPr>
        <w:t>الأوّل</w:t>
      </w:r>
      <w:r>
        <w:rPr>
          <w:rtl w:val="true"/>
        </w:rPr>
        <w:t xml:space="preserve">: </w:t>
      </w:r>
      <w:r>
        <w:rPr>
          <w:rtl w:val="true"/>
        </w:rPr>
        <w:t>البحث عن تعارض الأدلّة الشرعيّة و كيفية علاجها من أهمّ المسائل الأُصولية</w:t>
      </w:r>
      <w:r>
        <w:rPr>
          <w:rtl w:val="true"/>
        </w:rPr>
        <w:t>.</w:t>
      </w:r>
      <w:bookmarkEnd w:id="454"/>
    </w:p>
    <w:p>
      <w:pPr>
        <w:pStyle w:val="BookText"/>
        <w:rPr/>
      </w:pPr>
      <w:r>
        <w:rPr>
          <w:rFonts w:ascii="Amiri" w:hAnsi="Amiri" w:eastAsia="Amiri" w:cs="Amiri"/>
          <w:color w:val="111111"/>
          <w:sz w:val="28"/>
          <w:sz w:val="28"/>
          <w:szCs w:val="28"/>
          <w:rtl w:val="true"/>
          <w:lang w:bidi="ar-SA"/>
        </w:rPr>
        <w:t>إذ قلّ باب في الفقه لا توجد فيه حجّتان متعارضتان و مختلفتان، فلا مناص للمستنبط من علاجهما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تلك الأهميّة الملموسة جعله المحقق الخراساني أحد المقاصد الثمانية في مقابل عمل الشيخ حيث جعله خاتمة لكتابه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الخاتمة و المقدّمة خارجتان عن مقاصد الكتاب مع أنّه من صميم مقاصد العلم و مسائله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في صدر الكتاب أنّ روح المسائل الأُصولية هو البحث عن تعيين ما هو الحجّة في الفقه، و الهدف في هذا المقصد هو تعيين ما هو الحجّة من المتعارضين من الترجيح و التخيير عند عدم المرجّح أو سقوطهما و الرجوع إلى دليل آخر، فإذا كان هذا مكانة هذا المقصد، فلا وجه لجعله خاتمة للكتاب</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3433198_1878427129"/>
      <w:bookmarkStart w:id="456" w:name="_Toc170"/>
      <w:bookmarkEnd w:id="455"/>
      <w:r>
        <w:rPr>
          <w:rtl w:val="true"/>
        </w:rPr>
        <w:t>الثاني</w:t>
      </w:r>
      <w:r>
        <w:rPr>
          <w:rtl w:val="true"/>
        </w:rPr>
        <w:t xml:space="preserve">: </w:t>
      </w:r>
      <w:r>
        <w:rPr>
          <w:rtl w:val="true"/>
        </w:rPr>
        <w:t>المقصود تعارض الأخبار دون سائر الأدلّة</w:t>
      </w:r>
      <w:bookmarkEnd w:id="45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تعارض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يعمّ تعارض الخبرين أو الأخبار و تعارض سائر الأدلّة الشرعيّة كتعارض قول اللغويين، أو المدّعيين للإجماع و غيرهما، لكن القوم لم يطرحوا في المقام إلاّ تعارض الأخبار دون سائر الأدلّة، و اقتصروا فيما يرجع إلى تعارض قول اللغويين أو المدّعيين للإجماع، بما ذكروه في بابيهما</w:t>
      </w:r>
      <w:r>
        <w:rPr>
          <w:rFonts w:eastAsia="Amiri" w:cs="Amiri" w:ascii="Amiri" w:hAnsi="Amiri"/>
          <w:color w:val="111111"/>
          <w:sz w:val="28"/>
          <w:szCs w:val="28"/>
          <w:rtl w:val="true"/>
          <w:lang w:bidi="ar-SA"/>
        </w:rPr>
        <w:t xml:space="preserve">. </w:t>
      </w:r>
      <w:bookmarkStart w:id="457" w:name="pg14687_217309"/>
    </w:p>
    <w:p>
      <w:pPr>
        <w:pStyle w:val="Heading4"/>
        <w:numPr>
          <w:ilvl w:val="3"/>
          <w:numId w:val="1"/>
        </w:numPr>
        <w:rPr/>
      </w:pPr>
      <w:bookmarkStart w:id="458" w:name="__RefHeading___Toc3433200_1878427129"/>
      <w:bookmarkStart w:id="459" w:name="_Toc171"/>
      <w:bookmarkEnd w:id="457"/>
      <w:bookmarkEnd w:id="458"/>
      <w:r>
        <w:rPr>
          <w:rtl w:val="true"/>
        </w:rPr>
        <w:t>الثالث</w:t>
      </w:r>
      <w:r>
        <w:rPr>
          <w:rtl w:val="true"/>
        </w:rPr>
        <w:t xml:space="preserve">: </w:t>
      </w:r>
      <w:r>
        <w:rPr>
          <w:rtl w:val="true"/>
        </w:rPr>
        <w:t>في تعريف التعارض</w:t>
      </w:r>
      <w:bookmarkEnd w:id="459"/>
    </w:p>
    <w:p>
      <w:pPr>
        <w:pStyle w:val="BookText"/>
        <w:rPr/>
      </w:pPr>
      <w:r>
        <w:rPr>
          <w:rFonts w:ascii="Amiri" w:hAnsi="Amiri" w:eastAsia="Amiri" w:cs="Amiri"/>
          <w:color w:val="111111"/>
          <w:sz w:val="28"/>
          <w:sz w:val="28"/>
          <w:szCs w:val="28"/>
          <w:rtl w:val="true"/>
          <w:lang w:bidi="ar-SA"/>
        </w:rPr>
        <w:t>عرّف الشيخ التعارض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تنافي مدلولي الدليلين على وجه التناقض أو التضاد</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و عرّفه المحقّق الخراساني بأنّه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تنافي الدليلين أو الأدلّة حسب الدلالة و مقام الإثبات على وجه التناقض أو التضاد</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و إنّما عدل عن التعريف الأوّل، لأجل إخراج ما يمكن فيه الجمع بين الروايتين عرفاً، من التعريف ، كموارد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الورود و الحكومة 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التنافي بين المدلولين و إن كان موجوداً في مواردها، لكنّه ليس موجوداً حسب الدلالة مع وجود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المحقّق الخراساني يفرّق بين التنافي في المدلول و التنافي في الدلالة، لاختصاص الثاني بغير موارد وجود الجمع العرفي، دون الأوّل فانّه يعمّ جميع الموارد سواء كان هناك جمع عرفي أو لا</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3433202_1878427129"/>
      <w:bookmarkStart w:id="461" w:name="_Toc172"/>
      <w:bookmarkEnd w:id="460"/>
      <w:r>
        <w:rPr>
          <w:rtl w:val="true"/>
        </w:rPr>
        <w:t>الرابع</w:t>
      </w:r>
      <w:r>
        <w:rPr>
          <w:rtl w:val="true"/>
        </w:rPr>
        <w:t>:</w:t>
      </w:r>
      <w:r>
        <w:rPr>
          <w:rtl w:val="true"/>
        </w:rPr>
        <w:t>إنّ الظاهر من التعريفين أنّ التنافي على نحو التضاد، غير التنافي على نحو التناقض</w:t>
      </w:r>
      <w:r>
        <w:rPr>
          <w:rtl w:val="true"/>
        </w:rPr>
        <w:t>.</w:t>
      </w:r>
      <w:bookmarkEnd w:id="461"/>
    </w:p>
    <w:p>
      <w:pPr>
        <w:pStyle w:val="BookText"/>
        <w:rPr/>
      </w:pPr>
      <w:r>
        <w:rPr>
          <w:rFonts w:ascii="Amiri" w:hAnsi="Amiri" w:eastAsia="Amiri" w:cs="Amiri"/>
          <w:color w:val="111111"/>
          <w:sz w:val="28"/>
          <w:sz w:val="28"/>
          <w:szCs w:val="28"/>
          <w:rtl w:val="true"/>
          <w:lang w:bidi="ar-SA"/>
        </w:rPr>
        <w:t>و لكن الحقّ رجوع التنافي على وجه التضاد إلى التنافي على وجه التناقض، فإذا ورد دليلان على الوجوب، و الحرمة فما يدلّ بالدلالة المطابقية على الوجوب فهو بمدلوله الالتزامي يدلّ على عدم الحرمة، فينافي ما يدلّ على الحرمة، و على ضوء ذلك، التنافي بالمدلول المطابقي و إن كان بصورة التضاد، لكنّه بالمدلول الالتزامي، بنحو التناقض على ما عرفت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ذلك كلّه، الإرجاع المذكور أمر دقيق لا يلتفت إليه الإنسان إلاّ بعد التأمّل حتى يستغني بقيد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القيد الآخر، و مقام التعريف </w:t>
      </w:r>
      <w:bookmarkStart w:id="462" w:name="pg14687_217310"/>
    </w:p>
    <w:p>
      <w:pPr>
        <w:pStyle w:val="BookText"/>
        <w:rPr/>
      </w:pPr>
      <w:bookmarkEnd w:id="462"/>
      <w:r>
        <w:rPr>
          <w:rFonts w:ascii="Amiri" w:hAnsi="Amiri" w:eastAsia="Amiri" w:cs="Amiri"/>
          <w:color w:val="111111"/>
          <w:sz w:val="28"/>
          <w:sz w:val="28"/>
          <w:szCs w:val="28"/>
          <w:rtl w:val="true"/>
          <w:lang w:bidi="ar-SA"/>
        </w:rPr>
        <w:t>يطالب لنفسه مقاماً واضحاً فلا إشكال في الإتيان بكلا القيدين حتّى يشمل التعريف لكلتا الصورتين بوضوح</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3433204_1878427129"/>
      <w:bookmarkStart w:id="464" w:name="_Toc173"/>
      <w:bookmarkEnd w:id="463"/>
      <w:r>
        <w:rPr>
          <w:rtl w:val="true"/>
        </w:rPr>
        <w:t>الخامس</w:t>
      </w:r>
      <w:r>
        <w:rPr>
          <w:rtl w:val="true"/>
        </w:rPr>
        <w:t xml:space="preserve">: </w:t>
      </w:r>
      <w:r>
        <w:rPr>
          <w:rtl w:val="true"/>
        </w:rPr>
        <w:t>في الفرق بين التعارض و التزاحم</w:t>
      </w:r>
      <w:bookmarkEnd w:id="464"/>
    </w:p>
    <w:p>
      <w:pPr>
        <w:pStyle w:val="BookText"/>
        <w:rPr/>
      </w:pPr>
      <w:r>
        <w:rPr>
          <w:rFonts w:ascii="Amiri" w:hAnsi="Amiri" w:eastAsia="Amiri" w:cs="Amiri"/>
          <w:color w:val="111111"/>
          <w:sz w:val="28"/>
          <w:sz w:val="28"/>
          <w:szCs w:val="28"/>
          <w:rtl w:val="true"/>
          <w:lang w:bidi="ar-SA"/>
        </w:rPr>
        <w:t>إنّ اختلاف الدليلين تارة يكون على وجه التعارض، و أُخرى على نحو التزاحم، فلو رجع التنافي إلى مقام الجعل و المدلول، و أصل الإنشاء على وجه لا يصحّ للمشرِّع أن يحكم على شيء واحد بحكمين متناقضين، أو متضادين، مع قطع النظر عن قدرة المكلَّف على امتثالهما، فالتنافي من قبيل التعارض كالحكم بوجوب شيء و حرمته أو 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رجع التنافي إلى مقام الامتثال، بأن لا يكون هناك تناف في مقام الملاك و المناط، و لا في مقام الجعل و الإنشاء، بل رجع التنافي إلى مرتبة متأخرة أعني مرتبة الامتثال، فالتنافي من قبيل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إنّ تشريع وجوب إزالة النجاسة عن المسجد، لا ينافي تشريع وجوب الصلاة في المسجد، و ليس بينهما أيُّ تزاحم في مقام الملاك و لا الإنشاء و لا الفعلية، و انّما التنافي بينهما في مقام الامتثال، حيث إنّه يرجع إلى عجز المكلَّف عن امتثالهما إذا ابتلى بهما في وقت واحد، و هذا نظير 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انقذ هذا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انقذ ذاك الغريق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بينهما أيّ منافرة، و انّما حصلت المنافرة في ظرف الامتثال، حيث إنّه ليس بمقدوره أن ينقذ كلا الغريقين في زمان واحد، و هذا ما يسمّى بالتزاحم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المتعارضين متكاذبان في مقام التشريع و الجعل، و المتزاحمين متنافران في مقام الامتثال، دون أن يكون بينهما أيُّ تكاذب و تعاند في مقام الجعل و الإنشاء</w:t>
      </w:r>
      <w:r>
        <w:rPr>
          <w:rFonts w:eastAsia="Amiri" w:cs="Amiri" w:ascii="Amiri" w:hAnsi="Amiri"/>
          <w:color w:val="111111"/>
          <w:sz w:val="28"/>
          <w:szCs w:val="28"/>
          <w:rtl w:val="true"/>
          <w:lang w:bidi="ar-SA"/>
        </w:rPr>
        <w:t xml:space="preserve">. </w:t>
      </w:r>
      <w:bookmarkStart w:id="465" w:name="pg14687_217311"/>
    </w:p>
    <w:p>
      <w:pPr>
        <w:pStyle w:val="Heading4"/>
        <w:numPr>
          <w:ilvl w:val="3"/>
          <w:numId w:val="1"/>
        </w:numPr>
        <w:rPr/>
      </w:pPr>
      <w:bookmarkStart w:id="466" w:name="__RefHeading___Toc3433206_1878427129"/>
      <w:bookmarkStart w:id="467" w:name="_Toc174"/>
      <w:bookmarkEnd w:id="465"/>
      <w:bookmarkEnd w:id="466"/>
      <w:r>
        <w:rPr>
          <w:rtl w:val="true"/>
        </w:rPr>
        <w:t>السادس</w:t>
      </w:r>
      <w:r>
        <w:rPr>
          <w:rtl w:val="true"/>
        </w:rPr>
        <w:t xml:space="preserve">: </w:t>
      </w:r>
      <w:r>
        <w:rPr>
          <w:rtl w:val="true"/>
        </w:rPr>
        <w:t>أسباب التزاحم و أقسامه</w:t>
      </w:r>
      <w:bookmarkEnd w:id="467"/>
    </w:p>
    <w:p>
      <w:pPr>
        <w:pStyle w:val="BookText"/>
        <w:rPr/>
      </w:pPr>
      <w:r>
        <w:rPr>
          <w:rFonts w:ascii="Amiri" w:hAnsi="Amiri" w:eastAsia="Amiri" w:cs="Amiri"/>
          <w:color w:val="111111"/>
          <w:sz w:val="28"/>
          <w:sz w:val="28"/>
          <w:szCs w:val="28"/>
          <w:rtl w:val="true"/>
          <w:lang w:bidi="ar-SA"/>
        </w:rPr>
        <w:t>إذا وقفت على الفرق بين التعارض و التزاحم، و أنّ مرجع التعارض إلى تكذيب كلّ من الدليلين الدليلَ الآخر في مقام الجعل و التشريع، و أنّ مرجع التزاحم إلى تنافي كلّ منهما مع الآخر في مقام الامتثال بلا تكاذب و تدافع في مقام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التزاحم ينقسم إلى الأقسام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التزاحم لأجل كون مخالفة أحد الحكمين مقدّمة لامتثال الآخر، كما إذا توقف إنقاذ الغريق على التصرّف في أرض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منشأ التزاحم وقوع التضاد بين متعلّقين من باب التصادف لا دائماً، كما إذا زاحمت إزالة النجاسة عن المسجد، إقامةَ الصلاة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أحد المتعلّقين مترتّباً في الوجوب على الآخر، كالقيام في الركعة الأُولى و الثانية مع عدم قدرته عليه إلاّ في ركعة واحدة، أو كالقيام في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مع عدم استطاعته إلاّ على القيام في واحدة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إذا دار أمره بين الصلاة قائماً في مخبأ بلا ركوع و سجود، أو الصلاةَ معهما من دون قيام في مخبأ آخر</w:t>
      </w:r>
      <w:r>
        <w:rPr>
          <w:rFonts w:eastAsia="Amiri" w:cs="Amiri" w:ascii="Amiri" w:hAnsi="Amiri"/>
          <w:color w:val="111111"/>
          <w:sz w:val="28"/>
          <w:szCs w:val="28"/>
          <w:rtl w:val="true"/>
          <w:lang w:bidi="ar-SA"/>
        </w:rPr>
        <w:t>.</w:t>
      </w:r>
    </w:p>
    <w:p>
      <w:pPr>
        <w:pStyle w:val="Heading4"/>
        <w:numPr>
          <w:ilvl w:val="3"/>
          <w:numId w:val="1"/>
        </w:numPr>
        <w:rPr/>
      </w:pPr>
      <w:bookmarkStart w:id="468" w:name="__RefHeading___Toc3433208_1878427129"/>
      <w:bookmarkStart w:id="469" w:name="_Toc175"/>
      <w:bookmarkEnd w:id="468"/>
      <w:r>
        <w:rPr>
          <w:rtl w:val="true"/>
        </w:rPr>
        <w:t>السابع</w:t>
      </w:r>
      <w:r>
        <w:rPr>
          <w:rtl w:val="true"/>
        </w:rPr>
        <w:t xml:space="preserve">: </w:t>
      </w:r>
      <w:r>
        <w:rPr>
          <w:rtl w:val="true"/>
        </w:rPr>
        <w:t>مرجّحات باب التزاحم</w:t>
      </w:r>
      <w:bookmarkEnd w:id="469"/>
    </w:p>
    <w:p>
      <w:pPr>
        <w:pStyle w:val="Heading5"/>
        <w:numPr>
          <w:ilvl w:val="4"/>
          <w:numId w:val="1"/>
        </w:numPr>
        <w:rPr/>
      </w:pPr>
      <w:bookmarkStart w:id="470" w:name="__RefHeading___Toc3433210_1878427129"/>
      <w:bookmarkStart w:id="471" w:name="_Toc176"/>
      <w:bookmarkEnd w:id="470"/>
      <w:r>
        <w:rPr>
          <w:rtl w:val="true"/>
        </w:rPr>
        <w:t>اشارة</w:t>
      </w:r>
      <w:bookmarkEnd w:id="471"/>
    </w:p>
    <w:p>
      <w:pPr>
        <w:pStyle w:val="BookText"/>
        <w:rPr/>
      </w:pPr>
      <w:r>
        <w:rPr>
          <w:rFonts w:ascii="Amiri" w:hAnsi="Amiri" w:eastAsia="Amiri" w:cs="Amiri"/>
          <w:color w:val="111111"/>
          <w:sz w:val="28"/>
          <w:sz w:val="28"/>
          <w:szCs w:val="28"/>
          <w:rtl w:val="true"/>
          <w:lang w:bidi="ar-SA"/>
        </w:rPr>
        <w:t>إذا كان التزاحم راجعاً إلى مقام الامتثال مع كمال الملاءمة في مقام التشريع فيتمسك بالمرجحات التي هي عبارة عن الأُمور التالية</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3433212_1878427129"/>
      <w:bookmarkStart w:id="473" w:name="_Toc177"/>
      <w:bookmarkEnd w:id="472"/>
      <w:r>
        <w:rPr/>
        <w:t>1</w:t>
      </w:r>
      <w:r>
        <w:rPr>
          <w:rtl w:val="true"/>
        </w:rPr>
        <w:t xml:space="preserve">. </w:t>
      </w:r>
      <w:r>
        <w:rPr>
          <w:rtl w:val="true"/>
        </w:rPr>
        <w:t>تقديم ما لا بدل له على ما له بدل</w:t>
      </w:r>
      <w:bookmarkEnd w:id="47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هناك واجبان لأحدهما بدل شرعاً، دون الآخر، فالعقل يحكم بتقديم </w:t>
      </w:r>
      <w:bookmarkStart w:id="474" w:name="pg14687_217312"/>
    </w:p>
    <w:p>
      <w:pPr>
        <w:pStyle w:val="BookText"/>
        <w:rPr/>
      </w:pPr>
      <w:bookmarkEnd w:id="474"/>
      <w:r>
        <w:rPr>
          <w:rFonts w:ascii="Amiri" w:hAnsi="Amiri" w:eastAsia="Amiri" w:cs="Amiri"/>
          <w:color w:val="111111"/>
          <w:sz w:val="28"/>
          <w:sz w:val="28"/>
          <w:szCs w:val="28"/>
          <w:rtl w:val="true"/>
          <w:lang w:bidi="ar-SA"/>
        </w:rPr>
        <w:t>الثاني على الأوّل، جمعاً بين الامتثالين، كالتزاحم الموجود بين رعاية الوقت و تحصيل الطهارة الحدثية بالماء، فبما أنّ الوقت فاقد للبدل، بخلاف الطهارة الحدثية، فتُقدّم مصلحة الوقت على مصلحة الطهارة الحدثية بالماء، فيتيمم بدلاً عن الطهارة المائية و يصلّي في الوقت</w:t>
      </w:r>
      <w:r>
        <w:rPr>
          <w:rFonts w:eastAsia="Amiri" w:cs="Amiri" w:ascii="Amiri" w:hAnsi="Amiri"/>
          <w:color w:val="111111"/>
          <w:sz w:val="28"/>
          <w:szCs w:val="28"/>
          <w:rtl w:val="true"/>
          <w:lang w:bidi="ar-SA"/>
        </w:rPr>
        <w:t>.</w:t>
      </w:r>
    </w:p>
    <w:p>
      <w:pPr>
        <w:pStyle w:val="Heading5"/>
        <w:numPr>
          <w:ilvl w:val="4"/>
          <w:numId w:val="1"/>
        </w:numPr>
        <w:rPr/>
      </w:pPr>
      <w:bookmarkStart w:id="475" w:name="__RefHeading___Toc3433214_1878427129"/>
      <w:bookmarkStart w:id="476" w:name="_Toc178"/>
      <w:bookmarkEnd w:id="475"/>
      <w:r>
        <w:rPr/>
        <w:t>2</w:t>
      </w:r>
      <w:r>
        <w:rPr>
          <w:rtl w:val="true"/>
        </w:rPr>
        <w:t xml:space="preserve">. </w:t>
      </w:r>
      <w:r>
        <w:rPr>
          <w:rtl w:val="true"/>
        </w:rPr>
        <w:t>تقديم المضيّق على الموسّع</w:t>
      </w:r>
      <w:bookmarkEnd w:id="476"/>
    </w:p>
    <w:p>
      <w:pPr>
        <w:pStyle w:val="BookText"/>
        <w:rPr/>
      </w:pPr>
      <w:r>
        <w:rPr>
          <w:rFonts w:ascii="Amiri" w:hAnsi="Amiri" w:eastAsia="Amiri" w:cs="Amiri"/>
          <w:color w:val="111111"/>
          <w:sz w:val="28"/>
          <w:sz w:val="28"/>
          <w:szCs w:val="28"/>
          <w:rtl w:val="true"/>
          <w:lang w:bidi="ar-SA"/>
        </w:rPr>
        <w:t>إذا كان هناك تزاحم بين المضيّق الذي لا يرضى المولى بتأخيره، و الموسّع الذي لا يفوت بالاشتغال بالواجب المضيّق، إلاّ فضيلة الوقت، فالعقل يحكم بتقديم الأوّل على الثاني، و لذلك يجب امتثال إزالة النجاسة أوّلاً ثمّ القيام بالصلاة</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3433216_1878427129"/>
      <w:bookmarkStart w:id="478" w:name="_Toc179"/>
      <w:bookmarkEnd w:id="477"/>
      <w:r>
        <w:rPr/>
        <w:t>3</w:t>
      </w:r>
      <w:r>
        <w:rPr>
          <w:rtl w:val="true"/>
        </w:rPr>
        <w:t xml:space="preserve">. </w:t>
      </w:r>
      <w:r>
        <w:rPr>
          <w:rtl w:val="true"/>
        </w:rPr>
        <w:t>تقديم أحد المتزاحمين على الآخر لأهميته</w:t>
      </w:r>
      <w:bookmarkEnd w:id="478"/>
    </w:p>
    <w:p>
      <w:pPr>
        <w:pStyle w:val="BookText"/>
        <w:rPr/>
      </w:pPr>
      <w:r>
        <w:rPr>
          <w:rFonts w:ascii="Amiri" w:hAnsi="Amiri" w:eastAsia="Amiri" w:cs="Amiri"/>
          <w:color w:val="111111"/>
          <w:sz w:val="28"/>
          <w:sz w:val="28"/>
          <w:szCs w:val="28"/>
          <w:rtl w:val="true"/>
          <w:lang w:bidi="ar-SA"/>
        </w:rPr>
        <w:t>إذا دار الأمر بين ترك الأهم و المهم، كإنقاذ الغريق و التصرّف في مال الغير، فالعقل يحكم بتقديم الأهم على المهم، و هذه من القضايا التي قياساتها معها</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3433218_1878427129"/>
      <w:bookmarkStart w:id="480" w:name="_Toc180"/>
      <w:bookmarkEnd w:id="479"/>
      <w:r>
        <w:rPr/>
        <w:t>4</w:t>
      </w:r>
      <w:r>
        <w:rPr>
          <w:rtl w:val="true"/>
        </w:rPr>
        <w:t xml:space="preserve">. </w:t>
      </w:r>
      <w:r>
        <w:rPr>
          <w:rtl w:val="true"/>
        </w:rPr>
        <w:t>سبق امتثال أحد الحكمين زماناً</w:t>
      </w:r>
      <w:bookmarkEnd w:id="48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أحد الواجبين متقدّماً في مقام الامتثال على الآخر زماناً، كما إذا وجب صوم يوم الخميس و الجمعة، و لا يقدر إلاّ على صيام يوم واحد، أو إذا وجبت عليه صلاتان و لا يتمكن إلاّ من الإتيان بواحدة منهما قائماً، أو وجبت صلاة واحدة و لا يتمكن إلاّ من القيام بركعة واحدة، ففي جميع هذه الصور يستقلُّ العقل بتقديم ما يجب امتثاله متقدّماًً على الآخر، حتى يكون في ترك الواجب في الزمان الثاني معذوراً، إلاّ إذا كان الواجب المتأخر أهمّ في نظر المولى فيجب صرف القدرة </w:t>
      </w:r>
      <w:bookmarkStart w:id="481" w:name="pg14687_217313"/>
    </w:p>
    <w:p>
      <w:pPr>
        <w:pStyle w:val="BookText"/>
        <w:rPr/>
      </w:pPr>
      <w:bookmarkEnd w:id="481"/>
      <w:r>
        <w:rPr>
          <w:rFonts w:ascii="Amiri" w:hAnsi="Amiri" w:eastAsia="Amiri" w:cs="Amiri"/>
          <w:color w:val="111111"/>
          <w:sz w:val="28"/>
          <w:sz w:val="28"/>
          <w:szCs w:val="28"/>
          <w:rtl w:val="true"/>
          <w:lang w:bidi="ar-SA"/>
        </w:rPr>
        <w:t>في الثاني، و هو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صام يوم الخميس، أو صلّى الظهر قائماً، فقد ترك صوم يوم الجمعة و القيام في صلاة العصر عن عذر و حجّة بخلاف ما لو أفطر يوم الخميس و صلّى الظهر جالساً فقد ترك الواجب بلا عذر</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3433220_1878427129"/>
      <w:bookmarkStart w:id="483" w:name="_Toc181"/>
      <w:bookmarkEnd w:id="482"/>
      <w:r>
        <w:rPr/>
        <w:t>5</w:t>
      </w:r>
      <w:r>
        <w:rPr>
          <w:rtl w:val="true"/>
        </w:rPr>
        <w:t xml:space="preserve">. </w:t>
      </w:r>
      <w:r>
        <w:rPr>
          <w:rtl w:val="true"/>
        </w:rPr>
        <w:t>تقديم الواجب المطلق على المشروط</w:t>
      </w:r>
      <w:bookmarkEnd w:id="483"/>
    </w:p>
    <w:p>
      <w:pPr>
        <w:pStyle w:val="BookText"/>
        <w:rPr/>
      </w:pPr>
      <w:r>
        <w:rPr>
          <w:rFonts w:ascii="Amiri" w:hAnsi="Amiri" w:eastAsia="Amiri" w:cs="Amiri"/>
          <w:color w:val="111111"/>
          <w:sz w:val="28"/>
          <w:sz w:val="28"/>
          <w:szCs w:val="28"/>
          <w:rtl w:val="true"/>
          <w:lang w:bidi="ar-SA"/>
        </w:rPr>
        <w:t>إذا نذر قبل حصول الاستطاعة أن يزور مرقد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عرفة، ثمّ حصلت له الاستطاعة فيقدّم الحج على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عليَّ أن أزور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عرفة، إمّا أن لا يكون له إطلاق بالنسبة إلى عام حصول الاستطاعة للحج، أو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عدم الإطلاق لدليل النذر يكون الحجّ مقدّماً، إذ لا يكون عندئذ إلاّ واجب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بما أنّ الإطلاق مستلزم لترك الواجب أعني الحجّ يكون إطلاق النذر لا نفسه باطلاً، نظير ما إذا نذر شخص أن يقرأ القرآن من طلوع الفجر إلى طلوع الشمس، فانّه في حدّ نفسه راجح، لكنّه بما أنّه مستلزم لتفويت الواجب و هي صلاة الصبح فلا ينعقد، و هذا هو المراد من قولنا تقديم الواجب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الواجب المشروط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المشروطة بعدم كونها مفوّتة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الخبرين المتعارضين على قسمين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التنافي بينهما تنافياً غير مستقر على نحو يزول بالتأمّل و الإمعان، و يعلم من خلاله أنّ المتكلم لم يخبر بأمرين متنافيين في الظرف الذي ألقى فيه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التنافي بينهما تنافياً مستقراً لا يزول بالتأمّل و الإمعان و يُعدّ الخبران أمرين متنافيين حتى في نفس الظرف الذي أُلقي فيه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يمكن التصديق بهما، بل لا بدّ من ردّهما أو الأخذ بأحدهما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فقد بذل الأُصوليون جهودهم في إعطاء ضوابط لتشخيص التعارض غير المستقر عن المستقر، أو لتشخيص الجمع المقبول عن غيره و حصروها في العنوانات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أحد الدليلين وارداً على الدليل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أحد الدليلين حاكماً على الدليل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أحد الدليلين مخصصاً للدليل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أحد الدليلين ، أظهر من الدليل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للأظهرية ملاكات خاصة مبينة في محلها</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انّا استوفينا الكلام في القسم الأوّل بعنواناتها الأربعة من الموجز، نركز في القسم الثاني أي التعارض المستقر الذي يُعالج التعارض بغير هذا النحو</w:t>
      </w:r>
      <w:r>
        <w:rPr>
          <w:rFonts w:eastAsia="Amiri" w:cs="Amiri" w:ascii="Amiri" w:hAnsi="Amiri"/>
          <w:color w:val="111111"/>
          <w:sz w:val="28"/>
          <w:szCs w:val="28"/>
          <w:rtl w:val="true"/>
          <w:lang w:bidi="ar-SA"/>
        </w:rPr>
        <w:t xml:space="preserve">. </w:t>
      </w:r>
      <w:bookmarkStart w:id="484" w:name="pg14687_217315"/>
    </w:p>
    <w:p>
      <w:pPr>
        <w:pStyle w:val="Heading3"/>
        <w:numPr>
          <w:ilvl w:val="2"/>
          <w:numId w:val="1"/>
        </w:numPr>
        <w:rPr/>
      </w:pPr>
      <w:bookmarkStart w:id="485" w:name="__RefHeading___Toc3433222_1878427129"/>
      <w:bookmarkStart w:id="486" w:name="_Toc182"/>
      <w:bookmarkEnd w:id="484"/>
      <w:bookmarkEnd w:id="485"/>
      <w:r>
        <w:rPr>
          <w:rtl w:val="true"/>
        </w:rPr>
        <w:t>في التعارض المستقر</w:t>
      </w:r>
      <w:bookmarkEnd w:id="486"/>
    </w:p>
    <w:p>
      <w:pPr>
        <w:pStyle w:val="Heading4"/>
        <w:numPr>
          <w:ilvl w:val="3"/>
          <w:numId w:val="1"/>
        </w:numPr>
        <w:rPr/>
      </w:pPr>
      <w:bookmarkStart w:id="487" w:name="__RefHeading___Toc3433224_1878427129"/>
      <w:bookmarkStart w:id="488" w:name="_Toc183"/>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قد عرفت أنّ التعارض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غير مستقر ، و تعارض مستقر، و يقع الكلام في القسم الثاني، في ضمن مباحث</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3433226_1878427129"/>
      <w:bookmarkStart w:id="490" w:name="_Toc184"/>
      <w:bookmarkEnd w:id="489"/>
      <w:r>
        <w:rPr>
          <w:rtl w:val="true"/>
        </w:rPr>
        <w:t>المبحث الأوّل</w:t>
      </w:r>
      <w:r>
        <w:rPr>
          <w:rtl w:val="true"/>
        </w:rPr>
        <w:t xml:space="preserve">: </w:t>
      </w:r>
      <w:r>
        <w:rPr>
          <w:rtl w:val="true"/>
        </w:rPr>
        <w:t>ما هو مقتضى القاعدة الأوّلية؟</w:t>
      </w:r>
      <w:bookmarkEnd w:id="490"/>
    </w:p>
    <w:p>
      <w:pPr>
        <w:pStyle w:val="BookText"/>
        <w:rPr/>
      </w:pPr>
      <w:r>
        <w:rPr>
          <w:rFonts w:ascii="Amiri" w:hAnsi="Amiri" w:eastAsia="Amiri" w:cs="Amiri"/>
          <w:color w:val="111111"/>
          <w:sz w:val="28"/>
          <w:sz w:val="28"/>
          <w:szCs w:val="28"/>
          <w:rtl w:val="true"/>
          <w:lang w:bidi="ar-SA"/>
        </w:rPr>
        <w:t xml:space="preserve">إذا قلنا بأنّ الخبر حجّة لكونه طريقاً إلى كشف الواقع من دون أن يكون في العمل بالخبر هناك أيُّ مصلحة سوى مصلحة درك الواقع </w:t>
      </w:r>
      <w:r>
        <w:rPr>
          <w:rStyle w:val="FootnoteAnchor"/>
          <w:rtl w:val="true"/>
        </w:rPr>
        <w:footnoteReference w:id="248"/>
      </w:r>
      <w:r>
        <w:rPr>
          <w:rFonts w:ascii="Amiri" w:hAnsi="Amiri" w:eastAsia="Amiri" w:cs="Amiri"/>
          <w:color w:val="111111"/>
          <w:sz w:val="28"/>
          <w:sz w:val="28"/>
          <w:szCs w:val="28"/>
          <w:rtl w:val="true"/>
          <w:lang w:bidi="ar-SA"/>
        </w:rPr>
        <w:t>، فما هو مقتضى حكم العقل؟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لم يكن لدليل حجّية خبر الواحد إطلاق شامل لصورة التعارض، كما إذا كان دليل الحجّية أمراً لبيّاً كالسيرة العقلائية أو الإجماع، فعندئذ يكون دليل الحجية قاصراً عن الشمول للمتعارضين، لأنّ الدليل اللبيّ لا يتصوّر فيه الإطلاق، فيؤخذ بالقدر المتيقن و هو اختصاص الحجّية بما إذا كان الخبر غير معارض، فتكون النتيجة عدم الدليل على حجّية الخبرين المتعارضين و هو مساو لسقوطهما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إطلاق شامل لصورة التعارض، كما إذا كان دليل الحجّية أمراً لفظياً كآية النبأ و النفر، و قلنا بوجود الإطلاق فيهما الشامل لصورة </w:t>
      </w:r>
      <w:bookmarkStart w:id="491" w:name="pg14687_217316"/>
    </w:p>
    <w:p>
      <w:pPr>
        <w:pStyle w:val="BookText"/>
        <w:rPr/>
      </w:pPr>
      <w:bookmarkEnd w:id="491"/>
      <w:r>
        <w:rPr>
          <w:rFonts w:ascii="Amiri" w:hAnsi="Amiri" w:eastAsia="Amiri" w:cs="Amiri"/>
          <w:color w:val="111111"/>
          <w:sz w:val="28"/>
          <w:sz w:val="28"/>
          <w:szCs w:val="28"/>
          <w:rtl w:val="true"/>
          <w:lang w:bidi="ar-SA"/>
        </w:rPr>
        <w:t>المتعارضين، فيقع الكلام في مقتضى القاعدة الأوّلية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مقتضى القاعدة الأوّلية هو التساقط، و إلاّ فالأمر دائر بين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بكليهما، و هو يستلزم الجمع بين المتناقضين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بأحدهما المعين، و هو ترجيح بلا مرجح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الأخذ بأحدهما المخير، و هو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الأدلة دلت على حجّية كلّ واحد معيّناً لا مخيّراً، فإذا بطلت الاحتمالات الثلاثة تعين التساقط</w:t>
      </w:r>
      <w:r>
        <w:rPr>
          <w:rFonts w:eastAsia="Amiri" w:cs="Amiri" w:ascii="Amiri" w:hAnsi="Amiri"/>
          <w:color w:val="111111"/>
          <w:sz w:val="28"/>
          <w:szCs w:val="28"/>
          <w:rtl w:val="true"/>
          <w:lang w:bidi="ar-SA"/>
        </w:rPr>
        <w:t>.</w:t>
      </w:r>
    </w:p>
    <w:p>
      <w:pPr>
        <w:pStyle w:val="Heading4"/>
        <w:numPr>
          <w:ilvl w:val="3"/>
          <w:numId w:val="1"/>
        </w:numPr>
        <w:rPr/>
      </w:pPr>
      <w:bookmarkStart w:id="492" w:name="__RefHeading___Toc3433228_1878427129"/>
      <w:bookmarkStart w:id="493" w:name="_Toc185"/>
      <w:bookmarkEnd w:id="492"/>
      <w:r>
        <w:rPr>
          <w:rtl w:val="true"/>
        </w:rPr>
        <w:t>المبحث الثاني</w:t>
      </w:r>
      <w:r>
        <w:rPr>
          <w:rtl w:val="true"/>
        </w:rPr>
        <w:t xml:space="preserve">: </w:t>
      </w:r>
      <w:r>
        <w:rPr>
          <w:rtl w:val="true"/>
        </w:rPr>
        <w:t>في حجّية المتعارضين في نفي الثالث</w:t>
      </w:r>
      <w:bookmarkEnd w:id="493"/>
    </w:p>
    <w:p>
      <w:pPr>
        <w:pStyle w:val="BookText"/>
        <w:rPr/>
      </w:pPr>
      <w:r>
        <w:rPr>
          <w:rFonts w:ascii="Amiri" w:hAnsi="Amiri" w:eastAsia="Amiri" w:cs="Amiri"/>
          <w:color w:val="111111"/>
          <w:sz w:val="28"/>
          <w:sz w:val="28"/>
          <w:szCs w:val="28"/>
          <w:rtl w:val="true"/>
          <w:lang w:bidi="ar-SA"/>
        </w:rPr>
        <w:t>قد عرفت أنّ الأصل في المتعارضين على القول بحجّيتهما من باب الطريقية هو التساقط، لكن يقع الكلام في اختصاص التساقط بالمدلول المطابقي أو يعمّ المدلول الالتزامي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الوجه الأوّل يُحتج بهما في نفي الثالث دون الوجه الثاني، فلو كان هناك خبران متعارضين أحدهما يدل على أنّ نصاب الغوص دينار، و الآخر على أنّ نصابه عشرون ديناراً، فعلى الاختصاص يحتج بهما في نفي الثالث، أي نفي عدم اعتبار النصاب في الغوص أو كون نصابه عشرة دنانير دون القول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وجهان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عدم صحة الاحتجاج، لأنّ الأخذ بالمدلول الالتزامي فرع الأخذ بالمدلول المطابقي، فإذا امتنع الأخذ بالمدلول المطابقي فكيف يمكن الأخذ بمدلوله الالتزامي؟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بالمدلول الالتزامي لأجل كونه من لوازم المعنى </w:t>
      </w:r>
      <w:bookmarkStart w:id="494" w:name="pg14687_217317"/>
    </w:p>
    <w:p>
      <w:pPr>
        <w:pStyle w:val="BookText"/>
        <w:rPr/>
      </w:pPr>
      <w:bookmarkEnd w:id="494"/>
      <w:r>
        <w:rPr>
          <w:rFonts w:ascii="Amiri" w:hAnsi="Amiri" w:eastAsia="Amiri" w:cs="Amiri"/>
          <w:color w:val="111111"/>
          <w:sz w:val="28"/>
          <w:sz w:val="28"/>
          <w:szCs w:val="28"/>
          <w:rtl w:val="true"/>
          <w:lang w:bidi="ar-SA"/>
        </w:rPr>
        <w:t>المطابقي، فإذا لم يثبت الملزوم تعبّداً فكيف يثبت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يدل دليل على التحفظ باللازم تعبداً</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3433230_1878427129"/>
      <w:bookmarkStart w:id="496" w:name="_Toc186"/>
      <w:bookmarkEnd w:id="495"/>
      <w:r>
        <w:rPr>
          <w:rtl w:val="true"/>
        </w:rPr>
        <w:t>المبحث الثالث</w:t>
      </w:r>
      <w:r>
        <w:rPr>
          <w:rtl w:val="true"/>
        </w:rPr>
        <w:t xml:space="preserve">: </w:t>
      </w:r>
      <w:r>
        <w:rPr>
          <w:rtl w:val="true"/>
        </w:rPr>
        <w:t>مقتضى القاعدة الثانوية في المتعارضين</w:t>
      </w:r>
      <w:bookmarkEnd w:id="496"/>
    </w:p>
    <w:p>
      <w:pPr>
        <w:pStyle w:val="Heading5"/>
        <w:numPr>
          <w:ilvl w:val="4"/>
          <w:numId w:val="1"/>
        </w:numPr>
        <w:rPr/>
      </w:pPr>
      <w:bookmarkStart w:id="497" w:name="__RefHeading___Toc3433232_1878427129"/>
      <w:bookmarkStart w:id="498" w:name="_Toc187"/>
      <w:bookmarkEnd w:id="497"/>
      <w:r>
        <w:rPr>
          <w:rtl w:val="true"/>
        </w:rPr>
        <w:t>اشارة</w:t>
      </w:r>
      <w:bookmarkEnd w:id="498"/>
    </w:p>
    <w:p>
      <w:pPr>
        <w:pStyle w:val="BookText"/>
        <w:rPr/>
      </w:pPr>
      <w:r>
        <w:rPr>
          <w:rFonts w:ascii="Amiri" w:hAnsi="Amiri" w:eastAsia="Amiri" w:cs="Amiri"/>
          <w:color w:val="111111"/>
          <w:sz w:val="28"/>
          <w:sz w:val="28"/>
          <w:szCs w:val="28"/>
          <w:rtl w:val="true"/>
          <w:lang w:bidi="ar-SA"/>
        </w:rPr>
        <w:t>قد عرفت أنّ مقتضى القاعدة الأوّلية في المتعارضين هو التساقط، إنّما الكلام في ورود دليل خارجي على خلاف القاعدة و عدمه، فعلى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ورود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بمفاد القاعدة الأُولى ويحكم بتساقط الخبرين في جميع الحالات، و على الأوّل يجب أن يؤخذ بمدلول القاعدة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الروايات الواردة في الخبرين المتعارضين تشعّبت إلى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الأخذ بذي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من القسم الأوّل ما رواه الحسن بن جهم عن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 كلاهما ثقة بحديثين مختلفين و لا نعلم أيّهما الحق؟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الأنصاري ادّعى تواتر الأخبار الدالّة على التخيير في المتعارضين، و كان سيدنا الأُستاذ قدَّس سرّه ينكر التواتر، و لكن يعترف بالتضافر، و قد عثرنا على ما يدل على التخيير بما يناهز ثماني روايات</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لكنّ المشكلة تكمن في إعراض الأصحاب عن روايات التخيير، فانّه لا يوجد مورد أفتى المشهور في الكتب الفقهية بالتخيير بين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الطائفة الثانية،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التوقف، فيناهز عدد رواياتها ما يناهز الخمس،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 الآخر ينهاه عنه،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سماعة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 واحد يأمرنا بالأخذ به، و الآخر ينهانا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نعمل بواحد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 يحتمل وحدة الحديثين لوحدة الراوي عن الإمام و إن اشتمل الحديث الثاني على زيادة، و لاحظ ما يدل على التوقف أيضاً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 على فرض حجّية أخبار التخيير فقد قام غير واحد من المحقّقين بالجمع بين الطائفتين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التخيير و التوقف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أوضحها ما أفاده الشيخ الأعظم من حمل روايات التوقف على صورة التمكّن من لقاء الإمام، و يشهد على ذلك ما في حديث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آخر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تعمل بواحد منهما حتى تلقى صاحبك فتسأله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كانت الطائفة الأُولى دالة على التخيير و الثانية على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طائفة ثالثة تدل على الأخذ بذي الترجيح، و يقع الكلام في هذه الطائفة في جهات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على أقسام المرجحات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الأخذ بذات المزية لازم أو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لزوم الاقتصار على المنصوص منها أو جواز التعدّي عنه إلى غيره؟ و إليك دراسة هذه الجهات واحدة تلو الأُخرى</w:t>
      </w:r>
      <w:r>
        <w:rPr>
          <w:rFonts w:eastAsia="Amiri" w:cs="Amiri" w:ascii="Amiri" w:hAnsi="Amiri"/>
          <w:color w:val="111111"/>
          <w:sz w:val="28"/>
          <w:szCs w:val="28"/>
          <w:rtl w:val="true"/>
          <w:lang w:bidi="ar-SA"/>
        </w:rPr>
        <w:t xml:space="preserve">. </w:t>
      </w:r>
      <w:bookmarkStart w:id="499" w:name="pg14687_217320"/>
    </w:p>
    <w:p>
      <w:pPr>
        <w:pStyle w:val="Heading5"/>
        <w:numPr>
          <w:ilvl w:val="4"/>
          <w:numId w:val="1"/>
        </w:numPr>
        <w:rPr/>
      </w:pPr>
      <w:bookmarkStart w:id="500" w:name="__RefHeading___Toc3433234_1878427129"/>
      <w:bookmarkStart w:id="501" w:name="_Toc188"/>
      <w:bookmarkEnd w:id="499"/>
      <w:bookmarkEnd w:id="500"/>
      <w:r>
        <w:rPr>
          <w:rtl w:val="true"/>
        </w:rPr>
        <w:t>الجهة الأُولى</w:t>
      </w:r>
      <w:r>
        <w:rPr>
          <w:rtl w:val="true"/>
        </w:rPr>
        <w:t xml:space="preserve">: </w:t>
      </w:r>
      <w:r>
        <w:rPr>
          <w:rtl w:val="true"/>
        </w:rPr>
        <w:t>في أقسام المرجحات</w:t>
      </w:r>
      <w:bookmarkEnd w:id="501"/>
    </w:p>
    <w:p>
      <w:pPr>
        <w:pStyle w:val="Heading6"/>
        <w:numPr>
          <w:ilvl w:val="5"/>
          <w:numId w:val="1"/>
        </w:numPr>
        <w:rPr/>
      </w:pPr>
      <w:bookmarkStart w:id="502" w:name="__RefHeading___Toc3433236_1878427129"/>
      <w:bookmarkStart w:id="503" w:name="_Toc189"/>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 xml:space="preserve">إنّ المرجحات الواردة في الروايات على أقسام، و بما انّ مقبولة عمر بن حنظلة هي بيت القصيد في هذا الباب نذكر المرجحات وفق الترتيب الوارد في الرواية المذكورة و المرجحات الواردة فيها خمسة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بصفات الراوي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بالشهرة العملية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بالكتاب و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بمخالفة العامة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الترجيح بالأحدثية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المرجحات الواردة في المقام، و إليك البحث فيها على وجه التفصيل</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3433238_1878427129"/>
      <w:bookmarkStart w:id="505" w:name="_Toc190"/>
      <w:bookmarkEnd w:id="504"/>
      <w:r>
        <w:rPr/>
        <w:t>1</w:t>
      </w:r>
      <w:r>
        <w:rPr>
          <w:rtl w:val="true"/>
        </w:rPr>
        <w:t xml:space="preserve">. </w:t>
      </w:r>
      <w:r>
        <w:rPr>
          <w:rtl w:val="true"/>
        </w:rPr>
        <w:t>الترجيح بصفات الراوي</w:t>
      </w:r>
      <w:bookmarkEnd w:id="505"/>
    </w:p>
    <w:p>
      <w:pPr>
        <w:pStyle w:val="BookText"/>
        <w:rPr/>
      </w:pPr>
      <w:r>
        <w:rPr>
          <w:rFonts w:ascii="Amiri" w:hAnsi="Amiri" w:eastAsia="Amiri" w:cs="Amiri"/>
          <w:color w:val="111111"/>
          <w:sz w:val="28"/>
          <w:sz w:val="28"/>
          <w:szCs w:val="28"/>
          <w:rtl w:val="true"/>
          <w:lang w:bidi="ar-SA"/>
        </w:rPr>
        <w:t>قد ورد الترجيح بصفات الراوي في روايات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داود بن الحصين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موسى بن أكيل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الجميع يرجع إلى ترجيح حكم أحد القاضيين على الآخر بهذه </w:t>
      </w:r>
    </w:p>
    <w:p>
      <w:pPr>
        <w:pStyle w:val="BookText"/>
        <w:rPr/>
      </w:pPr>
      <w:r>
        <w:rPr>
          <w:rFonts w:ascii="Amiri" w:hAnsi="Amiri" w:eastAsia="Amiri" w:cs="Amiri"/>
          <w:color w:val="111111"/>
          <w:sz w:val="28"/>
          <w:sz w:val="28"/>
          <w:szCs w:val="28"/>
          <w:rtl w:val="true"/>
          <w:lang w:bidi="ar-SA"/>
        </w:rPr>
        <w:t>الصفات و لا تمت بترجيح أحد الخبرين على الآخر بصفات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رواية عمر بن حنظلة، فحاصل الرواية انّه فرض حكمين من أصحابنا حكما في موضوع بحكمين و كلاهما صدرا عن الحديث المروي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يحكم به الآخر</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عرفت من أنّ مورد الرواية هو ترجيح حكم أحد القاضيين بصفاتهما، و أين هو من ترجيح إحدى الروايتين على الأخرى بصفات الراوي؟ أمّا رواية داود بن الحصين، فهي ما رواه الصدوق بسند كالصحيح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رجلين اتّفقا على عدلين جعلاهما بينهما في حكم وقع بينهما فيه خلاف، فرضيا بالعدلين، فاختلف العدلان بينهما، عن قول أيّهما يمضي الحكم؟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أفقههما و أعلمهما بأحاديثنا و أورعهما فينفذ حكمه و لا يلتفت إلى الآخر</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و هذه الرواية كسابقتها ناظرة إلى ترجيح أحد الحكمين على الآخر</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رواية موسى بن أكيل، ما رواه الشيخ الطوسي بسند صحيح، عن ذُبيان بن حُكيم، عن موسى بن أكيل،عن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يكون بينه و بين أخ له منازعة في حقّ، فيتفقان على رجلين، يكونان بينهما، فحكما، فاختلفا فيما حكما،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كيف يختلفان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كلّ واحد منهما للذي اختاره الخصمان،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أعدلهما و أفقههما في دين اللّه، فيمضي حكمه</w:t>
      </w:r>
      <w:r>
        <w:rPr>
          <w:rFonts w:eastAsia="Amiri" w:cs="Amiri" w:ascii="Amiri" w:hAnsi="Amiri"/>
          <w:color w:val="111111"/>
          <w:sz w:val="28"/>
          <w:szCs w:val="28"/>
          <w:rtl w:val="true"/>
          <w:lang w:bidi="ar-SA"/>
        </w:rPr>
        <w:t xml:space="preserve">«. </w:t>
      </w:r>
      <w:r>
        <w:rPr>
          <w:rStyle w:val="FootnoteAnchor"/>
        </w:rPr>
        <w:footnoteReference w:id="257"/>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06" w:name="pg14687_217322"/>
    </w:p>
    <w:p>
      <w:pPr>
        <w:pStyle w:val="BookText"/>
        <w:rPr/>
      </w:pPr>
      <w:bookmarkEnd w:id="506"/>
      <w:r>
        <w:rPr>
          <w:rFonts w:ascii="Amiri" w:hAnsi="Amiri" w:eastAsia="Amiri" w:cs="Amiri"/>
          <w:color w:val="111111"/>
          <w:sz w:val="28"/>
          <w:sz w:val="28"/>
          <w:szCs w:val="28"/>
          <w:rtl w:val="true"/>
          <w:lang w:bidi="ar-SA"/>
        </w:rPr>
        <w:t>و هذا الحديث أيضاً أجنبي عن المقام، لأنّ الضمائر ترجع إلى الحكمين اللّذين اختارهما كلّ واحد من المتحاكمين، و بما انّ القضاء أمر لا يخلو تأخيره من مضارّ ناسب أن تكون صفات القاضي من المزايا، بخلاف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اختلاف الحكمين في القضاء ، و إن نشأ عن الاختلاف في الحديث المروي عنهما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الاختلاف الحديث سبب الاختلاف في القضاء و ليس الإمام بصدد ترجيح رواية على رواية أُخرى، بل بترجيح قضاء، على قضاء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المرجح الأوّل، و ثبت انّه لا يمتُّ إلى ترجيح الرواية بصلة</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3433240_1878427129"/>
      <w:bookmarkStart w:id="508" w:name="_Toc191"/>
      <w:bookmarkEnd w:id="507"/>
      <w:r>
        <w:rPr/>
        <w:t>2</w:t>
      </w:r>
      <w:r>
        <w:rPr>
          <w:rtl w:val="true"/>
        </w:rPr>
        <w:t xml:space="preserve">. </w:t>
      </w:r>
      <w:r>
        <w:rPr>
          <w:rtl w:val="true"/>
        </w:rPr>
        <w:t>الترجيح بالشهرة العملية</w:t>
      </w:r>
      <w:bookmarkEnd w:id="508"/>
    </w:p>
    <w:p>
      <w:pPr>
        <w:pStyle w:val="BookText"/>
        <w:rPr/>
      </w:pPr>
      <w:r>
        <w:rPr>
          <w:rFonts w:ascii="Amiri" w:hAnsi="Amiri" w:eastAsia="Amiri" w:cs="Amiri"/>
          <w:color w:val="111111"/>
          <w:sz w:val="28"/>
          <w:sz w:val="28"/>
          <w:szCs w:val="28"/>
          <w:rtl w:val="true"/>
          <w:lang w:bidi="ar-SA"/>
        </w:rPr>
        <w:t>قد ورد الترجيح بالشهرة العملية في رواية واحدة و هي مقبولة عمر بن حنظلة، فقد فرض عمر بن حنظلة مساواة الحكمين في الصفات،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فانّهما عدلان مرضيان عند أصحابنا لا يفضّل واحد منهما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 عنّا في ذلك الذي حكما به المجمعَ عليه من أصحابنا فيؤخذ به من حكمنا، و يترك الشاذ الذي ليس بمشهور عند أصحابك، فانّ المجمع عليه لا ريب فيه، و إنّما الأُمور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بيّن رشده فيُتّبع، و أمر بيّن غيّه فيجتنب، و أمر مشكل يردّ علمه إلى اللّه و إلى رسوله،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صدر الحديث راجع إلى ترجيح أحد الحكمين على الآخر، فليكن الترجيح بالشهرة العملية راجعاً إليهما لا إلى الخبرين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صدر الحديث و إن كان راجعاً إلى ترجيح حكم أحد القاضيين </w:t>
      </w:r>
    </w:p>
    <w:p>
      <w:pPr>
        <w:pStyle w:val="BookText"/>
        <w:rPr/>
      </w:pPr>
      <w:r>
        <w:rPr>
          <w:rFonts w:ascii="Amiri" w:hAnsi="Amiri" w:eastAsia="Amiri" w:cs="Amiri"/>
          <w:color w:val="111111"/>
          <w:sz w:val="28"/>
          <w:sz w:val="28"/>
          <w:szCs w:val="28"/>
          <w:rtl w:val="true"/>
          <w:lang w:bidi="ar-SA"/>
        </w:rPr>
        <w:t>على حكم الآخر، لكن بعد ما فرض الراوي مساواة القاضيين من حيث الصفات أرجع الإمام السائل إلى ملاحظة مصدر فتاواهما، و انّه يقدم قضاء من حكم بخبر مجمع عليه بين الأصحاب، على من قضى بمصدر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توجه كلام الإمام إلى بيان مرجحات الرواية في مقام الإفتاء ليكون حلاً في مقام القضاء أيضاً، فكلامه في المجمع عليه و ما بعده كموافقة الكتاب و مخالفته راجع إلى ترجيح أحد الخبرين على الآخر في مقام الإفتاء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لا غبار عليه لكن هنا إشكالاً آخر، و هو انّ المراد من المرجّح، هو تقديم إحدى الحجتين على الأُخرى، لا تقديم الحجّة على اللاحجّة، و التقديم بالشهرة العملية من قبيل القسم الثاني، و يعلم ذلك من تحليل مقاطع الرواية في ضمن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ما اتّفق الكل على روايته، بل المراد ما هو المشهور بين الأصحاب في مقابل ما ليس بمشهور، و الدليل على ذلك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يترك الشاذ الذي ليس بمشهور عند أصحابك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اشتهار الرواية بين الأصحاب هو اشتهارها مع الإفتاء بمضمونها، إذ هو الذي يمكن أن يكون مصداقاً لما لا ريب فيه، و إلاّ فلو نقلوا الرواية بلا إفتاء وفق مضمونها ففيه كلّ الريب و الشكّ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نفي الريب على وجه الإطلاق، لأنّ النكرة في سياق النفي تفيد العموم، فالرواية المشهورة نقلاً و عملاً ليس فيها أي ريب و شك</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يقابلها،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الشاذ ممّا لا ريب في بطلانه، و ذلك لأنّه إذا كانت النسبة في إحدى القضيتين صحيحة قطعاً تكون النسبة في القضية المناقضة لها باطلة قطعاً، و هذا هو المهم فيما نرتئيه</w:t>
      </w:r>
      <w:r>
        <w:rPr>
          <w:rFonts w:eastAsia="Amiri" w:cs="Amiri" w:ascii="Amiri" w:hAnsi="Amiri"/>
          <w:color w:val="111111"/>
          <w:sz w:val="28"/>
          <w:szCs w:val="28"/>
          <w:rtl w:val="true"/>
          <w:lang w:bidi="ar-SA"/>
        </w:rPr>
        <w:t xml:space="preserve">. </w:t>
      </w:r>
      <w:bookmarkStart w:id="509" w:name="pg14687_217324"/>
    </w:p>
    <w:p>
      <w:pPr>
        <w:pStyle w:val="BookText"/>
        <w:rPr/>
      </w:pPr>
      <w:bookmarkEnd w:id="509"/>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هذا البيان يثبت انّ الخبر المشهور المفتى به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تثليث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الخبر الشاذ داخل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 الغي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تثليثه، و ذلك لما تبيّن انّ المشهور لا ريب في صحته و المخالف لا ريب في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ذلك ما ذكرنا من الإشكال، و هو انّ الشهرة العملية إذا كانت سبباً لطرد الريب عن نفسها و إلصاقه بمخالفها تكون أمارة على تمييز الحجّة عن اللاحجة ، و بيّن الرشد عن بيّن الغي، و مثل ذلك لا يعدّ مرجحاً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ذينك الأمرين، الترجيح بصفات الراوي، و الترجيح بالشهرة العملية لا يمتّ إلى ترجيح أحد الخبرين على الآخر بصلة، امّا لكونه راجعاً إلى ترجيح أحد الحكمين، أو إلى تمييز الحجّة عن غيرها، لا تقديم إحداهما على الأُخرى كما هو المقصود، و إليك دراسة الباقي</w:t>
      </w:r>
      <w:r>
        <w:rPr>
          <w:rFonts w:eastAsia="Amiri" w:cs="Amiri" w:ascii="Amiri" w:hAnsi="Amiri"/>
          <w:color w:val="111111"/>
          <w:sz w:val="28"/>
          <w:szCs w:val="28"/>
          <w:rtl w:val="true"/>
          <w:lang w:bidi="ar-SA"/>
        </w:rPr>
        <w:t>:</w:t>
      </w:r>
    </w:p>
    <w:p>
      <w:pPr>
        <w:pStyle w:val="Heading6"/>
        <w:numPr>
          <w:ilvl w:val="5"/>
          <w:numId w:val="1"/>
        </w:numPr>
        <w:rPr/>
      </w:pPr>
      <w:bookmarkStart w:id="510" w:name="__RefHeading___Toc3433242_1878427129"/>
      <w:bookmarkStart w:id="511" w:name="_Toc192"/>
      <w:bookmarkEnd w:id="510"/>
      <w:r>
        <w:rPr/>
        <w:t>3</w:t>
      </w:r>
      <w:r>
        <w:rPr>
          <w:rtl w:val="true"/>
        </w:rPr>
        <w:t xml:space="preserve">. </w:t>
      </w:r>
      <w:r>
        <w:rPr>
          <w:rtl w:val="true"/>
        </w:rPr>
        <w:t>الترجيح بالكتاب و السنّة</w:t>
      </w:r>
      <w:bookmarkEnd w:id="511"/>
    </w:p>
    <w:p>
      <w:pPr>
        <w:pStyle w:val="Heading6"/>
        <w:numPr>
          <w:ilvl w:val="5"/>
          <w:numId w:val="1"/>
        </w:numPr>
        <w:rPr/>
      </w:pPr>
      <w:bookmarkStart w:id="512" w:name="__RefHeading___Toc3433244_1878427129"/>
      <w:bookmarkStart w:id="513" w:name="_Toc193"/>
      <w:bookmarkEnd w:id="512"/>
      <w:r>
        <w:rPr>
          <w:rtl w:val="true"/>
        </w:rPr>
        <w:t>اشارة</w:t>
      </w:r>
      <w:bookmarkEnd w:id="513"/>
    </w:p>
    <w:p>
      <w:pPr>
        <w:pStyle w:val="BookText"/>
        <w:rPr/>
      </w:pPr>
      <w:r>
        <w:rPr>
          <w:rFonts w:ascii="Amiri" w:hAnsi="Amiri" w:eastAsia="Amiri" w:cs="Amiri"/>
          <w:color w:val="111111"/>
          <w:sz w:val="28"/>
          <w:sz w:val="28"/>
          <w:szCs w:val="28"/>
          <w:rtl w:val="true"/>
          <w:lang w:bidi="ar-SA"/>
        </w:rPr>
        <w:t>قد ورد الترجيح بالكتاب و السنّة في غير واحد من الروايات، و نحن نذكر في هذا المقام بعضاً منها</w:t>
      </w:r>
      <w:r>
        <w:rPr>
          <w:rFonts w:eastAsia="Amiri" w:cs="Amiri" w:ascii="Amiri" w:hAnsi="Amiri"/>
          <w:color w:val="111111"/>
          <w:sz w:val="28"/>
          <w:szCs w:val="28"/>
          <w:rtl w:val="true"/>
          <w:lang w:bidi="ar-SA"/>
        </w:rPr>
        <w:t>:</w:t>
      </w:r>
    </w:p>
    <w:p>
      <w:pPr>
        <w:pStyle w:val="Heading6"/>
        <w:numPr>
          <w:ilvl w:val="5"/>
          <w:numId w:val="1"/>
        </w:numPr>
        <w:rPr/>
      </w:pPr>
      <w:bookmarkStart w:id="514" w:name="__RefHeading___Toc3433246_1878427129"/>
      <w:bookmarkStart w:id="515" w:name="_Toc194"/>
      <w:bookmarkEnd w:id="514"/>
      <w:r>
        <w:rPr/>
        <w:t>1</w:t>
      </w:r>
      <w:r>
        <w:rPr>
          <w:rtl w:val="true"/>
        </w:rPr>
        <w:t xml:space="preserve">. </w:t>
      </w:r>
      <w:r>
        <w:rPr>
          <w:rtl w:val="true"/>
        </w:rPr>
        <w:t>مقبولة عمر بن حنظلة</w:t>
      </w:r>
      <w:bookmarkEnd w:id="515"/>
    </w:p>
    <w:p>
      <w:pPr>
        <w:pStyle w:val="BookText"/>
        <w:rPr/>
      </w:pPr>
      <w:r>
        <w:rPr>
          <w:rFonts w:ascii="Amiri" w:hAnsi="Amiri" w:eastAsia="Amiri" w:cs="Amiri"/>
          <w:color w:val="111111"/>
          <w:sz w:val="28"/>
          <w:sz w:val="28"/>
          <w:szCs w:val="28"/>
          <w:rtl w:val="true"/>
          <w:lang w:bidi="ar-SA"/>
        </w:rPr>
        <w:t>فقد جاء في المقطع الثالث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عنكما مشهورين قد رواهما الثقات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به، و يترك ما خالف حكمه حكم الكتاب و السنّة و وافق العامة</w:t>
      </w:r>
      <w:r>
        <w:rPr>
          <w:rFonts w:eastAsia="Amiri" w:cs="Amiri" w:ascii="Amiri" w:hAnsi="Amiri"/>
          <w:color w:val="111111"/>
          <w:sz w:val="28"/>
          <w:szCs w:val="28"/>
          <w:rtl w:val="true"/>
          <w:lang w:bidi="ar-SA"/>
        </w:rPr>
        <w:t xml:space="preserve">«. </w:t>
      </w:r>
      <w:r>
        <w:rPr>
          <w:rStyle w:val="FootnoteAnchor"/>
          <w:rtl w:val="true"/>
        </w:rPr>
        <w:footnoteReference w:id="259"/>
      </w:r>
    </w:p>
    <w:p>
      <w:pPr>
        <w:pStyle w:val="Heading6"/>
        <w:numPr>
          <w:ilvl w:val="5"/>
          <w:numId w:val="1"/>
        </w:numPr>
        <w:rPr/>
      </w:pPr>
      <w:bookmarkStart w:id="516" w:name="__RefHeading___Toc3433248_1878427129"/>
      <w:bookmarkStart w:id="517" w:name="_Toc195"/>
      <w:bookmarkEnd w:id="516"/>
      <w:r>
        <w:rPr/>
        <w:t>2</w:t>
      </w:r>
      <w:r>
        <w:rPr>
          <w:rtl w:val="true"/>
        </w:rPr>
        <w:t xml:space="preserve">. </w:t>
      </w:r>
      <w:r>
        <w:rPr>
          <w:rtl w:val="true"/>
        </w:rPr>
        <w:t>ما رواه الميثمي عن الرضا</w:t>
      </w:r>
      <w:r>
        <w:rPr>
          <w:rtl w:val="true"/>
        </w:rPr>
        <w:t>(</w:t>
      </w:r>
      <w:r>
        <w:rPr>
          <w:rtl w:val="true"/>
        </w:rPr>
        <w:t>عليه السلام</w:t>
      </w:r>
      <w:r>
        <w:rPr>
          <w:rtl w:val="true"/>
        </w:rPr>
        <w:t>)</w:t>
      </w:r>
      <w:bookmarkEnd w:id="51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ورد عليكم من خبرين مختلفين فأعرضوهما على كتاب اللّه، فما كان في كتاب اللّه موجوداً حلالاً أو حراماً، </w:t>
      </w:r>
      <w:bookmarkStart w:id="518" w:name="pg14687_217325"/>
    </w:p>
    <w:p>
      <w:pPr>
        <w:pStyle w:val="BookText"/>
        <w:rPr/>
      </w:pPr>
      <w:bookmarkEnd w:id="518"/>
      <w:r>
        <w:rPr>
          <w:rFonts w:ascii="Amiri" w:hAnsi="Amiri" w:eastAsia="Amiri" w:cs="Amiri"/>
          <w:color w:val="111111"/>
          <w:sz w:val="28"/>
          <w:sz w:val="28"/>
          <w:szCs w:val="28"/>
          <w:rtl w:val="true"/>
          <w:lang w:bidi="ar-SA"/>
        </w:rPr>
        <w:t>فاتّبعوا ما وافق الكتاب، و ما لم يكن في الكتاب فاعرضوه على سنّة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كان في السنّة موجوداً منهيّاً عنه نهي حرام، و مأموراً به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إلزام، فاتّبعوا ما وافق نهي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أمره</w:t>
      </w:r>
      <w:r>
        <w:rPr>
          <w:rFonts w:eastAsia="Amiri" w:cs="Amiri" w:ascii="Amiri" w:hAnsi="Amiri"/>
          <w:color w:val="111111"/>
          <w:sz w:val="28"/>
          <w:szCs w:val="28"/>
          <w:rtl w:val="true"/>
          <w:lang w:bidi="ar-SA"/>
        </w:rPr>
        <w:t xml:space="preserve">«. </w:t>
      </w:r>
      <w:r>
        <w:rPr>
          <w:rStyle w:val="FootnoteAnchor"/>
          <w:rtl w:val="true"/>
        </w:rPr>
        <w:footnoteReference w:id="260"/>
      </w:r>
    </w:p>
    <w:p>
      <w:pPr>
        <w:pStyle w:val="Heading6"/>
        <w:numPr>
          <w:ilvl w:val="5"/>
          <w:numId w:val="1"/>
        </w:numPr>
        <w:rPr/>
      </w:pPr>
      <w:bookmarkStart w:id="519" w:name="__RefHeading___Toc3433250_1878427129"/>
      <w:bookmarkStart w:id="520" w:name="_Toc196"/>
      <w:bookmarkEnd w:id="519"/>
      <w:r>
        <w:rPr/>
        <w:t>3</w:t>
      </w:r>
      <w:r>
        <w:rPr>
          <w:rtl w:val="true"/>
        </w:rPr>
        <w:t xml:space="preserve">. </w:t>
      </w:r>
      <w:r>
        <w:rPr>
          <w:rtl w:val="true"/>
        </w:rPr>
        <w:t>ما رواه عبد الرحمن بن أبي عبد اللّه، عن الصادق</w:t>
      </w:r>
      <w:r>
        <w:rPr>
          <w:rtl w:val="true"/>
        </w:rPr>
        <w:t>(</w:t>
      </w:r>
      <w:r>
        <w:rPr>
          <w:rtl w:val="true"/>
        </w:rPr>
        <w:t>عليه السلام</w:t>
      </w:r>
      <w:r>
        <w:rPr>
          <w:rtl w:val="true"/>
        </w:rPr>
        <w:t>)</w:t>
      </w:r>
      <w:bookmarkEnd w:id="520"/>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فأعرضوهما على كتاب اللّه، فما وافق كتاب اللّه فخذوه، و ما خالف كتاب اللّه فردّوه</w:t>
      </w:r>
      <w:r>
        <w:rPr>
          <w:rFonts w:eastAsia="Amiri" w:cs="Amiri" w:ascii="Amiri" w:hAnsi="Amiri"/>
          <w:color w:val="111111"/>
          <w:sz w:val="28"/>
          <w:szCs w:val="28"/>
          <w:rtl w:val="true"/>
          <w:lang w:bidi="ar-SA"/>
        </w:rPr>
        <w:t xml:space="preserve">«. </w:t>
      </w:r>
      <w:r>
        <w:rPr>
          <w:rStyle w:val="FootnoteAnchor"/>
          <w:rtl w:val="true"/>
        </w:rPr>
        <w:footnoteReference w:id="261"/>
      </w:r>
    </w:p>
    <w:p>
      <w:pPr>
        <w:pStyle w:val="Heading6"/>
        <w:numPr>
          <w:ilvl w:val="5"/>
          <w:numId w:val="1"/>
        </w:numPr>
        <w:rPr/>
      </w:pPr>
      <w:bookmarkStart w:id="521" w:name="__RefHeading___Toc3433252_1878427129"/>
      <w:bookmarkStart w:id="522" w:name="_Toc197"/>
      <w:bookmarkEnd w:id="521"/>
      <w:r>
        <w:rPr/>
        <w:t>4</w:t>
      </w:r>
      <w:r>
        <w:rPr>
          <w:rtl w:val="true"/>
        </w:rPr>
        <w:t xml:space="preserve">. </w:t>
      </w:r>
      <w:r>
        <w:rPr>
          <w:rtl w:val="true"/>
        </w:rPr>
        <w:t>ما رواه الحسن بن الجهم، عن الرضا</w:t>
      </w:r>
      <w:r>
        <w:rPr>
          <w:rtl w:val="true"/>
        </w:rPr>
        <w:t>(</w:t>
      </w:r>
      <w:r>
        <w:rPr>
          <w:rtl w:val="true"/>
        </w:rPr>
        <w:t>عليه السلام</w:t>
      </w:r>
      <w:r>
        <w:rPr>
          <w:rtl w:val="true"/>
        </w:rPr>
        <w:t>)</w:t>
      </w:r>
      <w:bookmarkEnd w:id="52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 عنّا فقس على كتاب اللّه عزّ و جلّ و أحاديثنا، فإن كان يشبههما فهو منّا، و إن لم يكن يشبهها فليس منّا</w:t>
      </w:r>
      <w:r>
        <w:rPr>
          <w:rFonts w:eastAsia="Amiri" w:cs="Amiri" w:ascii="Amiri" w:hAnsi="Amiri"/>
          <w:color w:val="111111"/>
          <w:sz w:val="28"/>
          <w:szCs w:val="28"/>
          <w:rtl w:val="true"/>
          <w:lang w:bidi="ar-SA"/>
        </w:rPr>
        <w:t xml:space="preserve">«. </w:t>
      </w:r>
      <w:r>
        <w:rPr>
          <w:rStyle w:val="FootnoteAnchor"/>
          <w:rtl w:val="true"/>
        </w:rPr>
        <w:footnoteReference w:id="262"/>
      </w:r>
    </w:p>
    <w:p>
      <w:pPr>
        <w:pStyle w:val="Heading6"/>
        <w:numPr>
          <w:ilvl w:val="5"/>
          <w:numId w:val="1"/>
        </w:numPr>
        <w:rPr/>
      </w:pPr>
      <w:bookmarkStart w:id="523" w:name="__RefHeading___Toc3433254_1878427129"/>
      <w:bookmarkStart w:id="524" w:name="_Toc198"/>
      <w:bookmarkEnd w:id="523"/>
      <w:r>
        <w:rPr/>
        <w:t>5</w:t>
      </w:r>
      <w:r>
        <w:rPr>
          <w:rtl w:val="true"/>
        </w:rPr>
        <w:t xml:space="preserve">. </w:t>
      </w:r>
      <w:r>
        <w:rPr>
          <w:rtl w:val="true"/>
        </w:rPr>
        <w:t>ما رواه الحسن بن الجهم، عن العبد الصالح</w:t>
      </w:r>
      <w:r>
        <w:rPr>
          <w:rtl w:val="true"/>
        </w:rPr>
        <w:t>(</w:t>
      </w:r>
      <w:r>
        <w:rPr>
          <w:rtl w:val="true"/>
        </w:rPr>
        <w:t>عليه السلام</w:t>
      </w:r>
      <w:r>
        <w:rPr>
          <w:rtl w:val="true"/>
        </w:rPr>
        <w:t>)</w:t>
      </w:r>
      <w:bookmarkEnd w:id="524"/>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الحديثان المختلفان، فقسهما على كتاب اللّه و أحاديثنا، فإن أشبههما فهو حقّ، و إن لم يشبههما فهو باطل</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الظاهر انّ موافقة الكتاب ليست من وجوه الترجيح، بل المخالف ليس بحجّة، و ذلك لأجل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الأخبار الواردة حول الخبر المخالف للكتاب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يصف الخبر المخالف و إن لم يكن له معارض بكونه زخرفاً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 انّه ممّا 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يصدق علينا إلاّ ما وافق كتاب اللّه</w:t>
      </w:r>
      <w:r>
        <w:rPr>
          <w:rFonts w:eastAsia="Amiri" w:cs="Amiri" w:ascii="Amiri" w:hAnsi="Amiri"/>
          <w:color w:val="111111"/>
          <w:sz w:val="28"/>
          <w:szCs w:val="28"/>
          <w:rtl w:val="true"/>
          <w:lang w:bidi="ar-SA"/>
        </w:rPr>
        <w:t xml:space="preserve">«. </w:t>
      </w:r>
      <w:r>
        <w:rPr>
          <w:rStyle w:val="FootnoteAnchor"/>
          <w:rtl w:val="true"/>
        </w:rPr>
        <w:footnoteReference w:id="26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يصف الخبر المخالف للكتاب مع كونه معارضاً لما هو موافق له </w:t>
      </w:r>
      <w:bookmarkStart w:id="525" w:name="pg14687_217326"/>
    </w:p>
    <w:p>
      <w:pPr>
        <w:pStyle w:val="BookText"/>
        <w:rPr/>
      </w:pPr>
      <w:bookmarkEnd w:id="525"/>
      <w:r>
        <w:rPr>
          <w:rFonts w:ascii="Amiri" w:hAnsi="Amiri" w:eastAsia="Amiri" w:cs="Amiri"/>
          <w:color w:val="111111"/>
          <w:sz w:val="28"/>
          <w:sz w:val="28"/>
          <w:szCs w:val="28"/>
          <w:rtl w:val="true"/>
          <w:lang w:bidi="ar-SA"/>
        </w:rPr>
        <w:t xml:space="preserve">فيصف المخالف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فردّوه</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منّا</w:t>
      </w:r>
      <w:r>
        <w:rPr>
          <w:rFonts w:eastAsia="Amiri" w:cs="Amiri" w:ascii="Amiri" w:hAnsi="Amiri"/>
          <w:color w:val="111111"/>
          <w:sz w:val="28"/>
          <w:szCs w:val="28"/>
          <w:rtl w:val="true"/>
          <w:lang w:bidi="ar-SA"/>
        </w:rPr>
        <w:t xml:space="preserve">« </w:t>
      </w:r>
      <w:r>
        <w:rPr>
          <w:rStyle w:val="FootnoteAnchor"/>
          <w:rtl w:val="true"/>
        </w:rPr>
        <w:footnoteReference w:id="268"/>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باطل</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 فانّ هذه التعابير تناسب كون الخبر المخالف ممّا لم يصدر عن الأئمّة بتاتاً فيكون من قبيل تقديم الحجّة على اللاحجّة فيخرج عن محط البحث</w:t>
      </w:r>
      <w:r>
        <w:rPr>
          <w:rFonts w:eastAsia="Amiri" w:cs="Amiri" w:ascii="Amiri" w:hAnsi="Amiri"/>
          <w:color w:val="111111"/>
          <w:sz w:val="28"/>
          <w:szCs w:val="28"/>
          <w:rtl w:val="true"/>
          <w:lang w:bidi="ar-SA"/>
        </w:rPr>
        <w:t>.</w:t>
      </w:r>
    </w:p>
    <w:p>
      <w:pPr>
        <w:pStyle w:val="Heading6"/>
        <w:numPr>
          <w:ilvl w:val="5"/>
          <w:numId w:val="1"/>
        </w:numPr>
        <w:rPr/>
      </w:pPr>
      <w:bookmarkStart w:id="526" w:name="__RefHeading___Toc3433256_1878427129"/>
      <w:bookmarkStart w:id="527" w:name="_Toc199"/>
      <w:bookmarkEnd w:id="526"/>
      <w:r>
        <w:rPr/>
        <w:t>4</w:t>
      </w:r>
      <w:r>
        <w:rPr>
          <w:rtl w:val="true"/>
        </w:rPr>
        <w:t xml:space="preserve">. </w:t>
      </w:r>
      <w:r>
        <w:rPr>
          <w:rtl w:val="true"/>
        </w:rPr>
        <w:t>الترجيح بمخالفة العامة</w:t>
      </w:r>
      <w:bookmarkEnd w:id="527"/>
    </w:p>
    <w:p>
      <w:pPr>
        <w:pStyle w:val="BookText"/>
        <w:rPr/>
      </w:pPr>
      <w:r>
        <w:rPr>
          <w:rFonts w:ascii="Amiri" w:hAnsi="Amiri" w:eastAsia="Amiri" w:cs="Amiri"/>
          <w:color w:val="111111"/>
          <w:sz w:val="28"/>
          <w:sz w:val="28"/>
          <w:szCs w:val="28"/>
          <w:rtl w:val="true"/>
          <w:lang w:bidi="ar-SA"/>
        </w:rPr>
        <w:t>تضافرت الروايات على أنّه إذا اختلفت الأخبار، يُقدّم ما خالف العامة، و ما ذلك إلاّ لأنّ الظروف القاسية دفعت بالأئمة إلى الإفتاء وفق مذاهبهم صيانة لدمائهم و صيانة نفوس شيعتهم، و لذلك جعل ما يشبه قولهم ممّا فيه التقية</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و إليك نقل ما ورد 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رواه عمر بن حنظلة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مقبولته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 رأيت إن كان الفقيهان عرفا حكمه من الكتاب و السنّة و وجدنا أحد الخبرين موافقاً للعامة و الآخر مخالفاً لهم بأي الخبرين يؤخذ؟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 قضاتهم، فيترك و يؤخذ بالآخر</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قد مرّ آنفاً انّ صدر الحديث و إن كان راجعاً إلى ترجيح حكم أحد القاضيين على حكم الآخر، لكن بعد ما فرض الراوي مساواة القاضيين من حيث الصفات ارجع الإمام السائل إلى ملاحظة مصدر فتواهما، و انّه يقدم قضاء من حكم بخبر مجمع عليه بين الأصحاب على من قضى بمصدر شاذ</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هنا انحدر كلام الإمام من بيان مرجّحات الحكمين إلى مرجّحات </w:t>
      </w:r>
      <w:bookmarkStart w:id="528" w:name="pg14687_217327"/>
    </w:p>
    <w:p>
      <w:pPr>
        <w:pStyle w:val="BookText"/>
        <w:rPr/>
      </w:pPr>
      <w:bookmarkEnd w:id="528"/>
      <w:r>
        <w:rPr>
          <w:rFonts w:ascii="Amiri" w:hAnsi="Amiri" w:eastAsia="Amiri" w:cs="Amiri"/>
          <w:color w:val="111111"/>
          <w:sz w:val="28"/>
          <w:sz w:val="28"/>
          <w:szCs w:val="28"/>
          <w:rtl w:val="true"/>
          <w:lang w:bidi="ar-SA"/>
        </w:rPr>
        <w:t>الرواية في مقام الإفتاء ليكون حلاً في مقام القضاء أيضاً، و كلّ ما جاء بعد الكلام في المجمع عليه يرجع إلى مرجحات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الترجيح بمخالفة العامة في غير واحد من الروايات</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و ظهر انحصار المرجّح فيها</w:t>
      </w:r>
      <w:r>
        <w:rPr>
          <w:rFonts w:eastAsia="Amiri" w:cs="Amiri" w:ascii="Amiri" w:hAnsi="Amiri"/>
          <w:color w:val="111111"/>
          <w:sz w:val="28"/>
          <w:szCs w:val="28"/>
          <w:rtl w:val="true"/>
          <w:lang w:bidi="ar-SA"/>
        </w:rPr>
        <w:t>.</w:t>
      </w:r>
    </w:p>
    <w:p>
      <w:pPr>
        <w:pStyle w:val="Heading6"/>
        <w:numPr>
          <w:ilvl w:val="5"/>
          <w:numId w:val="1"/>
        </w:numPr>
        <w:rPr/>
      </w:pPr>
      <w:bookmarkStart w:id="529" w:name="__RefHeading___Toc3433258_1878427129"/>
      <w:bookmarkStart w:id="530" w:name="_Toc200"/>
      <w:bookmarkEnd w:id="529"/>
      <w:r>
        <w:rPr/>
        <w:t>5</w:t>
      </w:r>
      <w:r>
        <w:rPr>
          <w:rtl w:val="true"/>
        </w:rPr>
        <w:t xml:space="preserve">. </w:t>
      </w:r>
      <w:r>
        <w:rPr>
          <w:rtl w:val="true"/>
        </w:rPr>
        <w:t>الترجيح بالأحدثية</w:t>
      </w:r>
      <w:bookmarkEnd w:id="530"/>
    </w:p>
    <w:p>
      <w:pPr>
        <w:pStyle w:val="BookText"/>
        <w:rPr/>
      </w:pPr>
      <w:r>
        <w:rPr>
          <w:rFonts w:ascii="Amiri" w:hAnsi="Amiri" w:eastAsia="Amiri" w:cs="Amiri"/>
          <w:color w:val="111111"/>
          <w:sz w:val="28"/>
          <w:sz w:val="28"/>
          <w:szCs w:val="28"/>
          <w:rtl w:val="true"/>
          <w:lang w:bidi="ar-SA"/>
        </w:rPr>
        <w:t>هناك روايات عديدة دلّت على لزوم الأخذ بالأحدث من الحكمين، و إليك بعض ما يدلّ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 حديث عن آخركم بأيّهما نأخذ؟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 حتى يبلغكم عن الحيّ فخذوا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لكن هذا القسم لا صلة له بباب المرجحات، لأنّ الأخذ بالأحدث ليس لأجل كونه بياناً للحكم الواقعي و الآخر على خلافه بل يمكن أن يكون على العكس، و إنّما وجب الأخذ بالأحدث، لأجل انّ إمام كلّ عصر أعرف بمصالح شيعته، مع أنّ كلاً من الخبرين بالنسبة إلى بيان الحكم الواقعي و عدمه سواء، و على هذا يختص الترجيح بهذه المزيّة لعصرهم دون عصر الغيبة، لأنّه بالنسبة إلى الخبرين متساو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الأخذ بالأحدث إذا كان في كلام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يكون لأجل كونه ناسخاً للأوّل، و أمّا في كلام الإمامين أو الإمام الواحد فلا يتصور فيه ذلك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الجهة الأُولى، و إليك الكلام في الجهة الثانية</w:t>
      </w:r>
      <w:r>
        <w:rPr>
          <w:rFonts w:eastAsia="Amiri" w:cs="Amiri" w:ascii="Amiri" w:hAnsi="Amiri"/>
          <w:color w:val="111111"/>
          <w:sz w:val="28"/>
          <w:szCs w:val="28"/>
          <w:rtl w:val="true"/>
          <w:lang w:bidi="ar-SA"/>
        </w:rPr>
        <w:t xml:space="preserve">. </w:t>
      </w:r>
      <w:bookmarkStart w:id="531" w:name="pg14687_217328"/>
    </w:p>
    <w:p>
      <w:pPr>
        <w:pStyle w:val="Heading5"/>
        <w:numPr>
          <w:ilvl w:val="4"/>
          <w:numId w:val="1"/>
        </w:numPr>
        <w:rPr/>
      </w:pPr>
      <w:bookmarkStart w:id="532" w:name="__RefHeading___Toc3433260_1878427129"/>
      <w:bookmarkStart w:id="533" w:name="_Toc201"/>
      <w:bookmarkEnd w:id="531"/>
      <w:bookmarkEnd w:id="532"/>
      <w:r>
        <w:rPr>
          <w:rtl w:val="true"/>
        </w:rPr>
        <w:t>الجهة الثانية</w:t>
      </w:r>
      <w:r>
        <w:rPr>
          <w:rtl w:val="true"/>
        </w:rPr>
        <w:t xml:space="preserve">: </w:t>
      </w:r>
      <w:r>
        <w:rPr>
          <w:rtl w:val="true"/>
        </w:rPr>
        <w:t>لزوم الأخذ بالمرجِّح</w:t>
      </w:r>
      <w:bookmarkEnd w:id="533"/>
    </w:p>
    <w:p>
      <w:pPr>
        <w:pStyle w:val="BookText"/>
        <w:rPr/>
      </w:pPr>
      <w:r>
        <w:rPr>
          <w:rFonts w:ascii="Amiri" w:hAnsi="Amiri" w:eastAsia="Amiri" w:cs="Amiri"/>
          <w:color w:val="111111"/>
          <w:sz w:val="28"/>
          <w:sz w:val="28"/>
          <w:szCs w:val="28"/>
          <w:rtl w:val="true"/>
          <w:lang w:bidi="ar-SA"/>
        </w:rPr>
        <w:t>المشهور هو لزوم الأخذ بذات المزية من الخبرين، و قد استدلّ على القول المشهور بوجوه نشير إلى بعضها بوجه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الإجماع على الأخذ بأقوى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يجب ترجيح ذي المزية لزم ترجيح المرجوح على الراجح، و هو قبيح عقلاً بل ممتنع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غيرها من الوجوه التي ربما ترتقي إلى خمسة، و الأولى أن يستدلّ على وجوب الأخذ بالوجه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لسان الروايات هو لزوم الأخذ لا استحبابه، أمّا على القول بأنّ الجميع يرجع إلى تميز الحجة عن اللاحجة فواضح، و أمّا على القول بأنّها من مقولة المرجحات بعد وصف الخبرين بالحجّية، فلأنّ المتبادر من الجمل التالية هو اللزوم لا الفضل و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المجمع عليه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وافق حكمه حكم الكتاب و السنّة فيؤخذ به و يترك ما 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وافق القوم فاجتنبه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العنوانات الصريحة في لزوم الأخذ بالمرجح و ترك الآخر</w:t>
      </w:r>
      <w:r>
        <w:rPr>
          <w:rFonts w:eastAsia="Amiri" w:cs="Amiri" w:ascii="Amiri" w:hAnsi="Amiri"/>
          <w:color w:val="111111"/>
          <w:sz w:val="28"/>
          <w:szCs w:val="28"/>
          <w:rtl w:val="true"/>
          <w:lang w:bidi="ar-SA"/>
        </w:rPr>
        <w:t xml:space="preserve">. </w:t>
      </w:r>
      <w:bookmarkStart w:id="534" w:name="pg14687_217329"/>
    </w:p>
    <w:p>
      <w:pPr>
        <w:pStyle w:val="Heading5"/>
        <w:numPr>
          <w:ilvl w:val="4"/>
          <w:numId w:val="1"/>
        </w:numPr>
        <w:rPr/>
      </w:pPr>
      <w:bookmarkStart w:id="535" w:name="__RefHeading___Toc3433262_1878427129"/>
      <w:bookmarkStart w:id="536" w:name="_Toc202"/>
      <w:bookmarkEnd w:id="534"/>
      <w:bookmarkEnd w:id="535"/>
      <w:r>
        <w:rPr>
          <w:rtl w:val="true"/>
        </w:rPr>
        <w:t>الجهة الثالثة</w:t>
      </w:r>
      <w:r>
        <w:rPr>
          <w:rtl w:val="true"/>
        </w:rPr>
        <w:t xml:space="preserve">: </w:t>
      </w:r>
      <w:r>
        <w:rPr>
          <w:rtl w:val="true"/>
        </w:rPr>
        <w:t>التعدّي من المنصوص إلى غيره</w:t>
      </w:r>
      <w:bookmarkEnd w:id="536"/>
    </w:p>
    <w:p>
      <w:pPr>
        <w:pStyle w:val="BookText"/>
        <w:rPr/>
      </w:pPr>
      <w:r>
        <w:rPr>
          <w:rFonts w:ascii="Amiri" w:hAnsi="Amiri" w:eastAsia="Amiri" w:cs="Amiri"/>
          <w:color w:val="111111"/>
          <w:sz w:val="28"/>
          <w:sz w:val="28"/>
          <w:szCs w:val="28"/>
          <w:rtl w:val="true"/>
          <w:lang w:bidi="ar-SA"/>
        </w:rPr>
        <w:t>لو افترضنا انّ ما ذكر من المزايا مرجّحات للرواية، فهل يقتصر عليها في مقام الترجيح أو يتعدّى عنه إلى غيره كموافقة الإجماع المنقول أو موافقة الأصل و غيرهما؟ إنّ التعدّي يحتاج إلى حجة قطعية يقيد بها إطلاقات التخيير، و قد عرفت تضافر الروايات على التخيير</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فالترجيح بغير المنصوص نوع تقييد لها و لم يدلّ دليل على لزوم التعدي، و يؤيد المختار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الملاك هو العمل بكلّ مزية في أحد الطرفين، لكان الأنسب في الروايات الإشارة إلى الضابطة الكلية من دون حاجة إلى تفصيل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التفصيل هو إرشاد المخاطب إلى تلك المرجّحات، و لو لا بيان الإمام لما كان المخاطب على علم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منافاة بين تفصيل المرجّحات و إعطاء الضابطة ليقف المخاطب على وظيفته العملية في باب التعارض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الإمام في مقبولة عمر بن حنظلة بعد فرض تساوي الخبرين أمر بالتوقف و إرجاء حكم الواقعة حتى يلقى الإمام، و لو كان العمل بكلّ ذي مزية واجباً لما وصلت النوبة إلى التوقّف إلاّ نادراً</w:t>
      </w:r>
      <w:r>
        <w:rPr>
          <w:rFonts w:eastAsia="Amiri" w:cs="Amiri" w:ascii="Amiri" w:hAnsi="Amiri"/>
          <w:color w:val="111111"/>
          <w:sz w:val="28"/>
          <w:szCs w:val="28"/>
          <w:rtl w:val="true"/>
          <w:lang w:bidi="ar-SA"/>
        </w:rPr>
        <w:t xml:space="preserve">. </w:t>
      </w:r>
      <w:bookmarkStart w:id="537" w:name="pg14687_217330"/>
    </w:p>
    <w:p>
      <w:pPr>
        <w:pStyle w:val="Heading5"/>
        <w:numPr>
          <w:ilvl w:val="4"/>
          <w:numId w:val="1"/>
        </w:numPr>
        <w:rPr/>
      </w:pPr>
      <w:bookmarkStart w:id="538" w:name="__RefHeading___Toc3433264_1878427129"/>
      <w:bookmarkStart w:id="539" w:name="_Toc203"/>
      <w:bookmarkEnd w:id="537"/>
      <w:bookmarkEnd w:id="538"/>
      <w:r>
        <w:rPr>
          <w:rtl w:val="true"/>
        </w:rPr>
        <w:t>الجهة الرابعة</w:t>
      </w:r>
      <w:r>
        <w:rPr>
          <w:rtl w:val="true"/>
        </w:rPr>
        <w:t xml:space="preserve">: </w:t>
      </w:r>
      <w:r>
        <w:rPr>
          <w:rtl w:val="true"/>
        </w:rPr>
        <w:t>في التعارض على نحو العموم و الخصوص من وجه</w:t>
      </w:r>
      <w:bookmarkEnd w:id="539"/>
    </w:p>
    <w:p>
      <w:pPr>
        <w:pStyle w:val="BookText"/>
        <w:rPr/>
      </w:pPr>
      <w:r>
        <w:rPr>
          <w:rFonts w:ascii="Amiri" w:hAnsi="Amiri" w:eastAsia="Amiri" w:cs="Amiri"/>
          <w:color w:val="111111"/>
          <w:sz w:val="28"/>
          <w:sz w:val="28"/>
          <w:szCs w:val="28"/>
          <w:rtl w:val="true"/>
          <w:lang w:bidi="ar-SA"/>
        </w:rPr>
        <w:t>قد عرفت أنّ الجمع المقبول بين الروايتين مقدّم على الأخبار العلاجية من التخيير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عرفت أنّه إذا كانت النسبة بين الخبرين هو التباين، يجب العمل بالرواية ذات المزية و إلاّ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إذا كان التعارض بين الخبرين على نحو العموم من وجه، كما إذا دلّ الدليل على نجاسة عذرة ما لا يؤكل لحمه، و دلّ دليل آخر على طهارة عذرة كلّ طائر، فيفترق الدليلان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عذرة الوحوش، فانّها داخلة تحت إطلاق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عذرة الطائر الذي يؤكل لحمه، فانّها داخلة تحت إطلاق 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يتعارضان في الطائر غير المأكول لحمه كما فيما إذا كانت له مخالب، فهل المرجع هو التساقط و الرجوع إلى دليل آخر من اجتهادي كالعموم و الإطلاق، و أصل عملي إذا لم يكن دليل اجتهادي، أو المرجع هو الأخبار العلاجية من الترجيح أوّلاً و التخيير ثانياً؟ و الظاهر هو القول الأوّل، لأنّ المتبادر من الأخبار العلاجية هو دوران الأمر بين الأخذ بالشيء بتمامه و ترك الآخر كذلك، أو بالعكس كما هو الظاهر من قوله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يأمر و الآخر ينهى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في العامين من وجه ليس كذلك، إذ لا يدور الأمر بين الأخذ بواحد منهما و ترك الآخر أو بالعكس، بل يؤخذ بكلّ في </w:t>
      </w:r>
    </w:p>
    <w:p>
      <w:pPr>
        <w:pStyle w:val="BookText"/>
        <w:rPr/>
      </w:pPr>
      <w:r>
        <w:rPr>
          <w:rFonts w:ascii="Amiri" w:hAnsi="Amiri" w:eastAsia="Amiri" w:cs="Amiri"/>
          <w:color w:val="111111"/>
          <w:sz w:val="28"/>
          <w:sz w:val="28"/>
          <w:szCs w:val="28"/>
          <w:rtl w:val="true"/>
          <w:lang w:bidi="ar-SA"/>
        </w:rPr>
        <w:t>موردي الافتراق، و إنّما الاختلاف في مورد الاجتماع، فالعُقاب بما انّه حيوان غير مأكول يحكم على فضلته بالنجاسة، و بما انّه طائر يحكم عليها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حكم أخبار العرض على الكتاب و السنّة و فتاوى العامة، فإنّ الظاهر هو الأخذ بتمام ما وافق كتاب اللّه و ترك تمام ما خالفه، و مثله ما وافق العامة أو خالفها، فإنّ المتبادر هو أخذ تمام ما خالف العامة و ترك كلّ ما وافقهم، و الأمر في العموم من وجه ليس كذلك، لأنّه يؤخذ بكلا الدليلين و لا يترك الآخر بتاتاً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و إجابة ما الفرق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يعد الأوّل من باب التزاحم بخلاف الآخر حيث يعد من باب التعارض، و لم نجد أحداً يعالج المثال الأوّل من باب التعارض، كما لم نجد من يعالج المثال الثاني من باب التزاحم مع أنّ المثالين من باب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أحرز الملاك و المناط في متعلّق كلّ واحد من الإيجاب و التحريم مطلقاً حتى في مورد التصادق و الاجتماع، فهو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يحرز مناط كلّ من الحكمين في مورد التصادق، سواء أحرز مناط أحد الحكمين بلا تعيين، كما إذا كان أحد الدليلين قطعياً أو لم يحرز المناط في كلّ من المتعلّقين كالخبرين الواحدين فهما من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الايعاز إليه في الجز الأوّل عند البحث في اجتماع الأمر و النهي</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 المقصد الثامن و يليه البحث في الاجتهاد و التقليد </w:t>
      </w:r>
      <w:bookmarkStart w:id="540" w:name="pg14687_217332"/>
    </w:p>
    <w:p>
      <w:pPr>
        <w:pStyle w:val="Heading2"/>
        <w:numPr>
          <w:ilvl w:val="1"/>
          <w:numId w:val="1"/>
        </w:numPr>
        <w:rPr/>
      </w:pPr>
      <w:bookmarkStart w:id="541" w:name="__RefHeading___Toc3433266_1878427129"/>
      <w:bookmarkStart w:id="542" w:name="_Toc204"/>
      <w:bookmarkEnd w:id="540"/>
      <w:bookmarkEnd w:id="541"/>
      <w:r>
        <w:rPr>
          <w:rtl w:val="true"/>
        </w:rPr>
        <w:t>خاتمة</w:t>
      </w:r>
      <w:r>
        <w:rPr>
          <w:rtl w:val="true"/>
        </w:rPr>
        <w:t xml:space="preserve">: </w:t>
      </w:r>
      <w:r>
        <w:rPr>
          <w:rtl w:val="true"/>
        </w:rPr>
        <w:t>في الاجتهاد و التقليد</w:t>
      </w:r>
      <w:bookmarkEnd w:id="542"/>
    </w:p>
    <w:p>
      <w:pPr>
        <w:pStyle w:val="Heading3"/>
        <w:numPr>
          <w:ilvl w:val="2"/>
          <w:numId w:val="1"/>
        </w:numPr>
        <w:rPr/>
      </w:pPr>
      <w:bookmarkStart w:id="543" w:name="__RefHeading___Toc3433268_1878427129"/>
      <w:bookmarkStart w:id="544" w:name="_Toc205"/>
      <w:bookmarkEnd w:id="543"/>
      <w:r>
        <w:rPr>
          <w:rtl w:val="true"/>
        </w:rPr>
        <w:t>اشارة</w:t>
      </w:r>
      <w:bookmarkEnd w:id="544"/>
    </w:p>
    <w:p>
      <w:pPr>
        <w:pStyle w:val="BookText"/>
        <w:rPr/>
      </w:pPr>
      <w:r>
        <w:rPr>
          <w:rFonts w:ascii="Amiri" w:hAnsi="Amiri" w:eastAsia="Amiri" w:cs="Amiri"/>
          <w:color w:val="111111"/>
          <w:sz w:val="28"/>
          <w:sz w:val="28"/>
          <w:szCs w:val="28"/>
          <w:rtl w:val="true"/>
          <w:lang w:bidi="ar-SA"/>
        </w:rPr>
        <w:t>و فيها فصلان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و أحكامه، 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الاجتهاد لغة و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عمل المجتهد برأيه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رجوع المجتهد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رجوع العامي إلى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حكم المجتهد و 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الاجتهاد التجزئي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مقدمات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التخطئة و التصويب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تأثير الزمان و المكان في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التقليد و أحكامه، و فيه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 لغة و اصطلاحاً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تقليد الأعلم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تقليد الميت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على تقليد الميت</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العدول من مجتهد إلى مجتهد آخر</w:t>
      </w:r>
      <w:r>
        <w:rPr>
          <w:rFonts w:eastAsia="Amiri" w:cs="Amiri" w:ascii="Amiri" w:hAnsi="Amiri"/>
          <w:color w:val="111111"/>
          <w:sz w:val="28"/>
          <w:szCs w:val="28"/>
          <w:rtl w:val="true"/>
          <w:lang w:bidi="ar-SA"/>
        </w:rPr>
        <w:t xml:space="preserve">. </w:t>
      </w:r>
      <w:bookmarkStart w:id="545" w:name="pg14687_217333"/>
    </w:p>
    <w:p>
      <w:pPr>
        <w:pStyle w:val="Heading3"/>
        <w:numPr>
          <w:ilvl w:val="2"/>
          <w:numId w:val="1"/>
        </w:numPr>
        <w:rPr/>
      </w:pPr>
      <w:bookmarkStart w:id="546" w:name="__RefHeading___Toc3433270_1878427129"/>
      <w:bookmarkStart w:id="547" w:name="_Toc206"/>
      <w:bookmarkEnd w:id="545"/>
      <w:bookmarkEnd w:id="546"/>
      <w:r>
        <w:rPr>
          <w:rtl w:val="true"/>
        </w:rPr>
        <w:t>ملاحظة مهمّة</w:t>
      </w:r>
      <w:bookmarkEnd w:id="547"/>
    </w:p>
    <w:p>
      <w:pPr>
        <w:pStyle w:val="BookText"/>
        <w:rPr/>
      </w:pPr>
      <w:r>
        <w:rPr>
          <w:rFonts w:ascii="Amiri" w:hAnsi="Amiri" w:eastAsia="Amiri" w:cs="Amiri"/>
          <w:color w:val="111111"/>
          <w:sz w:val="28"/>
          <w:sz w:val="28"/>
          <w:szCs w:val="28"/>
          <w:rtl w:val="true"/>
          <w:lang w:bidi="ar-SA"/>
        </w:rPr>
        <w:t>إنّ البحث في الاجتهاد و التقليد و إن لم يكن من المسائل الأُصولية، و لكنّه مشحون بمسائل هامة لا غنى للفقيه عنها، فلأجل ذلك ذيّلنا المقصد الثامن بمباحث الاجتهاد و التقليد هذا من جانب</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جانب آخر يمكن أن ينتهي العام الدراسي دون أن تسنح الفرصة للأُستاذ للتطرق إلى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ذاك فبإمكان الأُستاذ حثّ التلاميذ على مطالعته استيفاءً للغاية المتوخاة من وراء هذا البحث</w:t>
      </w:r>
      <w:r>
        <w:rPr>
          <w:rFonts w:eastAsia="Amiri" w:cs="Amiri" w:ascii="Amiri" w:hAnsi="Amiri"/>
          <w:color w:val="111111"/>
          <w:sz w:val="28"/>
          <w:szCs w:val="28"/>
          <w:rtl w:val="true"/>
          <w:lang w:bidi="ar-SA"/>
        </w:rPr>
        <w:t xml:space="preserve">. </w:t>
      </w:r>
      <w:bookmarkStart w:id="548" w:name="pg14687_217334"/>
    </w:p>
    <w:p>
      <w:pPr>
        <w:pStyle w:val="Heading3"/>
        <w:numPr>
          <w:ilvl w:val="2"/>
          <w:numId w:val="1"/>
        </w:numPr>
        <w:rPr/>
      </w:pPr>
      <w:bookmarkStart w:id="549" w:name="__RefHeading___Toc3433272_1878427129"/>
      <w:bookmarkStart w:id="550" w:name="_Toc207"/>
      <w:bookmarkEnd w:id="548"/>
      <w:bookmarkEnd w:id="549"/>
      <w:r>
        <w:rPr>
          <w:rtl w:val="true"/>
        </w:rPr>
        <w:t>الفصل الأوّل</w:t>
      </w:r>
      <w:r>
        <w:rPr>
          <w:rtl w:val="true"/>
        </w:rPr>
        <w:t xml:space="preserve">: </w:t>
      </w:r>
      <w:r>
        <w:rPr>
          <w:rtl w:val="true"/>
        </w:rPr>
        <w:t>في الاجتهاد و أحكامه</w:t>
      </w:r>
      <w:bookmarkEnd w:id="550"/>
    </w:p>
    <w:p>
      <w:pPr>
        <w:pStyle w:val="Heading4"/>
        <w:numPr>
          <w:ilvl w:val="3"/>
          <w:numId w:val="1"/>
        </w:numPr>
        <w:rPr/>
      </w:pPr>
      <w:bookmarkStart w:id="551" w:name="__RefHeading___Toc3433274_1878427129"/>
      <w:bookmarkStart w:id="552" w:name="_Toc208"/>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و يقع الكلام في هذا الفصل في عدّة مسائل</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433276_1878427129"/>
      <w:bookmarkStart w:id="554" w:name="_Toc209"/>
      <w:bookmarkEnd w:id="553"/>
      <w:r>
        <w:rPr>
          <w:rtl w:val="true"/>
        </w:rPr>
        <w:t>المسألة الأُولى</w:t>
      </w:r>
      <w:r>
        <w:rPr>
          <w:rtl w:val="true"/>
        </w:rPr>
        <w:t xml:space="preserve">: </w:t>
      </w:r>
      <w:r>
        <w:rPr>
          <w:rtl w:val="true"/>
        </w:rPr>
        <w:t>الاجتهاد لغة و اصطلاحاً</w:t>
      </w:r>
      <w:bookmarkEnd w:id="554"/>
    </w:p>
    <w:p>
      <w:pPr>
        <w:pStyle w:val="BookText"/>
        <w:rPr/>
      </w:pPr>
      <w:r>
        <w:rPr>
          <w:rFonts w:ascii="Amiri" w:hAnsi="Amiri" w:eastAsia="Amiri" w:cs="Amiri"/>
          <w:color w:val="111111"/>
          <w:sz w:val="28"/>
          <w:sz w:val="28"/>
          <w:szCs w:val="28"/>
          <w:rtl w:val="true"/>
          <w:lang w:bidi="ar-SA"/>
        </w:rPr>
        <w:t>الاجتهاد لغة مأخوذ من الجهد بضم الجيم بمعنى الطاقة و الوسع، و بفتحها بمعنى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بمعنى بذل الطاقة و الوسع، أو تحمّل الجهد و المشقّة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حمل الرحى و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حمل الخردلة، لوجود الملاك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اصطلاحاً، فقد عرّفه بهاء الدين العاملي بأنّه عبارة عن ملكة يقتدر بها على استنباط الحكم الشرعي الفرعي من أدلّته فعلاً أو قوّة قريبة منه</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فعلاً أو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قيدان للاستنباط لا للملكة للزوم فعليّتها، و أمّا الاستنباط فينقسم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تهيّأت له أسبابه و لم يبق إلاّ 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لم تتهيّأ له أسبابه كفقد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إضافة قيد آخر و هو استنباط الوظيفة الفعلية،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يقتدر بها على استنباط الحكم الشرعي الفرعي أو الوظيفة الفعلية، و ذلك كما في مجاري الأُصول، فإنّ المستنبَط فيها هو الوظيفة في حال الشكّ لا الحكم الواقعي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الاجتهاد وقع موضوعاً لأحكام عديدة سنشير إلى بعضها</w:t>
      </w:r>
      <w:r>
        <w:rPr>
          <w:rFonts w:eastAsia="Amiri" w:cs="Amiri" w:ascii="Amiri" w:hAnsi="Amiri"/>
          <w:color w:val="111111"/>
          <w:sz w:val="28"/>
          <w:szCs w:val="28"/>
          <w:rtl w:val="true"/>
          <w:lang w:bidi="ar-SA"/>
        </w:rPr>
        <w:t xml:space="preserve">: </w:t>
      </w:r>
      <w:bookmarkStart w:id="555" w:name="pg14687_217335"/>
    </w:p>
    <w:p>
      <w:pPr>
        <w:pStyle w:val="Heading4"/>
        <w:numPr>
          <w:ilvl w:val="3"/>
          <w:numId w:val="1"/>
        </w:numPr>
        <w:rPr/>
      </w:pPr>
      <w:bookmarkStart w:id="556" w:name="__RefHeading___Toc3433278_1878427129"/>
      <w:bookmarkStart w:id="557" w:name="_Toc210"/>
      <w:bookmarkEnd w:id="555"/>
      <w:bookmarkEnd w:id="556"/>
      <w:r>
        <w:rPr>
          <w:rtl w:val="true"/>
        </w:rPr>
        <w:t>المسألة الثانية</w:t>
      </w:r>
      <w:r>
        <w:rPr>
          <w:rtl w:val="true"/>
        </w:rPr>
        <w:t xml:space="preserve">: </w:t>
      </w:r>
      <w:r>
        <w:rPr>
          <w:rtl w:val="true"/>
        </w:rPr>
        <w:t>جواز عمل المجتهد برأيه</w:t>
      </w:r>
      <w:bookmarkEnd w:id="557"/>
    </w:p>
    <w:p>
      <w:pPr>
        <w:pStyle w:val="BookText"/>
        <w:rPr/>
      </w:pPr>
      <w:r>
        <w:rPr>
          <w:rFonts w:ascii="Amiri" w:hAnsi="Amiri" w:eastAsia="Amiri" w:cs="Amiri"/>
          <w:color w:val="111111"/>
          <w:sz w:val="28"/>
          <w:sz w:val="28"/>
          <w:szCs w:val="28"/>
          <w:rtl w:val="true"/>
          <w:lang w:bidi="ar-SA"/>
        </w:rPr>
        <w:t>إنّ عمل المجتهد برأيه من القضايا التي قياساتها معها، لأنّه إمّا عالم بالحكم الواقعي وجداناً، كما في صورة العلم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عالم به تعبّداً ، كما في مورد الطرق و الأُصول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عالم بالوظيفة العملية، كما في موارد الأُصول العقلية، و للعالم، العمل بعلمه</w:t>
      </w:r>
      <w:r>
        <w:rPr>
          <w:rFonts w:eastAsia="Amiri" w:cs="Amiri" w:ascii="Amiri" w:hAnsi="Amiri"/>
          <w:color w:val="111111"/>
          <w:sz w:val="28"/>
          <w:szCs w:val="28"/>
          <w:rtl w:val="true"/>
          <w:lang w:bidi="ar-SA"/>
        </w:rPr>
        <w:t>.</w:t>
      </w:r>
    </w:p>
    <w:p>
      <w:pPr>
        <w:pStyle w:val="Heading4"/>
        <w:numPr>
          <w:ilvl w:val="3"/>
          <w:numId w:val="1"/>
        </w:numPr>
        <w:rPr/>
      </w:pPr>
      <w:bookmarkStart w:id="558" w:name="__RefHeading___Toc3433280_1878427129"/>
      <w:bookmarkStart w:id="559" w:name="_Toc211"/>
      <w:bookmarkEnd w:id="558"/>
      <w:r>
        <w:rPr>
          <w:rtl w:val="true"/>
        </w:rPr>
        <w:t>المسألة الثالثة</w:t>
      </w:r>
      <w:r>
        <w:rPr>
          <w:rtl w:val="true"/>
        </w:rPr>
        <w:t xml:space="preserve">: </w:t>
      </w:r>
      <w:r>
        <w:rPr>
          <w:rtl w:val="true"/>
        </w:rPr>
        <w:t>حرمة رجوع المجتهد إلى الغير</w:t>
      </w:r>
      <w:bookmarkEnd w:id="559"/>
    </w:p>
    <w:p>
      <w:pPr>
        <w:pStyle w:val="BookText"/>
        <w:rPr/>
      </w:pPr>
      <w:r>
        <w:rPr>
          <w:rFonts w:ascii="Amiri" w:hAnsi="Amiri" w:eastAsia="Amiri" w:cs="Amiri"/>
          <w:color w:val="111111"/>
          <w:sz w:val="28"/>
          <w:sz w:val="28"/>
          <w:szCs w:val="28"/>
          <w:rtl w:val="true"/>
          <w:lang w:bidi="ar-SA"/>
        </w:rPr>
        <w:t>إذا تمكّن المجتهد من الاستنباط فقط، أو خاض فيه و استحصل الأحكام الشرعية بالطرق المألوفة، فهل يجوز له ترك الاستنباط أو ترك رأيه و الركون إلى رأي غيره أو لا؟ المشهور العدم و لم ينقل الجواز عن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لانصراف ما دلّ على جواز التقليد عمّن له ملكة الاجتهاد، و اختصاصه بمن لا يتمكّن من تحصيل العلم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إليه انّه ربّما يخطِّئ الغيرَ باجتهاده، إذا اجتهد فكيف يرجع إليه و يأخذ برأيه؟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خاض و تبيّن خطأ الغير</w:t>
      </w:r>
      <w:r>
        <w:rPr>
          <w:rFonts w:eastAsia="Amiri" w:cs="Amiri" w:ascii="Amiri" w:hAnsi="Amiri"/>
          <w:color w:val="111111"/>
          <w:sz w:val="28"/>
          <w:szCs w:val="28"/>
          <w:rtl w:val="true"/>
          <w:lang w:bidi="ar-SA"/>
        </w:rPr>
        <w:t>.</w:t>
      </w:r>
    </w:p>
    <w:p>
      <w:pPr>
        <w:pStyle w:val="Heading4"/>
        <w:numPr>
          <w:ilvl w:val="3"/>
          <w:numId w:val="1"/>
        </w:numPr>
        <w:rPr/>
      </w:pPr>
      <w:bookmarkStart w:id="560" w:name="__RefHeading___Toc3433282_1878427129"/>
      <w:bookmarkStart w:id="561" w:name="_Toc212"/>
      <w:bookmarkEnd w:id="560"/>
      <w:r>
        <w:rPr>
          <w:rtl w:val="true"/>
        </w:rPr>
        <w:t>المسألة الرابعة</w:t>
      </w:r>
      <w:r>
        <w:rPr>
          <w:rtl w:val="true"/>
        </w:rPr>
        <w:t xml:space="preserve">: </w:t>
      </w:r>
      <w:r>
        <w:rPr>
          <w:rtl w:val="true"/>
        </w:rPr>
        <w:t>جواز رجوع العامي إلى المجتهد و تقليده</w:t>
      </w:r>
      <w:bookmarkEnd w:id="561"/>
    </w:p>
    <w:p>
      <w:pPr>
        <w:pStyle w:val="BookText"/>
        <w:rPr/>
      </w:pPr>
      <w:r>
        <w:rPr>
          <w:rFonts w:ascii="Amiri" w:hAnsi="Amiri" w:eastAsia="Amiri" w:cs="Amiri"/>
          <w:color w:val="111111"/>
          <w:sz w:val="28"/>
          <w:sz w:val="28"/>
          <w:szCs w:val="28"/>
          <w:rtl w:val="true"/>
          <w:lang w:bidi="ar-SA"/>
        </w:rPr>
        <w:t>إنّ رجوع العامي إلى المجتهد أمر ثابت بالسيرة ،لأنّه من فروع رجوع الجاهل إلى العالم، و العامي إلى المتخصّص، و سيوافيك شرحه في فصل التقليد</w:t>
      </w:r>
      <w:r>
        <w:rPr>
          <w:rFonts w:eastAsia="Amiri" w:cs="Amiri" w:ascii="Amiri" w:hAnsi="Amiri"/>
          <w:color w:val="111111"/>
          <w:sz w:val="28"/>
          <w:szCs w:val="28"/>
          <w:rtl w:val="true"/>
          <w:lang w:bidi="ar-SA"/>
        </w:rPr>
        <w:t>.</w:t>
      </w:r>
    </w:p>
    <w:p>
      <w:pPr>
        <w:pStyle w:val="Heading4"/>
        <w:numPr>
          <w:ilvl w:val="3"/>
          <w:numId w:val="1"/>
        </w:numPr>
        <w:rPr/>
      </w:pPr>
      <w:bookmarkStart w:id="562" w:name="__RefHeading___Toc3433284_1878427129"/>
      <w:bookmarkStart w:id="563" w:name="_Toc213"/>
      <w:bookmarkEnd w:id="562"/>
      <w:r>
        <w:rPr>
          <w:rtl w:val="true"/>
        </w:rPr>
        <w:t>المسألة الخامسة</w:t>
      </w:r>
      <w:r>
        <w:rPr>
          <w:rtl w:val="true"/>
        </w:rPr>
        <w:t xml:space="preserve">: </w:t>
      </w:r>
      <w:r>
        <w:rPr>
          <w:rtl w:val="true"/>
        </w:rPr>
        <w:t>نفوذ حكم المجتهد و قضائه</w:t>
      </w:r>
      <w:bookmarkEnd w:id="56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كان القضاء بين الناس ملازماً للتصرّف في أموالهم و أنفسهم، احتاج التلبّس به إلى ولاية حقيقية، يمارس في ظلّها ذلك العمل، و ليست هي إلاّ للّه </w:t>
      </w:r>
    </w:p>
    <w:p>
      <w:pPr>
        <w:pStyle w:val="BookText"/>
        <w:rPr/>
      </w:pPr>
      <w:r>
        <w:rPr>
          <w:rFonts w:ascii="Amiri" w:hAnsi="Amiri" w:eastAsia="Amiri" w:cs="Amiri"/>
          <w:color w:val="111111"/>
          <w:sz w:val="28"/>
          <w:sz w:val="28"/>
          <w:szCs w:val="28"/>
          <w:rtl w:val="true"/>
          <w:lang w:bidi="ar-SA"/>
        </w:rPr>
        <w:t>سبحانه،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يَقُصُّ الْحَقَّ وَ هُوَ خَيْرُ الْفاصِلِينَ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انّ من لوازم القضاء كون المتصدّي له، مجانساً للمتحاكمين، نصب سبحانه أنبياءه و أولياءه قضاة للناس، يحكمون فيهم بما أنزل اللّه سبحانه و لا يحيدون عنه قيدَ شعرة،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وَ لا تَتَّبِعِ الْهَوى فَيُضِلَّكَ عَنْ سَبِيلِ اللّهِ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في حقّ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رَبِّكَ لا يُؤْمِنُونَ حَتّى يُحَكِّمُوكَ فِيما شَجَرَ بَيْنَهُمْ ثُمَّ لا يَجِدُوا فِي أَنْفُسِهِمْ حَرَجاً مِمّا قَضَيْتَ وَ يُسَلِّمُوا تَسْلِيماً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 في حقّ ولاة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عرّف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 الذين هم أوصياؤه بأسمائهم و خصوصياتهم واحداً تلو الآخر</w:t>
      </w:r>
      <w:r>
        <w:rPr>
          <w:rFonts w:eastAsia="Amiri" w:cs="Amiri" w:ascii="Amiri" w:hAnsi="Amiri"/>
          <w:color w:val="111111"/>
          <w:sz w:val="28"/>
          <w:szCs w:val="28"/>
          <w:rtl w:val="true"/>
          <w:lang w:bidi="ar-SA"/>
        </w:rPr>
        <w:t xml:space="preserve">. </w:t>
      </w:r>
      <w:r>
        <w:rPr>
          <w:rStyle w:val="FootnoteAnchor"/>
          <w:rtl w:val="true"/>
        </w:rPr>
        <w:footnoteReference w:id="283"/>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هم القضاة المنصوبون من اللّه سبحانه بأسمائهم و خصوصياتهم، و أمّا بعد ارتحال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التمكّن من الوصيّ المنصوب سواء أ كان في عصر الحضور أو عصر الغيبة، عيّنت الشريعة رجالاً لتصدّي القضاء عرّفتهم بصفاتهم و سماتهم لا بأسمائهم، و هم كما في مقبولة عمر بن حنظلة عند ما 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ينظران إلى من كان منكم ممّن روى حديثنا، و نظر في حلالنا و حرامنا و عرف أحكامنا، فليرضوا به حكماً، فإنّي قد جعلته عليكم حاكماً، فإذا حكم بحكمنا فلم يُقبل منه فإنّه استخفَّ بحكم اللّه و علينا ردَّ، و الرادّ علينا رادّء</w:t>
      </w:r>
      <w:r>
        <w:rPr>
          <w:rFonts w:eastAsia="Amiri" w:cs="Amiri" w:ascii="Amiri" w:hAnsi="Amiri"/>
          <w:color w:val="111111"/>
          <w:sz w:val="28"/>
          <w:szCs w:val="28"/>
          <w:rtl w:val="true"/>
          <w:lang w:bidi="ar-SA"/>
        </w:rPr>
        <w:t xml:space="preserve">. </w:t>
      </w:r>
      <w:bookmarkStart w:id="564" w:name="pg14687_217337"/>
    </w:p>
    <w:p>
      <w:pPr>
        <w:pStyle w:val="BookText"/>
        <w:rPr/>
      </w:pPr>
      <w:bookmarkEnd w:id="564"/>
      <w:r>
        <w:rPr>
          <w:rFonts w:ascii="Amiri" w:hAnsi="Amiri" w:eastAsia="Amiri" w:cs="Amiri"/>
          <w:color w:val="111111"/>
          <w:sz w:val="28"/>
          <w:sz w:val="28"/>
          <w:szCs w:val="28"/>
          <w:rtl w:val="true"/>
          <w:lang w:bidi="ar-SA"/>
        </w:rPr>
        <w:t>على اللّه، و هو على حدّ الشرك باللّه</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و الإمعان في القيود الواردة في الرواية تُثبت بأنّ ولاية القضاء لا ينالها إلاّ الموصوف بالصفات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شيعياً إمامياً بقرينة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يحكم بحكمهم، فلو حكم بحكم غيرهم لا ينفذ حكمه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حكم بحكمنا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راوياً لحديثهم،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حديثنا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صاحب نظر في الحلال و الحرام 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 في حلالنا و حرامنا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خبيراً في الوقوف على أحكامهم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عرف أحكامنا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انّ هذه التعابير لا تنطبق إلاّ على المجتهد في عصرنا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أُخر تدعم ولاية الفقيه للقضاء تركنا ذكرها للاختصار، و أمّا تصدّي غير المجتهد سواء كان مقلّداً أو مجتهداً متجزّئاً ففيه تفصيل يطلب من كتاب القضاء</w:t>
      </w:r>
      <w:r>
        <w:rPr>
          <w:rFonts w:eastAsia="Amiri" w:cs="Amiri" w:ascii="Amiri" w:hAnsi="Amiri"/>
          <w:color w:val="111111"/>
          <w:sz w:val="28"/>
          <w:szCs w:val="28"/>
          <w:rtl w:val="true"/>
          <w:lang w:bidi="ar-SA"/>
        </w:rPr>
        <w:t xml:space="preserve">. </w:t>
      </w:r>
      <w:r>
        <w:rPr>
          <w:rStyle w:val="FootnoteAnchor"/>
          <w:rtl w:val="true"/>
        </w:rPr>
        <w:footnoteReference w:id="285"/>
      </w:r>
    </w:p>
    <w:p>
      <w:pPr>
        <w:pStyle w:val="Heading4"/>
        <w:numPr>
          <w:ilvl w:val="3"/>
          <w:numId w:val="1"/>
        </w:numPr>
        <w:rPr/>
      </w:pPr>
      <w:bookmarkStart w:id="565" w:name="__RefHeading___Toc3433286_1878427129"/>
      <w:bookmarkStart w:id="566" w:name="_Toc214"/>
      <w:bookmarkEnd w:id="565"/>
      <w:r>
        <w:rPr>
          <w:rtl w:val="true"/>
        </w:rPr>
        <w:t>المسألة السادسة</w:t>
      </w:r>
      <w:r>
        <w:rPr>
          <w:rtl w:val="true"/>
        </w:rPr>
        <w:t xml:space="preserve">: </w:t>
      </w:r>
      <w:r>
        <w:rPr>
          <w:rtl w:val="true"/>
        </w:rPr>
        <w:t>في الاجتهاد التجزّئي</w:t>
      </w:r>
      <w:bookmarkEnd w:id="56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الاجتهاد التجزّئي عبارة عن تمكّن الإنسان من استنباط بعض الأحكام دون بعض، مثلاً انّ أبواب الفقه مختلفة مدركاً، و المدارك مختلفة سهولة و صعوبة، فربّ شخص ضالع في النقليات دون العقليات و كذلك العكس، و هذا يمكِّنُ له الاستنباط في بعضها دون بعض، على أنّ حصول الاجتهاد المطلق ليس أمراً دفعياً، </w:t>
      </w:r>
      <w:bookmarkStart w:id="567" w:name="pg14687_217338"/>
    </w:p>
    <w:p>
      <w:pPr>
        <w:pStyle w:val="BookText"/>
        <w:rPr/>
      </w:pPr>
      <w:bookmarkEnd w:id="567"/>
      <w:r>
        <w:rPr>
          <w:rFonts w:ascii="Amiri" w:hAnsi="Amiri" w:eastAsia="Amiri" w:cs="Amiri"/>
          <w:color w:val="111111"/>
          <w:sz w:val="28"/>
          <w:sz w:val="28"/>
          <w:szCs w:val="28"/>
          <w:rtl w:val="true"/>
          <w:lang w:bidi="ar-SA"/>
        </w:rPr>
        <w:t>بل يتوقف على التدرّج شيئاً فشيئاً، فالمجتهد في بادئ ذي بدء لم يكن مجتهداً مطلقاً بل كان متجزئاً ثمّ صار مجتهداً مطلقاً، و أمّا أحكامه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يجوز له العمل بما استنبط، و إلاّ فأمامه 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غير واجب باتّفاق الكلّ، و جواز الثاني موقوف على تحقّق موضوعه، و هو كونه غير عالم أو جاهل، فلا يعم العالم، و المفروض أنّه عالم بالحكم و لو في موارد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رجوع الغير إليه و تقليده له، فإن كان هناك من هو أفقه منه و قلنا بوجوب الرجوع إلى الأفقه فلا يجوز الرجوع إلى المتجزّئ في المقام، و إلاّ فلا مانع من الرجوع إليه و يكون المتجزّئ و المطلق في جواز الرجوع سيّان، غير أنّ الكلام في جواز الرجوع إلى غير الأفقه كما سيوافيك</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3433288_1878427129"/>
      <w:bookmarkStart w:id="569" w:name="_Toc215"/>
      <w:bookmarkEnd w:id="568"/>
      <w:r>
        <w:rPr>
          <w:rtl w:val="true"/>
        </w:rPr>
        <w:t>المسألة السابعة</w:t>
      </w:r>
      <w:r>
        <w:rPr>
          <w:rtl w:val="true"/>
        </w:rPr>
        <w:t xml:space="preserve">: </w:t>
      </w:r>
      <w:r>
        <w:rPr>
          <w:rtl w:val="true"/>
        </w:rPr>
        <w:t>مقدّمات الاجتهاد</w:t>
      </w:r>
      <w:bookmarkEnd w:id="569"/>
    </w:p>
    <w:p>
      <w:pPr>
        <w:pStyle w:val="BookText"/>
        <w:rPr/>
      </w:pPr>
      <w:r>
        <w:rPr>
          <w:rFonts w:ascii="Amiri" w:hAnsi="Amiri" w:eastAsia="Amiri" w:cs="Amiri"/>
          <w:color w:val="111111"/>
          <w:sz w:val="28"/>
          <w:sz w:val="28"/>
          <w:szCs w:val="28"/>
          <w:rtl w:val="true"/>
          <w:lang w:bidi="ar-SA"/>
        </w:rPr>
        <w:t>الاجتهاد يتوقّف على مقدّمات نشير إليها بوجه موجز،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القواعد العربية على وجه يقف على ضوئها على مراد المتكلّم، و لا يشترط أن يكون مجتهداً في العلوم العربية، بل يكفيه الرجوع إلى أهل الخبرة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معاني المفردات حتى يُميّز المعنى الحقيقي عن المجازي، و يعرف الكنايات و الاستعارات الواردة في الكتاب و السنّة، و لا يشترط أن يكون لغويّاً محقّقاً في اللغة، و يكفيه في تفسير المفردات الرجوعُ إلى أُمّهات الكتب اللغويّة و معاجم اللغة،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للخليل بن أحمد الفراهيدي،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لابن منظور الإفريقي،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 في غريب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لأجل الوقوف على أُصول المعاني و الفروع التي اشتق منها لا بدّ من الرجوع إلى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مقاييس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فارس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للزمخشري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الكتاب و السنّة اللّذين هما مصدران أساسيان للاستنباط و يعدّان حجر الأساس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للفقيه أن يستنير بنورهما في كلّ مسألة، فيرجع إلى الكتاب العزيز أوّلاً و يدرس الآيات التي لها مساس بالموضوع، ثمّ يعرّج إلى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أنّ علمي التفسير و الحديث من مقدمات الاجتهاد و لا غنى لمجتهد عن معرفتهما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أنّ عدد الآيات التي تستنبط منها أكثر الأحكام لا تتجاوز عن ثلاثمائة آية، و لكن ثمّة آيات لا تعد من آيات الأحكام و لكن يمكن استنباط أحكام فرعية منها، و على ذلك لو ضمت تلك إلى آيات الأحكام لجاوزت العدد المذكور، و قد استنبط بعض الفقهاء من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أحكاماً شرعية مختلفة، و كذلك من قوله تعالى حاكياً كلام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أُرِيدُ أَنْ أُنْكِحَكَ إِحْدَى ابْنَتَيَّ هاتَيْنِ عَلى أَنْ تَأْجُرَنِي ثَمانِيَ حِجَجٍ فَإِنْ أَتْمَمْتَ عَشْراً فَمِنْ عِنْدِكَ وَ ما أُرِيدُ أَنْ أَشُقَّ عَلَيْكَ سَتَجِدُنِي إِنْ شاءَ اللّهُ 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ذلِكَ بَيْنِي وَ بَيْنَكَ أَيَّمَا الْأَجَلَيْنِ قَضَيْتُ فَلا عُدْوانَ عَلَيَّ وَ اللّهُ عَلى ما نَقُولُ وَكِيلٌ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فقد استنبط بعض الفقهاء من الآيتين أحكاماً في النكاح و الإجارة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المسائل الأُصولية التي تدور عليها رحى الاستنباط، فلو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 يثبت عنده مثلاً حجية الخبر الواحد لم يكن بإمكانه استنباط الأحكام الشرعية و تشخيص الوظائف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الرجال و معرفة الثقات من الضعاف، فلو قلنا بأنّ الحجّة هي وثاقة الراوي، فيتوقف إحرازها على ذلك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بأنّ الحجّة هو الخبر الموثوق الصدور، فالعلم بوثاقة الراوي يحصِّل الوثوق بصدوره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يلحق به علم الدراية حتى يقف على أقسام الرواية من الصحيح و الحسن و الموثق و الضعيف حسب صفات الراوي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المذاهب الفقهية الرائجة في عصر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كان عمل القضاة عليها و كان الناس يرجعون إليهم، فإنّ في معرفة تلك المذاهب تمييزَ ما صدر عنهم عن تقية عمّا صدر عن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المذاهب الأربعة المعروفة، فإنّها صارت رائجة بعد أعصارهم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أفضل كتاب في هذا الموضوع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سبب التأكيد على معرفة المذاهب المعاصرة لأئمّة أهل البيت، هو أنّ لأخبارهم و كلماتهم أسباب صدور و ليست إلاّ فتاوى فقهاء عصرهم، فهذه الفتاوى كالقرينة المتصلة لفهم أخبارهم، فلا يمكن غضّ النظر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الشهرة الفتوائية، و قد وقفت على أهمّيتها عند البحث عن حجّية الشهرة، و قلنا إنّ الشهرة على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الأخيرة كاشفة عن وجود النص، أو كون الحكم مشهوراً عند أصحاب الأئمّة، و الثانية أي عمل الأصحاب بالرواية و الإعراض عن مخالفها يوجب خروج المعارض عن الحجية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الفقه الشيعي مسائل كثيرة ليس عليها دليل سوى 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كان يراه سيّد مشايخنا العلاّمة البروجردي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bookmarkStart w:id="570" w:name="pg14687_217341"/>
    </w:p>
    <w:p>
      <w:pPr>
        <w:pStyle w:val="BookText"/>
        <w:rPr/>
      </w:pPr>
      <w:bookmarkEnd w:id="570"/>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ممارسة الفروع الفقهية لتنمية قدرته على الاستنباط، و قد كانت مجالس العلماء سابقاً حافلة بذكر الفروع الفقهية، و كانت عملية التدريب دائرة فيها على قدم و 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القواعد الفقهية التي هي خير وسيلة لاستخراج الأحكام الجزئية من الأحكام الكلية، فلا محيص للطالب عن الرجوع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 و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الأوّل،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للفاضل المقداد السيوري،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المسائل الرياضية و الهندسية و علم الهيئة التي تسهّل استنباط أحكام المواريث، و تعيين القبلة، و المقادير الواردة في الكر و الزكاة،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توفرت فيه تلك المقدّمات، يصبح مؤهلاً لاستنباط أحكام الموضوعات بعد الدقة و الفحص و الممارسة و التمرين و الاستئناس بالمسائل و الأقوال</w:t>
      </w:r>
      <w:r>
        <w:rPr>
          <w:rFonts w:eastAsia="Amiri" w:cs="Amiri" w:ascii="Amiri" w:hAnsi="Amiri"/>
          <w:color w:val="111111"/>
          <w:sz w:val="28"/>
          <w:szCs w:val="28"/>
          <w:rtl w:val="true"/>
          <w:lang w:bidi="ar-SA"/>
        </w:rPr>
        <w:t>.</w:t>
      </w:r>
    </w:p>
    <w:p>
      <w:pPr>
        <w:pStyle w:val="Heading4"/>
        <w:numPr>
          <w:ilvl w:val="3"/>
          <w:numId w:val="1"/>
        </w:numPr>
        <w:rPr/>
      </w:pPr>
      <w:bookmarkStart w:id="571" w:name="__RefHeading___Toc3433290_1878427129"/>
      <w:bookmarkStart w:id="572" w:name="_Toc216"/>
      <w:bookmarkEnd w:id="571"/>
      <w:r>
        <w:rPr>
          <w:rtl w:val="true"/>
        </w:rPr>
        <w:t>المسألة الثامنة</w:t>
      </w:r>
      <w:r>
        <w:rPr>
          <w:rtl w:val="true"/>
        </w:rPr>
        <w:t xml:space="preserve">: </w:t>
      </w:r>
      <w:r>
        <w:rPr>
          <w:rtl w:val="true"/>
        </w:rPr>
        <w:t>في التخطئة و التصويب</w:t>
      </w:r>
      <w:bookmarkEnd w:id="572"/>
    </w:p>
    <w:p>
      <w:pPr>
        <w:pStyle w:val="Heading5"/>
        <w:numPr>
          <w:ilvl w:val="4"/>
          <w:numId w:val="1"/>
        </w:numPr>
        <w:rPr/>
      </w:pPr>
      <w:bookmarkStart w:id="573" w:name="__RefHeading___Toc3433292_1878427129"/>
      <w:bookmarkStart w:id="574" w:name="_Toc217"/>
      <w:bookmarkEnd w:id="573"/>
      <w:r>
        <w:rPr>
          <w:rtl w:val="true"/>
        </w:rPr>
        <w:t>اشارة</w:t>
      </w:r>
      <w:bookmarkEnd w:id="574"/>
    </w:p>
    <w:p>
      <w:pPr>
        <w:pStyle w:val="BookText"/>
        <w:rPr/>
      </w:pPr>
      <w:r>
        <w:rPr>
          <w:rFonts w:ascii="Amiri" w:hAnsi="Amiri" w:eastAsia="Amiri" w:cs="Amiri"/>
          <w:color w:val="111111"/>
          <w:sz w:val="28"/>
          <w:sz w:val="28"/>
          <w:szCs w:val="28"/>
          <w:rtl w:val="true"/>
          <w:lang w:bidi="ar-SA"/>
        </w:rPr>
        <w:t>في التخطئة و التصويب اصطلاحان للفقهاء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سبحانه حكماً مشتركاً للعالم و الجاهل، فالمجتهد قد يصيبه و قد لا يصيبه، فلو اختلفت آراء المجتهدين فالمصيب واحد و غيره 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وُصفوا بالمخطِّئة، لأنّهم لا يصفون كلّ اجتهاد بالصواب و تقابلها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تنكر حكم اللّه المشترك بين العالم و الجاهل، و تخص أحكامه سبحانه بالعالمين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التصويب المستلزم للدور المعروف، و التصويب بهذا المعنى خارج عن موضوع بحثنا و لعلّه صرف افتراض لا قائل به و المهم هو التصويب بالمعنى الآتي</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تفويض التشريع إلى المجتهدين في خصوص ما لا نصّ فيه من </w:t>
      </w:r>
      <w:bookmarkStart w:id="575" w:name="pg14687_217342"/>
    </w:p>
    <w:p>
      <w:pPr>
        <w:pStyle w:val="BookText"/>
        <w:rPr/>
      </w:pPr>
      <w:bookmarkEnd w:id="575"/>
      <w:r>
        <w:rPr>
          <w:rFonts w:ascii="Amiri" w:hAnsi="Amiri" w:eastAsia="Amiri" w:cs="Amiri"/>
          <w:color w:val="111111"/>
          <w:sz w:val="28"/>
          <w:sz w:val="28"/>
          <w:szCs w:val="28"/>
          <w:rtl w:val="true"/>
          <w:lang w:bidi="ar-SA"/>
        </w:rPr>
        <w:t>الشارع، فيكون كلّ رأي صواباً لعدم وجود واقع محدَّد حتى يوصف المطابق بالصواب، و غيره بالخطإ، و بذلك وُصِفُوا بالمصوّبة، لأنّهم يصفون كلّ اجتهاد بالصواب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القول يكون الاجتهاد من منابع التشريع و مصادره، بخلافه على القول الآخر فإنّ الاجتهاد عليه لا يعدو عن بذل جهد لإصابة الواقع المحدَّد، فما ربما يُرى في بعض كلمات أهل السنّة من عدِّ الاجتهاد من منابع التشريع مبني على ذاك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أنّ اللازم معرفة المواضع التي تضاربت فيها الآراء فصارت طائفة إلى التخطئة و أُخرى إلى التصويب </w:t>
      </w:r>
      <w:r>
        <w:rPr>
          <w:rStyle w:val="FootnoteAnchor"/>
          <w:rtl w:val="true"/>
        </w:rPr>
        <w:footnoteReference w:id="288"/>
      </w:r>
      <w:r>
        <w:rPr>
          <w:rFonts w:ascii="Amiri" w:hAnsi="Amiri" w:eastAsia="Amiri" w:cs="Amiri"/>
          <w:color w:val="111111"/>
          <w:sz w:val="28"/>
          <w:sz w:val="28"/>
          <w:szCs w:val="28"/>
          <w:rtl w:val="true"/>
          <w:lang w:bidi="ar-SA"/>
        </w:rPr>
        <w:t>، و يظهر ذلك بمعرفة المواضع التي اتّفقوا فيها على التخطئة، و نذكر منها ما يلي</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3433294_1878427129"/>
      <w:bookmarkStart w:id="577" w:name="_Toc218"/>
      <w:bookmarkEnd w:id="576"/>
      <w:r>
        <w:rPr/>
        <w:t>1</w:t>
      </w:r>
      <w:r>
        <w:rPr>
          <w:rtl w:val="true"/>
        </w:rPr>
        <w:t xml:space="preserve">. </w:t>
      </w:r>
      <w:r>
        <w:rPr>
          <w:rtl w:val="true"/>
        </w:rPr>
        <w:t>لا تصويب في الأُصول و المعارف</w:t>
      </w:r>
      <w:bookmarkEnd w:id="577"/>
    </w:p>
    <w:p>
      <w:pPr>
        <w:pStyle w:val="BookText"/>
        <w:rPr/>
      </w:pPr>
      <w:r>
        <w:rPr>
          <w:rFonts w:ascii="Amiri" w:hAnsi="Amiri" w:eastAsia="Amiri" w:cs="Amiri"/>
          <w:color w:val="111111"/>
          <w:sz w:val="28"/>
          <w:sz w:val="28"/>
          <w:szCs w:val="28"/>
          <w:rtl w:val="true"/>
          <w:lang w:bidi="ar-SA"/>
        </w:rPr>
        <w:t>اتّفق المسلمون على أنّ الحقّ في الأُصول و المعارف أمر واحد، و ما وافقه هو الحقّ و الصواب، و ما خالفه هو الخطأ، و لم يقل أحد من المسلمين إلاّ من شذّ بتصويب جميع الآراء</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قال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الأُصول المبنيّة على العلم نحو التوحيد و العدل و النبوة لا يجوز أن يكون الحقّ فيها إلاّ واحداً، لأنّ اللّه تعالى لا يجوز أن يكون جسماً أو غير جسم، يُرى و لا يُرى على وجهين مختلفين</w:t>
      </w:r>
      <w:r>
        <w:rPr>
          <w:rFonts w:eastAsia="Amiri" w:cs="Amiri" w:ascii="Amiri" w:hAnsi="Amiri"/>
          <w:color w:val="111111"/>
          <w:sz w:val="28"/>
          <w:szCs w:val="28"/>
          <w:rtl w:val="true"/>
          <w:lang w:bidi="ar-SA"/>
        </w:rPr>
        <w:t xml:space="preserve">. </w:t>
      </w:r>
      <w:r>
        <w:rPr>
          <w:rStyle w:val="FootnoteAnchor"/>
          <w:rtl w:val="true"/>
        </w:rPr>
        <w:footnoteReference w:id="290"/>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كلّ أمر لا يجوز تغييره عمّا هو عليه فلا </w:t>
      </w:r>
      <w:bookmarkStart w:id="578" w:name="pg14687_217343"/>
    </w:p>
    <w:p>
      <w:pPr>
        <w:pStyle w:val="BookText"/>
        <w:rPr/>
      </w:pPr>
      <w:bookmarkEnd w:id="578"/>
      <w:r>
        <w:rPr>
          <w:rFonts w:ascii="Amiri" w:hAnsi="Amiri" w:eastAsia="Amiri" w:cs="Amiri"/>
          <w:color w:val="111111"/>
          <w:sz w:val="28"/>
          <w:sz w:val="28"/>
          <w:szCs w:val="28"/>
          <w:rtl w:val="true"/>
          <w:lang w:bidi="ar-SA"/>
        </w:rPr>
        <w:t xml:space="preserve">خلاف بين أهل العلم أنّ الاجتهاد في ذلك لا يختلف، و أنّ الحقّ واحد، و أنّ من خالفه ضال فاسق و ربما كان كافراً، و ذلك نحو القول بأنّ العالم قديم أو حادث، و إذا كان حادثاً هل له صانع أو لا؟ </w:t>
      </w:r>
      <w:r>
        <w:rPr>
          <w:rStyle w:val="FootnoteAnchor"/>
          <w:rtl w:val="true"/>
        </w:rPr>
        <w:footnoteReference w:id="291"/>
      </w:r>
    </w:p>
    <w:p>
      <w:pPr>
        <w:pStyle w:val="Heading5"/>
        <w:numPr>
          <w:ilvl w:val="4"/>
          <w:numId w:val="1"/>
        </w:numPr>
        <w:rPr/>
      </w:pPr>
      <w:bookmarkStart w:id="579" w:name="__RefHeading___Toc3433296_1878427129"/>
      <w:bookmarkStart w:id="580" w:name="_Toc219"/>
      <w:bookmarkEnd w:id="579"/>
      <w:r>
        <w:rPr/>
        <w:t>2</w:t>
      </w:r>
      <w:r>
        <w:rPr>
          <w:rtl w:val="true"/>
        </w:rPr>
        <w:t xml:space="preserve">. </w:t>
      </w:r>
      <w:r>
        <w:rPr>
          <w:rtl w:val="true"/>
        </w:rPr>
        <w:t>لا تصويب في الموضوعات الخارجية</w:t>
      </w:r>
      <w:bookmarkEnd w:id="580"/>
    </w:p>
    <w:p>
      <w:pPr>
        <w:pStyle w:val="BookText"/>
        <w:rPr/>
      </w:pPr>
      <w:r>
        <w:rPr>
          <w:rFonts w:ascii="Amiri" w:hAnsi="Amiri" w:eastAsia="Amiri" w:cs="Amiri"/>
          <w:color w:val="111111"/>
          <w:sz w:val="28"/>
          <w:sz w:val="28"/>
          <w:szCs w:val="28"/>
          <w:rtl w:val="true"/>
          <w:lang w:bidi="ar-SA"/>
        </w:rPr>
        <w:t xml:space="preserve">كما أنّ الحقّ في الأُصول و المعارف واحد، فكذلك في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اختلفت الأمارة في تعيين القبلة، فإحداهما مخطئة و الأُخرى 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الحال في أرش الجنايات</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3433298_1878427129"/>
      <w:bookmarkStart w:id="582" w:name="_Toc220"/>
      <w:bookmarkEnd w:id="581"/>
      <w:r>
        <w:rPr/>
        <w:t>3</w:t>
      </w:r>
      <w:r>
        <w:rPr>
          <w:rtl w:val="true"/>
        </w:rPr>
        <w:t xml:space="preserve">. </w:t>
      </w:r>
      <w:r>
        <w:rPr>
          <w:rtl w:val="true"/>
        </w:rPr>
        <w:t>لا تصويب في الأحكام العقليّة البديهية</w:t>
      </w:r>
      <w:bookmarkEnd w:id="582"/>
    </w:p>
    <w:p>
      <w:pPr>
        <w:pStyle w:val="BookText"/>
        <w:rPr/>
      </w:pPr>
      <w:r>
        <w:rPr>
          <w:rFonts w:ascii="Amiri" w:hAnsi="Amiri" w:eastAsia="Amiri" w:cs="Amiri"/>
          <w:color w:val="111111"/>
          <w:sz w:val="28"/>
          <w:sz w:val="28"/>
          <w:szCs w:val="28"/>
          <w:rtl w:val="true"/>
          <w:lang w:bidi="ar-SA"/>
        </w:rPr>
        <w:t>إنّ كلّ موضوع ثبت حكمه ببداهة العقل فالحقّ فيه واحد لا غير، و هذا كالظلم و العبث و الكذب فإنّها قبيحة عند الكل، كما أنّ شكر المنعم و ردّ الوديعة و الإنصاف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حكي بأنّ كلّ مجتهد فيها مصيب، لكنّه قول شاذ</w:t>
      </w:r>
      <w:r>
        <w:rPr>
          <w:rFonts w:eastAsia="Amiri" w:cs="Amiri" w:ascii="Amiri" w:hAnsi="Amiri"/>
          <w:color w:val="111111"/>
          <w:sz w:val="28"/>
          <w:szCs w:val="28"/>
          <w:rtl w:val="true"/>
          <w:lang w:bidi="ar-SA"/>
        </w:rPr>
        <w:t xml:space="preserve">. </w:t>
      </w:r>
      <w:r>
        <w:rPr>
          <w:rStyle w:val="FootnoteAnchor"/>
          <w:rtl w:val="true"/>
        </w:rPr>
        <w:footnoteReference w:id="292"/>
      </w:r>
    </w:p>
    <w:p>
      <w:pPr>
        <w:pStyle w:val="Heading5"/>
        <w:numPr>
          <w:ilvl w:val="4"/>
          <w:numId w:val="1"/>
        </w:numPr>
        <w:rPr/>
      </w:pPr>
      <w:bookmarkStart w:id="583" w:name="__RefHeading___Toc3433300_1878427129"/>
      <w:bookmarkStart w:id="584" w:name="_Toc221"/>
      <w:bookmarkEnd w:id="583"/>
      <w:r>
        <w:rPr/>
        <w:t>4</w:t>
      </w:r>
      <w:r>
        <w:rPr>
          <w:rtl w:val="true"/>
        </w:rPr>
        <w:t xml:space="preserve">. </w:t>
      </w:r>
      <w:r>
        <w:rPr>
          <w:rtl w:val="true"/>
        </w:rPr>
        <w:t>لا تصويب في المسائل المنصوصة</w:t>
      </w:r>
      <w:bookmarkEnd w:id="584"/>
    </w:p>
    <w:p>
      <w:pPr>
        <w:pStyle w:val="Heading6"/>
        <w:numPr>
          <w:ilvl w:val="5"/>
          <w:numId w:val="1"/>
        </w:numPr>
        <w:rPr/>
      </w:pPr>
      <w:bookmarkStart w:id="585" w:name="__RefHeading___Toc3433302_1878427129"/>
      <w:bookmarkStart w:id="586" w:name="_Toc222"/>
      <w:bookmarkEnd w:id="585"/>
      <w:r>
        <w:rPr>
          <w:rtl w:val="true"/>
        </w:rPr>
        <w:t>اشارة</w:t>
      </w:r>
      <w:bookmarkEnd w:id="586"/>
    </w:p>
    <w:p>
      <w:pPr>
        <w:pStyle w:val="BookText"/>
        <w:rPr/>
      </w:pPr>
      <w:r>
        <w:rPr>
          <w:rFonts w:ascii="Amiri" w:hAnsi="Amiri" w:eastAsia="Amiri" w:cs="Amiri"/>
          <w:color w:val="111111"/>
          <w:sz w:val="28"/>
          <w:sz w:val="28"/>
          <w:szCs w:val="28"/>
          <w:rtl w:val="true"/>
          <w:lang w:bidi="ar-SA"/>
        </w:rPr>
        <w:t>إذا كان في المسألة نص قطعي السند و الدلالة، فلا موضوع للاجتهاد فيها، و بالتالي لا موضوع للتصويب و التخطئة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الناس على أنّ من استبانت له سنّة عن رسول اللّه، لم يكن له أن يدعها لقول أحد من الناس</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تواتر عن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صحّ الحديث، فاضربوا بقولي الحائطَ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رَوَيتُ عن رسول اللّه حديثاً و لم آخذ به، فاعلموا أنّ عقلي قد 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قول لأحد مع سنّة رسول اللّه</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فتعيّن من خلال ذلك انّ المواضع الأربعة السابقة لا مجال فيها للقول بالتصويب، و الرأي الصائب فيها واحد و غيره 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خروج المواضع السالفة الذكر عن محط النزاع، و انّ جمهور الفقهاء إلاّ من شذّ قائلون فيها بالتخطئة، يُعلم منه أنّ النزاع يختص بالمسائل التي لم يرد حكمها في الكتاب و السنّة، فمن قال بأنّ للّه سبحانه في نفس تلك المسائل التي لم يرد فيها نص، حكم مشترك بين الناس، فالآراء عند قياسها به يوصف الموافق منها بالصواب و المخالف بالخطإ، و من أنكر وجود ذلك الحكمَ المشترك، في نفس المورد يرى الجميع صواباً، و كانَ الحكم الشرعي مفوّضاً إلى تشخيص المجتهد و رؤيته، فيصح الجميع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صرّح بتخصيص محل النزاع بما لا نص فيه هو الغزالي،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ذهب قوم إلى أنّ كلّ مجتهد في الظنّيات مصيب، و 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 واحد، و اختلف الفريقان جميعاً في أنّه هل في الواقعة التي لا نصّ فيها، حكم معين للّه تعالى هو مطلوب المجتهد، فالذي ذهب إليه محقّقو المصوّبة انّه ليس في الواقعة التي لا نصّ فيها حكم معين يطلب بالظن، بل الحكم يتبع الظن، و حكم اللّه تعالى على كلّ مجتهد، ما غلب على ظنّه و هو المختار، و إليه ذهب القاضي</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تضافرت الروايات عن أئمّة أهل البيت انّ للّه سبحانه حكماً مشتركاً في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واقعة و انّه سبحانه لم يترك الحوادث سدى، بل شرّع لها أحكاماً خاصة، و لم يُفوِّض أمر التشريع بيد أحد، و نكتفي بالقليل من تلك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جعفر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لم يدع شيئاً تحتاج إليه الأُمّة إلاّ أنزله في كتابه و بيّنه لرسوله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جعل لكلّ شيء حدّاً، و جعل عليه دليلاً يدل عليه، و جعل لمن تعدّى ذلك الحدّ حدّاً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حمّاد،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شيء إلاّ و فيه كتاب أو سنّة</w:t>
      </w:r>
      <w:r>
        <w:rPr>
          <w:rFonts w:eastAsia="Amiri" w:cs="Amiri" w:ascii="Amiri" w:hAnsi="Amiri"/>
          <w:color w:val="111111"/>
          <w:sz w:val="28"/>
          <w:szCs w:val="28"/>
          <w:rtl w:val="true"/>
          <w:lang w:bidi="ar-SA"/>
        </w:rPr>
        <w:t xml:space="preserve">«. </w:t>
      </w:r>
      <w:r>
        <w:rPr>
          <w:rStyle w:val="FootnoteAnchor"/>
          <w:rtl w:val="true"/>
        </w:rPr>
        <w:footnoteReference w:id="29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سماعة، عن أبي الحسن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شيء في كتاب اللّه و سنّة نبيه أو تقولون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كل شيء في كتاب اللّه و سنّة نبيّه</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حجّة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و اللّه ما من شيء يقرّبكم من الجنة و يبعّدكم عن النار إلاّ و قد أمرتكم به، و ما من شيء يقرّبكم من النار و يبعّدكم عن الجنّة إلاّ و قد نهيتكم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w:t>
      </w:r>
      <w:r>
        <w:rPr>
          <w:rStyle w:val="FootnoteAnchor"/>
          <w:rtl w:val="true"/>
        </w:rPr>
        <w:footnoteReference w:id="298"/>
      </w:r>
      <w:r>
        <w:rPr>
          <w:rFonts w:ascii="Amiri" w:hAnsi="Amiri" w:eastAsia="Amiri" w:cs="Amiri"/>
          <w:color w:val="111111"/>
          <w:sz w:val="28"/>
          <w:sz w:val="28"/>
          <w:szCs w:val="28"/>
          <w:rtl w:val="true"/>
          <w:lang w:bidi="ar-SA"/>
        </w:rPr>
        <w:t>الترمذي عن أبي هريرة، 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حكم الحاكم فاجتهد فأصاب فله أجران، و إذا حكم فأخطأ فله أجر واحد</w:t>
      </w:r>
      <w:r>
        <w:rPr>
          <w:rFonts w:eastAsia="Amiri" w:cs="Amiri" w:ascii="Amiri" w:hAnsi="Amiri"/>
          <w:color w:val="111111"/>
          <w:sz w:val="28"/>
          <w:szCs w:val="28"/>
          <w:rtl w:val="true"/>
          <w:lang w:bidi="ar-SA"/>
        </w:rPr>
        <w:t xml:space="preserve">«. </w:t>
      </w:r>
      <w:r>
        <w:rPr>
          <w:rStyle w:val="FootnoteAnchor"/>
          <w:rtl w:val="true"/>
        </w:rPr>
        <w:footnoteReference w:id="29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أبو بكر عن حكم الكلالة،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سأقول فيها برأيي، فإن كان صواباً فمن اللّه وحده لا شريك له، و إن كان خطأ فمنّي و من الشيطان و اللّه منه بريء</w:t>
      </w:r>
      <w:r>
        <w:rPr>
          <w:rFonts w:eastAsia="Amiri" w:cs="Amiri" w:ascii="Amiri" w:hAnsi="Amiri"/>
          <w:color w:val="111111"/>
          <w:sz w:val="28"/>
          <w:szCs w:val="28"/>
          <w:rtl w:val="true"/>
          <w:lang w:bidi="ar-SA"/>
        </w:rPr>
        <w:t xml:space="preserve">. </w:t>
      </w:r>
      <w:r>
        <w:rPr>
          <w:rStyle w:val="FootnoteAnchor"/>
        </w:rPr>
        <w:footnoteReference w:id="300"/>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87" w:name="pg14687_217346"/>
    </w:p>
    <w:p>
      <w:pPr>
        <w:pStyle w:val="BookText"/>
        <w:rPr/>
      </w:pPr>
      <w:bookmarkEnd w:id="587"/>
      <w:r>
        <w:rPr>
          <w:rFonts w:ascii="Amiri" w:hAnsi="Amiri" w:eastAsia="Amiri" w:cs="Amiri"/>
          <w:color w:val="111111"/>
          <w:sz w:val="28"/>
          <w:sz w:val="28"/>
          <w:szCs w:val="28"/>
          <w:rtl w:val="true"/>
          <w:lang w:bidi="ar-SA"/>
        </w:rPr>
        <w:t>تكشف هذه الروايات و الكلم بوضوح عن وجود الحكم المشترك، و انّ للّه سبحانه حكماً للجميع من غير فرق بين ما إذا ورد فيه النص و ما لا نص فيه، غاية الأمر يكون المجتهد فيما لا نصّ فيه معذوراً إذا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ذهب أصحابنا تبعاً للروايات انّ للّه سبحانه في كلّ واقعة حكماً معيناً يتّجه إليه المجتهد، فيصيبه تارة و يخطئه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أكثر المتكلّمين و الفقهاء إلى أنّ كلّ مجتهد مصيب في اجتهاده و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مذهب أبي علي و أبي هاشم و أبي الحسن الأشعري و أكثر المتكلّمين، و ذهب الأصم </w:t>
      </w:r>
      <w:r>
        <w:rPr>
          <w:rStyle w:val="FootnoteAnchor"/>
          <w:rtl w:val="true"/>
        </w:rPr>
        <w:footnoteReference w:id="301"/>
      </w:r>
      <w:r>
        <w:rPr>
          <w:rFonts w:ascii="Amiri" w:hAnsi="Amiri" w:eastAsia="Amiri" w:cs="Amiri"/>
          <w:color w:val="111111"/>
          <w:sz w:val="28"/>
          <w:sz w:val="28"/>
          <w:szCs w:val="28"/>
          <w:rtl w:val="true"/>
          <w:lang w:bidi="ar-SA"/>
        </w:rPr>
        <w:t xml:space="preserve">و بشر المريسي </w:t>
      </w:r>
      <w:r>
        <w:rPr>
          <w:rStyle w:val="FootnoteAnchor"/>
          <w:rtl w:val="true"/>
        </w:rPr>
        <w:footnoteReference w:id="302"/>
      </w:r>
      <w:r>
        <w:rPr>
          <w:rFonts w:ascii="Amiri" w:hAnsi="Amiri" w:eastAsia="Amiri" w:cs="Amiri"/>
          <w:color w:val="111111"/>
          <w:sz w:val="28"/>
          <w:sz w:val="28"/>
          <w:szCs w:val="28"/>
          <w:rtl w:val="true"/>
          <w:lang w:bidi="ar-SA"/>
        </w:rPr>
        <w:t>إلى أنّ الحقّ واحد و انّ ما عداه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أذهب إليه و هو مذهب جميع شيوخنا المتكلّمين من المتقدّمين و المتأخّرين، و هو الذي اختاره سيدنا المرتضى، و إليه كان يذهب شيخنا أبو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الحقّ واحد</w:t>
      </w:r>
      <w:r>
        <w:rPr>
          <w:rFonts w:eastAsia="Amiri" w:cs="Amiri" w:ascii="Amiri" w:hAnsi="Amiri"/>
          <w:color w:val="111111"/>
          <w:sz w:val="28"/>
          <w:szCs w:val="28"/>
          <w:rtl w:val="true"/>
          <w:lang w:bidi="ar-SA"/>
        </w:rPr>
        <w:t>.</w:t>
      </w:r>
    </w:p>
    <w:p>
      <w:pPr>
        <w:pStyle w:val="Heading6"/>
        <w:numPr>
          <w:ilvl w:val="5"/>
          <w:numId w:val="1"/>
        </w:numPr>
        <w:rPr/>
      </w:pPr>
      <w:bookmarkStart w:id="588" w:name="__RefHeading___Toc3433304_1878427129"/>
      <w:bookmarkStart w:id="589" w:name="_Toc223"/>
      <w:bookmarkEnd w:id="588"/>
      <w:r>
        <w:rPr>
          <w:rtl w:val="true"/>
        </w:rPr>
        <w:t>تنبيه</w:t>
      </w:r>
      <w:bookmarkEnd w:id="589"/>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السبب الذي دعا أهل السنّة إلى القول بالتصويب هو قلّة الروايات النبوية في الأحكام الشرعية، فأصبح قسم هائل من الموضوعات عندهم ممّا لا نصّ فيه، فظنّوا انّ عدم ورود النص من الشرع قرينة على تفويض حكمها إلى المجتهدين، فما استخرجه المجتهد على ضوء المعايير و المقاييس يُصبح حكماً شرعياً للّه تبارك و تعالى، سواء أ وجِد المخالف أم لا، فالجميع على صواب</w:t>
      </w:r>
      <w:r>
        <w:rPr>
          <w:rFonts w:eastAsia="Amiri" w:cs="Amiri" w:ascii="Amiri" w:hAnsi="Amiri"/>
          <w:color w:val="111111"/>
          <w:sz w:val="28"/>
          <w:szCs w:val="28"/>
          <w:rtl w:val="true"/>
          <w:lang w:bidi="ar-SA"/>
        </w:rPr>
        <w:t xml:space="preserve">. </w:t>
      </w:r>
      <w:bookmarkStart w:id="590" w:name="pg14687_217347"/>
    </w:p>
    <w:p>
      <w:pPr>
        <w:pStyle w:val="Heading4"/>
        <w:numPr>
          <w:ilvl w:val="3"/>
          <w:numId w:val="1"/>
        </w:numPr>
        <w:rPr/>
      </w:pPr>
      <w:bookmarkStart w:id="591" w:name="__RefHeading___Toc3433306_1878427129"/>
      <w:bookmarkStart w:id="592" w:name="_Toc224"/>
      <w:bookmarkEnd w:id="590"/>
      <w:bookmarkEnd w:id="591"/>
      <w:r>
        <w:rPr>
          <w:rtl w:val="true"/>
        </w:rPr>
        <w:t>المسألة التاسعة</w:t>
      </w:r>
      <w:r>
        <w:rPr>
          <w:rtl w:val="true"/>
        </w:rPr>
        <w:t xml:space="preserve">: </w:t>
      </w:r>
      <w:r>
        <w:rPr>
          <w:rtl w:val="true"/>
        </w:rPr>
        <w:t>تأثير الزمان و المكان في الاجتهاد</w:t>
      </w:r>
      <w:bookmarkEnd w:id="592"/>
    </w:p>
    <w:p>
      <w:pPr>
        <w:pStyle w:val="Heading5"/>
        <w:numPr>
          <w:ilvl w:val="4"/>
          <w:numId w:val="1"/>
        </w:numPr>
        <w:rPr/>
      </w:pPr>
      <w:bookmarkStart w:id="593" w:name="__RefHeading___Toc3433308_1878427129"/>
      <w:bookmarkStart w:id="594" w:name="_Toc225"/>
      <w:bookmarkEnd w:id="593"/>
      <w:r>
        <w:rPr>
          <w:rtl w:val="true"/>
        </w:rPr>
        <w:t>اشارة</w:t>
      </w:r>
      <w:bookmarkEnd w:id="594"/>
    </w:p>
    <w:p>
      <w:pPr>
        <w:pStyle w:val="BookText"/>
        <w:rPr/>
      </w:pPr>
      <w:r>
        <w:rPr>
          <w:rFonts w:ascii="Amiri" w:hAnsi="Amiri" w:eastAsia="Amiri" w:cs="Amiri"/>
          <w:color w:val="111111"/>
          <w:sz w:val="28"/>
          <w:sz w:val="28"/>
          <w:szCs w:val="28"/>
          <w:rtl w:val="true"/>
          <w:lang w:bidi="ar-SA"/>
        </w:rPr>
        <w:t>قد يُطرح الزمان و المكان بما انّهما ظرفان للحوادث و الطوارئ الحادثة فيهما، و قد يطرحان و يراد منهما المظروف، أساليب الحياة و الظروف الاجتماعية حسب تقدّم الحضارة، و الثاني هو المراد من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يجب أن يفسر تأثير الزمان و المكان بالمعنى المذكور في الاجتهاد، على وجه لا يعارض الأُصول المسلّمة في التشريع الإسلامي، و نشير إلى أصلين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مراتب التوحيد هو التوحيد في التقنين و التشريع، فلا مشرّع و لا مقنّن سواه،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إِلاّ لِلّهِ أَمَرَ أَلاّ تَعْبُدُوا إِلاّ إِيّاهُ ذلِكَ الدِّينُ الْقَيِّمُ وَ لكِنَّ أَكْثَرَ النّاسِ لا يَعْلَمُونَ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و المراد من الحكم هو الحكم التشريعي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أَلاّ تَعْبُدُوا إِلاّ إِيّاهُ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لا يَرْجُونَ لِقاءَنَا ائْتِ بِقُرْآنٍ غَيْرِ هذا أَوْ بَدِّلْهُ قُلْ ما يَكُونُ لِي أَنْ أُبَدِّلَهُ مِنْ تِلْقاءِ نَفْسِي إِنْ أَتَّبِعُ إِلاّ ما يُوحى إِلَيَّ إِنِّي أَخافُ إِنْ عَصَيْتُ رَبِّي عَذابَ يَوْمٍ عَظِيمٍ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 الأنبياء، و كتابه خاتم الكتب، و شريعته خاتمة الشرائع، فحلاله حلال إلى يوم القيامة، و حرامه حرام إلى يوم القيامة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الحلال و الحرام،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لا يكون غيرُه و لا يجيء غيرُه، و حرامه حرام أبداً إلى يوم القيامة لا يكون غيره و لا يجيء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و على ضوء هذين الأصلين يجب أن يفسر تأثير الزمان و المكان في 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أشار إلى هذه المسألة من علمائنا، المحقّق الأردبيلي،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يمكن القول بكلية شيء، بل تختلف الأحكام باعتبار الخصوصيات و الأحوال و الأزمان و الأمكنة و الأشخاص و هو ظاهر، و باستخراج هذه الاختلافات و الانطباق على الجزئيات المأخوذة من الشرع الشريف، امتياز أهل العلم و الفقهاء، شكر اللّه سعيهم و رفع درجاتهم</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ascii="Amiri" w:hAnsi="Amiri" w:eastAsia="Amiri" w:cs="Amiri"/>
          <w:color w:val="111111"/>
          <w:sz w:val="28"/>
          <w:sz w:val="28"/>
          <w:szCs w:val="28"/>
          <w:rtl w:val="true"/>
          <w:lang w:bidi="ar-SA"/>
        </w:rPr>
        <w:t>و هناك كلمة مأثورة عن الإمام السيد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على اعتقاد بالفقه الدارج بين فقهائنا و بالاجتهاد على النهج الجواهري، و هذا أمر لا بدّ منه، و لا يعني ذلك انّ الفقه الإسلامي لا يواكب حاجات العصر، بل انّ لعنصري الزمان و المكان تأثيراً في الاجتهاد، فقد يكون لواقعة حكم لكنّها تتخذ حكماً آخر على ضوء الأُصول الحاكمة على المجتمع و سياسته و اقتصاده</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إنّ القول بأنّ عنصري الزمان و المكان لا تمسّان كرامة الأحكام المنصوصة في الشريعة، مما اتّفقت عليه أيضاً كلمة أهل السنّة حيث إنّهم صرّحوا بأنّ العاملين المذكورين يؤثران في الأحكام المستنبطة عن طريق القياس و المصالح المرسلة و الاستحسان و غيرها، فتغيير المصالح ألجأهم إلى الحكم بتغيير الأحكام الاجتهادية لا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الأُستاذ مصطفى أحمد الزرقاء</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اتّفقت كلمة فقهاء المذاهب على أنّ الأحكام التي تتبدّل بتبدّل الزمان و أخلاق الناس، هي الأحكام الاجتهادية من قياسية و مصلحية أي التي قررها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95" w:name="pg14687_217349"/>
    </w:p>
    <w:p>
      <w:pPr>
        <w:pStyle w:val="BookText"/>
        <w:rPr/>
      </w:pPr>
      <w:bookmarkEnd w:id="595"/>
      <w:r>
        <w:rPr>
          <w:rFonts w:ascii="Amiri" w:hAnsi="Amiri" w:eastAsia="Amiri" w:cs="Amiri"/>
          <w:color w:val="111111"/>
          <w:sz w:val="28"/>
          <w:sz w:val="28"/>
          <w:szCs w:val="28"/>
          <w:rtl w:val="true"/>
          <w:lang w:bidi="ar-SA"/>
        </w:rPr>
        <w:t xml:space="preserve">الاجتهاد بناء على القياس أو على دواعي المصلحة و هي المقصودة من القاعدة المقررة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تغيير الأحكام بتغيّر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الأحكام الأساسية التي جاءت الشريعة لتأسيسها و توطيدها بنصوصها الأصلية الآمرة، الناهية كحرمة المحرّمات المطلقة، و كوجوب التراضي في العقود، و التزام الإنسان بعقده، و ضمان الضرر الذي يُلحقه بغيره، و سريان إقراره على نفسه دون غيره، و وجوب منع الأذى و قمع الإجرام، وسد الذرائع إلى الفساد و حماية الحقوق المكتسبة، و مسئولية كل مكلف عن عمله و تقصيره، و عدم مؤاخذة بريء بذنب غيره، إلى غير ذلك من الأحكام و المبادئ الشرعية الثابتة التي جاءت الشريعة لتأسيسها و مقاومة خلافها، فهذه لا تتبدّل بتبدل الأزمان، بل هي الأُصول التي جاءت بها الشريعة لإصلاح الأزمان و الأجيال، و لكن وسائل تحقيقها و أساليب تطبيقها قد تتبدّل باختلاف الأزمنة المحدثة</w:t>
      </w:r>
      <w:r>
        <w:rPr>
          <w:rFonts w:eastAsia="Amiri" w:cs="Amiri" w:ascii="Amiri" w:hAnsi="Amiri"/>
          <w:color w:val="111111"/>
          <w:sz w:val="28"/>
          <w:szCs w:val="28"/>
          <w:rtl w:val="true"/>
          <w:lang w:bidi="ar-SA"/>
        </w:rPr>
        <w:t xml:space="preserve">.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 على هذا فيجب أن يفسر تأثير العاملين بشكل لا يمسُّ الأصلين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تأثير العنصرين على أقسام، و إليك البيان</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3433310_1878427129"/>
      <w:bookmarkStart w:id="597" w:name="_Toc226"/>
      <w:bookmarkEnd w:id="596"/>
      <w:r>
        <w:rPr>
          <w:rtl w:val="true"/>
        </w:rPr>
        <w:t>الأوّل</w:t>
      </w:r>
      <w:r>
        <w:rPr>
          <w:rtl w:val="true"/>
        </w:rPr>
        <w:t xml:space="preserve">: </w:t>
      </w:r>
      <w:r>
        <w:rPr>
          <w:rtl w:val="true"/>
        </w:rPr>
        <w:t>تأثير الزمان و المكان في صدق الموضوعات</w:t>
      </w:r>
      <w:bookmarkEnd w:id="597"/>
    </w:p>
    <w:p>
      <w:pPr>
        <w:pStyle w:val="BookText"/>
        <w:rPr/>
      </w:pPr>
      <w:r>
        <w:rPr>
          <w:rFonts w:ascii="Amiri" w:hAnsi="Amiri" w:eastAsia="Amiri" w:cs="Amiri"/>
          <w:color w:val="111111"/>
          <w:sz w:val="28"/>
          <w:sz w:val="28"/>
          <w:szCs w:val="28"/>
          <w:rtl w:val="true"/>
          <w:lang w:bidi="ar-SA"/>
        </w:rPr>
        <w:t>إنّ تبدّل الموضوع يراد منه تارة انقلابه إلى موضوع آخر كصيرورة الخمر خلاً و النجس تراباً، و هذا غير مراد في المقام قطعاً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صدق الموضوع على مورد في زمان و مكان و عدم صدقه على ذلك المورد في زمان و مكان آخر، و ما هذا إلاّ لمدخلية الظروف و الملابسات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يظهر ذلك بالتأمّل في الموضوعات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النفقة للزوجة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إمساكها بالمعروف حسب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فَأَمْسِكُوهُنَّ بِمَعْرُوفٍ أَوْ سَرِّحُوهُنَّ بِمَعْرُوفٍ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هذه العنوانات موضوعات لأحكام شرعية، واضحة و لكن محقّقاتها تختلف حسب اختلاف الزمان و المكان، فمثلاً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التمكّن من الزاد و الراحلة التي هي عبارة أُخرى عن الاستطاعة، له محقّقات مختلفة عبْر الزمان، فربما تصدق على مورد في ظرف و لا تصدق عليه في ظرف آخر، كما هو الحال في إمساك الزوجة بالمعروف فإنّها تختلف حسب الظروف الاجتماعية، و تبدّل أساليب الحياة، و لا بعد إذا قلنا انّ فقير اليوم غنيّ الأمس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صدق المثلي و القيميّ، و قد جعل الفقهاء ضابطة للمثلي و القيمي و في ظلّها، عدّوا الحبوب من قبيل المثليات، و الأواني و الألبسة من قبيل القيميات، و ذلك لكثرة وجود المماثل في الأُولى و ندرته في الثانية، و كان ذلك الحكم سائداً حتى تطورت الصناعة تطوراً ملحوظاً فأصبحت تُنتج كميات هائلة من الأواني و المنسوجات لا تختلف واحدة عن الأُخرى قيد شعرة، فأصبحت القيميات بفضل الازدهار الصناعي، مثليات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صدق المكيل و الموزون حيث إنّ الحكم الشرعي هو بيع المكيل بالكيل، و الموزون بالوزن، و لا يجوز بيعهما بالعدّ، و لكن هذا يختلف حسب اختلاف البيئات و المجتمعات، و يلحق لكلّ، حكمه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أحكامهما انّه لا تجوز معاوضة المتجانسين متفاضلاً إلاّ مثلاً بمثل، إذا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98" w:name="pg14687_217351"/>
    </w:p>
    <w:p>
      <w:pPr>
        <w:pStyle w:val="BookText"/>
        <w:rPr/>
      </w:pPr>
      <w:bookmarkEnd w:id="598"/>
      <w:r>
        <w:rPr>
          <w:rFonts w:ascii="Amiri" w:hAnsi="Amiri" w:eastAsia="Amiri" w:cs="Amiri"/>
          <w:color w:val="111111"/>
          <w:sz w:val="28"/>
          <w:sz w:val="28"/>
          <w:szCs w:val="28"/>
          <w:rtl w:val="true"/>
          <w:lang w:bidi="ar-SA"/>
        </w:rPr>
        <w:t>كانا من المكيل و الموزون، دون المعدود و المزروع، و هذا يختلف حسب اختلاف الزمان و المكان فربما جنس يباع بالكيل و الوزن في بلد و بالعدّ في بلد آخر، و هكذا يلحق لكلّ،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تأثير عنصري الزمان و المكان في صدق الموضوع</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3433312_1878427129"/>
      <w:bookmarkStart w:id="600" w:name="_Toc227"/>
      <w:bookmarkEnd w:id="599"/>
      <w:r>
        <w:rPr>
          <w:rtl w:val="true"/>
        </w:rPr>
        <w:t>الثاني</w:t>
      </w:r>
      <w:r>
        <w:rPr>
          <w:rtl w:val="true"/>
        </w:rPr>
        <w:t xml:space="preserve">: </w:t>
      </w:r>
      <w:r>
        <w:rPr>
          <w:rtl w:val="true"/>
        </w:rPr>
        <w:t>تأثيرهما في ملاكات الأحكام</w:t>
      </w:r>
      <w:bookmarkEnd w:id="600"/>
    </w:p>
    <w:p>
      <w:pPr>
        <w:pStyle w:val="BookText"/>
        <w:rPr/>
      </w:pPr>
      <w:r>
        <w:rPr>
          <w:rFonts w:ascii="Amiri" w:hAnsi="Amiri" w:eastAsia="Amiri" w:cs="Amiri"/>
          <w:color w:val="111111"/>
          <w:sz w:val="28"/>
          <w:sz w:val="28"/>
          <w:szCs w:val="28"/>
          <w:rtl w:val="true"/>
          <w:lang w:bidi="ar-SA"/>
        </w:rPr>
        <w:t>لا شكّ انّ الأحكام الشرعية تابعة للملاكات و المصالح و المفاسد، فربما يكون مناط الحكم مجهولاً و مبهماً و أُخرى يكون معلوماً بتصريح من الشارع، و القسم الأوّل خارج عن محلّ البحث، و أمّا القسم الثاني فالحكم دائر مدار مناطه و 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المناط باقياً فالحكم ثابت، و أمّا إذا تغيّر المناط حسب الظروف و الملابسات يتغير الحكم قطعاً، مثلاً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خلاف في حرمة بيع الدم بملاك عدم وجود منفعة محلّلة فيه، و لم يزل حكم الدم كذلك حتى اكتشف العلم له منفعة محلّلة تقوم عليها رحى الحياة، و أصبح التبرع بالدم إلى المرضى كإهداء الحياة لهم، و بذلك حاز الدم على ملاك آخر فحلّ بيعه و شراؤه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قطع أعضاء الميت أمر محرّم في الإسلام،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 المثلة و لو بالكلب العقور</w:t>
      </w:r>
      <w:r>
        <w:rPr>
          <w:rFonts w:eastAsia="Amiri" w:cs="Amiri" w:ascii="Amiri" w:hAnsi="Amiri"/>
          <w:color w:val="111111"/>
          <w:sz w:val="28"/>
          <w:szCs w:val="28"/>
          <w:rtl w:val="true"/>
          <w:lang w:bidi="ar-SA"/>
        </w:rPr>
        <w:t xml:space="preserve">« </w:t>
      </w:r>
      <w:r>
        <w:rPr>
          <w:rStyle w:val="FootnoteAnchor"/>
          <w:rtl w:val="true"/>
        </w:rPr>
        <w:footnoteReference w:id="313"/>
      </w:r>
      <w:r>
        <w:rPr>
          <w:rFonts w:ascii="Amiri" w:hAnsi="Amiri" w:eastAsia="Amiri" w:cs="Amiri"/>
          <w:color w:val="111111"/>
          <w:sz w:val="28"/>
          <w:sz w:val="28"/>
          <w:szCs w:val="28"/>
          <w:rtl w:val="true"/>
          <w:lang w:bidi="ar-SA"/>
        </w:rPr>
        <w:t xml:space="preserve">و من الواضح انّ ملاك التحريم هو قطع الأعضاء لغاية الانتقام و التشفّي، و لم يكن يومذاك أيُّ فائدة تترتّب على قطع أعضاء الميت </w:t>
      </w:r>
      <w:bookmarkStart w:id="601" w:name="pg14687_217352"/>
    </w:p>
    <w:p>
      <w:pPr>
        <w:pStyle w:val="BookText"/>
        <w:rPr/>
      </w:pPr>
      <w:bookmarkEnd w:id="601"/>
      <w:r>
        <w:rPr>
          <w:rFonts w:ascii="Amiri" w:hAnsi="Amiri" w:eastAsia="Amiri" w:cs="Amiri"/>
          <w:color w:val="111111"/>
          <w:sz w:val="28"/>
          <w:sz w:val="28"/>
          <w:szCs w:val="28"/>
          <w:rtl w:val="true"/>
          <w:lang w:bidi="ar-SA"/>
        </w:rPr>
        <w:t>سوى تلبية للرغبة النفسية الانتقام و لكن اليوم ظهرت فوائد جمّة من وراء قطع أعضاء الميت، حيث صارت عملية زرع الأعضاء أمراً ضرورياً يستفاد منها لنجاة حياة المشرفين على الموت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دلّت الروايات على أنّ دية النفس تؤدّى بالأنعام الثلاثة، و الحلّة اليمانية، و الدرهم و الدينار، و مقتضى الجمود على النص عدم التجاوز عن النقدين إلى الأوراق النقدية، غير أنّ الوقوف على دور النقود في النظام الاقتصادي، و انتشار أنواع كثيرة منها في دنيا اليوم، و النظر في الظروف المحيطة بصدور تلك الروايات، يشرف الفقيه على أنّ ذكر النقدين بعنوان أنّه أحد النقود الرائجة آنذاك، و لذلك يجوز لأولياء الدم، المطالبة بالأوراق النقدية المعادلة للنقدين الرائجة في زمانهم، أو اعدالهما من الأنعام و الحُلّة ، و قد وقف الفقهاء على ملاك الحكم عبر تقدّم عنصر الزمان</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3433314_1878427129"/>
      <w:bookmarkStart w:id="603" w:name="_Toc228"/>
      <w:bookmarkEnd w:id="602"/>
      <w:r>
        <w:rPr>
          <w:rtl w:val="true"/>
        </w:rPr>
        <w:t>الثالث</w:t>
      </w:r>
      <w:r>
        <w:rPr>
          <w:rtl w:val="true"/>
        </w:rPr>
        <w:t xml:space="preserve">: </w:t>
      </w:r>
      <w:r>
        <w:rPr>
          <w:rtl w:val="true"/>
        </w:rPr>
        <w:t>تأثيرهما في كيفية تنفيذ الحكم</w:t>
      </w:r>
      <w:bookmarkEnd w:id="6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تضافرت النصوص على حلّية الفيء و الأنفال للشيعة في عصر الغيبة، و من الأنفال المعادن و الآجام و أراضي الموات، و قد كان الانتفاع بها في الأزمنة الماضية محدوداً، ما كان يُثير مشكلة ، و أمّا اليوم و مع تطور الأساليب الصناعية و انتشارها بين الناس أصبح الانتفاع بها غير محدود، فلو لم يتخذ أُسلوباً خاصاً في تنفيذ الحكم لأدّى إلى انقراضها أوّلاً، و خلق طبقة اجتماعية مرفّهة، و أُخرى بائسة فقيرة ثانياً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فالظروف الزمانية و المكانية تفرض قيوداً على إجراء ذلك الحكم بشكل جامع يتكفّل إجراء أصل الحكم، أي حلّية الأنفال للشيعة أوّلاً، و حفظ النظام و بسط العدل و القسط بين الناس ثانياً، بتقسيم الثروات العامة عن طريق الحاكم </w:t>
      </w:r>
      <w:bookmarkStart w:id="604" w:name="pg14687_217353"/>
    </w:p>
    <w:p>
      <w:pPr>
        <w:pStyle w:val="BookText"/>
        <w:rPr/>
      </w:pPr>
      <w:bookmarkEnd w:id="604"/>
      <w:r>
        <w:rPr>
          <w:rFonts w:ascii="Amiri" w:hAnsi="Amiri" w:eastAsia="Amiri" w:cs="Amiri"/>
          <w:color w:val="111111"/>
          <w:sz w:val="28"/>
          <w:sz w:val="28"/>
          <w:szCs w:val="28"/>
          <w:rtl w:val="true"/>
          <w:lang w:bidi="ar-SA"/>
        </w:rPr>
        <w:t>الإسلامي الذي يُشرف على جميع الشئون لينتفع الجميع على حد سواء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 الفقهاء على أنّ الغنائم الحربية تقسّم بين المقاتلين على نسق خاص بعد إخراج خمسها لأصحابه، لكن الغنائم الحربية في عصر صدور الروايات كانت تدور بين السيف و الرمح و السهم و الفرس و غير ذلك، و من المعلوم انّ تقسيمها بين المقاتلين كان أمراً ميسراً آنذاك، أمّا اليوم و في ظل التقدّم العلمي الهائل، فقد أصبحت الغنائم الحربية تدور حول الدبابات و المدرّعات و الحافلات و الطائرات المقاتلة و البوارج الحربية، و من الواضح عدم إمكان تقسيمها بين المقاتلين بل هو أمر متعسر، فعلى الفقيه أن يتّخذ أُسلوباً في كيفية تطبيق الحكم على صعيد العمل ليجمع فيه بين العمل و أصل الحكم و الابتعاد عن المضاعفات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الناظر في فتاوى الفقهاء السابقين فيما يرجع إلى الحج من الطواف حول البيت و السعي بين الصفا و المروة و رمي الجمار و الذبح في منى يواجه ضغطاً شديداً في تطبيق عمل الحجّ على هذه الفتاوى، و لكن تزايد وفود حجاج بيت اللّه عبر الزمان و يوماً بعد يوم أعطى للفقهاء رؤى وسيعة في تنفيذ أحكام الحجّ، فأفتوا بجواز التوسع في الموضوع لا من باب الضرورة و الحرج، بل من باب التوسع في تنفيذ الحكم و انّ المطاف عند الزحام أوسع</w:t>
      </w:r>
      <w:r>
        <w:rPr>
          <w:rFonts w:eastAsia="Amiri" w:cs="Amiri" w:ascii="Amiri" w:hAnsi="Amiri"/>
          <w:color w:val="111111"/>
          <w:sz w:val="28"/>
          <w:szCs w:val="28"/>
          <w:rtl w:val="true"/>
          <w:lang w:bidi="ar-SA"/>
        </w:rPr>
        <w:t>.</w:t>
      </w:r>
    </w:p>
    <w:p>
      <w:pPr>
        <w:pStyle w:val="Heading5"/>
        <w:numPr>
          <w:ilvl w:val="4"/>
          <w:numId w:val="1"/>
        </w:numPr>
        <w:rPr/>
      </w:pPr>
      <w:bookmarkStart w:id="605" w:name="__RefHeading___Toc3433316_1878427129"/>
      <w:bookmarkStart w:id="606" w:name="_Toc229"/>
      <w:bookmarkEnd w:id="605"/>
      <w:r>
        <w:rPr>
          <w:rtl w:val="true"/>
        </w:rPr>
        <w:t>الرابع</w:t>
      </w:r>
      <w:r>
        <w:rPr>
          <w:rtl w:val="true"/>
        </w:rPr>
        <w:t xml:space="preserve">: </w:t>
      </w:r>
      <w:r>
        <w:rPr>
          <w:rtl w:val="true"/>
        </w:rPr>
        <w:t>تأثيرهما في مَنْح نظرة جديدة نحو المسائل</w:t>
      </w:r>
      <w:bookmarkEnd w:id="606"/>
    </w:p>
    <w:p>
      <w:pPr>
        <w:pStyle w:val="BookText"/>
        <w:rPr/>
      </w:pPr>
      <w:r>
        <w:rPr>
          <w:rFonts w:ascii="Amiri" w:hAnsi="Amiri" w:eastAsia="Amiri" w:cs="Amiri"/>
          <w:color w:val="111111"/>
          <w:sz w:val="28"/>
          <w:sz w:val="28"/>
          <w:szCs w:val="28"/>
          <w:rtl w:val="true"/>
          <w:lang w:bidi="ar-SA"/>
        </w:rPr>
        <w:t>إنّ تغيير الأوضاع و الأحوال الزمنية يؤثر في كيفية نظر المجتهد و يمنح له نظرة جديدة نحو المسائل المطروحة في الفقه قديماً و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بعض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القدماء ينظرون إلى البيع بمنظار ضيّق و يفسرونه بنقل الأعيان</w:t>
      </w:r>
      <w:bookmarkStart w:id="607" w:name="pg14687_217354"/>
    </w:p>
    <w:p>
      <w:pPr>
        <w:pStyle w:val="BookText"/>
        <w:rPr/>
      </w:pPr>
      <w:bookmarkEnd w:id="607"/>
      <w:r>
        <w:rPr>
          <w:rFonts w:ascii="Amiri" w:hAnsi="Amiri" w:eastAsia="Amiri" w:cs="Amiri"/>
          <w:color w:val="111111"/>
          <w:sz w:val="28"/>
          <w:sz w:val="28"/>
          <w:szCs w:val="28"/>
          <w:rtl w:val="true"/>
          <w:lang w:bidi="ar-SA"/>
        </w:rPr>
        <w:t>و انتقالها، و لا يجيزون على ضوئها بيع المنافع و الحقوق، غير انّ تطور الحياة و ظهور حقوق جديدة في المجتمع الإنساني و رواج بيعها و شرائها، حدا بالفقهاء إلى إعادة النظر في حقيقة البيع، فجوّزوا بيع الامتيازات و الحقوق 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أفتى القدماء بأنّ الإنسان يملك المعدن المركوز في أرضه تبعاً لها دون أيّ قيد أو شرط، و كان الداعي من وراء تلك الفتوى هو بساطة الوسائل المستخدمة لذلك، و لم يكن بمقدور الإنسان الانتفاع إلاّ بمقدار ما يعدّ تبعاً لأرضه، و لكن مع تقدم الوسائل المستخدمة للاستخراج، استطاع أن يتسلط على أوسع مما يُعد تبعاً لأرضه، فعلى ضوئه لا مجال للإفتاء بأنّ صاحب الأرض يملك المعدن المركوز تبعاً لأرضه بلا قيد أو شرط، بل يحدد بما يعد تبعاً لها، و أمّا الخارج عنها فهو إمّا من الأنفال أو من المباحات العامّة التي يتوقف تملّكها على إجازة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هذه النظرة الجديدة مختصة بالفقه بل تعم أكثر العلوم</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3433318_1878427129"/>
      <w:bookmarkStart w:id="609" w:name="_Toc230"/>
      <w:bookmarkEnd w:id="608"/>
      <w:r>
        <w:rPr>
          <w:rtl w:val="true"/>
        </w:rPr>
        <w:t>الخامس</w:t>
      </w:r>
      <w:r>
        <w:rPr>
          <w:rtl w:val="true"/>
        </w:rPr>
        <w:t xml:space="preserve">: </w:t>
      </w:r>
      <w:r>
        <w:rPr>
          <w:rtl w:val="true"/>
        </w:rPr>
        <w:t>تأثيرهما في تعيين الأساليب</w:t>
      </w:r>
      <w:bookmarkEnd w:id="609"/>
    </w:p>
    <w:p>
      <w:pPr>
        <w:pStyle w:val="BookText"/>
        <w:rPr/>
      </w:pPr>
      <w:r>
        <w:rPr>
          <w:rFonts w:ascii="Amiri" w:hAnsi="Amiri" w:eastAsia="Amiri" w:cs="Amiri"/>
          <w:color w:val="111111"/>
          <w:sz w:val="28"/>
          <w:sz w:val="28"/>
          <w:szCs w:val="28"/>
          <w:rtl w:val="true"/>
          <w:lang w:bidi="ar-SA"/>
        </w:rPr>
        <w:t>إنّ هناك أحكاماً شرعية لم يحدّد الشارع أساليبها بل تركها مطلقة كي يختار منها في كلّ زمان ما هو أصلح في التنظيم نتاجاً و أنجع في التقويم علاجاً، و إليك بعض الأمثلة على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الدفاع عن بيضة الإسلام قانون ثابت لا يتغير و لكن الأساليب المتخذة لتنفيذ هذا القانون موكولة إلى مقتضيات الزمان التي تتغيّر بتغيّره، و لكن في إطار القوانين العامة فليس هناك في الإسلام أصل ثابت إلاّ أمر واحد، و هو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غيرها فكلّها أساليب لهذا القانون تتغيّر حسب تغيّر الزمان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نشر العلم و الثقافة أصل ثابت في الإسلام، و أمّا تحقيق ذلك و تعيين كيفيته فهو موكول إلى الزمان، فعنصر الزمان دخيل في تطبيق الأصل الكلي حسب مقتضيات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التشبّه بالكفار أمر مرغوب عنه حتى أنّ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بخضب الشيب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غيِّروا الشيب و لا تشبّهوا باليهود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الأصل الثابت هو صيانة المسلمين عن التشبّه بأهل الكتاب، و لما اتسعت دائرة الإسلام و اعتنقته شعوب مختلفة و كثر فيهم الشيب تغير الأُسلوب و لما سُئل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الدين قُلّ، فأمّا الآن فقد اتسع نطاقه و ضرب بجرانه فامرؤ و ما اختار</w:t>
      </w:r>
      <w:r>
        <w:rPr>
          <w:rFonts w:eastAsia="Amiri" w:cs="Amiri" w:ascii="Amiri" w:hAnsi="Amiri"/>
          <w:color w:val="111111"/>
          <w:sz w:val="28"/>
          <w:szCs w:val="28"/>
          <w:rtl w:val="true"/>
          <w:lang w:bidi="ar-SA"/>
        </w:rPr>
        <w:t xml:space="preserve">«. </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روح القضاء الإسلامي هو حماية الحقوق و صيانتها، و كان الأُسلوب المتبع في العصور السابقة هو أُسلوب القاضي الفرد، و قضاؤه على درجة واحدة قطعية، و كان هذا النوع من القضاء مؤمِّناً لهدف القضاء، و لكن اليوم لما دبّ الفساد إلى المحاكم و قلَّ الورع ألزم الزمان أن يتبدل أُسلوب القضاء إلى أُسلوب محكمة القضاة الجمع، و تعدّد درجات المحاكم حسب المصلحة الزمنية التي أصبحت تقتضي زيادة الاحتياط، و قد ذكرنا كيفية ذلك في بحوثنا الفقهية</w:t>
      </w:r>
      <w:r>
        <w:rPr>
          <w:rFonts w:eastAsia="Amiri" w:cs="Amiri" w:ascii="Amiri" w:hAnsi="Amiri"/>
          <w:color w:val="111111"/>
          <w:sz w:val="28"/>
          <w:szCs w:val="28"/>
          <w:rtl w:val="true"/>
          <w:lang w:bidi="ar-SA"/>
        </w:rPr>
        <w:t xml:space="preserve">. </w:t>
      </w:r>
      <w:r>
        <w:rPr>
          <w:rStyle w:val="FootnoteAnchor"/>
          <w:rtl w:val="true"/>
        </w:rPr>
        <w:footnoteReference w:id="31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ذكرنا يرجع إلى دور الزمان و المكان في عملية الاجتهاد و الإفتاء، و أمّا دورهما في الأحكام الحكومية التي تدور مدار المصالح و المفاسد و ليست من قبيل الأحكام الواقعية و لا الظاهرية فلها باب واسع، و قد استوفينا الكلام في ذلك في رسالة مخصوصة</w:t>
      </w:r>
      <w:r>
        <w:rPr>
          <w:rFonts w:eastAsia="Amiri" w:cs="Amiri" w:ascii="Amiri" w:hAnsi="Amiri"/>
          <w:color w:val="111111"/>
          <w:sz w:val="28"/>
          <w:szCs w:val="28"/>
          <w:rtl w:val="true"/>
          <w:lang w:bidi="ar-SA"/>
        </w:rPr>
        <w:t xml:space="preserve">. </w:t>
      </w:r>
      <w:r>
        <w:rPr>
          <w:rStyle w:val="FootnoteAnchor"/>
          <w:rtl w:val="true"/>
        </w:rPr>
        <w:footnoteReference w:id="316"/>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 xml:space="preserve">. </w:t>
      </w:r>
      <w:bookmarkStart w:id="610" w:name="pg14687_217356"/>
    </w:p>
    <w:p>
      <w:pPr>
        <w:pStyle w:val="BookText"/>
        <w:rPr/>
      </w:pPr>
      <w:bookmarkEnd w:id="610"/>
      <w:r>
        <w:rPr>
          <w:rFonts w:ascii="Amiri" w:hAnsi="Amiri" w:eastAsia="Amiri" w:cs="Amiri"/>
          <w:color w:val="111111"/>
          <w:sz w:val="28"/>
          <w:sz w:val="28"/>
          <w:szCs w:val="28"/>
          <w:rtl w:val="true"/>
          <w:lang w:bidi="ar-SA"/>
        </w:rPr>
        <w:t>فقد خرجنا بالنتائج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عنصري الزمان و المكان لا تمسّ كرامة الكبريات و لا الأُصول الشرعية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عنصري الزمان و المكان في صدق الموضوع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عنصري الزمان و المكان في الوقوف على ملاكات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 عنصري الزمان و المكان في كيفيّة إجراء 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تأثيرهما في منح النظرة الجديدة نحو الأحكام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تأثيرهما في تعيين الأساليب</w:t>
      </w:r>
      <w:r>
        <w:rPr>
          <w:rFonts w:eastAsia="Amiri" w:cs="Amiri" w:ascii="Amiri" w:hAnsi="Amiri"/>
          <w:color w:val="111111"/>
          <w:sz w:val="28"/>
          <w:szCs w:val="28"/>
          <w:rtl w:val="true"/>
          <w:lang w:bidi="ar-SA"/>
        </w:rPr>
        <w:t>.</w:t>
      </w:r>
    </w:p>
    <w:p>
      <w:pPr>
        <w:pStyle w:val="Heading4"/>
        <w:numPr>
          <w:ilvl w:val="3"/>
          <w:numId w:val="1"/>
        </w:numPr>
        <w:rPr/>
      </w:pPr>
      <w:bookmarkStart w:id="611" w:name="__RefHeading___Toc3433320_1878427129"/>
      <w:bookmarkStart w:id="612" w:name="_Toc231"/>
      <w:bookmarkEnd w:id="611"/>
      <w:r>
        <w:rPr>
          <w:rtl w:val="true"/>
        </w:rPr>
        <w:t>المسألة العاشرة</w:t>
      </w:r>
      <w:r>
        <w:rPr>
          <w:rtl w:val="true"/>
        </w:rPr>
        <w:t>:</w:t>
      </w:r>
      <w:r>
        <w:rPr>
          <w:rtl w:val="true"/>
        </w:rPr>
        <w:t>في التفسير الخاطئ أو تغيير الأحكام حسب المصالح</w:t>
      </w:r>
      <w:bookmarkEnd w:id="612"/>
    </w:p>
    <w:p>
      <w:pPr>
        <w:pStyle w:val="BookText"/>
        <w:rPr/>
      </w:pPr>
      <w:r>
        <w:rPr>
          <w:rFonts w:ascii="Amiri" w:hAnsi="Amiri" w:eastAsia="Amiri" w:cs="Amiri"/>
          <w:color w:val="111111"/>
          <w:sz w:val="28"/>
          <w:sz w:val="28"/>
          <w:szCs w:val="28"/>
          <w:rtl w:val="true"/>
          <w:lang w:bidi="ar-SA"/>
        </w:rPr>
        <w:t>قد ظهر ممّا ذكرنا انّ القول بتأثير عنصري الزمان و المكان يجب أن يحدّد بما لا يمسُّ كرامة الأصلين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تأبيد الأحكام الشرعية، و حصر التقنين باللّه سبحانه و تعالى، غير انّه ربّما يفسر التأثير بنحو خاطئ أي بمعنى تغيير الأحكام الشرعية حسب المصالح الزمنية تبريراً لمخالفة بعض الخلفاء للكتاب و السنّة قائلاً بأنّ للحاكم الأخذ بالمصالح و تفسير الأحكام على ضوئها، و لنقدّم نموذجاً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 الكتاب و السنّة على بطلان الطلاق ثلاثاً، و انّه يجب أن يكون الطلاق واحدة بعد الأُخرى، يتخلّل بينهما رجوع أو نكاح، فلو طلّق ثلاثاً مرّة واحدة أو كرّر الصيغة فلا يحتسب إلاّ طلاقاً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جرى عليه رسول اللّه و الخليفة الأوّل 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يمضي من الطلاق الثلاث إلاّ واحدة منها، و كان الأمر على هذا إلى سنتين من خلافة عمر،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استعجلوا في أمر قد كانت لهم فيه أناة، فلو أمضيناه عليهم، فأمضاه عليهم</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يلاحظ عليه بأنّ استخدام الرأي فيما فيه نص، أمر خاطئ، و لو صحّ استخدامه فإنّما هو فيما لا نصّ فيه من كتاب أو سنّة، و لمّا كان ذلك يمسّ كرامة الخليفة جاء الآخرون يبرّرون عمله بتغيّر الأحكام، بالمصالح و المفاسد، و من المتحمّسين لهذا الموضوع هو ابن القيم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عمر بن الخطاب انّ مفسدة تتابع النص في إيقاع الطلاق لا تندفع إلاّ بإمضائها على الناس، و رأى مصلحة الإمضاء أقوى من مفسدة الإيقاع، أمضى عمل الناس و جعل الطلاق ثلاثاً ثلاثاً</w:t>
      </w:r>
      <w:r>
        <w:rPr>
          <w:rFonts w:eastAsia="Amiri" w:cs="Amiri" w:ascii="Amiri" w:hAnsi="Amiri"/>
          <w:color w:val="111111"/>
          <w:sz w:val="28"/>
          <w:szCs w:val="28"/>
          <w:rtl w:val="true"/>
          <w:lang w:bidi="ar-SA"/>
        </w:rPr>
        <w:t xml:space="preserve">. </w:t>
      </w:r>
      <w:r>
        <w:rPr>
          <w:rStyle w:val="FootnoteAnchor"/>
          <w:rtl w:val="true"/>
        </w:rPr>
        <w:footnoteReference w:id="31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إبطال الشريعة أمر محرّم لا يستباح بأي عنوان، فلا يصحّ لنا تغيير الشريعة بالمعايير الاجتماعية من الصلاح و الفساد، و أمّا مفسدة تتابع النص في إيقاع الطلاق الثلاث فيجب أن تدفع عن طريق آخر لا عن طريق إمضاء ما ليس بمشروع مشروعاً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العجب انّ ابن القيم التفت إلى ذلك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أسهل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تصويب الطلقات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يمنع الناس من إيقاع الثلاث، و يحرّمه عليهم، و يعاقب بالضرب و التأديب من فعله لئلاّ يقع المحذور الذي يترتّب عليه، ثمّ نقل عن عمر بن الخطاب ندامته على التصويب،قال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شيء مثل ندامتي على ثلاث</w:t>
      </w:r>
      <w:r>
        <w:rPr>
          <w:rFonts w:eastAsia="Amiri" w:cs="Amiri" w:ascii="Amiri" w:hAnsi="Amiri"/>
          <w:color w:val="111111"/>
          <w:sz w:val="28"/>
          <w:szCs w:val="28"/>
          <w:rtl w:val="true"/>
          <w:lang w:bidi="ar-SA"/>
        </w:rPr>
        <w:t xml:space="preserve">. </w:t>
      </w:r>
      <w:r>
        <w:rPr>
          <w:rStyle w:val="FootnoteAnchor"/>
        </w:rPr>
        <w:footnoteReference w:id="319"/>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bookmarkStart w:id="613" w:name="pg14687_217358"/>
    </w:p>
    <w:p>
      <w:pPr>
        <w:pStyle w:val="Heading3"/>
        <w:numPr>
          <w:ilvl w:val="2"/>
          <w:numId w:val="1"/>
        </w:numPr>
        <w:rPr/>
      </w:pPr>
      <w:bookmarkStart w:id="614" w:name="__RefHeading___Toc3433322_1878427129"/>
      <w:bookmarkStart w:id="615" w:name="_Toc232"/>
      <w:bookmarkEnd w:id="613"/>
      <w:bookmarkEnd w:id="614"/>
      <w:r>
        <w:rPr>
          <w:rtl w:val="true"/>
        </w:rPr>
        <w:t>الفصل الثاني</w:t>
      </w:r>
      <w:r>
        <w:rPr>
          <w:rtl w:val="true"/>
        </w:rPr>
        <w:t xml:space="preserve">: </w:t>
      </w:r>
      <w:r>
        <w:rPr>
          <w:rtl w:val="true"/>
        </w:rPr>
        <w:t>في التقليد و أحكامه</w:t>
      </w:r>
      <w:bookmarkEnd w:id="615"/>
    </w:p>
    <w:p>
      <w:pPr>
        <w:pStyle w:val="Heading4"/>
        <w:numPr>
          <w:ilvl w:val="3"/>
          <w:numId w:val="1"/>
        </w:numPr>
        <w:rPr/>
      </w:pPr>
      <w:bookmarkStart w:id="616" w:name="__RefHeading___Toc3433324_1878427129"/>
      <w:bookmarkStart w:id="617" w:name="_Toc233"/>
      <w:bookmarkEnd w:id="616"/>
      <w:r>
        <w:rPr>
          <w:rtl w:val="true"/>
        </w:rPr>
        <w:t>اشارة</w:t>
      </w:r>
      <w:bookmarkEnd w:id="617"/>
    </w:p>
    <w:p>
      <w:pPr>
        <w:pStyle w:val="BookText"/>
        <w:rPr/>
      </w:pPr>
      <w:r>
        <w:rPr>
          <w:rFonts w:ascii="Amiri" w:hAnsi="Amiri" w:eastAsia="Amiri" w:cs="Amiri"/>
          <w:color w:val="111111"/>
          <w:sz w:val="28"/>
          <w:sz w:val="28"/>
          <w:szCs w:val="28"/>
          <w:rtl w:val="true"/>
          <w:lang w:bidi="ar-SA"/>
        </w:rPr>
        <w:t>و يقع الكلام في هذا الفصل في عدّة مسائل</w:t>
      </w:r>
      <w:r>
        <w:rPr>
          <w:rFonts w:eastAsia="Amiri" w:cs="Amiri" w:ascii="Amiri" w:hAnsi="Amiri"/>
          <w:color w:val="111111"/>
          <w:sz w:val="28"/>
          <w:szCs w:val="28"/>
          <w:rtl w:val="true"/>
          <w:lang w:bidi="ar-SA"/>
        </w:rPr>
        <w:t>:</w:t>
      </w:r>
    </w:p>
    <w:p>
      <w:pPr>
        <w:pStyle w:val="Heading4"/>
        <w:numPr>
          <w:ilvl w:val="3"/>
          <w:numId w:val="1"/>
        </w:numPr>
        <w:rPr/>
      </w:pPr>
      <w:bookmarkStart w:id="618" w:name="__RefHeading___Toc3433326_1878427129"/>
      <w:bookmarkStart w:id="619" w:name="_Toc234"/>
      <w:bookmarkEnd w:id="618"/>
      <w:r>
        <w:rPr>
          <w:rtl w:val="true"/>
        </w:rPr>
        <w:t>المسألة الأُولى</w:t>
      </w:r>
      <w:r>
        <w:rPr>
          <w:rtl w:val="true"/>
        </w:rPr>
        <w:t xml:space="preserve">: </w:t>
      </w:r>
      <w:r>
        <w:rPr>
          <w:rtl w:val="true"/>
        </w:rPr>
        <w:t>التقليد لغة و اصطلاحاً</w:t>
      </w:r>
      <w:bookmarkEnd w:id="619"/>
    </w:p>
    <w:p>
      <w:pPr>
        <w:pStyle w:val="BookText"/>
        <w:rPr/>
      </w:pPr>
      <w:r>
        <w:rPr>
          <w:rFonts w:ascii="Amiri" w:hAnsi="Amiri" w:eastAsia="Amiri" w:cs="Amiri"/>
          <w:color w:val="111111"/>
          <w:sz w:val="28"/>
          <w:sz w:val="28"/>
          <w:szCs w:val="28"/>
          <w:rtl w:val="true"/>
          <w:lang w:bidi="ar-SA"/>
        </w:rPr>
        <w:t>التقليد لغة من القلادة، و معناه جعلها في عنق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اصطلاحاً، فقد عرّف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بفتوى الغير و تعلّمها للعمل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الالتزام بالعمل بفتوى الغير و إن لم يتعلّم فضلاً عن أن يعمل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الاستناد إلى فتوى الغير في مقام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التعريف الثالث هو المناسب للفظ التقليد، لأنّ المقلّد من يجعل القلادة في عنق الغير</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فالشيء الذي هو يشبه القلادة الّتي يجعلها في عنق الغير هو عمله، فكأنَّ العامي يجعله في عنق المجتهد بمعنى جعله مسئولاً عن صحّة عمله و فساده و براءة ذمّته و اشتغالها، و هذا لا يتحقّق إلاّ بنفس العمل لا بالأخذ و لا بالالتزام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يؤيده ما رواه الكليني بسند صحيح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أفتى الناس بغير علم و لا هدى من اللّه لعنته ملائكة الرحمة </w:t>
      </w:r>
      <w:bookmarkStart w:id="620" w:name="pg14687_217359"/>
    </w:p>
    <w:p>
      <w:pPr>
        <w:pStyle w:val="BookText"/>
        <w:rPr/>
      </w:pPr>
      <w:bookmarkEnd w:id="620"/>
      <w:r>
        <w:rPr>
          <w:rFonts w:ascii="Amiri" w:hAnsi="Amiri" w:eastAsia="Amiri" w:cs="Amiri"/>
          <w:color w:val="111111"/>
          <w:sz w:val="28"/>
          <w:sz w:val="28"/>
          <w:szCs w:val="28"/>
          <w:rtl w:val="true"/>
          <w:lang w:bidi="ar-SA"/>
        </w:rPr>
        <w:t>و ملائكة العذاب، و لحقه وزر من عمل بفتياه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التقليد هو العمل استناداً إلى قول المجتهد، يلزم أن يكون التقليد متأخراً عن العمل و محقّقاً به، مع أنّه متقدم على العمل حيث لا بدّ أن يكون العمل عن 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التقليد في رتبة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إنّما يتم لو دلّ دليل على لزوم كون العمل ناشئاً عن تقليد كي يكون سابقاً على العمل و ليس كذلك إذ الواجب أن يكون العامي في عمله معتمداً على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متحقّق حتى و لو كان التقليد نفس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فائدة مهمة في تحقيق مفهوم التقليد، لأنّه لم يقع موضوعاً لحكم شرعيّ في دليل صالح للاستناد، فصحّة عمل العامي تابع لدلالة الدليل الشرعي، لا لصدق التقليد و عدمه، و تصوّر انّه وقع موضوعاً في المسألتين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البقاء على تقليد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العدول من تقليد حي إلى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مدفوع بأنّ الحكم بالجواز أو المنع ليس دائراً مدار صدق التقليد و عدمه، بل دائر مدار وجود الدليل على البقاء أو العدول و عدمه، و لعلّ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مشير إلى واقع المسألة لا انّه دخيل في الموضوع</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3433328_1878427129"/>
      <w:bookmarkStart w:id="622" w:name="_Toc235"/>
      <w:bookmarkEnd w:id="621"/>
      <w:r>
        <w:rPr>
          <w:rtl w:val="true"/>
        </w:rPr>
        <w:t>المسألة الثانية</w:t>
      </w:r>
      <w:r>
        <w:rPr>
          <w:rtl w:val="true"/>
        </w:rPr>
        <w:t xml:space="preserve">: </w:t>
      </w:r>
      <w:r>
        <w:rPr>
          <w:rtl w:val="true"/>
        </w:rPr>
        <w:t>في جواز التقليد</w:t>
      </w:r>
      <w:bookmarkEnd w:id="622"/>
    </w:p>
    <w:p>
      <w:pPr>
        <w:pStyle w:val="BookText"/>
        <w:rPr/>
      </w:pPr>
      <w:r>
        <w:rPr>
          <w:rFonts w:ascii="Amiri" w:hAnsi="Amiri" w:eastAsia="Amiri" w:cs="Amiri"/>
          <w:color w:val="111111"/>
          <w:sz w:val="28"/>
          <w:sz w:val="28"/>
          <w:szCs w:val="28"/>
          <w:rtl w:val="true"/>
          <w:lang w:bidi="ar-SA"/>
        </w:rPr>
        <w:t>البحث في جواز التقليد يتصوّر على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يصحّ للعاميّ أن يعتمد عليه في أمر التقليد و جواز الرجوع إلى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يمكن أن يعتمد عليه المجتهد في الإفتاء بجواز التقليد</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فللعامّي أن يستند في جواز الرجوع إلى العلماء إلى السيرة </w:t>
      </w:r>
    </w:p>
    <w:p>
      <w:pPr>
        <w:pStyle w:val="BookText"/>
        <w:rPr/>
      </w:pPr>
      <w:r>
        <w:rPr>
          <w:rFonts w:ascii="Amiri" w:hAnsi="Amiri" w:eastAsia="Amiri" w:cs="Amiri"/>
          <w:color w:val="111111"/>
          <w:sz w:val="28"/>
          <w:sz w:val="28"/>
          <w:szCs w:val="28"/>
          <w:rtl w:val="true"/>
          <w:lang w:bidi="ar-SA"/>
        </w:rPr>
        <w:t>العقلائية في جميع الأمصار، و هي لزوم رجوع الجاهل إلى العالم، و هذا أصل قام عليه صَرْح الحياة، إذ من المستحيل أن يستقل كل فرد متحضّر بإنجاز جميع حاجاته من جميع النواحي، فلا محيص من تقسيم الحاجات الأوّلية و الثانوية كي يتحمّل كلّ شخص أو طائفة، ناحية من نواحيها، و لأجل ذلك نرى أنّ أصحاب التخصّصات في العلوم و الفنون، يرجعون في غير اختصاصاتهم إلى 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الرجوع إلى علماء الدين الذين حازوا على مكانة خاصة في قلوب الناس ممّا أطبق عليه كافة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فيكفي في الإفتاء على جواز التقليد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آية النفر، فانّ التفقّه آية أنّ المنذر، فقيه فهم الدين عن نظر و بصيرة، و عاد ينذر قومه ببيان أحكامه سبحانه 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الإرجاعية، فإنّ أئمّة أهل البيت أرجعوا شيعتهم إلى فقهاء أصحابهم، كأبان بن تغلب، و محمد بن مسلم الثقفي، و زرارة، و يونس بن عبد الرحمن، و زكريا بن آدم القمي، و معاذ بن مسلم النحوي، و أضرابهم ممّن كانوا على درجة كبيرة من العلم و فهم الحكم من الكتاب و السنّة، و نشير إلى بعض هذه الروايات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 عبد العزيز المهتدي،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في كلّ وقت فممّن آخذ معالم ديني؟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 يونس بن عبد الرحمن</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المسيّب الهمداني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شقّتي بعيدة و لست أصِلُ إليك في كل وقت، فممّن آخذ معالم ديني؟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زكريا بن آدم القمي، المأمون على الدين و الدنيا</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bookmarkStart w:id="623" w:name="pg14687_217361"/>
    </w:p>
    <w:p>
      <w:pPr>
        <w:pStyle w:val="BookText"/>
        <w:rPr/>
      </w:pPr>
      <w:bookmarkEnd w:id="623"/>
      <w:r>
        <w:rPr>
          <w:rFonts w:ascii="Amiri" w:hAnsi="Amiri" w:eastAsia="Amiri" w:cs="Amiri"/>
          <w:color w:val="111111"/>
          <w:sz w:val="28"/>
          <w:sz w:val="28"/>
          <w:szCs w:val="28"/>
          <w:rtl w:val="true"/>
          <w:lang w:bidi="ar-SA"/>
        </w:rPr>
        <w:t>و هؤلاء الذين أرجع إليهم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 في الطبقة الأُولى من الفقهاء، و لم يكونوا من الرواة الّذين لا شغل لهم إلاّ نقل النصوص، غاية الأمر كانوا يفتون بلفظ النص بعد الإحاطة بجميع النصوص، و تطبيق الأُصول على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الآيات الذامّة للتقليد </w:t>
      </w:r>
      <w:r>
        <w:rPr>
          <w:rStyle w:val="FootnoteAnchor"/>
          <w:rtl w:val="true"/>
        </w:rPr>
        <w:footnoteReference w:id="324"/>
      </w:r>
      <w:r>
        <w:rPr>
          <w:rFonts w:ascii="Amiri" w:hAnsi="Amiri" w:eastAsia="Amiri" w:cs="Amiri"/>
          <w:color w:val="111111"/>
          <w:sz w:val="28"/>
          <w:sz w:val="28"/>
          <w:szCs w:val="28"/>
          <w:rtl w:val="true"/>
          <w:lang w:bidi="ar-SA"/>
        </w:rPr>
        <w:t>فهي بصدد ذم رجوع الجاهل إلى الجاهل بداعي العصبية لا بما أنّه من أصحاب البصيرة و التدبّر، فأين هذا من رجوع العاميّ إلى العالم بداعي أنّه من أهل الخبرة في مجال الدين؟</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3433330_1878427129"/>
      <w:bookmarkStart w:id="625" w:name="_Toc236"/>
      <w:bookmarkEnd w:id="624"/>
      <w:r>
        <w:rPr>
          <w:rtl w:val="true"/>
        </w:rPr>
        <w:t>المسألة الثالثة</w:t>
      </w:r>
      <w:r>
        <w:rPr>
          <w:rtl w:val="true"/>
        </w:rPr>
        <w:t xml:space="preserve">: </w:t>
      </w:r>
      <w:r>
        <w:rPr>
          <w:rtl w:val="true"/>
        </w:rPr>
        <w:t>في وجوب تقليد الأعلم</w:t>
      </w:r>
      <w:bookmarkEnd w:id="625"/>
    </w:p>
    <w:p>
      <w:pPr>
        <w:pStyle w:val="Heading5"/>
        <w:numPr>
          <w:ilvl w:val="4"/>
          <w:numId w:val="1"/>
        </w:numPr>
        <w:rPr/>
      </w:pPr>
      <w:bookmarkStart w:id="626" w:name="__RefHeading___Toc3433332_1878427129"/>
      <w:bookmarkStart w:id="627" w:name="_Toc237"/>
      <w:bookmarkEnd w:id="626"/>
      <w:r>
        <w:rPr>
          <w:rtl w:val="true"/>
        </w:rPr>
        <w:t>اشارة</w:t>
      </w:r>
      <w:bookmarkEnd w:id="627"/>
    </w:p>
    <w:p>
      <w:pPr>
        <w:pStyle w:val="BookText"/>
        <w:rPr/>
      </w:pPr>
      <w:r>
        <w:rPr>
          <w:rFonts w:ascii="Amiri" w:hAnsi="Amiri" w:eastAsia="Amiri" w:cs="Amiri"/>
          <w:color w:val="111111"/>
          <w:sz w:val="28"/>
          <w:sz w:val="28"/>
          <w:szCs w:val="28"/>
          <w:rtl w:val="true"/>
          <w:lang w:bidi="ar-SA"/>
        </w:rPr>
        <w:t>إذا اختلف الأحياء في العلم و الفضيلة، فمع علم المقلّد باختلافهم على وجه التفصيل أو الإجمال أو شكّه، فهل يجب الأخذ بفتوى الفاضل، أو يجوز العمل بفتوى المفضول أيضاً؟ قولان، و لنذكر صور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العامّي موافقة الأعلم لغيره في الفتوى بتفاصيلها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مخالفتهما في الفتوى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مخالفتهما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مخالفتهما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فهي خارجة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فحكمها تعيّن الرجوع إلى الأعلم لسيرة العقلاء، و من البعيد شمول كلمات القائلين بالجواز لهذه الصورة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محل الكلام، فذهب القاضي و الحاجبي و العضدي إلى جواز تقليد المفضول، مستدلّين بأنّ المفضولين باتفاق في زمان الصحابة </w:t>
      </w:r>
    </w:p>
    <w:p>
      <w:pPr>
        <w:pStyle w:val="BookText"/>
        <w:rPr/>
      </w:pPr>
      <w:r>
        <w:rPr>
          <w:rFonts w:ascii="Amiri" w:hAnsi="Amiri" w:eastAsia="Amiri" w:cs="Amiri"/>
          <w:color w:val="111111"/>
          <w:sz w:val="28"/>
          <w:sz w:val="28"/>
          <w:szCs w:val="28"/>
          <w:rtl w:val="true"/>
          <w:lang w:bidi="ar-SA"/>
        </w:rPr>
        <w:t>و غيرهم كانوا يفتون و يستفتون و لم ينكره أحد و دلّ على جوازه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اختار الغزالي تعيّن تقليد الفاضل،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عندي أنّه يلزم اتّباع الأفضل، فمن اعتقد أنّ الشافعي أعلم، و الصواب على مذهبه أغلب، فليس له أن يأخذ بمثل مخالفه بالتشهّي</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و أمّا أصحابنا فقد استقصى الشيخ الأنصاري أقوالهم في رسالة خاصّة له في تقليد الأعلم،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الفاضل هو خِيَرة أكابر العلماء، كالسيد المرتضى، و المحقّق، و العلاّمة، و عميد الدين، و الشهيد، و المحقّق الثاني، و الشهيد الثاني، و صاحب المعالم، و بهاء الدين العاملي، و الشيخ صالح المازندراني، و السيد علي صاحب الرياض</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Amiri" w:hAnsi="Amiri" w:eastAsia="Amiri" w:cs="Amiri"/>
          <w:color w:val="111111"/>
          <w:sz w:val="28"/>
          <w:sz w:val="28"/>
          <w:szCs w:val="28"/>
          <w:rtl w:val="true"/>
          <w:lang w:bidi="ar-SA"/>
        </w:rPr>
        <w:t>و لنذكر بعض كلمات الأصحاب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بعضهم عنده أعلم من بعض، أو أورع، أو أدين، فقد اختلفوا فمنهم من جعله مخيّراً، و منهم من أوجب أن يستفتي المقدَّم في العلم و الدين، و هو أولى، لأنّ الثقة هاهنا أقرب و أوكد، و الأُصول كلّها بذلك شاهدة</w:t>
      </w:r>
      <w:r>
        <w:rPr>
          <w:rFonts w:eastAsia="Amiri" w:cs="Amiri" w:ascii="Amiri" w:hAnsi="Amiri"/>
          <w:color w:val="111111"/>
          <w:sz w:val="28"/>
          <w:szCs w:val="28"/>
          <w:rtl w:val="true"/>
          <w:lang w:bidi="ar-SA"/>
        </w:rPr>
        <w:t xml:space="preserve">. </w:t>
      </w:r>
      <w:r>
        <w:rPr>
          <w:rStyle w:val="FootnoteAnchor"/>
          <w:rtl w:val="true"/>
        </w:rPr>
        <w:footnoteReference w:id="3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يجب عليه الاجتهاد في معرفة الأعلم و الأورع، فإن تساويا تخيّر في استفتاء أيّهما شاء، و إن ترجّح أحدهما من كلِّ وجه، تعيّن العمل بالراجح، و إن ترجّح كلُّ واحد منهما على صاحبه بصفة فالأقوى الأخذ بقول الأعلم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628" w:name="pg14687_217363"/>
    </w:p>
    <w:p>
      <w:pPr>
        <w:pStyle w:val="BookText"/>
        <w:rPr/>
      </w:pPr>
      <w:bookmarkEnd w:id="628"/>
      <w:r>
        <w:rPr>
          <w:rFonts w:ascii="Amiri" w:hAnsi="Amiri" w:eastAsia="Amiri" w:cs="Amiri"/>
          <w:color w:val="111111"/>
          <w:sz w:val="28"/>
          <w:sz w:val="28"/>
          <w:szCs w:val="28"/>
          <w:rtl w:val="true"/>
          <w:lang w:bidi="ar-SA"/>
        </w:rPr>
        <w:t>إذا عرفت هذا، فاعلم أنّ الكلام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وظيفة العامي في تلك المسألة، و هل يستقل عقله بالرجوع إلى الفاضل، أو بالتخيير بينه و بين المفضول؟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مقتضى الأدلّة عند المجتهد، فهل يستفاد منها لزوم الرجوع إلى الفاضل، أو يستفاد التخيير؟ 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أنّه لو تدبّر، يستقل عقله بعدم جواز تقليد المفضول، لأنّ قول الفاضل متيقن الحجّية دون المفضول، فهو مشكوك الحجّية، و الاشتغال اليقيني يستدعي الفراغ اليقيني، و لا يحصل إلاّ بالعمل على رأي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قلّد في تلك المسألة المجتهد الفاضل و أجاز تقليد المفضول، جاز له تقليدُه، لكنّه ليس تقليداً له ابتداء، بل هو في الحقيقة تقليد للفاضل، و بتقليده تُصْبِحُ فتاوى المفضول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هو مقتضى الأدلّة عند المجتهد، فقد ذهب المشهور إلى أنّ مقتضى الأدلّة هو لزوم تقديم الفاضل، و إليك أدلّتهم</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3433334_1878427129"/>
      <w:bookmarkStart w:id="630" w:name="_Toc238"/>
      <w:bookmarkEnd w:id="629"/>
      <w:r>
        <w:rPr>
          <w:rtl w:val="true"/>
        </w:rPr>
        <w:t>أدلّة القائلين بلزوم تقديم الفاضل</w:t>
      </w:r>
      <w:bookmarkEnd w:id="630"/>
    </w:p>
    <w:p>
      <w:pPr>
        <w:pStyle w:val="BookText"/>
        <w:rPr/>
      </w:pPr>
      <w:r>
        <w:rPr>
          <w:rFonts w:ascii="IRNazanin" w:hAnsi="IRNazanin" w:eastAsia="IRNazanin"/>
          <w:color w:val="111111"/>
          <w:sz w:val="28"/>
          <w:sz w:val="28"/>
          <w:szCs w:val="28"/>
          <w:rtl w:val="true"/>
          <w:lang w:bidi="fa-IR"/>
        </w:rPr>
        <w:t>استدلّ القائلون بوجوه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مقتضى الأصل الأوّلي هو عدم حجّية رأي أحد على آخر، خرج منه متابعة الفاضل بالاتفاق، و بقيت متابعة المفضول تحت عموم حرمة العمل بلا علم، فالعمل بغيره يتوقف على 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الأوّلي هو التخيير لأنّ الأمر في المقام دائر بين التعيين و التخيير، و بما أنّ في الأوّل مئونة زائدة، تجري البراءة في تعيّن الفاضل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دوران الأمر بين التعيين و التخيير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يدور الأمر بين التعيين و التخيير الشرعيين، كما في خصال الكفارة المردّدة بين تعيّن صوم ستين يوماً، أو التخيير بينه و بين الإطعام و العتق، فمقتضى الأصل الأوّلي فيه هو الاشتغال و الأخذ بمحتمل التعيّن، لعدم العلم بالبراءة إذا امتثل بمحتمل التخيير، بلا فرق بين التكاليف و الحجج كما في المقام ، بل الأمر في الحُجج أوضح، لما عرفت من أنّ الشك في الحجّة مساوق للقطع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دار الأمر بين التعيّن الشرعي لفرد و التخيير العقلي بين الأفراد فالمرجع هو البراءة، كما إذا دار الأمر بين عتق خصوص الرقبة المؤمنة، أو مطلق الرقبة الملازم لتخيير المكلف عقلاً بين أفرادها، لأنّ الالتزام بعتق مطلق الرقبة معلوم تفصيلاً، و الشكّ في وجوب خصوص قيدها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فتجري فيه البراءة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جرت سيرة العقلاء على الرجوع إلى الفاضل عند العلم بالخلاف، فلو اختلف الحاذق و غير الحاذق من الأطبّاء في تعيين نوع المرض فيقدّم قول الحاذق على غير الحاذق من دون فرق بين كون الخلاف بينهما معلوماً بالتفصيل أو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رجوعهم إلى المفضول في بعض الموارد فيرجع إلى عدم العلم بالخلاف في مورد المراجعة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علم إجمالاً بوجود الخلاف بين أصحاب الفن، أو إلى تسامحهم في الرجوع إلى المفضول في أغراضهم المادية دون مهام الأُمور و معاليها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تجويز الرجوع إلى المفضول رهن وجود إطلاق في أدلّة جواز التقليد، يكون مقتضاه جواز الرجوع إليه، و لكن ليس بأيدينا من الأدلّة شيء وراء آية النفر، و السؤال، و الروايات الإرجاعية، و كلّها منصرفة عن مورد اختلاف الفتويين</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جاءت الإشارة إلى تلك السيرة في بعض الروايات كتلميح على لزوم </w:t>
      </w:r>
    </w:p>
    <w:p>
      <w:pPr>
        <w:pStyle w:val="BookText"/>
        <w:rPr/>
      </w:pPr>
      <w:r>
        <w:rPr>
          <w:rFonts w:ascii="Amiri" w:hAnsi="Amiri" w:eastAsia="Amiri" w:cs="Amiri"/>
          <w:color w:val="111111"/>
          <w:sz w:val="28"/>
          <w:sz w:val="28"/>
          <w:szCs w:val="28"/>
          <w:rtl w:val="true"/>
          <w:lang w:bidi="ar-SA"/>
        </w:rPr>
        <w:t>الأخذ بقول الأعلم نأتي ببعضها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عيسى بن 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بتقوى اللّه وحده لا شريك له، و انظروا لأنفسكم، فو اللّه إنّ الرجل ليكون له الغنم فيها الراعي، فإذا وجد رجلاً هو أعلم بغنمه من الذي هو فيها، يخرجه و يجيء بذلك الرجل الذي هو أعلم بغنمه من الذي كان فيها</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حنظلة،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اختلاف الحكمين،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يحكم به الآخر</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داود بن الحصين،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مسألة اختلاف الحكمين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ينظر إلى أفقههما و أعلمهما بأحاديثنا و أورعهما، فينفذ حكمه و لا يلتفت إلى الآخر</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موسى بن أكيل،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اختلاف الحكمين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أعدلهما و أفقههما في دين اللّه فيمضى حكمه</w:t>
      </w:r>
      <w:r>
        <w:rPr>
          <w:rFonts w:eastAsia="Amiri" w:cs="Amiri" w:ascii="Amiri" w:hAnsi="Amiri"/>
          <w:color w:val="111111"/>
          <w:sz w:val="28"/>
          <w:szCs w:val="28"/>
          <w:rtl w:val="true"/>
          <w:lang w:bidi="ar-SA"/>
        </w:rPr>
        <w:t xml:space="preserve">«. </w:t>
      </w:r>
      <w:r>
        <w:rPr>
          <w:rStyle w:val="FootnoteAnchor"/>
          <w:rtl w:val="true"/>
        </w:rPr>
        <w:footnoteReference w:id="33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مورد الأحاديث الثلاثة الأخيرة هو الحكم و القضاء و لا يصحّ التعدّي عنه إلى مورد الإفتاء، لأنّ أمر القضاء لا يقبل التخيير و لا التفويض و لا الإهمال، بخلاف الفتوى إذ لا مانع من التخيير بين الرأيين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يخلو من تلميح إلى الترجيح به في الإفتاء، لأنّ اختلاف الحكمين قد ينشأ من الاختلاف في الأُمور الخارجية، و أُخرى من الاختلاف في الفتوى، و مورد بعض الروايات هو اختلاف الحكمين لأجل الاختلاف في الفتوى كما في مقبولة عمر بن حنظلة حيث كان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31" w:name="pg14687_217366"/>
    </w:p>
    <w:p>
      <w:pPr>
        <w:pStyle w:val="BookText"/>
        <w:rPr/>
      </w:pPr>
      <w:bookmarkEnd w:id="631"/>
      <w:r>
        <w:rPr>
          <w:rFonts w:ascii="Amiri" w:hAnsi="Amiri" w:eastAsia="Amiri" w:cs="Amiri"/>
          <w:color w:val="111111"/>
          <w:sz w:val="28"/>
          <w:sz w:val="28"/>
          <w:szCs w:val="28"/>
          <w:rtl w:val="true"/>
          <w:lang w:bidi="ar-SA"/>
        </w:rPr>
        <w:t>اختلاف الحكمين في الحبوة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تكن فتوى المفضول مطابقة للاحتياط، و فتوى الفاضل مخالفة له، كما إذا أفتى الأوّل بنجاسة الغسالة و الآخر بطهارتها، أو أفتى الأوّل بوجوب التسبيحات الأربع ثلاثاً و أفتى الفاضل بوجوبها مرّة، إذ يجوز حينئذ ترك قول الفاضل و الأخذ برأي المفضول، إلاّ أنّ هذا في الحقيقة عمل بالاحتياط الوارد في فتوى المفضول دون الفاضل</w:t>
      </w:r>
      <w:r>
        <w:rPr>
          <w:rFonts w:eastAsia="Amiri" w:cs="Amiri" w:ascii="Amiri" w:hAnsi="Amiri"/>
          <w:color w:val="111111"/>
          <w:sz w:val="28"/>
          <w:szCs w:val="28"/>
          <w:rtl w:val="true"/>
          <w:lang w:bidi="ar-SA"/>
        </w:rPr>
        <w:t>.</w:t>
      </w:r>
    </w:p>
    <w:p>
      <w:pPr>
        <w:pStyle w:val="Heading5"/>
        <w:numPr>
          <w:ilvl w:val="4"/>
          <w:numId w:val="1"/>
        </w:numPr>
        <w:rPr/>
      </w:pPr>
      <w:bookmarkStart w:id="632" w:name="__RefHeading___Toc3433336_1878427129"/>
      <w:bookmarkStart w:id="633" w:name="_Toc239"/>
      <w:bookmarkEnd w:id="632"/>
      <w:r>
        <w:rPr>
          <w:rtl w:val="true"/>
        </w:rPr>
        <w:t>ما هو المراد من الأعلم؟</w:t>
      </w:r>
      <w:bookmarkEnd w:id="633"/>
    </w:p>
    <w:p>
      <w:pPr>
        <w:pStyle w:val="BookText"/>
        <w:rPr/>
      </w:pPr>
      <w:r>
        <w:rPr>
          <w:rFonts w:ascii="Amiri" w:hAnsi="Amiri" w:eastAsia="Amiri" w:cs="Amiri"/>
          <w:color w:val="111111"/>
          <w:sz w:val="28"/>
          <w:sz w:val="28"/>
          <w:szCs w:val="28"/>
          <w:rtl w:val="true"/>
          <w:lang w:bidi="ar-SA"/>
        </w:rPr>
        <w:t>ليس اختلاف الفاضل و المفضول في زيادة العلم و قلّته و شدّته و ضعفه، بل المراد الأقوى ملكة، أو الأكثر خبرة من غيره و الأعرف بدقائق الفقه و مباني الاستنباط، و تتركّز قوة الملكة و شدّتها على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الذكاء المتوقّد و الفهم القويم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كثرة الممارسة و التمرين بحيث يصير الفقه مخالطاً لفكره و ذهنه و روحه، فيكون أقوى استنباطاً، و أدق نظراً في استنباط الأحكام من مبادئها، و أعرف بالكبريات و كيفية تطبيقها على الصغريات بحدّة ذهنه و حسن سليقته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تشخيص الأدق نظراً و الأقوى استنباطاً من الأُمور الصعبة و العسيرة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يقال ليس تشخيص الفاضل عن المفضول بأعسر من تشخيص أصل الاجتهاد، و بما انّ لكل علم و فن رجالاً حاذقين يعرفون مراتب الرجال و مواهبهم و صلاحياتهم، فيميزون المجتهد عن غيره و الفاضل عن المفضول، 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دق باباً و لجَّ ولج</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الرابعة،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مخالفتهما في الفتوى، فهل يجوز </w:t>
      </w:r>
      <w:bookmarkStart w:id="634" w:name="pg14687_217367"/>
    </w:p>
    <w:p>
      <w:pPr>
        <w:pStyle w:val="BookText"/>
        <w:rPr/>
      </w:pPr>
      <w:bookmarkEnd w:id="634"/>
      <w:r>
        <w:rPr>
          <w:rFonts w:ascii="Amiri" w:hAnsi="Amiri" w:eastAsia="Amiri" w:cs="Amiri"/>
          <w:color w:val="111111"/>
          <w:sz w:val="28"/>
          <w:sz w:val="28"/>
          <w:szCs w:val="28"/>
          <w:rtl w:val="true"/>
          <w:lang w:bidi="ar-SA"/>
        </w:rPr>
        <w:t>الرجوع إلى المفضول أو لا؟و 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الأدلّة الاجتهادية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نفس الأصل في الصورة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العلم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لأصالة عدم حجّية رأي أحد على أحد إلاّ ما قام الدليل القطعي على حجّيته و هو رأي الفاضل، و أمّا غيره فهو مشكوك الحجية و الشك فيها مساوق للقطع بعدمها،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حجّية فتوى المفضول يلازم القطع بعدم حجّيتها ما لم يدل دليل قاطع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مقتضى الدليل الاجتهادي، فالرجوع إلى المفضول مع وجود الفاضل يتوقّف على وجود الإطلاق في الآيات و الروايات الإرجاعية و شمولها لصورة الشك في المخالفة، و هو موضع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الدليل الوحيد لجواز الرجوع إلى المفضول مع وجود الفاضل هو السيرة العقلائية في أمثال المقام حيث إنّهم يرجعون إلى أهل الحرف و أصحاب التخصصات مع اختلاف مراتبهم مع عدم العلم بوحدة نظرهم في عامة المسائل</w:t>
      </w:r>
      <w:r>
        <w:rPr>
          <w:rFonts w:eastAsia="Amiri" w:cs="Amiri" w:ascii="Amiri" w:hAnsi="Amiri"/>
          <w:color w:val="111111"/>
          <w:sz w:val="28"/>
          <w:szCs w:val="28"/>
          <w:rtl w:val="true"/>
          <w:lang w:bidi="ar-SA"/>
        </w:rPr>
        <w:t>.</w:t>
      </w:r>
    </w:p>
    <w:p>
      <w:pPr>
        <w:pStyle w:val="Heading4"/>
        <w:numPr>
          <w:ilvl w:val="3"/>
          <w:numId w:val="1"/>
        </w:numPr>
        <w:rPr/>
      </w:pPr>
      <w:bookmarkStart w:id="635" w:name="__RefHeading___Toc3433338_1878427129"/>
      <w:bookmarkStart w:id="636" w:name="_Toc240"/>
      <w:bookmarkEnd w:id="635"/>
      <w:r>
        <w:rPr>
          <w:rtl w:val="true"/>
        </w:rPr>
        <w:t>المسألة الرابعة</w:t>
      </w:r>
      <w:r>
        <w:rPr>
          <w:rtl w:val="true"/>
        </w:rPr>
        <w:t xml:space="preserve">: </w:t>
      </w:r>
      <w:r>
        <w:rPr>
          <w:rtl w:val="true"/>
        </w:rPr>
        <w:t>في تقليد الميت ابتداءً</w:t>
      </w:r>
      <w:bookmarkEnd w:id="636"/>
    </w:p>
    <w:p>
      <w:pPr>
        <w:pStyle w:val="BookText"/>
        <w:rPr/>
      </w:pPr>
      <w:r>
        <w:rPr>
          <w:rFonts w:ascii="Amiri" w:hAnsi="Amiri" w:eastAsia="Amiri" w:cs="Amiri"/>
          <w:color w:val="111111"/>
          <w:sz w:val="28"/>
          <w:sz w:val="28"/>
          <w:szCs w:val="28"/>
          <w:rtl w:val="true"/>
          <w:lang w:bidi="ar-SA"/>
        </w:rPr>
        <w:t>المشهور بين الأصحاب من عصر العلاّمة الحلي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726648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منع تقليد الميت ابتداءً و لم نجد المسألة معنونة قبل العلاّمة الحلّي، و لكن كلماتهم تعرب عن استمرار السيرة على المنع</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شذّ الأخباريون حيث لم يشترطوا الحياة في المفتي و وافقهم المحقّق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12311150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المجتهدين</w:t>
      </w:r>
      <w:r>
        <w:rPr>
          <w:rFonts w:eastAsia="Amiri" w:cs="Amiri" w:ascii="Amiri" w:hAnsi="Amiri"/>
          <w:color w:val="111111"/>
          <w:sz w:val="28"/>
          <w:szCs w:val="28"/>
          <w:rtl w:val="true"/>
          <w:lang w:bidi="ar-SA"/>
        </w:rPr>
        <w:t xml:space="preserve">. </w:t>
      </w:r>
      <w:bookmarkStart w:id="637" w:name="pg14687_217368"/>
    </w:p>
    <w:p>
      <w:pPr>
        <w:pStyle w:val="BookText"/>
        <w:rPr/>
      </w:pPr>
      <w:bookmarkEnd w:id="637"/>
      <w:r>
        <w:rPr>
          <w:rFonts w:ascii="Amiri" w:hAnsi="Amiri" w:eastAsia="Amiri" w:cs="Amiri"/>
          <w:color w:val="111111"/>
          <w:sz w:val="28"/>
          <w:sz w:val="28"/>
          <w:szCs w:val="28"/>
          <w:rtl w:val="true"/>
          <w:lang w:bidi="ar-SA"/>
        </w:rPr>
        <w:t>و دراسة المسألة تتم من خلال 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الأصل الأوّلي هو عدم حجية قول الميت، لما عرفت من أنّ الأصل عدم الحجية إلاّ ما قام الدليل على حجيته و ليس هو إلاّ تقليد 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الأدلّة الاجتهادية هو المنع، للإجماعات المنقولة المتضافرة من عصر العلاّمة إلى يومنا هذا، فإنّه و إن لم يكشف عن دليل شرعي وصل إليهم و لم يصل إلينا، لكنه يكشف عن قيام السيرة على المنع، و هو عدم جواز تقليد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الاتفاق بدرجة من القبول حتى شاع عند العوام انّ قول الميت كالميّت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على جواز الرجوع بإطلاقات الآيات و الروايات، كآية النفر و السؤال و الروايات الإرجاعية إلى رواة الأحاديث أو إلى أشخاص معيّنين، و لكن الاستدلال غير تام، فإنّ الأدلّة ناظرة إلى عنوان المنذر و المحذر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آية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ظهورها في الحي ممّا لا ينكر</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3433340_1878427129"/>
      <w:bookmarkStart w:id="639" w:name="_Toc241"/>
      <w:bookmarkEnd w:id="638"/>
      <w:r>
        <w:rPr>
          <w:rtl w:val="true"/>
        </w:rPr>
        <w:t>المسألة الخامسة</w:t>
      </w:r>
      <w:r>
        <w:rPr>
          <w:rtl w:val="true"/>
        </w:rPr>
        <w:t xml:space="preserve">: </w:t>
      </w:r>
      <w:r>
        <w:rPr>
          <w:rtl w:val="true"/>
        </w:rPr>
        <w:t>في البقاء على تقليد الميت</w:t>
      </w:r>
      <w:bookmarkEnd w:id="639"/>
    </w:p>
    <w:p>
      <w:pPr>
        <w:pStyle w:val="Heading5"/>
        <w:numPr>
          <w:ilvl w:val="4"/>
          <w:numId w:val="1"/>
        </w:numPr>
        <w:rPr/>
      </w:pPr>
      <w:bookmarkStart w:id="640" w:name="__RefHeading___Toc3433342_1878427129"/>
      <w:bookmarkStart w:id="641" w:name="_Toc242"/>
      <w:bookmarkEnd w:id="640"/>
      <w:r>
        <w:rPr>
          <w:rtl w:val="true"/>
        </w:rPr>
        <w:t>اشارة</w:t>
      </w:r>
      <w:bookmarkEnd w:id="641"/>
    </w:p>
    <w:p>
      <w:pPr>
        <w:pStyle w:val="BookText"/>
        <w:rPr/>
      </w:pPr>
      <w:r>
        <w:rPr>
          <w:rFonts w:ascii="Amiri" w:hAnsi="Amiri" w:eastAsia="Amiri" w:cs="Amiri"/>
          <w:color w:val="111111"/>
          <w:sz w:val="28"/>
          <w:sz w:val="28"/>
          <w:szCs w:val="28"/>
          <w:rtl w:val="true"/>
          <w:lang w:bidi="ar-SA"/>
        </w:rPr>
        <w:t>البقاء على تقليد الميت التي يعبّر عنها بالتقليد الاستمراري من المسائل المستحدثة في القرن الثالث عشر، عصر صاحب الجواهر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12661200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اختلفت كلمتهم إلى ثلاثة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البقاء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جوازه فيما عمل بفتواه، و عدمه إذا لم يعمل به، أو ما أشبهه</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433344_1878427129"/>
      <w:bookmarkStart w:id="643" w:name="_Toc243"/>
      <w:bookmarkEnd w:id="642"/>
      <w:r>
        <w:rPr>
          <w:rtl w:val="true"/>
        </w:rPr>
        <w:t>و التحقيق يتوقّف على بيان الحكم في مرحلتين</w:t>
      </w:r>
      <w:r>
        <w:rPr>
          <w:rtl w:val="true"/>
        </w:rPr>
        <w:t>:</w:t>
      </w:r>
      <w:bookmarkEnd w:id="643"/>
    </w:p>
    <w:p>
      <w:pPr>
        <w:pStyle w:val="Heading6"/>
        <w:numPr>
          <w:ilvl w:val="5"/>
          <w:numId w:val="1"/>
        </w:numPr>
        <w:rPr/>
      </w:pPr>
      <w:bookmarkStart w:id="644" w:name="__RefHeading___Toc3433346_1878427129"/>
      <w:bookmarkStart w:id="645" w:name="_Toc244"/>
      <w:bookmarkEnd w:id="644"/>
      <w:r>
        <w:rPr>
          <w:rtl w:val="true"/>
        </w:rPr>
        <w:t>اشارة</w:t>
      </w:r>
      <w:bookmarkEnd w:id="64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مقتضى القاعدة الأوّلية؟ </w:t>
      </w:r>
      <w:bookmarkStart w:id="646" w:name="pg14687_217369"/>
    </w:p>
    <w:p>
      <w:pPr>
        <w:pStyle w:val="BookText"/>
        <w:rPr/>
      </w:pPr>
      <w:bookmarkEnd w:id="646"/>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مقتضى القاعدة الثانوية؟</w:t>
      </w:r>
    </w:p>
    <w:p>
      <w:pPr>
        <w:pStyle w:val="Heading6"/>
        <w:numPr>
          <w:ilvl w:val="5"/>
          <w:numId w:val="1"/>
        </w:numPr>
        <w:rPr/>
      </w:pPr>
      <w:bookmarkStart w:id="647" w:name="__RefHeading___Toc3433348_1878427129"/>
      <w:bookmarkStart w:id="648" w:name="_Toc245"/>
      <w:bookmarkEnd w:id="647"/>
      <w:r>
        <w:rPr>
          <w:rtl w:val="true"/>
        </w:rPr>
        <w:t>أمّا الأُولى، أي مقتضى القاعدة الأوّلية</w:t>
      </w:r>
      <w:bookmarkEnd w:id="648"/>
    </w:p>
    <w:p>
      <w:pPr>
        <w:pStyle w:val="BookText"/>
        <w:rPr/>
      </w:pPr>
      <w:r>
        <w:rPr>
          <w:rFonts w:ascii="Amiri" w:hAnsi="Amiri" w:eastAsia="Amiri" w:cs="Amiri"/>
          <w:color w:val="111111"/>
          <w:sz w:val="28"/>
          <w:sz w:val="28"/>
          <w:szCs w:val="28"/>
          <w:rtl w:val="true"/>
          <w:lang w:bidi="ar-SA"/>
        </w:rPr>
        <w:t>فقد مرّ بيانها في المسائل السابقة،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القاعدة الأوّلية في الظنون عدم الحجية إلاّ أن يقام دليل عليها</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3433350_1878427129"/>
      <w:bookmarkStart w:id="650" w:name="_Toc246"/>
      <w:bookmarkEnd w:id="649"/>
      <w:r>
        <w:rPr>
          <w:rtl w:val="true"/>
        </w:rPr>
        <w:t>و أمّا الثانية، أي مقتضى القاعدة الثانوية</w:t>
      </w:r>
      <w:bookmarkEnd w:id="650"/>
    </w:p>
    <w:p>
      <w:pPr>
        <w:pStyle w:val="BookText"/>
        <w:rPr/>
      </w:pPr>
      <w:r>
        <w:rPr>
          <w:rFonts w:ascii="Amiri" w:hAnsi="Amiri" w:eastAsia="Amiri" w:cs="Amiri"/>
          <w:color w:val="111111"/>
          <w:sz w:val="28"/>
          <w:sz w:val="28"/>
          <w:szCs w:val="28"/>
          <w:rtl w:val="true"/>
          <w:lang w:bidi="ar-SA"/>
        </w:rPr>
        <w:t>فالظاهر انّ مقتضاها هو جواز البقاء على تقليد الميت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السيرة بين العقلاء حيث إنّهم لا يفرّقون في رجوع الجاهل إلى العالم فيما جهله بين كون العالم حيّاً عند العمل بقوله أو عدمه، و ما ذكرناه سابقاً من تضافر الإجماعات المنقولة على منع تقليد الميت، فالقدر المتيقن منها هو تقليد الميت ابتداءً لا استمراراً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الروايات الإرجاعية تعم المقام، فإنّ من أرجعه الإمام إلى أشخاص معيّنين، كالأسدي أو يونس بن عبد الرحمن، أو زكريا بن آدم، ما كان يشك في حجية قولهم بعد وفاتهم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يخطر ببال العامي ترك ما أخذه و تعلمه بمجرد موت من أخذ عنه</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3433352_1878427129"/>
      <w:bookmarkStart w:id="652" w:name="_Toc247"/>
      <w:bookmarkEnd w:id="651"/>
      <w:r>
        <w:rPr>
          <w:rtl w:val="true"/>
        </w:rPr>
        <w:t>المسألة السادسة</w:t>
      </w:r>
      <w:r>
        <w:rPr>
          <w:rtl w:val="true"/>
        </w:rPr>
        <w:t xml:space="preserve">: </w:t>
      </w:r>
      <w:r>
        <w:rPr>
          <w:rtl w:val="true"/>
        </w:rPr>
        <w:t>العدول من تقليد مجتهد إلى آخر</w:t>
      </w:r>
      <w:bookmarkEnd w:id="652"/>
    </w:p>
    <w:p>
      <w:pPr>
        <w:pStyle w:val="BookText"/>
        <w:rPr/>
      </w:pPr>
      <w:r>
        <w:rPr>
          <w:rFonts w:ascii="Amiri" w:hAnsi="Amiri" w:eastAsia="Amiri" w:cs="Amiri"/>
          <w:color w:val="111111"/>
          <w:sz w:val="28"/>
          <w:sz w:val="28"/>
          <w:szCs w:val="28"/>
          <w:rtl w:val="true"/>
          <w:lang w:bidi="ar-SA"/>
        </w:rPr>
        <w:t>هل يجوز العدول من الحي إلى الحي مطلقاً، أو لا يجوز كذلك، أو فيه التفصيل بين كون الثاني أعلم أو عدمه؟ و محل الكلام فيما إذا كان بين المجتهدين اختلاف في الفتوى و صور المسألة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الأوّل أعلم من الثاني، فلا يجوز العدول، لما تقدّم من عدم جواز تقديم المفضول مع وجود الفاضل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على العكس، فيجب العدول إلى الثاني، للسيرة السائدة بين العقلاء من الرجوع إلى الفاضل في مهام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يكونا متساويين مع العلم بالخلاف، فمقتضى القاعدة الأوّلية هو سقوط الفتويين عن الحجية للتعارض و الرجوع إلى الاحتياط، و لكن لمّا كان الاحتياط أمراً متعسّراً يستقل العقل بعد بطلانه أو عدم جوازه بالأخذ بأحدهما مطلقاً ابتداءً و استمراراً، فيجوز العدول من المساوي إلى المساوي الآخر بشرط أن لا ينتهي إلى اللعب بالتقليد</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الحمد للّه ربّ العالمين و الصّلاة و السّلام على سيّد المرسلين و آله الطيّبين الطاهرين وقع الفراغ من تحرير هذا الكتاب، و لاح بدر تمامه بيد مؤلفه جعفر السبحاني ابن الفقيه الشيخ محمد حسين الخياباني التبريزي قدّس اللّه سرّه يوم الأحد الثامن من شهر رجب المرجب من شهور عام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النبوية على هاجرها و آله ألف صلاة و تحية</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أ كان مصدره العقل أو غيره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المحقّق القمي في قوانينه و صاحب الفصول في فصوله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 من الحرّة إلى السهل،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الحجارة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المراد مع تعليقتنا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المؤسسة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161/13</w:t>
      </w:r>
      <w:r>
        <w:rPr>
          <w:rFonts w:ascii="IRNazanin" w:hAnsi="IRNazanin" w:eastAsia="IRNazanin"/>
          <w:b w:val="false"/>
          <w:b w:val="false"/>
          <w:bCs w:val="false"/>
          <w:i w:val="false"/>
          <w:i w:val="false"/>
          <w:iCs w:val="false"/>
          <w:color w:val="333333"/>
          <w:sz w:val="20"/>
          <w:sz w:val="20"/>
          <w:szCs w:val="20"/>
          <w:rtl w:val="true"/>
        </w:rPr>
        <w:t>، باب العقل و الجهل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أيضاً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 و الرأي و المقاييس، الحديث</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في أُصول الفقه لابن وهبة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و مقالات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القناع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كتاب العلم، باب كتابة العلم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174</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في مجال التقنين فإن كشفها عن المراد الجدّي ليس بقطعي</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بن قبة الرازي المتكلّم المعاصر لأبي القاسم البلخي الذي توفّي عام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توفى ابن قبة قبله بقليل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رجال النجاشي برقم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في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ط عام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عند القدماء ما يورث الوثوق بالمضمون، و الصحيح عند المتأخرين ما يكون آحاد رجال السند عدولاً</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رواها المشايخ الثلاثة في جوامعهم و تلقّاها الأصحاب بالقبول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سمّيت بالمقبولة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 في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الأبوين و الأولاد،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دليل القائلين بحجّية قول اللغوي و عدمها في الموجز،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الثانية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ابن خلدون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الفصل السادس في علوم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الحنفية ينكرون هذه النسبة إلى إمامهم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صفحة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السرخسي،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السرخسي، 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التشريع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ascii="IRNazanin" w:hAnsi="IRNazanin" w:eastAsia="IRNazanin"/>
          <w:b w:val="false"/>
          <w:b w:val="false"/>
          <w:bCs w:val="false"/>
          <w:i w:val="false"/>
          <w:i w:val="false"/>
          <w:iCs w:val="false"/>
          <w:color w:val="333333"/>
          <w:sz w:val="20"/>
          <w:sz w:val="20"/>
          <w:szCs w:val="20"/>
          <w:rtl w:val="true"/>
        </w:rPr>
        <w:t>، باب التفويض إلى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ديات الأعضاء،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 السنن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تفسير الزمان،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لاحظ كتاب العدة للشيخ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للوقوف على كلمات نفاة القياس من أعلام السنّة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الوهاب 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التشريع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الوجيز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وهبة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أحمد شلبي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التشريع الإسلامي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4/183</w:t>
      </w:r>
      <w:r>
        <w:rPr>
          <w:rFonts w:ascii="IRNazanin" w:hAnsi="IRNazanin" w:eastAsia="IRNazanin"/>
          <w:b w:val="false"/>
          <w:b w:val="false"/>
          <w:bCs w:val="false"/>
          <w:i w:val="false"/>
          <w:i w:val="false"/>
          <w:iCs w:val="false"/>
          <w:color w:val="333333"/>
          <w:sz w:val="20"/>
          <w:sz w:val="20"/>
          <w:szCs w:val="20"/>
          <w:rtl w:val="true"/>
        </w:rPr>
        <w:t xml:space="preserve">، باب الطلاق الثلاث،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60</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185</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9/32</w:t>
      </w:r>
      <w:r>
        <w:rPr>
          <w:rFonts w:ascii="IRNazanin" w:hAnsi="IRNazanin" w:eastAsia="IRNazanin"/>
          <w:b w:val="false"/>
          <w:b w:val="false"/>
          <w:bCs w:val="false"/>
          <w:i w:val="false"/>
          <w:i w:val="false"/>
          <w:iCs w:val="false"/>
          <w:color w:val="333333"/>
          <w:sz w:val="20"/>
          <w:sz w:val="20"/>
          <w:szCs w:val="20"/>
          <w:rtl w:val="true"/>
        </w:rPr>
        <w:t>، كتاب الإكراه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163</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2/490</w:t>
      </w:r>
      <w:r>
        <w:rPr>
          <w:rFonts w:ascii="IRNazanin" w:hAnsi="IRNazanin" w:eastAsia="IRNazanin"/>
          <w:b w:val="false"/>
          <w:b w:val="false"/>
          <w:bCs w:val="false"/>
          <w:i w:val="false"/>
          <w:i w:val="false"/>
          <w:iCs w:val="false"/>
          <w:color w:val="333333"/>
          <w:sz w:val="20"/>
          <w:sz w:val="20"/>
          <w:szCs w:val="20"/>
          <w:rtl w:val="true"/>
        </w:rPr>
        <w:t>، ط صيدا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اقرأ سبب نزولها فيه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الفحول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طبع دار الفكر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تقسيم حال المكلّف الملتفت إلى الحكم الشرعيّ إلى حالات ثلاث، تقسيم طبيعيّ، و لا يختص التقسيم الثلاثي بمورد التكليف بل كلّ موضوع وقع في أُفق الالتفات، فهو بين إحدى حالات ثلاث فمن قال بأنّ للمكلّف الملتفت إلى الحكم الشرعي إحدى حالات ثلاث فقد انطلق من هذا المنطَلق، و استلهم عن تلك القاعدة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أورده المحقّق الخراساني على التقسيم الثلاثي،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إرجاعه إلى الثنائي من انّ الظن بالحكم إن كان حجّة فهو ملحق بالقطع بالحكم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إلاّ كان في حكم الشكّ، فليس هنا إلاّ القطع بالحكم أو الشكّ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غفلة عن ملاك التقسيم الثلاثي و إن كان للثنائي منه أيضاً ملاك</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للشيخ في أوّل رسالة القطع تقريرين مختلفين في تحديد مجارى الأُصول، و قد عدل عنهما في أوّل رسالة البراءة إلى تقرير ثالث و هو الذي أوردناه في المقام لإتقانه</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8143</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208</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 الإمام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أشباه الرجال و لا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كان الأثر منقسماً إلى بارز و غيره، و أمّا إذا كان الجميع على حد سواء، فالمرفوع هو جميع الآثار كما في المقام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من أبواب الأيمان،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نقلاً عن المحاسن</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دروس في علم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الحلقة الثانية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134</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الأوّل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ألمع إليها الشهيد الأوّل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الذكرى، و ابن فهد الحلي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عدة الداعي، و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درايته، و بهاء الدين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المتوفّى</w:t>
      </w:r>
      <w:r>
        <w:rPr>
          <w:rFonts w:eastAsia="IRNazanin" w:cs="IRNazanin"/>
          <w:b w:val="false"/>
          <w:bCs w:val="false"/>
          <w:i w:val="false"/>
          <w:iCs w:val="false"/>
          <w:color w:val="333333"/>
          <w:sz w:val="20"/>
          <w:szCs w:val="20"/>
        </w:rPr>
        <w:t>1030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أربعينه، إلى ان وصلت النوبة للشيخ الأنصاري فألف رسالة مستقلة فيها طبعت في ذيل كتاب المتاجر له قدِّس سرّه و أدرجها تلميذه الشيخ موسى التبريزي في حاشيته على الفرائد، باسم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أوثق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العبادات،بعد توحيد بعضها مع بعض</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قاعدة التسامح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إرشاد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الفرائد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90</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المباحة،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المباحة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الربا،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اقتصرنا بذكر مصادر الروايات خشية الإطالة فبإمكان الأُستاذ، نقل الروايات عن الوسائل خلال إلقاء المحاضرة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الحديث</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ما ذكرنا من الدليل، غير ما هو المعروف من القوم في المقام من كون الأقلّ واجباً على كلّ تقدير و الأكثر مشكوك الوجوب فانّ الاستدلال على البراءة بهذا الطريق ذو شجون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تفصيله في التعادل و الترجيح،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البحث في التنبيه السابق في جريان البراءة بعد العمل أي الإتيان بما عدا المنسيّ، بخلاف المقام فالبحث في جريانها قبل الإتيان بما عدا المتعذر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 الأمرين يرجعان إلى أمر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انّ الأصل في الجزئية و الشرطية، الركنيّة أو لا، فلاحظ</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كتاب الحج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القبلة، الحديث</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ما إذا دار الأمر بين جزئية شيء و مانعيته أو قاطعيته و الحكم في الجميع واحد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انّ معنى المانعية هو وجود الشيء مزاحماً للصحّة لا اعتبار عدمه في المأمور به إذ العدم ليس شيئاً قابلاً للاعتبار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الشكّ في المقتضي عند الشيخ الأنصاري، أو في الشبهات الحكمية التي أنكر المحقّق النراقي و تبعه المحقق الخوئي، حجّية الاستصحاب فيها و خصّا الحجّية بالشك في الشبهات الموضوعية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قواطع الصلاة، الحديث</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تعليقة المحقّق الخراساني على الفرائد،ص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البحث عن مفاد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ردّ على القائل بالقاعدة ردّاً عنيفاً</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رواه عن علي بن إبراهيم الثقة عن أبيه، الذي هو فوق الثقة، عن حماد بن عيسى عن حريز عن زرارة و كلّهم ثقات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 الصدوق إلى إسحاق بن عمار صحيح في المشيخة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شهر رمضان، الحديث</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باسناده عن سعد بن عبد اللّه القمي، عن أحمد بن محمد بن عيسى المتوفّى نحو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ه، عن الحسن بن محبوب المتوفّى عام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ه، عن عبد اللّه بن سنان، و سند الشيخ إلى سعد بن عبد اللّه صحيح في التهذيبين، لاحظ آخر الكتاب الذي ذكر فيه أسانيده إلى أصحاب الكتب التي أخذ الأحاديث منها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السند صحيح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أنّ بكيراً لم يوثّق لكن القرائن تشهد على وثاقته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92</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تركنا بعض التنبيهات اقتناعاً بما حرّرناه في الموجز</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صحيحة زرارة الأُولى و الثانية في الموجز</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المخصص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غبن المسترسل 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غبن المؤمن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ضرر و لا ضرار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رد البيع و أخذ ماله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كيفية الحكم،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مقاييس اللغة، مادة قرع</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139</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140</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كيفية الحكم، 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 الحق لواحد معين في الواقع غير معلوم لنا، و التزاحم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الجميع بالنسبة إلى الحق على حدّ سواء نظير حضانة مريم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طبيعة البحث تقتضي أن يبحث عن تعارض الأدلّة قبل الأُصول العملية، لانّ موضوعها عدم الحجّة و المفروض في هذا المقصد وجودها و عدم تعينها، لكن اقتفينا أثر القوم، لئلاّ يحصل تشويش في النظام الدراسي</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الخراساني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مقابل احتمال حجّية الخبر الواحد من باب السببية، و بما انّ الاحتمال باطل عند أصحابنا تركنا البحث فيها و بيان أحكامها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التفصيل فلنرجع إلى المحصول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 الحديث</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نأخذ بمرفوعة العلاّمة عن زرارة، لارسالها، لاحظ المستدرك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نقلاً عن عوالي اللآلي، عن العلاّمة مرفوعاً عن زرارة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باب اختلاف الحديث من كتاب فضل العلم، الحديث</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بقية الحديث ضمن المرجحات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من كتاب فضل العلم،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اختلاف الحديث من كتاب فضل العلم،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هذه العنوانات في الأحاديث الآنفة الذكر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هذه العنوانات في الأحاديث الآنفة الذكر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هذه العنوانات في الأحاديث الآنفة الذكر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مضت هذه العنوانات في الأحاديث الآنفة الذكر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القول بعدم اعراض الأصحاب عن روايات التخيير كما عليه الشيخ الأعظم قدَّس سرّه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النساء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كتاب فضل العلم، باب اختلاف الحديث</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القضاء في الشريعة الإسلامية الغرّاء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التصويب و التخطئة بالمعنى الثاني فلا تغفل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الغزالي انّ عبد اللّه بن الحسن الغيري ذهب إلى أنّ كلّ مجتهد مصيب في العقليات كما في 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مراده من التصويب في العقائد كونه مثاباً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و انّه ليس شيء من الحلال و الحرام و جميع ما يحتاج إليه إلاّ و قد جاء فيه كتاب أو سنّة،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و انّه ليس شيء من الحلال و الحرام و جميع ما يحتاج إليه إلاّ و قد جاء فيه كتاب أو سنّة،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الرد إلى الكتاب و السّنة و انّه ليس شيء من الحلال و الحرام و جميع ما يحتاج إليه إلاّ و قد جاء فيه كتاب أو سنّة، الحديث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الترمذي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الرحمن بن كيسان المعتزلي الأُصولي المتوفّى عام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بشر بن غياث المريسي، فقيه معتزلي، و هو رأس الطائفة المريسية، و أُوذي في دولة هارون الرشيد، توفّي عام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المضمون أحاديث كثيرة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3/436</w:t>
      </w:r>
      <w:r>
        <w:rPr>
          <w:rFonts w:ascii="IRNazanin" w:hAnsi="IRNazanin" w:eastAsia="IRNazanin"/>
          <w:b w:val="false"/>
          <w:b w:val="false"/>
          <w:bCs w:val="false"/>
          <w:i w:val="false"/>
          <w:i w:val="false"/>
          <w:iCs w:val="false"/>
          <w:color w:val="333333"/>
          <w:sz w:val="20"/>
          <w:sz w:val="20"/>
          <w:szCs w:val="20"/>
          <w:rtl w:val="true"/>
        </w:rPr>
        <w:t xml:space="preserve">، و قد سبقه غيره، و قد أوردنا كلماتهم في رسالة مبسطة طبعت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و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فلاحظ</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الفقهي العام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9252/924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الإمام الخميني 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تكن في تلك الأعصار للدم منفعة غير الأكل، فالتحريم منصرف إليه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نهج البلاغة، قسم الرسائل، برقم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قسم الحكم،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 القضاء في الشريعة الإسلامية الغرّاء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حيث ذكرنا انّ تعدد درجات المحاكم لا ينافي كون القضاء الأوّل لازم الإجراء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تأثير الزمان و المكان في الاجتهاد المطبوعة مع رسالة البلوغ</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1844/183</w:t>
      </w:r>
      <w:r>
        <w:rPr>
          <w:rFonts w:ascii="IRNazanin" w:hAnsi="IRNazanin" w:eastAsia="IRNazanin"/>
          <w:b w:val="false"/>
          <w:b w:val="false"/>
          <w:bCs w:val="false"/>
          <w:i w:val="false"/>
          <w:i w:val="false"/>
          <w:iCs w:val="false"/>
          <w:color w:val="333333"/>
          <w:sz w:val="20"/>
          <w:sz w:val="20"/>
          <w:szCs w:val="20"/>
          <w:rtl w:val="true"/>
        </w:rPr>
        <w:t xml:space="preserve">، باب طلاق الثلاث،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الموقعين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و أشار إليه في كتابه الآخر إغاثة اللهفان من مصائد الشيطان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المتقلّد من يجعل القلادة في عنق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العامي متقلّداً بل مقلِّد</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الأحاديث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لاحظ الأحاديث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ذلك</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سبحانه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قالُوا إِنّا وَجَدْنا آباءَنا عَلى أُمّة وَ إنّا على آثارِهِمْ مُهْتَدُون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الوصول و الأمل في علمي الأُصول و الجدل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المستصفى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تقليد الأعلم المطبوعة في ذيل مطارح الأنظار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image" Target="media/image2.jpeg"/><Relationship Id="rId254" Type="http://schemas.openxmlformats.org/officeDocument/2006/relationships/image" Target="media/image2.jpeg"/><Relationship Id="rId255" Type="http://schemas.openxmlformats.org/officeDocument/2006/relationships/footer" Target="footer248.xml"/><Relationship Id="rId256" Type="http://schemas.openxmlformats.org/officeDocument/2006/relationships/footnotes" Target="footnotes.xml"/><Relationship Id="rId257" Type="http://schemas.openxmlformats.org/officeDocument/2006/relationships/numbering" Target="numbering.xml"/><Relationship Id="rId258" Type="http://schemas.openxmlformats.org/officeDocument/2006/relationships/fontTable" Target="fontTable.xml"/><Relationship Id="rId259" Type="http://schemas.openxmlformats.org/officeDocument/2006/relationships/settings" Target="settings.xml"/><Relationship Id="rId26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256</Pages>
  <Words>26930</Words>
  <Characters>115114</Characters>
  <CharactersWithSpaces>141020</CharactersWithSpaces>
  <Paragraphs>1151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2026-08-24T16:27:30Z</dcterms:created>
  <dc:creator>ghaemiyeh.com</dc:creator>
  <dc:description/>
  <dc:language>en-US</dc:language>
  <cp:lastModifiedBy/>
  <dcterms:modified xsi:type="dcterms:W3CDTF">2026-08-24T19:58:25Z</dcterms:modified>
  <cp:revision>1</cp:revision>
  <dc:subject/>
  <dc:title>الوسیط فی اصول الفقه کتاب یبحث عن الادلة اللفظیة و العقلیة بین الایجاز و الاطناب جلد 2</dc:title>
</cp:coreProperties>
</file>

<file path=docProps/custom.xml><?xml version="1.0" encoding="utf-8"?>
<Properties xmlns="http://schemas.openxmlformats.org/officeDocument/2006/custom-properties" xmlns:vt="http://schemas.openxmlformats.org/officeDocument/2006/docPropsVTypes"/>
</file>